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7" w:lineRule="auto" w:before="72"/>
        <w:ind w:left="2661" w:right="2214" w:hanging="1979"/>
      </w:pPr>
      <w:r>
        <w:rPr/>
        <w:t>ENVIRONMENTAL IMPLICATION OF CHILD DEPRIVATION</w:t>
      </w:r>
      <w:r>
        <w:rPr>
          <w:spacing w:val="1"/>
        </w:rPr>
        <w:t> </w:t>
      </w:r>
      <w:r>
        <w:rPr/>
        <w:t>ACROSS</w:t>
      </w:r>
      <w:r>
        <w:rPr>
          <w:spacing w:val="-5"/>
        </w:rPr>
        <w:t> </w:t>
      </w:r>
      <w:r>
        <w:rPr/>
        <w:t>NEIGHBORHOODS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BIDA,</w:t>
      </w:r>
      <w:r>
        <w:rPr>
          <w:spacing w:val="-4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spacing w:line="249" w:lineRule="auto" w:before="174"/>
        <w:ind w:left="160" w:right="1032" w:firstLine="0"/>
        <w:jc w:val="both"/>
        <w:rPr>
          <w:sz w:val="23"/>
        </w:rPr>
      </w:pPr>
      <w:r>
        <w:rPr>
          <w:sz w:val="23"/>
        </w:rPr>
        <w:t>Child deprivation and how it can be reduced is a trending issue both at the global and national</w:t>
      </w:r>
      <w:r>
        <w:rPr>
          <w:spacing w:val="1"/>
          <w:sz w:val="23"/>
        </w:rPr>
        <w:t> </w:t>
      </w:r>
      <w:r>
        <w:rPr>
          <w:sz w:val="23"/>
        </w:rPr>
        <w:t>level</w:t>
      </w:r>
      <w:r>
        <w:rPr>
          <w:spacing w:val="21"/>
          <w:sz w:val="23"/>
        </w:rPr>
        <w:t> </w:t>
      </w:r>
      <w:r>
        <w:rPr>
          <w:sz w:val="23"/>
        </w:rPr>
        <w:t>especially</w:t>
      </w:r>
      <w:r>
        <w:rPr>
          <w:spacing w:val="15"/>
          <w:sz w:val="23"/>
        </w:rPr>
        <w:t> </w:t>
      </w:r>
      <w:r>
        <w:rPr>
          <w:sz w:val="23"/>
        </w:rPr>
        <w:t>in</w:t>
      </w:r>
      <w:r>
        <w:rPr>
          <w:spacing w:val="20"/>
          <w:sz w:val="23"/>
        </w:rPr>
        <w:t> </w:t>
      </w:r>
      <w:r>
        <w:rPr>
          <w:sz w:val="23"/>
        </w:rPr>
        <w:t>this</w:t>
      </w:r>
      <w:r>
        <w:rPr>
          <w:spacing w:val="19"/>
          <w:sz w:val="23"/>
        </w:rPr>
        <w:t> </w:t>
      </w:r>
      <w:r>
        <w:rPr>
          <w:sz w:val="23"/>
        </w:rPr>
        <w:t>21st</w:t>
      </w:r>
      <w:r>
        <w:rPr>
          <w:spacing w:val="21"/>
          <w:sz w:val="23"/>
        </w:rPr>
        <w:t> </w:t>
      </w:r>
      <w:r>
        <w:rPr>
          <w:sz w:val="23"/>
        </w:rPr>
        <w:t>century.</w:t>
      </w:r>
      <w:r>
        <w:rPr>
          <w:spacing w:val="20"/>
          <w:sz w:val="23"/>
        </w:rPr>
        <w:t> </w:t>
      </w:r>
      <w:r>
        <w:rPr>
          <w:sz w:val="23"/>
        </w:rPr>
        <w:t>Despite</w:t>
      </w:r>
      <w:r>
        <w:rPr>
          <w:spacing w:val="21"/>
          <w:sz w:val="23"/>
        </w:rPr>
        <w:t> </w:t>
      </w:r>
      <w:r>
        <w:rPr>
          <w:sz w:val="23"/>
        </w:rPr>
        <w:t>the</w:t>
      </w:r>
      <w:r>
        <w:rPr>
          <w:spacing w:val="29"/>
          <w:sz w:val="23"/>
        </w:rPr>
        <w:t> </w:t>
      </w:r>
      <w:r>
        <w:rPr>
          <w:sz w:val="23"/>
        </w:rPr>
        <w:t>numerous</w:t>
      </w:r>
      <w:r>
        <w:rPr>
          <w:spacing w:val="19"/>
          <w:sz w:val="23"/>
        </w:rPr>
        <w:t> </w:t>
      </w:r>
      <w:r>
        <w:rPr>
          <w:sz w:val="23"/>
        </w:rPr>
        <w:t>policy</w:t>
      </w:r>
      <w:r>
        <w:rPr>
          <w:spacing w:val="15"/>
          <w:sz w:val="23"/>
        </w:rPr>
        <w:t> </w:t>
      </w:r>
      <w:r>
        <w:rPr>
          <w:sz w:val="23"/>
        </w:rPr>
        <w:t>and</w:t>
      </w:r>
      <w:r>
        <w:rPr>
          <w:spacing w:val="20"/>
          <w:sz w:val="23"/>
        </w:rPr>
        <w:t> </w:t>
      </w:r>
      <w:r>
        <w:rPr>
          <w:sz w:val="23"/>
        </w:rPr>
        <w:t>strategies</w:t>
      </w:r>
      <w:r>
        <w:rPr>
          <w:spacing w:val="20"/>
          <w:sz w:val="23"/>
        </w:rPr>
        <w:t> </w:t>
      </w:r>
      <w:r>
        <w:rPr>
          <w:sz w:val="23"/>
        </w:rPr>
        <w:t>put</w:t>
      </w:r>
      <w:r>
        <w:rPr>
          <w:spacing w:val="20"/>
          <w:sz w:val="23"/>
        </w:rPr>
        <w:t> </w:t>
      </w:r>
      <w:r>
        <w:rPr>
          <w:sz w:val="23"/>
        </w:rPr>
        <w:t>in</w:t>
      </w:r>
      <w:r>
        <w:rPr>
          <w:spacing w:val="20"/>
          <w:sz w:val="23"/>
        </w:rPr>
        <w:t> </w:t>
      </w:r>
      <w:r>
        <w:rPr>
          <w:sz w:val="23"/>
        </w:rPr>
        <w:t>place</w:t>
      </w:r>
      <w:r>
        <w:rPr>
          <w:spacing w:val="21"/>
          <w:sz w:val="23"/>
        </w:rPr>
        <w:t> </w:t>
      </w:r>
      <w:r>
        <w:rPr>
          <w:sz w:val="23"/>
        </w:rPr>
        <w:t>by</w:t>
      </w:r>
      <w:r>
        <w:rPr>
          <w:spacing w:val="-55"/>
          <w:sz w:val="23"/>
        </w:rPr>
        <w:t> </w:t>
      </w:r>
      <w:r>
        <w:rPr>
          <w:sz w:val="23"/>
        </w:rPr>
        <w:t>the different tiers of government in Nigeria since independent in other to reduce Child deprivation</w:t>
      </w:r>
      <w:r>
        <w:rPr>
          <w:spacing w:val="-55"/>
          <w:sz w:val="23"/>
        </w:rPr>
        <w:t> </w:t>
      </w:r>
      <w:r>
        <w:rPr>
          <w:sz w:val="23"/>
        </w:rPr>
        <w:t>in the country, deprivation is still persisting and has become a complex phenomenon that covers</w:t>
      </w:r>
      <w:r>
        <w:rPr>
          <w:spacing w:val="1"/>
          <w:sz w:val="23"/>
        </w:rPr>
        <w:t> </w:t>
      </w:r>
      <w:r>
        <w:rPr>
          <w:sz w:val="23"/>
        </w:rPr>
        <w:t>many dimensions of human and social behavior. It has widely been accepted that deprivation is a</w:t>
      </w:r>
      <w:r>
        <w:rPr>
          <w:spacing w:val="1"/>
          <w:sz w:val="23"/>
        </w:rPr>
        <w:t> </w:t>
      </w:r>
      <w:r>
        <w:rPr>
          <w:sz w:val="23"/>
        </w:rPr>
        <w:t>major cause of environmental degradation. Therefore, the conceptualization and measurement of</w:t>
      </w:r>
      <w:r>
        <w:rPr>
          <w:spacing w:val="1"/>
          <w:sz w:val="23"/>
        </w:rPr>
        <w:t> </w:t>
      </w:r>
      <w:r>
        <w:rPr>
          <w:sz w:val="23"/>
        </w:rPr>
        <w:t>deprivation continues to be challenging due to its multi-dimensional nature. Although, literatures</w:t>
      </w:r>
      <w:r>
        <w:rPr>
          <w:spacing w:val="1"/>
          <w:sz w:val="23"/>
        </w:rPr>
        <w:t> </w:t>
      </w:r>
      <w:r>
        <w:rPr>
          <w:sz w:val="23"/>
        </w:rPr>
        <w:t>are available on child deprivation but, many are outside issues that does not focus on deprivation-</w:t>
      </w:r>
      <w:r>
        <w:rPr>
          <w:spacing w:val="1"/>
          <w:sz w:val="23"/>
        </w:rPr>
        <w:t> </w:t>
      </w:r>
      <w:r>
        <w:rPr>
          <w:sz w:val="23"/>
        </w:rPr>
        <w:t>environmental degradation nexus across the spatial units of Bida Town, which this research seek</w:t>
      </w:r>
      <w:r>
        <w:rPr>
          <w:spacing w:val="1"/>
          <w:sz w:val="23"/>
        </w:rPr>
        <w:t> </w:t>
      </w:r>
      <w:r>
        <w:rPr>
          <w:sz w:val="23"/>
        </w:rPr>
        <w:t>to address, by measuring child deprivation through mapping and adopting multi-dimensional</w:t>
      </w:r>
      <w:r>
        <w:rPr>
          <w:spacing w:val="1"/>
          <w:sz w:val="23"/>
        </w:rPr>
        <w:t> </w:t>
      </w:r>
      <w:r>
        <w:rPr>
          <w:sz w:val="23"/>
        </w:rPr>
        <w:t>approach in analyzing the extent and contribution of child deprivation in the 12 neighborhoods in</w:t>
      </w:r>
      <w:r>
        <w:rPr>
          <w:spacing w:val="1"/>
          <w:sz w:val="23"/>
        </w:rPr>
        <w:t> </w:t>
      </w:r>
      <w:r>
        <w:rPr>
          <w:sz w:val="23"/>
        </w:rPr>
        <w:t>the regional headquarters of Nupe Kingdom. The sample size of 213 households was derived at</w:t>
      </w:r>
      <w:r>
        <w:rPr>
          <w:spacing w:val="1"/>
          <w:sz w:val="23"/>
        </w:rPr>
        <w:t> </w:t>
      </w:r>
      <w:r>
        <w:rPr>
          <w:sz w:val="23"/>
        </w:rPr>
        <w:t>95% confidence level using sample size formula. Household data sets were generated through</w:t>
      </w:r>
      <w:r>
        <w:rPr>
          <w:spacing w:val="1"/>
          <w:sz w:val="23"/>
        </w:rPr>
        <w:t> </w:t>
      </w:r>
      <w:r>
        <w:rPr>
          <w:sz w:val="23"/>
        </w:rPr>
        <w:t>targeted physical</w:t>
      </w:r>
      <w:r>
        <w:rPr>
          <w:spacing w:val="1"/>
          <w:sz w:val="23"/>
        </w:rPr>
        <w:t> </w:t>
      </w:r>
      <w:r>
        <w:rPr>
          <w:sz w:val="23"/>
        </w:rPr>
        <w:t>and socio-economic surveys and the selection of households was achieved</w:t>
      </w:r>
      <w:r>
        <w:rPr>
          <w:spacing w:val="1"/>
          <w:sz w:val="23"/>
        </w:rPr>
        <w:t> </w:t>
      </w:r>
      <w:r>
        <w:rPr>
          <w:sz w:val="23"/>
        </w:rPr>
        <w:t>through multistage sampling which involves cluster and simple random technique. KOBO Collect</w:t>
      </w:r>
      <w:r>
        <w:rPr>
          <w:spacing w:val="-55"/>
          <w:sz w:val="23"/>
        </w:rPr>
        <w:t> </w:t>
      </w:r>
      <w:r>
        <w:rPr>
          <w:sz w:val="23"/>
        </w:rPr>
        <w:t>toolkit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used for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total</w:t>
      </w:r>
      <w:r>
        <w:rPr>
          <w:spacing w:val="1"/>
          <w:sz w:val="23"/>
        </w:rPr>
        <w:t> </w:t>
      </w:r>
      <w:r>
        <w:rPr>
          <w:sz w:val="23"/>
        </w:rPr>
        <w:t>of 213</w:t>
      </w:r>
      <w:r>
        <w:rPr>
          <w:spacing w:val="1"/>
          <w:sz w:val="23"/>
        </w:rPr>
        <w:t> </w:t>
      </w:r>
      <w:r>
        <w:rPr>
          <w:sz w:val="23"/>
        </w:rPr>
        <w:t>respondents,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collected was</w:t>
      </w:r>
      <w:r>
        <w:rPr>
          <w:spacing w:val="1"/>
          <w:sz w:val="23"/>
        </w:rPr>
        <w:t> </w:t>
      </w:r>
      <w:r>
        <w:rPr>
          <w:sz w:val="23"/>
        </w:rPr>
        <w:t>analysed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descriptive statistics and multi-dimensional poverty measurement metric. The study revealed that</w:t>
      </w:r>
      <w:r>
        <w:rPr>
          <w:spacing w:val="1"/>
          <w:sz w:val="23"/>
        </w:rPr>
        <w:t> </w:t>
      </w:r>
      <w:r>
        <w:rPr>
          <w:sz w:val="23"/>
        </w:rPr>
        <w:t>multidimensional child deprivation headcount in Bida is 8.3%, while 72.4% only experienced</w:t>
      </w:r>
      <w:r>
        <w:rPr>
          <w:spacing w:val="1"/>
          <w:sz w:val="23"/>
        </w:rPr>
        <w:t> </w:t>
      </w:r>
      <w:r>
        <w:rPr>
          <w:sz w:val="23"/>
        </w:rPr>
        <w:t>child</w:t>
      </w:r>
      <w:r>
        <w:rPr>
          <w:spacing w:val="1"/>
          <w:sz w:val="23"/>
        </w:rPr>
        <w:t> </w:t>
      </w:r>
      <w:r>
        <w:rPr>
          <w:sz w:val="23"/>
        </w:rPr>
        <w:t>deprivation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uni-dimension.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recorded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aggregate</w:t>
      </w:r>
      <w:r>
        <w:rPr>
          <w:spacing w:val="1"/>
          <w:sz w:val="23"/>
        </w:rPr>
        <w:t> </w:t>
      </w:r>
      <w:r>
        <w:rPr>
          <w:sz w:val="23"/>
        </w:rPr>
        <w:t>multidimensional</w:t>
      </w:r>
      <w:r>
        <w:rPr>
          <w:spacing w:val="1"/>
          <w:sz w:val="23"/>
        </w:rPr>
        <w:t> </w:t>
      </w:r>
      <w:r>
        <w:rPr>
          <w:sz w:val="23"/>
        </w:rPr>
        <w:t>deprivation</w:t>
      </w:r>
      <w:r>
        <w:rPr>
          <w:spacing w:val="15"/>
          <w:sz w:val="23"/>
        </w:rPr>
        <w:t> </w:t>
      </w:r>
      <w:r>
        <w:rPr>
          <w:sz w:val="23"/>
        </w:rPr>
        <w:t>index</w:t>
      </w:r>
      <w:r>
        <w:rPr>
          <w:spacing w:val="15"/>
          <w:sz w:val="23"/>
        </w:rPr>
        <w:t> </w:t>
      </w:r>
      <w:r>
        <w:rPr>
          <w:sz w:val="23"/>
        </w:rPr>
        <w:t>of</w:t>
      </w:r>
      <w:r>
        <w:rPr>
          <w:spacing w:val="14"/>
          <w:sz w:val="23"/>
        </w:rPr>
        <w:t> </w:t>
      </w:r>
      <w:r>
        <w:rPr>
          <w:sz w:val="23"/>
        </w:rPr>
        <w:t>0.62</w:t>
      </w:r>
      <w:r>
        <w:rPr>
          <w:spacing w:val="11"/>
          <w:sz w:val="23"/>
        </w:rPr>
        <w:t> </w:t>
      </w:r>
      <w:r>
        <w:rPr>
          <w:sz w:val="23"/>
        </w:rPr>
        <w:t>and</w:t>
      </w:r>
      <w:r>
        <w:rPr>
          <w:spacing w:val="15"/>
          <w:sz w:val="23"/>
        </w:rPr>
        <w:t> </w:t>
      </w:r>
      <w:r>
        <w:rPr>
          <w:sz w:val="23"/>
        </w:rPr>
        <w:t>an</w:t>
      </w:r>
      <w:r>
        <w:rPr>
          <w:spacing w:val="16"/>
          <w:sz w:val="23"/>
        </w:rPr>
        <w:t> </w:t>
      </w:r>
      <w:r>
        <w:rPr>
          <w:sz w:val="23"/>
        </w:rPr>
        <w:t>intensity</w:t>
      </w:r>
      <w:r>
        <w:rPr>
          <w:spacing w:val="10"/>
          <w:sz w:val="23"/>
        </w:rPr>
        <w:t> </w:t>
      </w:r>
      <w:r>
        <w:rPr>
          <w:sz w:val="23"/>
        </w:rPr>
        <w:t>of</w:t>
      </w:r>
      <w:r>
        <w:rPr>
          <w:spacing w:val="14"/>
          <w:sz w:val="23"/>
        </w:rPr>
        <w:t> </w:t>
      </w:r>
      <w:r>
        <w:rPr>
          <w:sz w:val="23"/>
        </w:rPr>
        <w:t>0.81.</w:t>
      </w:r>
      <w:r>
        <w:rPr>
          <w:spacing w:val="13"/>
          <w:sz w:val="23"/>
        </w:rPr>
        <w:t> </w:t>
      </w:r>
      <w:r>
        <w:rPr>
          <w:sz w:val="23"/>
        </w:rPr>
        <w:t>Also,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study</w:t>
      </w:r>
      <w:r>
        <w:rPr>
          <w:spacing w:val="10"/>
          <w:sz w:val="23"/>
        </w:rPr>
        <w:t> </w:t>
      </w:r>
      <w:r>
        <w:rPr>
          <w:sz w:val="23"/>
        </w:rPr>
        <w:t>reveals</w:t>
      </w:r>
      <w:r>
        <w:rPr>
          <w:spacing w:val="15"/>
          <w:sz w:val="23"/>
        </w:rPr>
        <w:t> </w:t>
      </w:r>
      <w:r>
        <w:rPr>
          <w:sz w:val="23"/>
        </w:rPr>
        <w:t>nutritional</w:t>
      </w:r>
      <w:r>
        <w:rPr>
          <w:spacing w:val="16"/>
          <w:sz w:val="23"/>
        </w:rPr>
        <w:t> </w:t>
      </w:r>
      <w:r>
        <w:rPr>
          <w:sz w:val="23"/>
        </w:rPr>
        <w:t>Z-Score</w:t>
      </w:r>
      <w:r>
        <w:rPr>
          <w:spacing w:val="16"/>
          <w:sz w:val="23"/>
        </w:rPr>
        <w:t> </w:t>
      </w:r>
      <w:r>
        <w:rPr>
          <w:sz w:val="23"/>
        </w:rPr>
        <w:t>of</w:t>
      </w:r>
    </w:p>
    <w:p>
      <w:pPr>
        <w:spacing w:line="249" w:lineRule="auto" w:before="0"/>
        <w:ind w:left="160" w:right="1032" w:firstLine="0"/>
        <w:jc w:val="both"/>
        <w:rPr>
          <w:sz w:val="23"/>
        </w:rPr>
      </w:pPr>
      <w:r>
        <w:rPr>
          <w:sz w:val="23"/>
        </w:rPr>
        <w:t>1.5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children. Field</w:t>
      </w:r>
      <w:r>
        <w:rPr>
          <w:spacing w:val="1"/>
          <w:sz w:val="23"/>
        </w:rPr>
        <w:t> </w:t>
      </w:r>
      <w:r>
        <w:rPr>
          <w:sz w:val="23"/>
        </w:rPr>
        <w:t>finding was</w:t>
      </w:r>
      <w:r>
        <w:rPr>
          <w:spacing w:val="1"/>
          <w:sz w:val="23"/>
        </w:rPr>
        <w:t> </w:t>
      </w:r>
      <w:r>
        <w:rPr>
          <w:sz w:val="23"/>
        </w:rPr>
        <w:t>able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reveal</w:t>
      </w:r>
      <w:r>
        <w:rPr>
          <w:spacing w:val="1"/>
          <w:sz w:val="23"/>
        </w:rPr>
        <w:t> </w:t>
      </w:r>
      <w:r>
        <w:rPr>
          <w:sz w:val="23"/>
        </w:rPr>
        <w:t>peculiar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divergent</w:t>
      </w:r>
      <w:r>
        <w:rPr>
          <w:spacing w:val="1"/>
          <w:sz w:val="23"/>
        </w:rPr>
        <w:t> </w:t>
      </w:r>
      <w:r>
        <w:rPr>
          <w:sz w:val="23"/>
        </w:rPr>
        <w:t>cases of child</w:t>
      </w:r>
      <w:r>
        <w:rPr>
          <w:spacing w:val="1"/>
          <w:sz w:val="23"/>
        </w:rPr>
        <w:t> </w:t>
      </w:r>
      <w:r>
        <w:rPr>
          <w:sz w:val="23"/>
        </w:rPr>
        <w:t>deprivation which cut across Education, Assets, Health, and Living conditions. As there are high</w:t>
      </w:r>
      <w:r>
        <w:rPr>
          <w:spacing w:val="1"/>
          <w:sz w:val="23"/>
        </w:rPr>
        <w:t> </w:t>
      </w:r>
      <w:r>
        <w:rPr>
          <w:sz w:val="23"/>
        </w:rPr>
        <w:t>variations ranging from High deprivation to very low, and from Ultra deprived to Non-deprived</w:t>
      </w:r>
      <w:r>
        <w:rPr>
          <w:spacing w:val="1"/>
          <w:sz w:val="23"/>
        </w:rPr>
        <w:t> </w:t>
      </w:r>
      <w:r>
        <w:rPr>
          <w:sz w:val="23"/>
        </w:rPr>
        <w:t>across</w:t>
      </w:r>
      <w:r>
        <w:rPr>
          <w:spacing w:val="1"/>
          <w:sz w:val="23"/>
        </w:rPr>
        <w:t> </w:t>
      </w:r>
      <w:r>
        <w:rPr>
          <w:sz w:val="23"/>
        </w:rPr>
        <w:t>neighborhoods,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child</w:t>
      </w:r>
      <w:r>
        <w:rPr>
          <w:spacing w:val="1"/>
          <w:sz w:val="23"/>
        </w:rPr>
        <w:t> </w:t>
      </w:r>
      <w:r>
        <w:rPr>
          <w:sz w:val="23"/>
        </w:rPr>
        <w:t>specific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against</w:t>
      </w:r>
      <w:r>
        <w:rPr>
          <w:spacing w:val="1"/>
          <w:sz w:val="23"/>
        </w:rPr>
        <w:t> </w:t>
      </w:r>
      <w:r>
        <w:rPr>
          <w:sz w:val="23"/>
        </w:rPr>
        <w:t>national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regional</w:t>
      </w:r>
      <w:r>
        <w:rPr>
          <w:spacing w:val="1"/>
          <w:sz w:val="23"/>
        </w:rPr>
        <w:t> </w:t>
      </w:r>
      <w:r>
        <w:rPr>
          <w:sz w:val="23"/>
        </w:rPr>
        <w:t>anti-poverty</w:t>
      </w:r>
      <w:r>
        <w:rPr>
          <w:spacing w:val="1"/>
          <w:sz w:val="23"/>
        </w:rPr>
        <w:t> </w:t>
      </w:r>
      <w:r>
        <w:rPr>
          <w:sz w:val="23"/>
        </w:rPr>
        <w:t>1ntervention programmes should be considered as veritable options for the fight against this</w:t>
      </w:r>
      <w:r>
        <w:rPr>
          <w:spacing w:val="1"/>
          <w:sz w:val="23"/>
        </w:rPr>
        <w:t> </w:t>
      </w:r>
      <w:r>
        <w:rPr>
          <w:sz w:val="23"/>
        </w:rPr>
        <w:t>national</w:t>
      </w:r>
      <w:r>
        <w:rPr>
          <w:spacing w:val="-1"/>
          <w:sz w:val="23"/>
        </w:rPr>
        <w:t> </w:t>
      </w:r>
      <w:r>
        <w:rPr>
          <w:sz w:val="23"/>
        </w:rPr>
        <w:t>problem.</w:t>
      </w:r>
    </w:p>
    <w:p>
      <w:pPr>
        <w:spacing w:after="0" w:line="249" w:lineRule="auto"/>
        <w:jc w:val="both"/>
        <w:rPr>
          <w:sz w:val="23"/>
        </w:rPr>
        <w:sectPr>
          <w:type w:val="continuous"/>
          <w:pgSz w:w="11900" w:h="16840"/>
          <w:pgMar w:top="1320" w:bottom="280" w:left="12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before="90"/>
        <w:ind w:left="688" w:right="1033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3981" w:val="left" w:leader="none"/>
          <w:tab w:pos="3982" w:val="left" w:leader="none"/>
        </w:tabs>
        <w:spacing w:line="240" w:lineRule="auto" w:before="0" w:after="0"/>
        <w:ind w:left="3981" w:right="0" w:hanging="3282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499" w:val="left" w:leader="none"/>
          <w:tab w:pos="1500" w:val="left" w:leader="none"/>
        </w:tabs>
        <w:spacing w:line="240" w:lineRule="auto" w:before="0" w:after="0"/>
        <w:ind w:left="1499" w:right="0" w:hanging="800"/>
        <w:jc w:val="left"/>
        <w:rPr>
          <w:b/>
          <w:sz w:val="23"/>
        </w:rPr>
      </w:pPr>
      <w:r>
        <w:rPr>
          <w:b/>
          <w:sz w:val="23"/>
        </w:rPr>
        <w:t>Background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60"/>
        <w:jc w:val="both"/>
      </w:pPr>
      <w:r>
        <w:rPr/>
        <w:t>Housing can be said to be more than a mare shelter as it is attached to so many issues,</w:t>
      </w:r>
      <w:r>
        <w:rPr>
          <w:spacing w:val="1"/>
        </w:rPr>
        <w:t> </w:t>
      </w:r>
      <w:r>
        <w:rPr/>
        <w:t>such as adequacy, livability and affordability. Housing can be seen as a product and</w:t>
      </w:r>
      <w:r>
        <w:rPr>
          <w:spacing w:val="1"/>
        </w:rPr>
        <w:t> </w:t>
      </w:r>
      <w:r>
        <w:rPr/>
        <w:t>process (Jinadu, 2007). As a process it is a way and means by which housing goods and</w:t>
      </w:r>
      <w:r>
        <w:rPr>
          <w:spacing w:val="1"/>
        </w:rPr>
        <w:t> </w:t>
      </w:r>
      <w:r>
        <w:rPr/>
        <w:t>services are produced through the interactive construction process of land acquisition,</w:t>
      </w:r>
      <w:r>
        <w:rPr>
          <w:spacing w:val="1"/>
        </w:rPr>
        <w:t> </w:t>
      </w:r>
      <w:r>
        <w:rPr/>
        <w:t>housing finance mobilization, materials assemblage and actual construction. Housing as</w:t>
      </w:r>
      <w:r>
        <w:rPr>
          <w:spacing w:val="-57"/>
        </w:rPr>
        <w:t> </w:t>
      </w:r>
      <w:r>
        <w:rPr/>
        <w:t>a product represents a commodity traded in the housing market. It is a product of</w:t>
      </w:r>
      <w:r>
        <w:rPr>
          <w:spacing w:val="1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means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generation (Jinadu, 2007).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54"/>
        <w:jc w:val="both"/>
      </w:pP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backward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forward</w:t>
      </w:r>
      <w:r>
        <w:rPr>
          <w:spacing w:val="-57"/>
        </w:rPr>
        <w:t> </w:t>
      </w:r>
      <w:r>
        <w:rPr/>
        <w:t>linkages with other parts of the economy closely bond people‟s needs, demands and</w:t>
      </w:r>
      <w:r>
        <w:rPr>
          <w:spacing w:val="1"/>
        </w:rPr>
        <w:t> </w:t>
      </w:r>
      <w:r>
        <w:rPr/>
        <w:t>social processes with the supply of land, infrastructure, building materials, technology,</w:t>
      </w:r>
      <w:r>
        <w:rPr>
          <w:spacing w:val="1"/>
        </w:rPr>
        <w:t> </w:t>
      </w:r>
      <w:r>
        <w:rPr/>
        <w:t>labour, and housing finance. These linkages allow housing to act as an important engine</w:t>
      </w:r>
      <w:r>
        <w:rPr>
          <w:spacing w:val="-57"/>
        </w:rPr>
        <w:t> </w:t>
      </w:r>
      <w:r>
        <w:rPr/>
        <w:t>for</w:t>
      </w:r>
      <w:r>
        <w:rPr>
          <w:spacing w:val="39"/>
        </w:rPr>
        <w:t> </w:t>
      </w:r>
      <w:r>
        <w:rPr/>
        <w:t>sustainable</w:t>
      </w:r>
      <w:r>
        <w:rPr>
          <w:spacing w:val="42"/>
        </w:rPr>
        <w:t> </w:t>
      </w:r>
      <w:r>
        <w:rPr/>
        <w:t>development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poverty</w:t>
      </w:r>
      <w:r>
        <w:rPr>
          <w:spacing w:val="39"/>
        </w:rPr>
        <w:t> </w:t>
      </w:r>
      <w:r>
        <w:rPr/>
        <w:t>reduction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both</w:t>
      </w:r>
      <w:r>
        <w:rPr>
          <w:spacing w:val="42"/>
        </w:rPr>
        <w:t> </w:t>
      </w:r>
      <w:r>
        <w:rPr/>
        <w:t>society</w:t>
      </w:r>
      <w:r>
        <w:rPr>
          <w:spacing w:val="39"/>
        </w:rPr>
        <w:t> </w:t>
      </w:r>
      <w:r>
        <w:rPr/>
        <w:t>and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economy</w:t>
      </w:r>
      <w:r>
        <w:rPr>
          <w:spacing w:val="-57"/>
        </w:rPr>
        <w:t> </w:t>
      </w:r>
      <w:r>
        <w:rPr/>
        <w:t>(UN</w:t>
      </w:r>
      <w:r>
        <w:rPr>
          <w:spacing w:val="-1"/>
        </w:rPr>
        <w:t> </w:t>
      </w:r>
      <w:r>
        <w:rPr/>
        <w:t>Habitat 2010).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 w:before="1"/>
        <w:ind w:left="700" w:right="1033"/>
        <w:jc w:val="both"/>
      </w:pPr>
      <w:r>
        <w:rPr/>
        <w:t>Housing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countries‟</w:t>
      </w:r>
      <w:r>
        <w:rPr>
          <w:spacing w:val="1"/>
        </w:rPr>
        <w:t> </w:t>
      </w:r>
      <w:r>
        <w:rPr/>
        <w:t>economies,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represents a notable ratio in total economic activity of most countries</w:t>
      </w:r>
      <w:r>
        <w:rPr>
          <w:spacing w:val="1"/>
        </w:rPr>
        <w:t> </w:t>
      </w:r>
      <w:r>
        <w:rPr>
          <w:b/>
        </w:rPr>
        <w:t>(</w:t>
      </w:r>
      <w:r>
        <w:rPr/>
        <w:t>Sheibani &amp;</w:t>
      </w:r>
      <w:r>
        <w:rPr>
          <w:spacing w:val="1"/>
        </w:rPr>
        <w:t> </w:t>
      </w:r>
      <w:r>
        <w:rPr/>
        <w:t>Havard, 2005).Housing as man basic need cannot be overemphasized, and as such it</w:t>
      </w:r>
      <w:r>
        <w:rPr>
          <w:spacing w:val="1"/>
        </w:rPr>
        <w:t> </w:t>
      </w:r>
      <w:r>
        <w:rPr/>
        <w:t>represents one of the most basic needs of every individual, having a profound impact on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welfare,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(Anofojie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2013).</w:t>
      </w:r>
      <w:r>
        <w:rPr>
          <w:spacing w:val="-57"/>
        </w:rPr>
        <w:t> </w:t>
      </w:r>
      <w:r>
        <w:rPr/>
        <w:t>However affordability and homeownership are important factors of urban livability (Elia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2017). Thus it 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said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and house</w:t>
      </w:r>
      <w:r>
        <w:rPr>
          <w:spacing w:val="-1"/>
        </w:rPr>
        <w:t> </w:t>
      </w:r>
      <w:r>
        <w:rPr/>
        <w:t>ownership</w:t>
      </w:r>
    </w:p>
    <w:p>
      <w:pPr>
        <w:spacing w:after="0" w:line="477" w:lineRule="auto"/>
        <w:jc w:val="both"/>
        <w:sectPr>
          <w:pgSz w:w="11900" w:h="16840"/>
          <w:pgMar w:top="1580" w:bottom="280" w:left="1280" w:right="360"/>
        </w:sectPr>
      </w:pPr>
    </w:p>
    <w:p>
      <w:pPr>
        <w:pStyle w:val="BodyText"/>
        <w:rPr>
          <w:sz w:val="20"/>
        </w:rPr>
      </w:pPr>
    </w:p>
    <w:p>
      <w:pPr>
        <w:spacing w:before="197"/>
        <w:ind w:left="0" w:right="343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pgSz w:w="11900" w:h="16840"/>
          <w:pgMar w:top="1580" w:bottom="280" w:left="1280" w:right="360"/>
        </w:sectPr>
      </w:pPr>
    </w:p>
    <w:p>
      <w:pPr>
        <w:pStyle w:val="BodyText"/>
        <w:spacing w:line="468" w:lineRule="auto" w:before="74"/>
        <w:ind w:left="700" w:right="1044"/>
        <w:jc w:val="both"/>
      </w:pPr>
      <w:r>
        <w:rPr/>
        <w:t>contributed to the neatness and living condition of any neighbourhood, as it plays a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factor that cannot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over looked.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77" w:lineRule="auto" w:before="1"/>
        <w:ind w:left="700" w:right="1054"/>
        <w:jc w:val="both"/>
      </w:pP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fundamental</w:t>
      </w:r>
      <w:r>
        <w:rPr>
          <w:spacing w:val="13"/>
        </w:rPr>
        <w:t> </w:t>
      </w:r>
      <w:r>
        <w:rPr/>
        <w:t>rights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an</w:t>
      </w:r>
      <w:r>
        <w:rPr>
          <w:spacing w:val="11"/>
        </w:rPr>
        <w:t> </w:t>
      </w:r>
      <w:r>
        <w:rPr/>
        <w:t>individual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right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housing</w:t>
      </w:r>
      <w:r>
        <w:rPr>
          <w:spacing w:val="8"/>
        </w:rPr>
        <w:t> </w:t>
      </w:r>
      <w:r>
        <w:rPr/>
        <w:t>just</w:t>
      </w:r>
      <w:r>
        <w:rPr>
          <w:spacing w:val="12"/>
        </w:rPr>
        <w:t> </w:t>
      </w:r>
      <w:r>
        <w:rPr/>
        <w:t>like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right</w:t>
      </w:r>
      <w:r>
        <w:rPr>
          <w:spacing w:val="-58"/>
        </w:rPr>
        <w:t> </w:t>
      </w:r>
      <w:r>
        <w:rPr/>
        <w:t>to life and right to freedom. When there is a deficiency in housing, it can impact</w:t>
      </w:r>
      <w:r>
        <w:rPr>
          <w:spacing w:val="1"/>
        </w:rPr>
        <w:t> </w:t>
      </w:r>
      <w:r>
        <w:rPr/>
        <w:t>negatively on the health, welfare and productivity of man. Housing is an indispensable</w:t>
      </w:r>
      <w:r>
        <w:rPr>
          <w:spacing w:val="1"/>
        </w:rPr>
        <w:t> </w:t>
      </w:r>
      <w:r>
        <w:rPr/>
        <w:t>necessity without which man‟s survival is impossible (Aderanmo &amp; Ayobolu, 2010).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substandard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estimated that about 3 billion new houses will be required to cater for the population</w:t>
      </w:r>
      <w:r>
        <w:rPr>
          <w:spacing w:val="1"/>
        </w:rPr>
        <w:t> </w:t>
      </w:r>
      <w:r>
        <w:rPr/>
        <w:t>(Worldbank, 2016). The United Nations estimated that about 200 million people in the</w:t>
      </w:r>
      <w:r>
        <w:rPr>
          <w:spacing w:val="1"/>
        </w:rPr>
        <w:t> </w:t>
      </w:r>
      <w:r>
        <w:rPr/>
        <w:t>Sub-Saharan countries would live in a slum by 2020 (UN-Habitat, 2014). This has</w:t>
      </w:r>
      <w:r>
        <w:rPr>
          <w:spacing w:val="1"/>
        </w:rPr>
        <w:t> </w:t>
      </w:r>
      <w:r>
        <w:rPr/>
        <w:t>shown that the right to housing has eluded many people especially in the developing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world and Nigeria</w:t>
      </w:r>
      <w:r>
        <w:rPr>
          <w:spacing w:val="-2"/>
        </w:rPr>
        <w:t> </w:t>
      </w:r>
      <w:r>
        <w:rPr/>
        <w:t>is not an exception.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In Nigeria, 100,000 housing units are developed per year, as against an average of</w:t>
      </w:r>
      <w:r>
        <w:rPr>
          <w:spacing w:val="1"/>
        </w:rPr>
        <w:t> </w:t>
      </w:r>
      <w:r>
        <w:rPr/>
        <w:t>1,000,000 units required per year to bridge the gap of 20, 000,000 million housing</w:t>
      </w:r>
      <w:r>
        <w:rPr>
          <w:spacing w:val="1"/>
        </w:rPr>
        <w:t> </w:t>
      </w:r>
      <w:r>
        <w:rPr/>
        <w:t>deficit by government target of 2033 (Centre for Affordable Housing Finance in Africa</w:t>
      </w:r>
      <w:r>
        <w:rPr>
          <w:spacing w:val="1"/>
        </w:rPr>
        <w:t> </w:t>
      </w:r>
      <w:r>
        <w:rPr/>
        <w:t>(CAFH), 2019). The problem of housing deficit in Nigeria is not peculiar to any zone or</w:t>
      </w:r>
      <w:r>
        <w:rPr>
          <w:spacing w:val="-57"/>
        </w:rPr>
        <w:t> </w:t>
      </w:r>
      <w:r>
        <w:rPr/>
        <w:t>state, although the figures vary from state to state. Ilorin is one of the fastest growing</w:t>
      </w:r>
      <w:r>
        <w:rPr>
          <w:spacing w:val="1"/>
        </w:rPr>
        <w:t> </w:t>
      </w:r>
      <w:r>
        <w:rPr/>
        <w:t>state capital in the north central zone of Nigeria with the problem of housing deficit, a</w:t>
      </w:r>
      <w:r>
        <w:rPr>
          <w:spacing w:val="1"/>
        </w:rPr>
        <w:t> </w:t>
      </w:r>
      <w:r>
        <w:rPr/>
        <w:t>situation that is occasioned by the population growth and rural-urban migration (Bako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2017). Bridging the gap of housing deficit in Ilorin has attracted investment from</w:t>
      </w:r>
      <w:r>
        <w:rPr>
          <w:spacing w:val="1"/>
        </w:rPr>
        <w:t> </w:t>
      </w:r>
      <w:r>
        <w:rPr/>
        <w:t>both the private and public housing developers; a situation that is evident from 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housing</w:t>
      </w:r>
      <w:r>
        <w:rPr>
          <w:spacing w:val="-3"/>
        </w:rPr>
        <w:t> </w:t>
      </w:r>
      <w:r>
        <w:rPr/>
        <w:t>estates developed by</w:t>
      </w:r>
      <w:r>
        <w:rPr>
          <w:spacing w:val="-5"/>
        </w:rPr>
        <w:t> </w:t>
      </w:r>
      <w:r>
        <w:rPr/>
        <w:t>the private and public</w:t>
      </w:r>
      <w:r>
        <w:rPr>
          <w:spacing w:val="-1"/>
        </w:rPr>
        <w:t> </w:t>
      </w:r>
      <w:r>
        <w:rPr/>
        <w:t>developers.</w:t>
      </w:r>
    </w:p>
    <w:p>
      <w:pPr>
        <w:spacing w:after="0" w:line="477" w:lineRule="auto"/>
        <w:jc w:val="both"/>
        <w:sectPr>
          <w:footerReference w:type="default" r:id="rId5"/>
          <w:pgSz w:w="11900" w:h="16840"/>
          <w:pgMar w:footer="1128" w:header="0" w:top="1320" w:bottom="1320" w:left="1280" w:right="360"/>
          <w:pgNumType w:start="2"/>
        </w:sectPr>
      </w:pPr>
    </w:p>
    <w:p>
      <w:pPr>
        <w:pStyle w:val="BodyText"/>
        <w:spacing w:line="477" w:lineRule="auto" w:before="76"/>
        <w:ind w:left="700" w:right="1060"/>
        <w:jc w:val="both"/>
      </w:pPr>
      <w:r>
        <w:rPr/>
        <w:t>In a bid to provide affordable and livable housing for the people of Ilorin, effort from</w:t>
      </w:r>
      <w:r>
        <w:rPr>
          <w:spacing w:val="1"/>
        </w:rPr>
        <w:t> </w:t>
      </w:r>
      <w:r>
        <w:rPr/>
        <w:t>both the public and private developers has led to the development of notable housing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Golf</w:t>
      </w:r>
      <w:r>
        <w:rPr>
          <w:spacing w:val="1"/>
        </w:rPr>
        <w:t> </w:t>
      </w:r>
      <w:r>
        <w:rPr/>
        <w:t>estate,</w:t>
      </w:r>
      <w:r>
        <w:rPr>
          <w:spacing w:val="1"/>
        </w:rPr>
        <w:t> </w:t>
      </w:r>
      <w:r>
        <w:rPr/>
        <w:t>Harmony</w:t>
      </w:r>
      <w:r>
        <w:rPr>
          <w:spacing w:val="1"/>
        </w:rPr>
        <w:t> </w:t>
      </w:r>
      <w:r>
        <w:rPr/>
        <w:t>estate,</w:t>
      </w:r>
      <w:r>
        <w:rPr>
          <w:spacing w:val="1"/>
        </w:rPr>
        <w:t> </w:t>
      </w:r>
      <w:r>
        <w:rPr/>
        <w:t>Royale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estate,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However, questions on the affordability and livability of the housing estates remain</w:t>
      </w:r>
      <w:r>
        <w:rPr>
          <w:spacing w:val="1"/>
        </w:rPr>
        <w:t> </w:t>
      </w:r>
      <w:r>
        <w:rPr/>
        <w:t>unanswered. The performance of both the public and private housing developers on 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livable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decade.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comparatively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 of houses developed by both the public and private housing estate developers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Ilorin.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Statement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Research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Problem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700" w:right="1037"/>
        <w:jc w:val="both"/>
      </w:pPr>
      <w:r>
        <w:rPr/>
        <w:t>As a result of the high demand for housing which is occasioned by rapid population</w:t>
      </w:r>
      <w:r>
        <w:rPr>
          <w:spacing w:val="1"/>
        </w:rPr>
        <w:t> </w:t>
      </w:r>
      <w:r>
        <w:rPr/>
        <w:t>growth and rural urban migration, there is a high proliferation of housing development</w:t>
      </w:r>
      <w:r>
        <w:rPr>
          <w:spacing w:val="1"/>
        </w:rPr>
        <w:t> </w:t>
      </w:r>
      <w:r>
        <w:rPr/>
        <w:t>by both the public and private housing developers across the country as a response to</w:t>
      </w:r>
      <w:r>
        <w:rPr>
          <w:spacing w:val="1"/>
        </w:rPr>
        <w:t> </w:t>
      </w:r>
      <w:r>
        <w:rPr/>
        <w:t>housing demand. In an attempt to reduce the housing deficit through the development of</w:t>
      </w:r>
      <w:r>
        <w:rPr>
          <w:spacing w:val="-57"/>
        </w:rPr>
        <w:t> </w:t>
      </w:r>
      <w:r>
        <w:rPr/>
        <w:t>houses through different scheme and programmes, the houses developed are not only</w:t>
      </w:r>
      <w:r>
        <w:rPr>
          <w:spacing w:val="1"/>
        </w:rPr>
        <w:t> </w:t>
      </w:r>
      <w:r>
        <w:rPr/>
        <w:t>quantitatively inadequate but also qualitatively defective (Abdulaqadir &amp; István, 2017).</w:t>
      </w:r>
      <w:r>
        <w:rPr>
          <w:spacing w:val="1"/>
        </w:rPr>
        <w:t> </w:t>
      </w:r>
      <w:r>
        <w:rPr/>
        <w:t>Similarly, in an attempt to make housing affordable for the low income earners, most</w:t>
      </w:r>
      <w:r>
        <w:rPr>
          <w:spacing w:val="1"/>
        </w:rPr>
        <w:t> </w:t>
      </w:r>
      <w:r>
        <w:rPr/>
        <w:t>developers</w:t>
      </w:r>
      <w:r>
        <w:rPr>
          <w:spacing w:val="40"/>
        </w:rPr>
        <w:t> </w:t>
      </w:r>
      <w:r>
        <w:rPr/>
        <w:t>forego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provision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basic</w:t>
      </w:r>
      <w:r>
        <w:rPr>
          <w:spacing w:val="40"/>
        </w:rPr>
        <w:t> </w:t>
      </w:r>
      <w:r>
        <w:rPr/>
        <w:t>services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41"/>
        </w:rPr>
        <w:t> </w:t>
      </w:r>
      <w:r>
        <w:rPr/>
        <w:t>water,</w:t>
      </w:r>
      <w:r>
        <w:rPr>
          <w:spacing w:val="40"/>
        </w:rPr>
        <w:t> </w:t>
      </w:r>
      <w:r>
        <w:rPr/>
        <w:t>waste</w:t>
      </w:r>
      <w:r>
        <w:rPr>
          <w:spacing w:val="42"/>
        </w:rPr>
        <w:t> </w:t>
      </w:r>
      <w:r>
        <w:rPr/>
        <w:t>management,</w:t>
      </w:r>
      <w:r>
        <w:rPr>
          <w:spacing w:val="-58"/>
        </w:rPr>
        <w:t> </w:t>
      </w:r>
      <w:r>
        <w:rPr/>
        <w:t>road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others,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essential ingredient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livable environment.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/>
        <w:ind w:left="700" w:right="1056"/>
        <w:jc w:val="both"/>
      </w:pPr>
      <w:r>
        <w:rPr/>
        <w:t>Ilorin, Nigeria is one of the fast growing towns, and according to NPC (2006), it is the</w:t>
      </w:r>
      <w:r>
        <w:rPr>
          <w:spacing w:val="1"/>
        </w:rPr>
        <w:t> </w:t>
      </w:r>
      <w:r>
        <w:rPr/>
        <w:t>6</w:t>
      </w:r>
      <w:r>
        <w:rPr>
          <w:position w:val="11"/>
          <w:sz w:val="21"/>
        </w:rPr>
        <w:t>th</w:t>
      </w:r>
      <w:r>
        <w:rPr>
          <w:spacing w:val="44"/>
          <w:position w:val="11"/>
          <w:sz w:val="21"/>
        </w:rPr>
        <w:t> </w:t>
      </w:r>
      <w:r>
        <w:rPr/>
        <w:t>most</w:t>
      </w:r>
      <w:r>
        <w:rPr>
          <w:spacing w:val="38"/>
        </w:rPr>
        <w:t> </w:t>
      </w:r>
      <w:r>
        <w:rPr/>
        <w:t>populated</w:t>
      </w:r>
      <w:r>
        <w:rPr>
          <w:spacing w:val="37"/>
        </w:rPr>
        <w:t> </w:t>
      </w:r>
      <w:r>
        <w:rPr/>
        <w:t>town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Nigeria.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rapid</w:t>
      </w:r>
      <w:r>
        <w:rPr>
          <w:spacing w:val="42"/>
        </w:rPr>
        <w:t> </w:t>
      </w:r>
      <w:r>
        <w:rPr/>
        <w:t>population</w:t>
      </w:r>
      <w:r>
        <w:rPr>
          <w:spacing w:val="37"/>
        </w:rPr>
        <w:t> </w:t>
      </w:r>
      <w:r>
        <w:rPr/>
        <w:t>growth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Ilorin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</w:p>
    <w:p>
      <w:pPr>
        <w:pStyle w:val="BodyText"/>
        <w:spacing w:line="427" w:lineRule="auto" w:before="102"/>
        <w:ind w:left="700" w:right="1064"/>
        <w:jc w:val="both"/>
      </w:pPr>
      <w:r>
        <w:rPr/>
        <w:t>attributed to its designation as a state capital and its proximity to Lagos and Ibadan. The</w:t>
      </w:r>
      <w:r>
        <w:rPr>
          <w:spacing w:val="-57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 housing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Ilorin</w:t>
      </w:r>
      <w:r>
        <w:rPr>
          <w:spacing w:val="-1"/>
        </w:rPr>
        <w:t> </w:t>
      </w:r>
      <w:r>
        <w:rPr/>
        <w:t>is generating</w:t>
      </w:r>
      <w:r>
        <w:rPr>
          <w:spacing w:val="-3"/>
        </w:rPr>
        <w:t> </w:t>
      </w:r>
      <w:r>
        <w:rPr/>
        <w:t>attention from 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 private</w:t>
      </w:r>
    </w:p>
    <w:p>
      <w:pPr>
        <w:spacing w:after="0" w:line="427" w:lineRule="auto"/>
        <w:jc w:val="both"/>
        <w:sectPr>
          <w:pgSz w:w="11900" w:h="16840"/>
          <w:pgMar w:header="0" w:footer="1128" w:top="1320" w:bottom="1320" w:left="1280" w:right="360"/>
        </w:sectPr>
      </w:pPr>
    </w:p>
    <w:p>
      <w:pPr>
        <w:pStyle w:val="BodyText"/>
        <w:spacing w:line="475" w:lineRule="auto" w:before="76"/>
        <w:ind w:left="700" w:right="1059"/>
        <w:jc w:val="both"/>
      </w:pPr>
      <w:r>
        <w:rPr/>
        <w:t>housing developers. However, this development are either not affordable for the target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(low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earners)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livable</w:t>
      </w:r>
      <w:r>
        <w:rPr>
          <w:spacing w:val="1"/>
        </w:rPr>
        <w:t> </w:t>
      </w:r>
      <w:r>
        <w:rPr/>
        <w:t>environment. The numerous scholarly articles that has been published on the subject</w:t>
      </w:r>
      <w:r>
        <w:rPr>
          <w:spacing w:val="1"/>
        </w:rPr>
        <w:t> </w:t>
      </w:r>
      <w:r>
        <w:rPr/>
        <w:t>matter</w:t>
      </w:r>
      <w:r>
        <w:rPr>
          <w:spacing w:val="-3"/>
        </w:rPr>
        <w:t> </w:t>
      </w:r>
      <w:r>
        <w:rPr/>
        <w:t>(Bako </w:t>
      </w:r>
      <w:r>
        <w:rPr>
          <w:i/>
        </w:rPr>
        <w:t>et al., </w:t>
      </w:r>
      <w:r>
        <w:rPr/>
        <w:t>2017; Suhaida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2011 and Copenhagen 2013).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0" w:lineRule="auto"/>
        <w:ind w:left="700" w:right="1052"/>
        <w:jc w:val="both"/>
      </w:pPr>
      <w:r>
        <w:rPr/>
        <w:t>Monthly rent or mortgage payments constitute the single biggest expenditure in most</w:t>
      </w:r>
      <w:r>
        <w:rPr>
          <w:spacing w:val="1"/>
        </w:rPr>
        <w:t> </w:t>
      </w:r>
      <w:r>
        <w:rPr/>
        <w:t>family budgets, and many low-income families have difficulty finding housing they can</w:t>
      </w:r>
      <w:r>
        <w:rPr>
          <w:spacing w:val="1"/>
        </w:rPr>
        <w:t> </w:t>
      </w:r>
      <w:r>
        <w:rPr/>
        <w:t>reasonably afford (Turner &amp; Kingsley, 2008). In Ilorin town, it was noted that there is</w:t>
      </w:r>
      <w:r>
        <w:rPr>
          <w:spacing w:val="1"/>
        </w:rPr>
        <w:t> </w:t>
      </w:r>
      <w:r>
        <w:rPr/>
        <w:t>about 600% increment in the rental value of two bedroom apartment between 2003-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3bedroom and 4bedroom apartment (Ibrahim </w:t>
      </w:r>
      <w:r>
        <w:rPr>
          <w:i/>
        </w:rPr>
        <w:t>et al., </w:t>
      </w:r>
      <w:r>
        <w:rPr/>
        <w:t>2014). This is an indication of the</w:t>
      </w:r>
      <w:r>
        <w:rPr>
          <w:spacing w:val="1"/>
        </w:rPr>
        <w:t> </w:t>
      </w:r>
      <w:r>
        <w:rPr/>
        <w:t>constant increase in rent and property value in the face of a nearly static minimum wage</w:t>
      </w:r>
      <w:r>
        <w:rPr>
          <w:spacing w:val="-57"/>
        </w:rPr>
        <w:t> </w:t>
      </w:r>
      <w:r>
        <w:rPr/>
        <w:t>within the same period.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going by the 4-6 million average value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2bedroom apartment as presented by Propertypro (2019), it implies that a family living</w:t>
      </w:r>
      <w:r>
        <w:rPr>
          <w:spacing w:val="1"/>
        </w:rPr>
        <w:t> </w:t>
      </w:r>
      <w:r>
        <w:rPr/>
        <w:t>on a national minimum wage of 18000 may have to save for about 62-92 years before</w:t>
      </w:r>
      <w:r>
        <w:rPr>
          <w:spacing w:val="1"/>
        </w:rPr>
        <w:t> </w:t>
      </w:r>
      <w:r>
        <w:rPr/>
        <w:t>they can be able to afford a house. For housing to exude signs and impacts of livability</w:t>
      </w:r>
      <w:r>
        <w:rPr>
          <w:spacing w:val="1"/>
        </w:rPr>
        <w:t> </w:t>
      </w:r>
      <w:r>
        <w:rPr/>
        <w:t>and wellness, it must be adequately provided with functional infrastructure. However</w:t>
      </w:r>
      <w:r>
        <w:rPr>
          <w:spacing w:val="1"/>
        </w:rPr>
        <w:t> </w:t>
      </w:r>
      <w:r>
        <w:rPr/>
        <w:t>studies have shown that houses developed by public and private developers have some</w:t>
      </w:r>
      <w:r>
        <w:rPr>
          <w:spacing w:val="1"/>
        </w:rPr>
        <w:t> </w:t>
      </w:r>
      <w:r>
        <w:rPr/>
        <w:t>deficit of facilities and amenities which are components of a good livable environment</w:t>
      </w:r>
      <w:r>
        <w:rPr>
          <w:spacing w:val="1"/>
        </w:rPr>
        <w:t> </w:t>
      </w:r>
      <w:r>
        <w:rPr/>
        <w:t>(Ibem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Aduwo, 2013).</w:t>
      </w:r>
    </w:p>
    <w:p>
      <w:pPr>
        <w:pStyle w:val="BodyText"/>
      </w:pPr>
    </w:p>
    <w:p>
      <w:pPr>
        <w:pStyle w:val="BodyText"/>
        <w:spacing w:line="477" w:lineRule="auto"/>
        <w:ind w:left="700" w:right="1055"/>
        <w:jc w:val="both"/>
      </w:pPr>
      <w:r>
        <w:rPr/>
        <w:t>Housing is not just having a roof over one‟s head; it is the totality of the structure and</w:t>
      </w:r>
      <w:r>
        <w:rPr>
          <w:spacing w:val="1"/>
        </w:rPr>
        <w:t> </w:t>
      </w:r>
      <w:r>
        <w:rPr/>
        <w:t>other services that makes the houses livable including water, energy, security and other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expenses</w:t>
      </w:r>
      <w:r>
        <w:rPr>
          <w:spacing w:val="1"/>
        </w:rPr>
        <w:t> </w:t>
      </w:r>
      <w:r>
        <w:rPr/>
        <w:t>incurred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households on basic services such as water may increase the cost of housing and hence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of the household.For a</w:t>
      </w:r>
      <w:r>
        <w:rPr>
          <w:spacing w:val="-1"/>
        </w:rPr>
        <w:t> </w:t>
      </w:r>
      <w:r>
        <w:rPr/>
        <w:t>standard livability</w:t>
      </w:r>
      <w:r>
        <w:rPr>
          <w:spacing w:val="-5"/>
        </w:rPr>
        <w:t> </w:t>
      </w:r>
      <w:r>
        <w:rPr/>
        <w:t>studies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carried</w:t>
      </w:r>
    </w:p>
    <w:p>
      <w:pPr>
        <w:spacing w:after="0" w:line="477" w:lineRule="auto"/>
        <w:jc w:val="both"/>
        <w:sectPr>
          <w:pgSz w:w="11900" w:h="16840"/>
          <w:pgMar w:header="0" w:footer="1128" w:top="1320" w:bottom="1320" w:left="1280" w:right="360"/>
        </w:sectPr>
      </w:pPr>
    </w:p>
    <w:p>
      <w:pPr>
        <w:pStyle w:val="BodyText"/>
        <w:spacing w:line="472" w:lineRule="auto" w:before="76"/>
        <w:ind w:left="700" w:right="1058"/>
        <w:jc w:val="both"/>
      </w:pPr>
      <w:r>
        <w:rPr/>
        <w:t>out,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-57"/>
        </w:rPr>
        <w:t> </w:t>
      </w:r>
      <w:r>
        <w:rPr/>
        <w:t>neighborhood</w:t>
      </w:r>
      <w:r>
        <w:rPr>
          <w:spacing w:val="56"/>
        </w:rPr>
        <w:t> </w:t>
      </w:r>
      <w:r>
        <w:rPr/>
        <w:t>amenities,  economic</w:t>
      </w:r>
      <w:r>
        <w:rPr>
          <w:spacing w:val="56"/>
        </w:rPr>
        <w:t> </w:t>
      </w:r>
      <w:r>
        <w:rPr/>
        <w:t>vitality,</w:t>
      </w:r>
      <w:r>
        <w:rPr>
          <w:spacing w:val="57"/>
        </w:rPr>
        <w:t> </w:t>
      </w:r>
      <w:r>
        <w:rPr/>
        <w:t>social</w:t>
      </w:r>
      <w:r>
        <w:rPr>
          <w:spacing w:val="56"/>
        </w:rPr>
        <w:t> </w:t>
      </w:r>
      <w:r>
        <w:rPr/>
        <w:t>environment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civic</w:t>
      </w:r>
      <w:r>
        <w:rPr>
          <w:spacing w:val="56"/>
        </w:rPr>
        <w:t> </w:t>
      </w:r>
      <w:r>
        <w:rPr/>
        <w:t>protection</w:t>
      </w:r>
      <w:r>
        <w:rPr>
          <w:spacing w:val="-58"/>
        </w:rPr>
        <w:t> </w:t>
      </w:r>
      <w:r>
        <w:rPr/>
        <w:t>needs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examined (Ahmed, 2000).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5" w:lineRule="auto"/>
        <w:ind w:left="700" w:right="1061"/>
        <w:jc w:val="both"/>
      </w:pPr>
      <w:r>
        <w:rPr/>
        <w:t>Rama </w:t>
      </w:r>
      <w:r>
        <w:rPr>
          <w:i/>
        </w:rPr>
        <w:t>et al. </w:t>
      </w:r>
      <w:r>
        <w:rPr/>
        <w:t>(2013) carried out a study in India where they sees livability as the living</w:t>
      </w:r>
      <w:r>
        <w:rPr>
          <w:spacing w:val="1"/>
        </w:rPr>
        <w:t> </w:t>
      </w:r>
      <w:r>
        <w:rPr/>
        <w:t>condition of a place and reflects people‟s perception of the place to be fit for living or</w:t>
      </w:r>
      <w:r>
        <w:rPr>
          <w:spacing w:val="1"/>
        </w:rPr>
        <w:t> </w:t>
      </w:r>
      <w:r>
        <w:rPr/>
        <w:t>not, it can be said that their study was not based on housing estates which is the major</w:t>
      </w:r>
      <w:r>
        <w:rPr>
          <w:spacing w:val="1"/>
        </w:rPr>
        <w:t> </w:t>
      </w:r>
      <w:r>
        <w:rPr/>
        <w:t>concern</w:t>
      </w:r>
      <w:r>
        <w:rPr>
          <w:spacing w:val="-1"/>
        </w:rPr>
        <w:t> </w:t>
      </w:r>
      <w:r>
        <w:rPr/>
        <w:t>of this study.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Extant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affordability and livability of housing estate developed by both the public and private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Ilorin.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conducted were mostly done in isolation and with less emphasis on the performance of</w:t>
      </w:r>
      <w:r>
        <w:rPr>
          <w:spacing w:val="1"/>
        </w:rPr>
        <w:t> </w:t>
      </w:r>
      <w:r>
        <w:rPr/>
        <w:t>public and private housing estates. Therefore, the study seeks to fill this gap through a</w:t>
      </w:r>
      <w:r>
        <w:rPr>
          <w:spacing w:val="1"/>
        </w:rPr>
        <w:t> </w:t>
      </w:r>
      <w:r>
        <w:rPr/>
        <w:t>comparative assessment of housing affordability and livability in public and private</w:t>
      </w:r>
      <w:r>
        <w:rPr>
          <w:spacing w:val="1"/>
        </w:rPr>
        <w:t> </w:t>
      </w:r>
      <w:r>
        <w:rPr/>
        <w:t>estate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Ilorin, Kwara</w:t>
      </w:r>
      <w:r>
        <w:rPr>
          <w:spacing w:val="-2"/>
        </w:rPr>
        <w:t> </w:t>
      </w:r>
      <w:r>
        <w:rPr/>
        <w:t>State, Nigeria.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1" w:after="0"/>
        <w:ind w:left="1401" w:right="0" w:hanging="702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2" w:lineRule="auto"/>
        <w:ind w:left="700" w:right="1062"/>
        <w:jc w:val="both"/>
      </w:pPr>
      <w:r>
        <w:rPr/>
        <w:t>The aim of this study is to examine the affordability and livability of public and private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Ilorin,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relationships.</w:t>
      </w:r>
    </w:p>
    <w:p>
      <w:pPr>
        <w:pStyle w:val="BodyText"/>
        <w:spacing w:before="11"/>
      </w:pPr>
    </w:p>
    <w:p>
      <w:pPr>
        <w:pStyle w:val="BodyText"/>
        <w:ind w:left="700"/>
        <w:jc w:val="both"/>
      </w:pP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achieved through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420" w:val="left" w:leader="none"/>
          <w:tab w:pos="1421" w:val="left" w:leader="none"/>
        </w:tabs>
        <w:spacing w:line="468" w:lineRule="auto" w:before="0" w:after="0"/>
        <w:ind w:left="1420" w:right="1037" w:hanging="483"/>
        <w:jc w:val="left"/>
        <w:rPr>
          <w:sz w:val="24"/>
        </w:rPr>
      </w:pPr>
      <w:r>
        <w:rPr>
          <w:sz w:val="24"/>
        </w:rPr>
        <w:t>Examine the housing types and conditions within the selected estates in the study</w:t>
      </w:r>
      <w:r>
        <w:rPr>
          <w:spacing w:val="-57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2"/>
          <w:numId w:val="1"/>
        </w:numPr>
        <w:tabs>
          <w:tab w:pos="1420" w:val="left" w:leader="none"/>
          <w:tab w:pos="1421" w:val="left" w:leader="none"/>
        </w:tabs>
        <w:spacing w:line="468" w:lineRule="auto" w:before="27" w:after="0"/>
        <w:ind w:left="1420" w:right="1435" w:hanging="55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affordability</w:t>
      </w:r>
      <w:r>
        <w:rPr>
          <w:spacing w:val="-5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houses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estates.</w:t>
      </w:r>
    </w:p>
    <w:p>
      <w:pPr>
        <w:spacing w:after="0" w:line="468" w:lineRule="auto"/>
        <w:jc w:val="left"/>
        <w:rPr>
          <w:sz w:val="24"/>
        </w:rPr>
        <w:sectPr>
          <w:pgSz w:w="11900" w:h="16840"/>
          <w:pgMar w:header="0" w:footer="1128" w:top="1320" w:bottom="1320" w:left="1280" w:right="360"/>
        </w:sectPr>
      </w:pPr>
    </w:p>
    <w:p>
      <w:pPr>
        <w:pStyle w:val="ListParagraph"/>
        <w:numPr>
          <w:ilvl w:val="2"/>
          <w:numId w:val="1"/>
        </w:numPr>
        <w:tabs>
          <w:tab w:pos="1420" w:val="left" w:leader="none"/>
          <w:tab w:pos="1421" w:val="left" w:leader="none"/>
        </w:tabs>
        <w:spacing w:line="468" w:lineRule="auto" w:before="74" w:after="0"/>
        <w:ind w:left="1420" w:right="1451" w:hanging="615"/>
        <w:jc w:val="left"/>
        <w:rPr>
          <w:sz w:val="24"/>
        </w:rPr>
      </w:pPr>
      <w:r>
        <w:rPr>
          <w:sz w:val="24"/>
        </w:rPr>
        <w:t>Examine the livability of the houses within the selected estates using level of</w:t>
      </w:r>
      <w:r>
        <w:rPr>
          <w:spacing w:val="-57"/>
          <w:sz w:val="24"/>
        </w:rPr>
        <w:t> </w:t>
      </w: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provision as indices.</w:t>
      </w:r>
    </w:p>
    <w:p>
      <w:pPr>
        <w:pStyle w:val="ListParagraph"/>
        <w:numPr>
          <w:ilvl w:val="2"/>
          <w:numId w:val="1"/>
        </w:numPr>
        <w:tabs>
          <w:tab w:pos="1420" w:val="left" w:leader="none"/>
          <w:tab w:pos="1421" w:val="left" w:leader="none"/>
        </w:tabs>
        <w:spacing w:line="468" w:lineRule="auto" w:before="28" w:after="0"/>
        <w:ind w:left="1420" w:right="1051" w:hanging="603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 relationship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1"/>
          <w:sz w:val="24"/>
        </w:rPr>
        <w:t> </w:t>
      </w:r>
      <w:r>
        <w:rPr>
          <w:sz w:val="24"/>
        </w:rPr>
        <w:t>affordability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livability</w:t>
      </w:r>
      <w:r>
        <w:rPr>
          <w:spacing w:val="-7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the selected public and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estates in</w:t>
      </w:r>
      <w:r>
        <w:rPr>
          <w:spacing w:val="2"/>
          <w:sz w:val="24"/>
        </w:rPr>
        <w:t> </w:t>
      </w:r>
      <w:r>
        <w:rPr>
          <w:sz w:val="24"/>
        </w:rPr>
        <w:t>Ilorin.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Questions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421" w:val="left" w:leader="none"/>
        </w:tabs>
        <w:spacing w:line="470" w:lineRule="auto" w:before="0" w:after="0"/>
        <w:ind w:left="1420" w:right="1259" w:hanging="356"/>
        <w:jc w:val="left"/>
        <w:rPr>
          <w:sz w:val="24"/>
        </w:rPr>
      </w:pPr>
      <w:r>
        <w:rPr>
          <w:sz w:val="24"/>
        </w:rPr>
        <w:t>What are the types and the condition of housing units in these selected housing</w:t>
      </w:r>
      <w:r>
        <w:rPr>
          <w:spacing w:val="-58"/>
          <w:sz w:val="24"/>
        </w:rPr>
        <w:t> </w:t>
      </w:r>
      <w:r>
        <w:rPr>
          <w:sz w:val="24"/>
        </w:rPr>
        <w:t>estates?</w:t>
      </w:r>
    </w:p>
    <w:p>
      <w:pPr>
        <w:pStyle w:val="ListParagraph"/>
        <w:numPr>
          <w:ilvl w:val="0"/>
          <w:numId w:val="2"/>
        </w:numPr>
        <w:tabs>
          <w:tab w:pos="1421" w:val="left" w:leader="none"/>
        </w:tabs>
        <w:spacing w:line="240" w:lineRule="auto" w:before="11" w:after="0"/>
        <w:ind w:left="1420" w:right="0" w:hanging="356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affordable are</w:t>
      </w:r>
      <w:r>
        <w:rPr>
          <w:spacing w:val="-3"/>
          <w:sz w:val="24"/>
        </w:rPr>
        <w:t> </w:t>
      </w:r>
      <w:r>
        <w:rPr>
          <w:sz w:val="24"/>
        </w:rPr>
        <w:t>these houses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estates?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21" w:val="left" w:leader="none"/>
        </w:tabs>
        <w:spacing w:line="240" w:lineRule="auto" w:before="0" w:after="0"/>
        <w:ind w:left="1420" w:right="0" w:hanging="356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houses</w:t>
      </w:r>
      <w:r>
        <w:rPr>
          <w:spacing w:val="-1"/>
          <w:sz w:val="24"/>
        </w:rPr>
        <w:t> </w:t>
      </w:r>
      <w:r>
        <w:rPr>
          <w:sz w:val="24"/>
        </w:rPr>
        <w:t>livable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estates?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421" w:val="left" w:leader="none"/>
        </w:tabs>
        <w:spacing w:line="470" w:lineRule="auto" w:before="0" w:after="0"/>
        <w:ind w:left="1420" w:right="1127" w:hanging="356"/>
        <w:jc w:val="left"/>
        <w:rPr>
          <w:sz w:val="24"/>
        </w:rPr>
      </w:pPr>
      <w:r>
        <w:rPr>
          <w:sz w:val="24"/>
        </w:rPr>
        <w:t>What is the variation in the affordability and livability of the selected public and</w:t>
      </w:r>
      <w:r>
        <w:rPr>
          <w:spacing w:val="-58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estates?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Study Hypothesis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34" w:lineRule="auto"/>
        <w:ind w:left="700" w:right="1625"/>
      </w:pPr>
      <w:r>
        <w:rPr/>
        <w:t>Two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-4"/>
        </w:rPr>
        <w:t> </w:t>
      </w:r>
      <w:r>
        <w:rPr/>
        <w:t>developed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is</w:t>
      </w:r>
      <w:r>
        <w:rPr>
          <w:spacing w:val="-57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line="460" w:lineRule="auto" w:before="77"/>
        <w:ind w:left="700" w:right="1270"/>
      </w:pPr>
      <w:r>
        <w:rPr/>
        <w:t>H</w:t>
      </w:r>
      <w:r>
        <w:rPr>
          <w:position w:val="-2"/>
          <w:sz w:val="21"/>
        </w:rPr>
        <w:t>o</w:t>
      </w:r>
      <w:r>
        <w:rPr/>
        <w:t>: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 statistically</w:t>
      </w:r>
      <w:r>
        <w:rPr>
          <w:spacing w:val="-5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estate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public</w:t>
      </w:r>
      <w:r>
        <w:rPr>
          <w:spacing w:val="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Developers</w:t>
      </w:r>
    </w:p>
    <w:p>
      <w:pPr>
        <w:pStyle w:val="BodyText"/>
        <w:spacing w:line="552" w:lineRule="auto" w:before="20"/>
        <w:ind w:left="700" w:right="1453"/>
      </w:pPr>
      <w:r>
        <w:rPr/>
        <w:t>H</w:t>
      </w:r>
      <w:r>
        <w:rPr>
          <w:position w:val="-2"/>
          <w:sz w:val="21"/>
        </w:rPr>
        <w:t>i</w:t>
      </w:r>
      <w:r>
        <w:rPr/>
        <w:t>: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significant 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affordability</w:t>
      </w:r>
      <w:r>
        <w:rPr>
          <w:spacing w:val="-6"/>
        </w:rPr>
        <w:t> </w:t>
      </w:r>
      <w:r>
        <w:rPr/>
        <w:t>of housing</w:t>
      </w:r>
      <w:r>
        <w:rPr>
          <w:spacing w:val="-3"/>
        </w:rPr>
        <w:t> </w:t>
      </w:r>
      <w:r>
        <w:rPr/>
        <w:t>estate</w:t>
      </w:r>
      <w:r>
        <w:rPr>
          <w:spacing w:val="-57"/>
        </w:rPr>
        <w:t> </w:t>
      </w:r>
      <w:r>
        <w:rPr/>
        <w:t>developed by</w:t>
      </w:r>
      <w:r>
        <w:rPr>
          <w:spacing w:val="-5"/>
        </w:rPr>
        <w:t> </w:t>
      </w:r>
      <w:r>
        <w:rPr/>
        <w:t>the public</w:t>
      </w:r>
      <w:r>
        <w:rPr>
          <w:spacing w:val="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Developers</w:t>
      </w:r>
    </w:p>
    <w:p>
      <w:pPr>
        <w:pStyle w:val="BodyText"/>
        <w:spacing w:line="463" w:lineRule="auto" w:before="83"/>
        <w:ind w:left="700" w:right="1583"/>
      </w:pPr>
      <w:r>
        <w:rPr/>
        <w:t>H</w:t>
      </w:r>
      <w:r>
        <w:rPr>
          <w:position w:val="-2"/>
          <w:sz w:val="21"/>
        </w:rPr>
        <w:t>o</w:t>
      </w:r>
      <w:r>
        <w:rPr/>
        <w:t>: There is no statistically significant difference in the livability of housing estate</w:t>
      </w:r>
      <w:r>
        <w:rPr>
          <w:spacing w:val="-58"/>
        </w:rPr>
        <w:t> </w:t>
      </w:r>
      <w:r>
        <w:rPr/>
        <w:t>developed by</w:t>
      </w:r>
      <w:r>
        <w:rPr>
          <w:spacing w:val="-5"/>
        </w:rPr>
        <w:t> </w:t>
      </w:r>
      <w:r>
        <w:rPr/>
        <w:t>the public</w:t>
      </w:r>
      <w:r>
        <w:rPr>
          <w:spacing w:val="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Developers</w:t>
      </w:r>
    </w:p>
    <w:p>
      <w:pPr>
        <w:pStyle w:val="BodyText"/>
        <w:spacing w:line="554" w:lineRule="auto" w:before="18"/>
        <w:ind w:left="700" w:right="1783"/>
      </w:pPr>
      <w:r>
        <w:rPr/>
        <w:t>H</w:t>
      </w:r>
      <w:r>
        <w:rPr>
          <w:position w:val="-2"/>
          <w:sz w:val="21"/>
        </w:rPr>
        <w:t>i</w:t>
      </w:r>
      <w:r>
        <w:rPr/>
        <w:t>: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statistically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livability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estate</w:t>
      </w:r>
      <w:r>
        <w:rPr>
          <w:spacing w:val="-57"/>
        </w:rPr>
        <w:t> </w:t>
      </w:r>
      <w:r>
        <w:rPr/>
        <w:t>developed by</w:t>
      </w:r>
      <w:r>
        <w:rPr>
          <w:spacing w:val="-5"/>
        </w:rPr>
        <w:t> </w:t>
      </w:r>
      <w:r>
        <w:rPr/>
        <w:t>the public</w:t>
      </w:r>
      <w:r>
        <w:rPr>
          <w:spacing w:val="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Developers.</w:t>
      </w:r>
    </w:p>
    <w:p>
      <w:pPr>
        <w:spacing w:after="0" w:line="554" w:lineRule="auto"/>
        <w:sectPr>
          <w:pgSz w:w="11900" w:h="16840"/>
          <w:pgMar w:header="0" w:footer="1128" w:top="1320" w:bottom="1320" w:left="1280" w:right="360"/>
        </w:sectPr>
      </w:pPr>
    </w:p>
    <w:p>
      <w:pPr>
        <w:pStyle w:val="ListParagraph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Scope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40"/>
        <w:jc w:val="both"/>
      </w:pPr>
      <w:r>
        <w:rPr/>
        <w:t>The housing estates selected for the study are Mandate Estate I and II of Olorunsogo</w:t>
      </w:r>
      <w:r>
        <w:rPr>
          <w:spacing w:val="1"/>
        </w:rPr>
        <w:t> </w:t>
      </w:r>
      <w:r>
        <w:rPr/>
        <w:t>Area, and Harmony Estate phase III of Akerebiata Area along Sobi Road are both public</w:t>
      </w:r>
      <w:r>
        <w:rPr>
          <w:spacing w:val="-57"/>
        </w:rPr>
        <w:t> </w:t>
      </w:r>
      <w:r>
        <w:rPr/>
        <w:t>estates while Royal Valley Along Kunlende Area in Ilorin Kwara State and Evergreen</w:t>
      </w:r>
      <w:r>
        <w:rPr>
          <w:spacing w:val="1"/>
        </w:rPr>
        <w:t> </w:t>
      </w:r>
      <w:r>
        <w:rPr/>
        <w:t>Estates situated in the new GRA, along pipeline road of Tanke, Ilorin, Kwara State are</w:t>
      </w:r>
      <w:r>
        <w:rPr>
          <w:spacing w:val="1"/>
        </w:rPr>
        <w:t> </w:t>
      </w:r>
      <w:r>
        <w:rPr/>
        <w:t>both Private Estates. The names of the existing housing estates and date of construction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 Table 1.1.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The study also analyse the pattern of housing development in the estate with focus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the type,</w:t>
      </w:r>
      <w:r>
        <w:rPr>
          <w:spacing w:val="1"/>
        </w:rPr>
        <w:t> </w:t>
      </w:r>
      <w:r>
        <w:rPr/>
        <w:t>design, and</w:t>
      </w:r>
      <w:r>
        <w:rPr>
          <w:spacing w:val="1"/>
        </w:rPr>
        <w:t> </w:t>
      </w:r>
      <w:r>
        <w:rPr/>
        <w:t>condition of the housing units. The study also determine the</w:t>
      </w:r>
      <w:r>
        <w:rPr>
          <w:spacing w:val="1"/>
        </w:rPr>
        <w:t> </w:t>
      </w:r>
      <w:r>
        <w:rPr/>
        <w:t>affordability of the housing units developed using house price to income / earning ratio,</w:t>
      </w:r>
      <w:r>
        <w:rPr>
          <w:spacing w:val="1"/>
        </w:rPr>
        <w:t> </w:t>
      </w:r>
      <w:r>
        <w:rPr/>
        <w:t>housing expenditure to income ratio, residual income left for housing as an indicators 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affordability.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accessibility,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efficiency, economic/ educational opportunity, Transport cost/road network, and equal</w:t>
      </w:r>
      <w:r>
        <w:rPr>
          <w:spacing w:val="1"/>
        </w:rPr>
        <w:t> </w:t>
      </w:r>
      <w:r>
        <w:rPr/>
        <w:t>right.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68" w:lineRule="auto"/>
        <w:ind w:left="700" w:right="1058"/>
        <w:jc w:val="both"/>
      </w:pPr>
      <w:r>
        <w:rPr/>
        <w:t>Finally the performance of the public and private developers will be determined on the</w:t>
      </w:r>
      <w:r>
        <w:rPr>
          <w:spacing w:val="1"/>
        </w:rPr>
        <w:t> </w:t>
      </w:r>
      <w:r>
        <w:rPr/>
        <w:t>affordability</w:t>
      </w:r>
      <w:r>
        <w:rPr>
          <w:spacing w:val="-6"/>
        </w:rPr>
        <w:t> </w:t>
      </w:r>
      <w:r>
        <w:rPr/>
        <w:t>and livability.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Private</w:t>
      </w:r>
      <w:r>
        <w:rPr>
          <w:spacing w:val="-3"/>
        </w:rPr>
        <w:t> </w:t>
      </w:r>
      <w:r>
        <w:rPr/>
        <w:t>Housing</w:t>
      </w:r>
      <w:r>
        <w:rPr>
          <w:spacing w:val="-1"/>
        </w:rPr>
        <w:t> </w:t>
      </w:r>
      <w:r>
        <w:rPr/>
        <w:t>Estate</w:t>
      </w:r>
      <w:r>
        <w:rPr>
          <w:spacing w:val="-2"/>
        </w:rPr>
        <w:t> </w:t>
      </w:r>
      <w:r>
        <w:rPr/>
        <w:t>in Ilorin</w:t>
      </w:r>
      <w:r>
        <w:rPr>
          <w:spacing w:val="-1"/>
        </w:rPr>
        <w:t> </w:t>
      </w:r>
      <w:r>
        <w:rPr/>
        <w:t>Town,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1972"/>
        <w:gridCol w:w="2655"/>
      </w:tblGrid>
      <w:tr>
        <w:trPr>
          <w:trHeight w:val="270" w:hRule="atLeast"/>
        </w:trPr>
        <w:tc>
          <w:tcPr>
            <w:tcW w:w="29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Names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estates</w:t>
            </w:r>
          </w:p>
        </w:tc>
        <w:tc>
          <w:tcPr>
            <w:tcW w:w="19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3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Developed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by</w:t>
            </w:r>
          </w:p>
        </w:tc>
        <w:tc>
          <w:tcPr>
            <w:tcW w:w="26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243" w:right="21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Year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Construction</w:t>
            </w:r>
          </w:p>
        </w:tc>
      </w:tr>
      <w:tr>
        <w:trPr>
          <w:trHeight w:val="259" w:hRule="atLeast"/>
        </w:trPr>
        <w:tc>
          <w:tcPr>
            <w:tcW w:w="29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Kulende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</w:tr>
      <w:tr>
        <w:trPr>
          <w:trHeight w:val="272" w:hRule="atLeast"/>
        </w:trPr>
        <w:tc>
          <w:tcPr>
            <w:tcW w:w="2989" w:type="dxa"/>
          </w:tcPr>
          <w:p>
            <w:pPr>
              <w:pStyle w:val="TableParagraph"/>
              <w:spacing w:line="253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Irewolede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</w:tcPr>
          <w:p>
            <w:pPr>
              <w:pStyle w:val="TableParagraph"/>
              <w:spacing w:line="253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55" w:type="dxa"/>
          </w:tcPr>
          <w:p>
            <w:pPr>
              <w:pStyle w:val="TableParagraph"/>
              <w:spacing w:line="253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</w:tr>
      <w:tr>
        <w:trPr>
          <w:trHeight w:val="275" w:hRule="atLeast"/>
        </w:trPr>
        <w:tc>
          <w:tcPr>
            <w:tcW w:w="2989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55" w:type="dxa"/>
          </w:tcPr>
          <w:p>
            <w:pPr>
              <w:pStyle w:val="TableParagraph"/>
              <w:spacing w:line="256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</w:tr>
      <w:tr>
        <w:trPr>
          <w:trHeight w:val="276" w:hRule="atLeast"/>
        </w:trPr>
        <w:tc>
          <w:tcPr>
            <w:tcW w:w="2989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55" w:type="dxa"/>
          </w:tcPr>
          <w:p>
            <w:pPr>
              <w:pStyle w:val="TableParagraph"/>
              <w:spacing w:line="256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</w:tr>
      <w:tr>
        <w:trPr>
          <w:trHeight w:val="276" w:hRule="atLeast"/>
        </w:trPr>
        <w:tc>
          <w:tcPr>
            <w:tcW w:w="2989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55" w:type="dxa"/>
          </w:tcPr>
          <w:p>
            <w:pPr>
              <w:pStyle w:val="TableParagraph"/>
              <w:spacing w:line="256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</w:tr>
      <w:tr>
        <w:trPr>
          <w:trHeight w:val="275" w:hRule="atLeast"/>
        </w:trPr>
        <w:tc>
          <w:tcPr>
            <w:tcW w:w="2989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Mandate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55" w:type="dxa"/>
          </w:tcPr>
          <w:p>
            <w:pPr>
              <w:pStyle w:val="TableParagraph"/>
              <w:spacing w:line="256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2006</w:t>
            </w:r>
          </w:p>
        </w:tc>
      </w:tr>
      <w:tr>
        <w:trPr>
          <w:trHeight w:val="276" w:hRule="atLeast"/>
        </w:trPr>
        <w:tc>
          <w:tcPr>
            <w:tcW w:w="2989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Olarewaju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/>
              <w:ind w:left="7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55" w:type="dxa"/>
          </w:tcPr>
          <w:p>
            <w:pPr>
              <w:pStyle w:val="TableParagraph"/>
              <w:spacing w:line="256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1999</w:t>
            </w:r>
          </w:p>
        </w:tc>
      </w:tr>
      <w:tr>
        <w:trPr>
          <w:trHeight w:val="275" w:hRule="atLeast"/>
        </w:trPr>
        <w:tc>
          <w:tcPr>
            <w:tcW w:w="2989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Royal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Valley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/>
              <w:ind w:left="7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55" w:type="dxa"/>
          </w:tcPr>
          <w:p>
            <w:pPr>
              <w:pStyle w:val="TableParagraph"/>
              <w:spacing w:line="256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</w:tr>
      <w:tr>
        <w:trPr>
          <w:trHeight w:val="278" w:hRule="atLeast"/>
        </w:trPr>
        <w:tc>
          <w:tcPr>
            <w:tcW w:w="2989" w:type="dxa"/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</w:tcPr>
          <w:p>
            <w:pPr>
              <w:pStyle w:val="TableParagraph"/>
              <w:spacing w:line="258" w:lineRule="exact"/>
              <w:ind w:left="7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55" w:type="dxa"/>
          </w:tcPr>
          <w:p>
            <w:pPr>
              <w:pStyle w:val="TableParagraph"/>
              <w:spacing w:line="258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</w:tr>
      <w:tr>
        <w:trPr>
          <w:trHeight w:val="280" w:hRule="atLeast"/>
        </w:trPr>
        <w:tc>
          <w:tcPr>
            <w:tcW w:w="29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Evergreen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7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43" w:right="1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2015</w:t>
            </w:r>
          </w:p>
        </w:tc>
      </w:tr>
      <w:tr>
        <w:trPr>
          <w:trHeight w:val="397" w:hRule="atLeast"/>
        </w:trPr>
        <w:tc>
          <w:tcPr>
            <w:tcW w:w="29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Source: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Authors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Compilation</w:t>
            </w:r>
          </w:p>
        </w:tc>
        <w:tc>
          <w:tcPr>
            <w:tcW w:w="19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2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2" w:type="dxa"/>
          </w:tcPr>
          <w:p>
            <w:pPr>
              <w:pStyle w:val="TableParagraph"/>
              <w:spacing w:line="245" w:lineRule="exact" w:before="91"/>
              <w:ind w:right="4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6"/>
          <w:pgSz w:w="11900" w:h="16840"/>
          <w:pgMar w:footer="0" w:header="0" w:top="1320" w:bottom="280" w:left="1280" w:right="360"/>
        </w:sectPr>
      </w:pPr>
    </w:p>
    <w:p>
      <w:pPr>
        <w:pStyle w:val="ListParagraph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Justification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60"/>
        <w:jc w:val="both"/>
      </w:pPr>
      <w:r>
        <w:rPr/>
        <w:t>The issue of building sustainable cities and communities have been on the front burner</w:t>
      </w:r>
      <w:r>
        <w:rPr>
          <w:spacing w:val="1"/>
        </w:rPr>
        <w:t> </w:t>
      </w:r>
      <w:r>
        <w:rPr/>
        <w:t>of many academic and policy debate in recent time. Hence it can be said that affordable</w:t>
      </w:r>
      <w:r>
        <w:rPr>
          <w:spacing w:val="1"/>
        </w:rPr>
        <w:t> </w:t>
      </w:r>
      <w:r>
        <w:rPr/>
        <w:t>and livable environment has a great impact on the wellbeing of people living in the</w:t>
      </w:r>
      <w:r>
        <w:rPr>
          <w:spacing w:val="1"/>
        </w:rPr>
        <w:t> </w:t>
      </w:r>
      <w:r>
        <w:rPr/>
        <w:t>neighbourhood. Due to the importance attached to the development of affordable and</w:t>
      </w:r>
      <w:r>
        <w:rPr>
          <w:spacing w:val="1"/>
        </w:rPr>
        <w:t> </w:t>
      </w:r>
      <w:r>
        <w:rPr/>
        <w:t>liveable housing, many scholars have directed their researches towards the direction of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livability.</w:t>
      </w:r>
    </w:p>
    <w:p>
      <w:pPr>
        <w:pStyle w:val="BodyText"/>
        <w:rPr>
          <w:sz w:val="26"/>
        </w:rPr>
      </w:pPr>
    </w:p>
    <w:p>
      <w:pPr>
        <w:pStyle w:val="BodyText"/>
        <w:spacing w:line="475" w:lineRule="auto"/>
        <w:ind w:left="700" w:right="1058"/>
        <w:jc w:val="both"/>
      </w:pPr>
      <w:r>
        <w:rPr/>
        <w:t>Abimaje </w:t>
      </w:r>
      <w:r>
        <w:rPr>
          <w:i/>
        </w:rPr>
        <w:t>et al. </w:t>
      </w:r>
      <w:r>
        <w:rPr/>
        <w:t>(2014) conducted a study on housing affordability in Idah, Nigeria. The</w:t>
      </w:r>
      <w:r>
        <w:rPr>
          <w:spacing w:val="1"/>
        </w:rPr>
        <w:t> </w:t>
      </w:r>
      <w:r>
        <w:rPr/>
        <w:t>study measured housing affordability of household using income as the indicator for</w:t>
      </w:r>
      <w:r>
        <w:rPr>
          <w:spacing w:val="1"/>
        </w:rPr>
        <w:t> </w:t>
      </w:r>
      <w:r>
        <w:rPr/>
        <w:t>assessment. The study did not consider expenses on basic services such as water and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/>
        <w:ind w:left="700" w:right="1052"/>
      </w:pPr>
      <w:r>
        <w:rPr/>
        <w:t>This</w:t>
      </w:r>
      <w:r>
        <w:rPr>
          <w:spacing w:val="22"/>
        </w:rPr>
        <w:t> </w:t>
      </w:r>
      <w:r>
        <w:rPr/>
        <w:t>work</w:t>
      </w:r>
      <w:r>
        <w:rPr>
          <w:spacing w:val="22"/>
        </w:rPr>
        <w:t> </w:t>
      </w:r>
      <w:r>
        <w:rPr/>
        <w:t>has</w:t>
      </w:r>
      <w:r>
        <w:rPr>
          <w:spacing w:val="23"/>
        </w:rPr>
        <w:t> </w:t>
      </w:r>
      <w:r>
        <w:rPr/>
        <w:t>been</w:t>
      </w:r>
      <w:r>
        <w:rPr>
          <w:spacing w:val="22"/>
        </w:rPr>
        <w:t> </w:t>
      </w:r>
      <w:r>
        <w:rPr/>
        <w:t>considered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benefits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people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Ilorin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such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way</w:t>
      </w:r>
      <w:r>
        <w:rPr>
          <w:spacing w:val="-57"/>
        </w:rPr>
        <w:t> </w:t>
      </w:r>
      <w:r>
        <w:rPr/>
        <w:t>that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serve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an</w:t>
      </w:r>
      <w:r>
        <w:rPr>
          <w:spacing w:val="11"/>
        </w:rPr>
        <w:t> </w:t>
      </w:r>
      <w:r>
        <w:rPr/>
        <w:t>instrument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formulating</w:t>
      </w:r>
      <w:r>
        <w:rPr>
          <w:spacing w:val="8"/>
        </w:rPr>
        <w:t> </w:t>
      </w:r>
      <w:r>
        <w:rPr/>
        <w:t>policies.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formulated</w:t>
      </w:r>
      <w:r>
        <w:rPr>
          <w:spacing w:val="11"/>
        </w:rPr>
        <w:t> </w:t>
      </w:r>
      <w:r>
        <w:rPr/>
        <w:t>policies</w:t>
      </w:r>
      <w:r>
        <w:rPr>
          <w:spacing w:val="8"/>
        </w:rPr>
        <w:t> </w:t>
      </w:r>
      <w:r>
        <w:rPr/>
        <w:t>will</w:t>
      </w:r>
      <w:r>
        <w:rPr>
          <w:spacing w:val="-57"/>
        </w:rPr>
        <w:t> </w:t>
      </w:r>
      <w:r>
        <w:rPr/>
        <w:t>aid the provision of houses for</w:t>
      </w:r>
      <w:r>
        <w:rPr>
          <w:spacing w:val="-1"/>
        </w:rPr>
        <w:t> </w:t>
      </w:r>
      <w:r>
        <w:rPr/>
        <w:t>all levels of income earners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Ilorin.</w:t>
      </w:r>
      <w:r>
        <w:rPr>
          <w:spacing w:val="3"/>
        </w:rPr>
        <w:t> </w:t>
      </w:r>
      <w:r>
        <w:rPr/>
        <w:t>It is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will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58"/>
        </w:rPr>
        <w:t> </w:t>
      </w:r>
      <w:r>
        <w:rPr/>
        <w:t>estates,</w:t>
      </w:r>
      <w:r>
        <w:rPr>
          <w:spacing w:val="1"/>
        </w:rPr>
        <w:t> </w:t>
      </w:r>
      <w:r>
        <w:rPr/>
        <w:t>both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developers in the aspects of provision of affordable housing and a livable environment.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8"/>
        </w:rPr>
        <w:t> </w:t>
      </w:r>
      <w:r>
        <w:rPr/>
        <w:t>was</w:t>
      </w:r>
      <w:r>
        <w:rPr>
          <w:spacing w:val="32"/>
        </w:rPr>
        <w:t> </w:t>
      </w:r>
      <w:r>
        <w:rPr/>
        <w:t>also</w:t>
      </w:r>
      <w:r>
        <w:rPr>
          <w:spacing w:val="34"/>
        </w:rPr>
        <w:t> </w:t>
      </w:r>
      <w:r>
        <w:rPr/>
        <w:t>considered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promote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frontal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knowledge</w:t>
      </w:r>
      <w:r>
        <w:rPr>
          <w:spacing w:val="31"/>
        </w:rPr>
        <w:t> </w:t>
      </w:r>
      <w:r>
        <w:rPr/>
        <w:t>in</w:t>
      </w:r>
      <w:r>
        <w:rPr>
          <w:spacing w:val="36"/>
        </w:rPr>
        <w:t> </w:t>
      </w:r>
      <w:r>
        <w:rPr/>
        <w:t>Ilorin,</w:t>
      </w:r>
      <w:r>
        <w:rPr>
          <w:spacing w:val="32"/>
        </w:rPr>
        <w:t> </w:t>
      </w:r>
      <w:r>
        <w:rPr/>
        <w:t>Kwara</w:t>
      </w:r>
      <w:r>
        <w:rPr>
          <w:spacing w:val="-57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The study was considered to improve the livable housing pre-condition for the people of</w:t>
      </w:r>
      <w:r>
        <w:rPr>
          <w:spacing w:val="-57"/>
        </w:rPr>
        <w:t> </w:t>
      </w:r>
      <w:r>
        <w:rPr/>
        <w:t>Ilorin in other to achieve a healthy living. It will also estimate the social cost and also</w:t>
      </w:r>
      <w:r>
        <w:rPr>
          <w:spacing w:val="1"/>
        </w:rPr>
        <w:t> </w:t>
      </w:r>
      <w:r>
        <w:rPr/>
        <w:t>save investment of home ownership in housing delivery within Ilorin. It is expected that</w:t>
      </w:r>
      <w:r>
        <w:rPr>
          <w:spacing w:val="1"/>
        </w:rPr>
        <w:t> </w:t>
      </w:r>
      <w:r>
        <w:rPr/>
        <w:t>this study will provide relevant information on the affordability and liveability level 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provision of</w:t>
      </w:r>
      <w:r>
        <w:rPr>
          <w:spacing w:val="-1"/>
        </w:rPr>
        <w:t> </w:t>
      </w:r>
      <w:r>
        <w:rPr/>
        <w:t>affordable and livable housing</w:t>
      </w:r>
      <w:r>
        <w:rPr>
          <w:spacing w:val="-3"/>
        </w:rPr>
        <w:t> </w:t>
      </w:r>
      <w:r>
        <w:rPr/>
        <w:t>estate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also be</w:t>
      </w:r>
    </w:p>
    <w:p>
      <w:pPr>
        <w:spacing w:after="0" w:line="477" w:lineRule="auto"/>
        <w:jc w:val="both"/>
        <w:sectPr>
          <w:footerReference w:type="default" r:id="rId7"/>
          <w:pgSz w:w="11900" w:h="16840"/>
          <w:pgMar w:footer="1123" w:header="0" w:top="1320" w:bottom="1320" w:left="1280" w:right="360"/>
          <w:pgNumType w:start="8"/>
        </w:sectPr>
      </w:pPr>
    </w:p>
    <w:p>
      <w:pPr>
        <w:pStyle w:val="BodyText"/>
        <w:spacing w:line="468" w:lineRule="auto" w:before="74"/>
        <w:ind w:left="700" w:right="1062"/>
        <w:jc w:val="both"/>
      </w:pPr>
      <w:r>
        <w:rPr/>
        <w:t>documented. This study is also expected to provide requisite information on the drivers</w:t>
      </w:r>
      <w:r>
        <w:rPr>
          <w:spacing w:val="1"/>
        </w:rPr>
        <w:t> </w:t>
      </w:r>
      <w:r>
        <w:rPr/>
        <w:t>of housing</w:t>
      </w:r>
      <w:r>
        <w:rPr>
          <w:spacing w:val="-2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and livability</w:t>
      </w:r>
      <w:r>
        <w:rPr>
          <w:spacing w:val="-8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private and public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estate.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Location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area</w:t>
      </w:r>
    </w:p>
    <w:p>
      <w:pPr>
        <w:pStyle w:val="BodyText"/>
        <w:rPr>
          <w:b/>
        </w:rPr>
      </w:pPr>
    </w:p>
    <w:p>
      <w:pPr>
        <w:pStyle w:val="BodyText"/>
        <w:spacing w:line="424" w:lineRule="auto"/>
        <w:ind w:left="700" w:right="1038"/>
        <w:jc w:val="both"/>
      </w:pPr>
      <w:r>
        <w:rPr/>
        <w:t>Ilorin is the capital of Kwara state and it is located within the north central region of</w:t>
      </w:r>
      <w:r>
        <w:rPr>
          <w:spacing w:val="1"/>
        </w:rPr>
        <w:t> </w:t>
      </w:r>
      <w:r>
        <w:rPr/>
        <w:t>Nigeria</w:t>
      </w:r>
      <w:r>
        <w:rPr>
          <w:spacing w:val="11"/>
        </w:rPr>
        <w:t> </w:t>
      </w:r>
      <w:r>
        <w:rPr/>
        <w:t>(see</w:t>
      </w:r>
      <w:r>
        <w:rPr>
          <w:spacing w:val="12"/>
        </w:rPr>
        <w:t> </w:t>
      </w:r>
      <w:r>
        <w:rPr/>
        <w:t>figure</w:t>
      </w:r>
      <w:r>
        <w:rPr>
          <w:spacing w:val="12"/>
        </w:rPr>
        <w:t> </w:t>
      </w:r>
      <w:r>
        <w:rPr/>
        <w:t>1.1).</w:t>
      </w:r>
      <w:r>
        <w:rPr>
          <w:spacing w:val="13"/>
        </w:rPr>
        <w:t> </w:t>
      </w:r>
      <w:r>
        <w:rPr/>
        <w:t>Ilorin</w:t>
      </w:r>
      <w:r>
        <w:rPr>
          <w:spacing w:val="13"/>
        </w:rPr>
        <w:t> </w:t>
      </w:r>
      <w:r>
        <w:rPr/>
        <w:t>town</w:t>
      </w:r>
      <w:r>
        <w:rPr>
          <w:spacing w:val="10"/>
        </w:rPr>
        <w:t> </w:t>
      </w:r>
      <w:r>
        <w:rPr/>
        <w:t>lies</w:t>
      </w:r>
      <w:r>
        <w:rPr>
          <w:spacing w:val="12"/>
        </w:rPr>
        <w:t> </w:t>
      </w:r>
      <w:r>
        <w:rPr/>
        <w:t>within</w:t>
      </w:r>
      <w:r>
        <w:rPr>
          <w:spacing w:val="11"/>
        </w:rPr>
        <w:t> </w:t>
      </w:r>
      <w:r>
        <w:rPr/>
        <w:t>longitude</w:t>
      </w:r>
      <w:r>
        <w:rPr>
          <w:spacing w:val="10"/>
        </w:rPr>
        <w:t> </w:t>
      </w:r>
      <w:r>
        <w:rPr/>
        <w:t>4</w:t>
      </w:r>
      <w:r>
        <w:rPr>
          <w:position w:val="11"/>
          <w:sz w:val="21"/>
        </w:rPr>
        <w:t>o</w:t>
      </w:r>
      <w:r>
        <w:rPr>
          <w:spacing w:val="19"/>
          <w:position w:val="11"/>
          <w:sz w:val="21"/>
        </w:rPr>
        <w:t> </w:t>
      </w:r>
      <w:r>
        <w:rPr/>
        <w:t>28‟</w:t>
      </w:r>
      <w:r>
        <w:rPr>
          <w:spacing w:val="10"/>
        </w:rPr>
        <w:t> </w:t>
      </w:r>
      <w:r>
        <w:rPr/>
        <w:t>44”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4</w:t>
      </w:r>
      <w:r>
        <w:rPr>
          <w:position w:val="11"/>
          <w:sz w:val="21"/>
        </w:rPr>
        <w:t>o</w:t>
      </w:r>
      <w:r>
        <w:rPr>
          <w:spacing w:val="21"/>
          <w:position w:val="11"/>
          <w:sz w:val="21"/>
        </w:rPr>
        <w:t> </w:t>
      </w:r>
      <w:r>
        <w:rPr/>
        <w:t>37‟</w:t>
      </w:r>
      <w:r>
        <w:rPr>
          <w:spacing w:val="10"/>
        </w:rPr>
        <w:t> </w:t>
      </w:r>
      <w:r>
        <w:rPr/>
        <w:t>44”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before="91"/>
        <w:ind w:left="700"/>
        <w:jc w:val="both"/>
      </w:pPr>
      <w:r>
        <w:rPr/>
        <w:t>latitude 8</w:t>
      </w:r>
      <w:r>
        <w:rPr>
          <w:position w:val="11"/>
          <w:sz w:val="21"/>
        </w:rPr>
        <w:t>o</w:t>
      </w:r>
      <w:r>
        <w:rPr>
          <w:spacing w:val="8"/>
          <w:position w:val="11"/>
          <w:sz w:val="21"/>
        </w:rPr>
        <w:t> </w:t>
      </w:r>
      <w:r>
        <w:rPr/>
        <w:t>25‟</w:t>
      </w:r>
      <w:r>
        <w:rPr>
          <w:spacing w:val="1"/>
        </w:rPr>
        <w:t> </w:t>
      </w:r>
      <w:r>
        <w:rPr/>
        <w:t>48”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8</w:t>
      </w:r>
      <w:r>
        <w:rPr>
          <w:position w:val="11"/>
          <w:sz w:val="21"/>
        </w:rPr>
        <w:t>o</w:t>
      </w:r>
      <w:r>
        <w:rPr>
          <w:spacing w:val="11"/>
          <w:position w:val="11"/>
          <w:sz w:val="21"/>
        </w:rPr>
        <w:t> </w:t>
      </w:r>
      <w:r>
        <w:rPr/>
        <w:t>32‟ 48”.</w:t>
      </w:r>
      <w:r>
        <w:rPr>
          <w:spacing w:val="6"/>
        </w:rPr>
        <w:t> </w:t>
      </w:r>
      <w:r>
        <w:rPr/>
        <w:t>Ilorin town</w:t>
      </w:r>
      <w:r>
        <w:rPr>
          <w:spacing w:val="2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 three</w:t>
      </w:r>
      <w:r>
        <w:rPr>
          <w:spacing w:val="1"/>
        </w:rPr>
        <w:t> </w:t>
      </w:r>
      <w:r>
        <w:rPr/>
        <w:t>local</w:t>
      </w:r>
      <w:r>
        <w:rPr>
          <w:spacing w:val="4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areas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429" w:lineRule="auto"/>
        <w:ind w:left="700" w:right="1034"/>
        <w:jc w:val="both"/>
      </w:pPr>
      <w:r>
        <w:rPr/>
        <w:t>(LGA)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south,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east,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1.2).</w:t>
      </w:r>
      <w:r>
        <w:rPr>
          <w:spacing w:val="1"/>
        </w:rPr>
        <w:t> </w:t>
      </w:r>
      <w:r>
        <w:rPr/>
        <w:t>According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projected population of 2019 by National Population Census (NPC), Ilorin south has 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208691,</w:t>
      </w:r>
      <w:r>
        <w:rPr>
          <w:spacing w:val="1"/>
        </w:rPr>
        <w:t> </w:t>
      </w:r>
      <w:r>
        <w:rPr/>
        <w:t>204310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east,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364666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West.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three</w:t>
      </w:r>
      <w:r>
        <w:rPr>
          <w:spacing w:val="7"/>
        </w:rPr>
        <w:t> </w:t>
      </w:r>
      <w:r>
        <w:rPr/>
        <w:t>LGAs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Ilorin</w:t>
      </w:r>
      <w:r>
        <w:rPr>
          <w:spacing w:val="6"/>
        </w:rPr>
        <w:t> </w:t>
      </w:r>
      <w:r>
        <w:rPr/>
        <w:t>town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777,667,</w:t>
      </w:r>
      <w:r>
        <w:rPr>
          <w:spacing w:val="6"/>
        </w:rPr>
        <w:t> </w:t>
      </w:r>
      <w:r>
        <w:rPr/>
        <w:t>making</w:t>
      </w:r>
      <w:r>
        <w:rPr>
          <w:spacing w:val="3"/>
        </w:rPr>
        <w:t> </w:t>
      </w:r>
      <w:r>
        <w:rPr/>
        <w:t>it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6</w:t>
      </w:r>
      <w:r>
        <w:rPr>
          <w:position w:val="11"/>
          <w:sz w:val="21"/>
        </w:rPr>
        <w:t>th</w:t>
      </w:r>
      <w:r>
        <w:rPr>
          <w:spacing w:val="13"/>
          <w:position w:val="11"/>
          <w:sz w:val="21"/>
        </w:rPr>
        <w:t> </w:t>
      </w:r>
      <w:r>
        <w:rPr/>
        <w:t>largest</w:t>
      </w:r>
      <w:r>
        <w:rPr>
          <w:spacing w:val="7"/>
        </w:rPr>
        <w:t> </w:t>
      </w:r>
      <w:r>
        <w:rPr/>
        <w:t>city</w:t>
      </w:r>
      <w:r>
        <w:rPr>
          <w:spacing w:val="1"/>
        </w:rPr>
        <w:t> </w:t>
      </w:r>
      <w:r>
        <w:rPr/>
        <w:t>by</w:t>
      </w:r>
    </w:p>
    <w:p>
      <w:pPr>
        <w:pStyle w:val="BodyText"/>
        <w:spacing w:line="432" w:lineRule="auto" w:before="90"/>
        <w:ind w:left="700" w:right="1039"/>
        <w:jc w:val="both"/>
      </w:pPr>
      <w:r>
        <w:rPr/>
        <w:t>population in Nigeria. Ilorin has different housing estate among which four housing</w:t>
      </w:r>
      <w:r>
        <w:rPr>
          <w:spacing w:val="1"/>
        </w:rPr>
        <w:t> </w:t>
      </w:r>
      <w:r>
        <w:rPr/>
        <w:t>estates were selected for this study, however the four housing estates that were selected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shown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1.3.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477" w:lineRule="auto" w:before="1"/>
        <w:ind w:left="700" w:right="1055"/>
        <w:jc w:val="both"/>
      </w:pPr>
      <w:r>
        <w:rPr/>
        <w:t>Ilorin was founded by one Ojo-Isekuse (1600-1700AD) an itinerant hunter. The name</w:t>
      </w:r>
      <w:r>
        <w:rPr>
          <w:spacing w:val="1"/>
        </w:rPr>
        <w:t> </w:t>
      </w:r>
      <w:r>
        <w:rPr/>
        <w:t>“Ilorin” was derived from Ojo-Isekuse‟s compound (now Okelele area of Ilorin). It was</w:t>
      </w:r>
      <w:r>
        <w:rPr>
          <w:spacing w:val="1"/>
        </w:rPr>
        <w:t> </w:t>
      </w:r>
      <w:r>
        <w:rPr/>
        <w:t>on the stone that Ojo-Isekuseused to sharpen his hunting implements like cutlass and</w:t>
      </w:r>
      <w:r>
        <w:rPr>
          <w:spacing w:val="1"/>
        </w:rPr>
        <w:t> </w:t>
      </w:r>
      <w:r>
        <w:rPr/>
        <w:t>arrow hence “Lorin” meaning, “shaping of iron”. Ilorin is essentially a Yoruba city</w:t>
      </w:r>
      <w:r>
        <w:rPr>
          <w:spacing w:val="1"/>
        </w:rPr>
        <w:t> </w:t>
      </w:r>
      <w:r>
        <w:rPr/>
        <w:t>peopled by many ethnic groups such as Hausa, Fulani, Yoruba, Nupe, Kanuri, Bariba,</w:t>
      </w:r>
      <w:r>
        <w:rPr>
          <w:spacing w:val="1"/>
        </w:rPr>
        <w:t> </w:t>
      </w:r>
      <w:r>
        <w:rPr/>
        <w:t>etc.</w:t>
      </w:r>
      <w:r>
        <w:rPr>
          <w:spacing w:val="27"/>
        </w:rPr>
        <w:t> </w:t>
      </w:r>
      <w:r>
        <w:rPr/>
        <w:t>They</w:t>
      </w:r>
      <w:r>
        <w:rPr>
          <w:spacing w:val="23"/>
        </w:rPr>
        <w:t> </w:t>
      </w:r>
      <w:r>
        <w:rPr/>
        <w:t>all</w:t>
      </w:r>
      <w:r>
        <w:rPr>
          <w:spacing w:val="29"/>
        </w:rPr>
        <w:t> </w:t>
      </w:r>
      <w:r>
        <w:rPr/>
        <w:t>merged</w:t>
      </w:r>
      <w:r>
        <w:rPr>
          <w:spacing w:val="28"/>
        </w:rPr>
        <w:t> </w:t>
      </w:r>
      <w:r>
        <w:rPr/>
        <w:t>together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made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city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unique</w:t>
      </w:r>
      <w:r>
        <w:rPr>
          <w:spacing w:val="28"/>
        </w:rPr>
        <w:t> </w:t>
      </w:r>
      <w:r>
        <w:rPr/>
        <w:t>cultural</w:t>
      </w:r>
      <w:r>
        <w:rPr>
          <w:spacing w:val="29"/>
        </w:rPr>
        <w:t> </w:t>
      </w:r>
      <w:r>
        <w:rPr/>
        <w:t>point.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-57"/>
        </w:rPr>
        <w:t> </w:t>
      </w:r>
      <w:r>
        <w:rPr/>
        <w:t>time they are all proud of their unique Ilorin identity. The ruler of the city and its</w:t>
      </w:r>
      <w:r>
        <w:rPr>
          <w:spacing w:val="1"/>
        </w:rPr>
        <w:t> </w:t>
      </w:r>
      <w:r>
        <w:rPr/>
        <w:t>environs (the Ilorin Emirate) is of Fulani origin although the Royal House had been</w:t>
      </w:r>
      <w:r>
        <w:rPr>
          <w:spacing w:val="1"/>
        </w:rPr>
        <w:t> </w:t>
      </w:r>
      <w:r>
        <w:rPr/>
        <w:t>colonized by</w:t>
      </w:r>
      <w:r>
        <w:rPr>
          <w:spacing w:val="-5"/>
        </w:rPr>
        <w:t> </w:t>
      </w:r>
      <w:r>
        <w:rPr/>
        <w:t>the Yoruba</w:t>
      </w:r>
      <w:r>
        <w:rPr>
          <w:spacing w:val="1"/>
        </w:rPr>
        <w:t> </w:t>
      </w:r>
      <w:r>
        <w:rPr/>
        <w:t>thoroughly</w:t>
      </w:r>
      <w:r>
        <w:rPr>
          <w:spacing w:val="-5"/>
        </w:rPr>
        <w:t> </w:t>
      </w:r>
      <w:r>
        <w:rPr/>
        <w:t>(Ibrahim, 2013).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ind w:left="889"/>
        <w:rPr>
          <w:sz w:val="20"/>
        </w:rPr>
      </w:pPr>
      <w:r>
        <w:rPr>
          <w:sz w:val="20"/>
        </w:rPr>
        <w:drawing>
          <wp:inline distT="0" distB="0" distL="0" distR="0">
            <wp:extent cx="5119626" cy="35966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26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Heading1"/>
        <w:spacing w:before="90"/>
      </w:pPr>
      <w:r>
        <w:rPr/>
        <w:t>Figure</w:t>
      </w:r>
      <w:r>
        <w:rPr>
          <w:spacing w:val="-2"/>
        </w:rPr>
        <w:t> </w:t>
      </w:r>
      <w:r>
        <w:rPr/>
        <w:t>1.1:</w:t>
      </w:r>
      <w:r>
        <w:rPr>
          <w:spacing w:val="-1"/>
        </w:rPr>
        <w:t> </w:t>
      </w:r>
      <w:r>
        <w:rPr/>
        <w:t>Kwara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in Nigeria</w:t>
      </w:r>
    </w:p>
    <w:p>
      <w:pPr>
        <w:spacing w:before="5"/>
        <w:ind w:left="700" w:right="0" w:firstLine="0"/>
        <w:jc w:val="left"/>
        <w:rPr>
          <w:sz w:val="23"/>
        </w:rPr>
      </w:pPr>
      <w:r>
        <w:rPr>
          <w:sz w:val="23"/>
        </w:rPr>
        <w:t>Source:</w:t>
      </w:r>
      <w:r>
        <w:rPr>
          <w:spacing w:val="-2"/>
          <w:sz w:val="23"/>
        </w:rPr>
        <w:t> </w:t>
      </w:r>
      <w:r>
        <w:rPr>
          <w:sz w:val="23"/>
        </w:rPr>
        <w:t>Niger</w:t>
      </w:r>
      <w:r>
        <w:rPr>
          <w:spacing w:val="-1"/>
          <w:sz w:val="23"/>
        </w:rPr>
        <w:t> </w:t>
      </w:r>
      <w:r>
        <w:rPr>
          <w:sz w:val="23"/>
        </w:rPr>
        <w:t>State</w:t>
      </w:r>
      <w:r>
        <w:rPr>
          <w:spacing w:val="-3"/>
          <w:sz w:val="23"/>
        </w:rPr>
        <w:t> </w:t>
      </w:r>
      <w:r>
        <w:rPr>
          <w:sz w:val="23"/>
        </w:rPr>
        <w:t>Ministry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Land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Housing,</w:t>
      </w:r>
      <w:r>
        <w:rPr>
          <w:spacing w:val="5"/>
          <w:sz w:val="23"/>
        </w:rPr>
        <w:t> </w:t>
      </w:r>
      <w:r>
        <w:rPr>
          <w:sz w:val="23"/>
        </w:rPr>
        <w:t>2018</w:t>
      </w:r>
    </w:p>
    <w:p>
      <w:pPr>
        <w:spacing w:after="0"/>
        <w:jc w:val="left"/>
        <w:rPr>
          <w:sz w:val="23"/>
        </w:rPr>
        <w:sectPr>
          <w:pgSz w:w="11900" w:h="16840"/>
          <w:pgMar w:header="0" w:footer="1123" w:top="1560" w:bottom="1320" w:left="1280" w:right="360"/>
        </w:sectPr>
      </w:pPr>
    </w:p>
    <w:p>
      <w:pPr>
        <w:pStyle w:val="BodyText"/>
        <w:ind w:left="752"/>
        <w:rPr>
          <w:sz w:val="20"/>
        </w:rPr>
      </w:pPr>
      <w:r>
        <w:rPr>
          <w:sz w:val="20"/>
        </w:rPr>
        <w:drawing>
          <wp:inline distT="0" distB="0" distL="0" distR="0">
            <wp:extent cx="5310585" cy="573405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8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1" w:lineRule="exact" w:before="5"/>
      </w:pPr>
      <w:r>
        <w:rPr/>
        <w:t>Figure</w:t>
      </w:r>
      <w:r>
        <w:rPr>
          <w:spacing w:val="-2"/>
        </w:rPr>
        <w:t> </w:t>
      </w:r>
      <w:r>
        <w:rPr/>
        <w:t>1.2:</w:t>
      </w:r>
      <w:r>
        <w:rPr>
          <w:spacing w:val="-1"/>
        </w:rPr>
        <w:t> </w:t>
      </w:r>
      <w:r>
        <w:rPr/>
        <w:t>Ilorin in Kwara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line="271" w:lineRule="exact"/>
        <w:ind w:left="700"/>
      </w:pPr>
      <w:r>
        <w:rPr/>
        <w:t>(Source:</w:t>
      </w:r>
      <w:r>
        <w:rPr>
          <w:spacing w:val="-1"/>
        </w:rPr>
        <w:t> </w:t>
      </w:r>
      <w:r>
        <w:rPr/>
        <w:t>Kwara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Land and</w:t>
      </w:r>
      <w:r>
        <w:rPr>
          <w:spacing w:val="-1"/>
        </w:rPr>
        <w:t> </w:t>
      </w:r>
      <w:r>
        <w:rPr/>
        <w:t>Housing, 2018)</w:t>
      </w:r>
    </w:p>
    <w:p>
      <w:pPr>
        <w:spacing w:after="0" w:line="271" w:lineRule="exact"/>
        <w:sectPr>
          <w:pgSz w:w="11900" w:h="16840"/>
          <w:pgMar w:header="0" w:footer="1123" w:top="1480" w:bottom="1320" w:left="1280" w:right="36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421160" cy="618648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60" cy="61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39"/>
      </w:pPr>
      <w:r>
        <w:rPr/>
        <w:t>Figure</w:t>
      </w:r>
      <w:r>
        <w:rPr>
          <w:spacing w:val="-2"/>
        </w:rPr>
        <w:t> </w:t>
      </w:r>
      <w:r>
        <w:rPr/>
        <w:t>1.3: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estate</w:t>
      </w:r>
      <w:r>
        <w:rPr>
          <w:spacing w:val="-2"/>
        </w:rPr>
        <w:t> </w:t>
      </w:r>
      <w:r>
        <w:rPr/>
        <w:t>in Ilorin</w:t>
      </w:r>
    </w:p>
    <w:p>
      <w:pPr>
        <w:spacing w:before="4"/>
        <w:ind w:left="700" w:right="0" w:firstLine="0"/>
        <w:jc w:val="left"/>
        <w:rPr>
          <w:sz w:val="23"/>
        </w:rPr>
      </w:pPr>
      <w:r>
        <w:rPr>
          <w:sz w:val="23"/>
        </w:rPr>
        <w:t>(Source:</w:t>
      </w:r>
      <w:r>
        <w:rPr>
          <w:spacing w:val="-3"/>
          <w:sz w:val="23"/>
        </w:rPr>
        <w:t> </w:t>
      </w:r>
      <w:r>
        <w:rPr>
          <w:sz w:val="23"/>
        </w:rPr>
        <w:t>Kwara</w:t>
      </w:r>
      <w:r>
        <w:rPr>
          <w:spacing w:val="-3"/>
          <w:sz w:val="23"/>
        </w:rPr>
        <w:t> </w:t>
      </w:r>
      <w:r>
        <w:rPr>
          <w:sz w:val="23"/>
        </w:rPr>
        <w:t>State</w:t>
      </w:r>
      <w:r>
        <w:rPr>
          <w:spacing w:val="-4"/>
          <w:sz w:val="23"/>
        </w:rPr>
        <w:t> </w:t>
      </w:r>
      <w:r>
        <w:rPr>
          <w:sz w:val="23"/>
        </w:rPr>
        <w:t>Town</w:t>
      </w:r>
      <w:r>
        <w:rPr>
          <w:spacing w:val="-3"/>
          <w:sz w:val="23"/>
        </w:rPr>
        <w:t> </w:t>
      </w:r>
      <w:r>
        <w:rPr>
          <w:sz w:val="23"/>
        </w:rPr>
        <w:t>planning</w:t>
      </w:r>
      <w:r>
        <w:rPr>
          <w:spacing w:val="-5"/>
          <w:sz w:val="23"/>
        </w:rPr>
        <w:t> </w:t>
      </w:r>
      <w:r>
        <w:rPr>
          <w:sz w:val="23"/>
        </w:rPr>
        <w:t>development</w:t>
      </w:r>
      <w:r>
        <w:rPr>
          <w:spacing w:val="-2"/>
          <w:sz w:val="23"/>
        </w:rPr>
        <w:t> </w:t>
      </w:r>
      <w:r>
        <w:rPr>
          <w:sz w:val="23"/>
        </w:rPr>
        <w:t>Authority,</w:t>
      </w:r>
      <w:r>
        <w:rPr>
          <w:spacing w:val="-3"/>
          <w:sz w:val="23"/>
        </w:rPr>
        <w:t> </w:t>
      </w:r>
      <w:r>
        <w:rPr>
          <w:sz w:val="23"/>
        </w:rPr>
        <w:t>(2019)</w:t>
      </w:r>
    </w:p>
    <w:p>
      <w:pPr>
        <w:spacing w:after="0"/>
        <w:jc w:val="left"/>
        <w:rPr>
          <w:sz w:val="23"/>
        </w:rPr>
        <w:sectPr>
          <w:pgSz w:w="11900" w:h="16840"/>
          <w:pgMar w:header="0" w:footer="1123" w:top="1500" w:bottom="1320" w:left="1280" w:right="360"/>
        </w:sectPr>
      </w:pPr>
    </w:p>
    <w:p>
      <w:pPr>
        <w:pStyle w:val="Heading1"/>
        <w:numPr>
          <w:ilvl w:val="2"/>
          <w:numId w:val="3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</w:pPr>
      <w:r>
        <w:rPr/>
        <w:t>Housing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5" w:lineRule="auto"/>
        <w:ind w:left="700" w:right="1032"/>
        <w:jc w:val="both"/>
      </w:pPr>
      <w:r>
        <w:rPr/>
        <w:t>Ilorin is one of the major cities in Nigeria today and its growing strength in both socio-</w:t>
      </w:r>
      <w:r>
        <w:rPr>
          <w:spacing w:val="1"/>
        </w:rPr>
        <w:t> </w:t>
      </w:r>
      <w:r>
        <w:rPr/>
        <w:t>economic affiliations is admirable. However, it is shifting gradually from local mud</w:t>
      </w:r>
      <w:r>
        <w:rPr>
          <w:spacing w:val="1"/>
        </w:rPr>
        <w:t> </w:t>
      </w:r>
      <w:r>
        <w:rPr/>
        <w:t>houses which are old pattern of housing structure, and then giving room for new modern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types and designs.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Weather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climate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41" w:lineRule="auto"/>
        <w:ind w:left="700" w:right="1035"/>
        <w:jc w:val="both"/>
      </w:pPr>
      <w:r>
        <w:rPr/>
        <w:t>The climate of Ilorin is characterized by both wet and dry seasons. The rainy season</w:t>
      </w:r>
      <w:r>
        <w:rPr>
          <w:spacing w:val="1"/>
        </w:rPr>
        <w:t> </w:t>
      </w:r>
      <w:r>
        <w:rPr/>
        <w:t>begins towards the end of April and last till October while the dry season begins in</w:t>
      </w:r>
      <w:r>
        <w:rPr>
          <w:spacing w:val="1"/>
        </w:rPr>
        <w:t> </w:t>
      </w:r>
      <w:r>
        <w:rPr/>
        <w:t>November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ends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April.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temperature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Ilorin</w:t>
      </w:r>
      <w:r>
        <w:rPr>
          <w:spacing w:val="14"/>
        </w:rPr>
        <w:t> </w:t>
      </w:r>
      <w:r>
        <w:rPr/>
        <w:t>ranges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33</w:t>
      </w:r>
      <w:r>
        <w:rPr>
          <w:position w:val="11"/>
          <w:sz w:val="21"/>
        </w:rPr>
        <w:t>oC</w:t>
      </w:r>
      <w:r>
        <w:rPr>
          <w:spacing w:val="22"/>
          <w:position w:val="11"/>
          <w:sz w:val="21"/>
        </w:rPr>
        <w:t> </w:t>
      </w:r>
      <w:r>
        <w:rPr/>
        <w:t>to</w:t>
      </w:r>
      <w:r>
        <w:rPr>
          <w:spacing w:val="13"/>
        </w:rPr>
        <w:t> </w:t>
      </w:r>
      <w:r>
        <w:rPr/>
        <w:t>35</w:t>
      </w:r>
      <w:r>
        <w:rPr>
          <w:position w:val="11"/>
          <w:sz w:val="21"/>
        </w:rPr>
        <w:t>oc</w:t>
      </w:r>
      <w:r>
        <w:rPr>
          <w:spacing w:val="21"/>
          <w:position w:val="11"/>
          <w:sz w:val="21"/>
        </w:rPr>
        <w:t> </w:t>
      </w:r>
      <w:r>
        <w:rPr/>
        <w:t>from</w:t>
      </w:r>
    </w:p>
    <w:p>
      <w:pPr>
        <w:pStyle w:val="BodyText"/>
        <w:spacing w:before="90"/>
        <w:ind w:left="700"/>
        <w:jc w:val="both"/>
      </w:pPr>
      <w:r>
        <w:rPr/>
        <w:t>November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January</w:t>
      </w:r>
      <w:r>
        <w:rPr>
          <w:spacing w:val="17"/>
        </w:rPr>
        <w:t> </w:t>
      </w:r>
      <w:r>
        <w:rPr/>
        <w:t>while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February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April;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value</w:t>
      </w:r>
      <w:r>
        <w:rPr>
          <w:spacing w:val="18"/>
        </w:rPr>
        <w:t> </w:t>
      </w:r>
      <w:r>
        <w:rPr/>
        <w:t>ranges</w:t>
      </w:r>
      <w:r>
        <w:rPr>
          <w:spacing w:val="20"/>
        </w:rPr>
        <w:t> </w:t>
      </w:r>
      <w:r>
        <w:rPr/>
        <w:t>between</w:t>
      </w:r>
      <w:r>
        <w:rPr>
          <w:spacing w:val="19"/>
        </w:rPr>
        <w:t> </w:t>
      </w:r>
      <w:r>
        <w:rPr/>
        <w:t>34</w:t>
      </w:r>
      <w:r>
        <w:rPr>
          <w:position w:val="11"/>
          <w:sz w:val="21"/>
        </w:rPr>
        <w:t>oC</w:t>
      </w:r>
      <w:r>
        <w:rPr>
          <w:spacing w:val="27"/>
          <w:position w:val="11"/>
          <w:sz w:val="21"/>
        </w:rPr>
        <w:t> </w:t>
      </w:r>
      <w:r>
        <w:rPr/>
        <w:t>to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700"/>
        <w:jc w:val="both"/>
      </w:pPr>
      <w:r>
        <w:rPr/>
        <w:t>37</w:t>
      </w:r>
      <w:r>
        <w:rPr>
          <w:position w:val="11"/>
          <w:sz w:val="21"/>
        </w:rPr>
        <w:t>oC</w:t>
      </w:r>
      <w:r>
        <w:rPr/>
        <w:t>.</w:t>
      </w:r>
      <w:r>
        <w:rPr>
          <w:spacing w:val="2"/>
        </w:rPr>
        <w:t> </w:t>
      </w:r>
      <w:r>
        <w:rPr/>
        <w:t>Days</w:t>
      </w:r>
      <w:r>
        <w:rPr>
          <w:spacing w:val="4"/>
        </w:rPr>
        <w:t> </w:t>
      </w:r>
      <w:r>
        <w:rPr/>
        <w:t>are very</w:t>
      </w:r>
      <w:r>
        <w:rPr>
          <w:spacing w:val="-2"/>
        </w:rPr>
        <w:t> </w:t>
      </w:r>
      <w:r>
        <w:rPr/>
        <w:t>hot</w:t>
      </w:r>
      <w:r>
        <w:rPr>
          <w:spacing w:val="5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dry</w:t>
      </w:r>
      <w:r>
        <w:rPr>
          <w:spacing w:val="-3"/>
        </w:rPr>
        <w:t> </w:t>
      </w:r>
      <w:r>
        <w:rPr/>
        <w:t>season.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diurnal</w:t>
      </w:r>
      <w:r>
        <w:rPr>
          <w:spacing w:val="3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444" w:lineRule="auto"/>
        <w:ind w:left="700" w:right="1037"/>
        <w:jc w:val="both"/>
      </w:pPr>
      <w:r>
        <w:rPr/>
        <w:t>mean monthly temperatures are characteristically high in the area. The total annual</w:t>
      </w:r>
      <w:r>
        <w:rPr>
          <w:spacing w:val="1"/>
        </w:rPr>
        <w:t> </w:t>
      </w:r>
      <w:r>
        <w:rPr/>
        <w:t>rainfall in the area ranges from 990.3mm to 1318mm. Rainfall in Ilorin city exhibits the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temporarily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spatially.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relative humidity at Ilorin city ranges from 75% to 88% from May to October, while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80%.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consists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Precambrian basement complex rock. The soils of Ilorin are made up of loamy soil with</w:t>
      </w:r>
      <w:r>
        <w:rPr>
          <w:spacing w:val="1"/>
        </w:rPr>
        <w:t> </w:t>
      </w:r>
      <w:r>
        <w:rPr/>
        <w:t>medium to low fertility. Because of the high seasonal rainfall coupled with the high</w:t>
      </w:r>
      <w:r>
        <w:rPr>
          <w:spacing w:val="1"/>
        </w:rPr>
        <w:t> </w:t>
      </w:r>
      <w:r>
        <w:rPr/>
        <w:t>temperature, there is tendency for lateritic soil to constitute the major soil types in Ilorin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leaching</w:t>
      </w:r>
      <w:r>
        <w:rPr>
          <w:spacing w:val="-3"/>
        </w:rPr>
        <w:t> </w:t>
      </w:r>
      <w:r>
        <w:rPr/>
        <w:t>of minerals nutrients of the soil</w:t>
      </w:r>
      <w:r>
        <w:rPr>
          <w:spacing w:val="-1"/>
        </w:rPr>
        <w:t> </w:t>
      </w:r>
      <w:r>
        <w:rPr/>
        <w:t>(Ajibade</w:t>
      </w:r>
      <w:r>
        <w:rPr>
          <w:spacing w:val="-1"/>
        </w:rPr>
        <w:t> </w:t>
      </w:r>
      <w:r>
        <w:rPr/>
        <w:t>&amp; Ojelola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2"/>
          <w:numId w:val="3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Location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700" w:right="1038"/>
        <w:jc w:val="both"/>
      </w:pPr>
      <w:r>
        <w:rPr/>
        <w:t>Harmony Estate phase</w:t>
      </w:r>
      <w:r>
        <w:rPr>
          <w:spacing w:val="1"/>
        </w:rPr>
        <w:t> </w:t>
      </w:r>
      <w:r>
        <w:rPr/>
        <w:t>III was build in 2014, by the Kwara</w:t>
      </w:r>
      <w:r>
        <w:rPr>
          <w:spacing w:val="60"/>
        </w:rPr>
        <w:t> </w:t>
      </w:r>
      <w:r>
        <w:rPr/>
        <w:t>State government it is</w:t>
      </w:r>
      <w:r>
        <w:rPr>
          <w:spacing w:val="1"/>
        </w:rPr>
        <w:t> </w:t>
      </w:r>
      <w:r>
        <w:rPr/>
        <w:t>located along Sobi barracks road Ilorin , it has two bedroom apartment as well as three</w:t>
      </w:r>
      <w:r>
        <w:rPr>
          <w:spacing w:val="1"/>
        </w:rPr>
        <w:t> </w:t>
      </w:r>
      <w:r>
        <w:rPr/>
        <w:t>bedroom</w:t>
      </w:r>
      <w:r>
        <w:rPr>
          <w:spacing w:val="-1"/>
        </w:rPr>
        <w:t> </w:t>
      </w:r>
      <w:r>
        <w:rPr/>
        <w:t>bungalow. The adjoining</w:t>
      </w:r>
      <w:r>
        <w:rPr>
          <w:spacing w:val="-3"/>
        </w:rPr>
        <w:t> </w:t>
      </w:r>
      <w:r>
        <w:rPr/>
        <w:t>land uses to the estate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majorly</w:t>
      </w:r>
      <w:r>
        <w:rPr>
          <w:spacing w:val="-6"/>
        </w:rPr>
        <w:t> </w:t>
      </w:r>
      <w:r>
        <w:rPr/>
        <w:t>residential land</w:t>
      </w:r>
    </w:p>
    <w:p>
      <w:pPr>
        <w:spacing w:after="0" w:line="472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53"/>
        <w:jc w:val="both"/>
      </w:pPr>
      <w:r>
        <w:rPr/>
        <w:t>uses. Mandate housing estate phase 1 was build in 2006 by the kwara state government,</w:t>
      </w:r>
      <w:r>
        <w:rPr>
          <w:spacing w:val="1"/>
        </w:rPr>
        <w:t> </w:t>
      </w:r>
      <w:r>
        <w:rPr/>
        <w:t>it is located along New Yidi road in Olorunsogo area, it has two bedroom apartment as</w:t>
      </w:r>
      <w:r>
        <w:rPr>
          <w:spacing w:val="1"/>
        </w:rPr>
        <w:t> </w:t>
      </w:r>
      <w:r>
        <w:rPr/>
        <w:t>well as three bedroom bungalow, the estate is directly opposite the new yidi prayer</w:t>
      </w:r>
      <w:r>
        <w:rPr>
          <w:spacing w:val="1"/>
        </w:rPr>
        <w:t> </w:t>
      </w:r>
      <w:r>
        <w:rPr/>
        <w:t>ground of Ilorin township, Yidi praying ground is the major landuse that is close to the</w:t>
      </w:r>
      <w:r>
        <w:rPr>
          <w:spacing w:val="1"/>
        </w:rPr>
        <w:t> </w:t>
      </w:r>
      <w:r>
        <w:rPr/>
        <w:t>estate.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/>
        <w:ind w:left="700" w:right="1057"/>
        <w:jc w:val="both"/>
      </w:pPr>
      <w:r>
        <w:rPr/>
        <w:t>Royal Valley estate was build in 2016 by the private individual, it is located along</w:t>
      </w:r>
      <w:r>
        <w:rPr>
          <w:spacing w:val="1"/>
        </w:rPr>
        <w:t> </w:t>
      </w:r>
      <w:r>
        <w:rPr/>
        <w:t>KunlendeArea, it is along Kunlende - Shao road, the adjoining land use to the estate are</w:t>
      </w:r>
      <w:r>
        <w:rPr>
          <w:spacing w:val="1"/>
        </w:rPr>
        <w:t> </w:t>
      </w:r>
      <w:r>
        <w:rPr/>
        <w:t>residential land use, although it is not far from National Open University of Nigeria,</w:t>
      </w:r>
      <w:r>
        <w:rPr>
          <w:spacing w:val="1"/>
        </w:rPr>
        <w:t> </w:t>
      </w:r>
      <w:r>
        <w:rPr/>
        <w:t>Ilorin centre. The estate has both two bedroom single detached bungalow and three</w:t>
      </w:r>
      <w:r>
        <w:rPr>
          <w:spacing w:val="1"/>
        </w:rPr>
        <w:t> </w:t>
      </w:r>
      <w:r>
        <w:rPr/>
        <w:t>bedroom as well. Evergreen housing estate was build in the year 2015, although the</w:t>
      </w:r>
      <w:r>
        <w:rPr>
          <w:spacing w:val="1"/>
        </w:rPr>
        <w:t> </w:t>
      </w:r>
      <w:r>
        <w:rPr/>
        <w:t>construction is still ongoing as the developer has not complete the target number of the</w:t>
      </w:r>
      <w:r>
        <w:rPr>
          <w:spacing w:val="1"/>
        </w:rPr>
        <w:t> </w:t>
      </w:r>
      <w:r>
        <w:rPr/>
        <w:t>proposed housing units as at January 2019. It is located in the new GRA along pipeline</w:t>
      </w:r>
      <w:r>
        <w:rPr>
          <w:spacing w:val="1"/>
        </w:rPr>
        <w:t> </w:t>
      </w:r>
      <w:r>
        <w:rPr/>
        <w:t>road of</w:t>
      </w:r>
      <w:r>
        <w:rPr>
          <w:spacing w:val="1"/>
        </w:rPr>
        <w:t> </w:t>
      </w:r>
      <w:r>
        <w:rPr/>
        <w:t>Tanke</w:t>
      </w:r>
      <w:r>
        <w:rPr>
          <w:spacing w:val="1"/>
        </w:rPr>
        <w:t> </w:t>
      </w:r>
      <w:r>
        <w:rPr/>
        <w:t>area of</w:t>
      </w:r>
      <w:r>
        <w:rPr>
          <w:spacing w:val="1"/>
        </w:rPr>
        <w:t> </w:t>
      </w:r>
      <w:r>
        <w:rPr/>
        <w:t>Ilorin.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estate comprises of two bedroom semi-detached</w:t>
      </w:r>
      <w:r>
        <w:rPr>
          <w:spacing w:val="1"/>
        </w:rPr>
        <w:t> </w:t>
      </w:r>
      <w:r>
        <w:rPr/>
        <w:t>bungalow</w:t>
      </w:r>
      <w:r>
        <w:rPr>
          <w:spacing w:val="1"/>
        </w:rPr>
        <w:t> </w:t>
      </w:r>
      <w:r>
        <w:rPr/>
        <w:t>and three</w:t>
      </w:r>
      <w:r>
        <w:rPr>
          <w:spacing w:val="-1"/>
        </w:rPr>
        <w:t> </w:t>
      </w:r>
      <w:r>
        <w:rPr/>
        <w:t>bedroom bungalow.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2"/>
          <w:numId w:val="3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Economic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Ilorin</w:t>
      </w:r>
      <w:r>
        <w:rPr>
          <w:spacing w:val="-2"/>
        </w:rPr>
        <w:t> </w:t>
      </w:r>
      <w:r>
        <w:rPr/>
        <w:t>residents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0" w:lineRule="auto"/>
        <w:ind w:left="700" w:right="1061"/>
        <w:jc w:val="both"/>
      </w:pPr>
      <w:r>
        <w:rPr/>
        <w:t>The inhabitants of Ilorin metropolis are industrious and entre pricing in nature. Current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could be</w:t>
      </w:r>
      <w:r>
        <w:rPr>
          <w:spacing w:val="-2"/>
        </w:rPr>
        <w:t> </w:t>
      </w:r>
      <w:r>
        <w:rPr/>
        <w:t>classified as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scale,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scale and</w:t>
      </w:r>
      <w:r>
        <w:rPr>
          <w:spacing w:val="-1"/>
        </w:rPr>
        <w:t> </w:t>
      </w:r>
      <w:r>
        <w:rPr/>
        <w:t>small-scale types.</w:t>
      </w:r>
    </w:p>
    <w:p>
      <w:pPr>
        <w:spacing w:after="0" w:line="47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Heading1"/>
        <w:spacing w:before="72"/>
        <w:ind w:left="688" w:right="1043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3501" w:val="left" w:leader="none"/>
          <w:tab w:pos="3502" w:val="left" w:leader="none"/>
        </w:tabs>
        <w:spacing w:line="240" w:lineRule="auto" w:before="0" w:after="0"/>
        <w:ind w:left="3501" w:right="0" w:hanging="2802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Housing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The housing concept has seen much development over the last two decades, which has</w:t>
      </w:r>
      <w:r>
        <w:rPr>
          <w:spacing w:val="1"/>
        </w:rPr>
        <w:t> </w:t>
      </w:r>
      <w:r>
        <w:rPr/>
        <w:t>passed through various phases (Durah, 1988). According to </w:t>
      </w:r>
      <w:r>
        <w:rPr>
          <w:b/>
        </w:rPr>
        <w:t>(</w:t>
      </w:r>
      <w:r>
        <w:rPr/>
        <w:t>Sheibani &amp; Havard 2005),</w:t>
      </w:r>
      <w:r>
        <w:rPr>
          <w:spacing w:val="1"/>
        </w:rPr>
        <w:t> </w:t>
      </w:r>
      <w:r>
        <w:rPr/>
        <w:t>it has changed from being a fairly simple concept to one that is more complex, moving</w:t>
      </w:r>
      <w:r>
        <w:rPr>
          <w:spacing w:val="1"/>
        </w:rPr>
        <w:t> </w:t>
      </w:r>
      <w:r>
        <w:rPr/>
        <w:t>initially from the need to the development of housing. In brief, the development appears</w:t>
      </w:r>
      <w:r>
        <w:rPr>
          <w:spacing w:val="-57"/>
        </w:rPr>
        <w:t> </w:t>
      </w:r>
      <w:r>
        <w:rPr/>
        <w:t>as follows: (A) The Narrow Concept: this refers</w:t>
      </w:r>
      <w:r>
        <w:rPr>
          <w:spacing w:val="60"/>
        </w:rPr>
        <w:t> </w:t>
      </w:r>
      <w:r>
        <w:rPr/>
        <w:t>to the dwelling where people live, or</w:t>
      </w:r>
      <w:r>
        <w:rPr>
          <w:spacing w:val="1"/>
        </w:rPr>
        <w:t> </w:t>
      </w:r>
      <w:r>
        <w:rPr/>
        <w:t>the materialistic building established from the walls and roof. (B) The Broad Concept: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motivate people to live in the house with stability. This study has concentrated on three</w:t>
      </w:r>
      <w:r>
        <w:rPr>
          <w:spacing w:val="1"/>
        </w:rPr>
        <w:t> </w:t>
      </w:r>
      <w:r>
        <w:rPr/>
        <w:t>different trends used to consider the concept of housing, these being: the Marxist trend,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liberal trend, and the</w:t>
      </w:r>
      <w:r>
        <w:rPr>
          <w:spacing w:val="1"/>
        </w:rPr>
        <w:t> </w:t>
      </w:r>
      <w:r>
        <w:rPr/>
        <w:t>temperate trend</w:t>
      </w:r>
      <w:r>
        <w:rPr>
          <w:spacing w:val="-1"/>
        </w:rPr>
        <w:t> </w:t>
      </w:r>
      <w:r>
        <w:rPr/>
        <w:t>(Soliman, 1996).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Marxist</w:t>
      </w:r>
      <w:r>
        <w:rPr>
          <w:spacing w:val="-2"/>
        </w:rPr>
        <w:t> </w:t>
      </w:r>
      <w:r>
        <w:rPr/>
        <w:t>trends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700"/>
        <w:jc w:val="both"/>
      </w:pPr>
      <w:r>
        <w:rPr/>
        <w:t>Marxist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ways: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77" w:lineRule="auto"/>
        <w:ind w:left="700" w:right="1053"/>
        <w:jc w:val="both"/>
      </w:pPr>
      <w:r>
        <w:rPr/>
        <w:t>House as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commodity:</w:t>
      </w:r>
      <w:r>
        <w:rPr>
          <w:spacing w:val="1"/>
        </w:rPr>
        <w:t> </w:t>
      </w:r>
      <w:r>
        <w:rPr/>
        <w:t>the house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commodities,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community classes, because there is no labor force creation to realize development</w:t>
      </w:r>
      <w:r>
        <w:rPr>
          <w:spacing w:val="1"/>
        </w:rPr>
        <w:t> </w:t>
      </w:r>
      <w:r>
        <w:rPr/>
        <w:t>without housing. Also, housing correlates with various industries, and consequently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boom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</w:t>
      </w:r>
      <w:r>
        <w:rPr>
          <w:spacing w:val="-3"/>
        </w:rPr>
        <w:t> </w:t>
      </w:r>
      <w:r>
        <w:rPr/>
        <w:t>capital in developmental industrial processes.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2" w:lineRule="auto"/>
        <w:ind w:left="700" w:right="1063"/>
        <w:jc w:val="both"/>
      </w:pPr>
      <w:r>
        <w:rPr/>
        <w:t>House as fixed commodity: this means it is impossible to change or remove it through</w:t>
      </w:r>
      <w:r>
        <w:rPr>
          <w:spacing w:val="1"/>
        </w:rPr>
        <w:t> </w:t>
      </w:r>
      <w:r>
        <w:rPr/>
        <w:t>the time, because it must be built on a fixed location, so it is impossible to change</w:t>
      </w:r>
      <w:r>
        <w:rPr>
          <w:spacing w:val="1"/>
        </w:rPr>
        <w:t> </w:t>
      </w:r>
      <w:r>
        <w:rPr/>
        <w:t>location,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land dedicated</w:t>
      </w:r>
      <w:r>
        <w:rPr>
          <w:spacing w:val="-1"/>
        </w:rPr>
        <w:t> </w:t>
      </w:r>
      <w:r>
        <w:rPr/>
        <w:t>for housing</w:t>
      </w:r>
      <w:r>
        <w:rPr>
          <w:spacing w:val="-4"/>
        </w:rPr>
        <w:t> </w:t>
      </w:r>
      <w:r>
        <w:rPr/>
        <w:t>is not</w:t>
      </w:r>
      <w:r>
        <w:rPr>
          <w:spacing w:val="-1"/>
        </w:rPr>
        <w:t> </w:t>
      </w:r>
      <w:r>
        <w:rPr/>
        <w:t>allowed for</w:t>
      </w:r>
      <w:r>
        <w:rPr>
          <w:spacing w:val="-1"/>
        </w:rPr>
        <w:t> </w:t>
      </w:r>
      <w:r>
        <w:rPr/>
        <w:t>real estate</w:t>
      </w:r>
      <w:r>
        <w:rPr>
          <w:spacing w:val="-1"/>
        </w:rPr>
        <w:t> </w:t>
      </w:r>
      <w:r>
        <w:rPr/>
        <w:t>speculation</w:t>
      </w:r>
      <w:r>
        <w:rPr>
          <w:spacing w:val="-1"/>
        </w:rPr>
        <w:t> </w:t>
      </w:r>
      <w:r>
        <w:rPr/>
        <w:t>in</w:t>
      </w:r>
    </w:p>
    <w:p>
      <w:pPr>
        <w:spacing w:after="0" w:line="472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68" w:lineRule="auto" w:before="74"/>
        <w:ind w:left="700" w:right="1062"/>
        <w:jc w:val="both"/>
      </w:pPr>
      <w:r>
        <w:rPr/>
        <w:t>most socialist countries, and the land price is controlled by government because 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is the rightful owner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all the land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region.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77" w:lineRule="auto"/>
        <w:ind w:left="700" w:right="1059"/>
        <w:jc w:val="both"/>
      </w:pPr>
      <w:r>
        <w:rPr/>
        <w:t>Capitalist countries: regard housing not only as commodity that has value but also one</w:t>
      </w:r>
      <w:r>
        <w:rPr>
          <w:spacing w:val="1"/>
        </w:rPr>
        <w:t> </w:t>
      </w:r>
      <w:r>
        <w:rPr/>
        <w:t>that has exchange investment value in the housing market. It may be regarded as a fixed</w:t>
      </w:r>
      <w:r>
        <w:rPr>
          <w:spacing w:val="-57"/>
        </w:rPr>
        <w:t> </w:t>
      </w:r>
      <w:r>
        <w:rPr/>
        <w:t>commodity when residents build the dwelling, and they are unable to pay the costs. It</w:t>
      </w:r>
      <w:r>
        <w:rPr>
          <w:spacing w:val="1"/>
        </w:rPr>
        <w:t> </w:t>
      </w:r>
      <w:r>
        <w:rPr/>
        <w:t>may be noticed that this approach produces public housing policies that match the</w:t>
      </w:r>
      <w:r>
        <w:rPr>
          <w:spacing w:val="1"/>
        </w:rPr>
        <w:t> </w:t>
      </w:r>
      <w:r>
        <w:rPr/>
        <w:t>trends,</w:t>
      </w:r>
      <w:r>
        <w:rPr>
          <w:spacing w:val="-1"/>
        </w:rPr>
        <w:t> </w:t>
      </w:r>
      <w:r>
        <w:rPr/>
        <w:t>and that</w:t>
      </w:r>
      <w:r>
        <w:rPr>
          <w:spacing w:val="2"/>
        </w:rPr>
        <w:t> </w:t>
      </w:r>
      <w:r>
        <w:rPr/>
        <w:t>governments</w:t>
      </w:r>
      <w:r>
        <w:rPr>
          <w:spacing w:val="-1"/>
        </w:rPr>
        <w:t> </w:t>
      </w:r>
      <w:r>
        <w:rPr/>
        <w:t>play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role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housing</w:t>
      </w:r>
      <w:r>
        <w:rPr>
          <w:spacing w:val="-4"/>
        </w:rPr>
        <w:t> </w:t>
      </w:r>
      <w:r>
        <w:rPr/>
        <w:t>units.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Liberal</w:t>
      </w:r>
      <w:r>
        <w:rPr>
          <w:spacing w:val="-2"/>
        </w:rPr>
        <w:t> </w:t>
      </w:r>
      <w:r>
        <w:rPr/>
        <w:t>trends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700" w:right="1063"/>
        <w:jc w:val="both"/>
      </w:pPr>
      <w:r>
        <w:rPr/>
        <w:t>It is confirmed in the studies analyze by (Soliman, 1996) that four principal approaches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his analysis of the</w:t>
      </w:r>
      <w:r>
        <w:rPr>
          <w:spacing w:val="-2"/>
        </w:rPr>
        <w:t> </w:t>
      </w:r>
      <w:r>
        <w:rPr/>
        <w:t>liberal trend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477" w:lineRule="auto" w:before="23"/>
        <w:ind w:left="700" w:right="1057" w:firstLine="59"/>
        <w:jc w:val="both"/>
      </w:pPr>
      <w:r>
        <w:rPr/>
        <w:t>According to this approach, the differentiation between housing as a noun, and as a</w:t>
      </w:r>
      <w:r>
        <w:rPr>
          <w:spacing w:val="1"/>
        </w:rPr>
        <w:t> </w:t>
      </w:r>
      <w:r>
        <w:rPr/>
        <w:t>verb, is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we 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definition 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static condition,</w:t>
      </w:r>
      <w:r>
        <w:rPr>
          <w:spacing w:val="1"/>
        </w:rPr>
        <w:t> </w:t>
      </w:r>
      <w:r>
        <w:rPr/>
        <w:t>because it does not imply any increase and it will not affect the housing market, but</w:t>
      </w:r>
      <w:r>
        <w:rPr>
          <w:spacing w:val="1"/>
        </w:rPr>
        <w:t> </w:t>
      </w:r>
      <w:r>
        <w:rPr/>
        <w:t>defining housing from the point of view of a verb will introduce a dynamic situation,</w:t>
      </w:r>
      <w:r>
        <w:rPr>
          <w:spacing w:val="1"/>
        </w:rPr>
        <w:t> </w:t>
      </w:r>
      <w:r>
        <w:rPr/>
        <w:t>that will</w:t>
      </w:r>
      <w:r>
        <w:rPr>
          <w:spacing w:val="1"/>
        </w:rPr>
        <w:t> </w:t>
      </w:r>
      <w:r>
        <w:rPr/>
        <w:t>encourage development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extend to</w:t>
      </w:r>
      <w:r>
        <w:rPr>
          <w:spacing w:val="1"/>
        </w:rPr>
        <w:t> </w:t>
      </w:r>
      <w:r>
        <w:rPr/>
        <w:t>the residents‟ needs,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consequently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approach becomes very</w:t>
      </w:r>
      <w:r>
        <w:rPr>
          <w:spacing w:val="-5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market.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7" w:lineRule="auto"/>
        <w:ind w:left="700" w:right="1055"/>
        <w:jc w:val="both"/>
      </w:pPr>
      <w:r>
        <w:rPr/>
        <w:t>It is impossible to segregate housing from the</w:t>
      </w:r>
      <w:r>
        <w:rPr>
          <w:spacing w:val="60"/>
        </w:rPr>
        <w:t> </w:t>
      </w:r>
      <w:r>
        <w:rPr/>
        <w:t>other social and economic variables</w:t>
      </w:r>
      <w:r>
        <w:rPr>
          <w:spacing w:val="1"/>
        </w:rPr>
        <w:t> </w:t>
      </w:r>
      <w:r>
        <w:rPr/>
        <w:t>which also change as time passes. In addition it can be considered that houses are</w:t>
      </w:r>
      <w:r>
        <w:rPr>
          <w:spacing w:val="1"/>
        </w:rPr>
        <w:t> </w:t>
      </w:r>
      <w:r>
        <w:rPr/>
        <w:t>fundamental developments, comprised of elements, materials and services connected</w:t>
      </w:r>
      <w:r>
        <w:rPr>
          <w:spacing w:val="1"/>
        </w:rPr>
        <w:t> </w:t>
      </w:r>
      <w:r>
        <w:rPr/>
        <w:t>with various activities - industrial, service or productive - where capital is invested, and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represent progress in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developmental in</w:t>
      </w:r>
      <w:r>
        <w:rPr>
          <w:spacing w:val="4"/>
        </w:rPr>
        <w:t> </w:t>
      </w:r>
      <w:r>
        <w:rPr/>
        <w:t>society.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0" w:lineRule="auto"/>
        <w:ind w:left="700" w:right="1063"/>
        <w:jc w:val="both"/>
      </w:pP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unites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finishing.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of house</w:t>
      </w:r>
      <w:r>
        <w:rPr>
          <w:spacing w:val="-2"/>
        </w:rPr>
        <w:t> </w:t>
      </w:r>
      <w:r>
        <w:rPr/>
        <w:t>is not</w:t>
      </w:r>
      <w:r>
        <w:rPr>
          <w:spacing w:val="-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create appropriate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</w:p>
    <w:p>
      <w:pPr>
        <w:spacing w:after="0" w:line="47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68" w:lineRule="auto" w:before="74"/>
        <w:ind w:left="700" w:right="1062"/>
        <w:jc w:val="both"/>
      </w:pPr>
      <w:r>
        <w:rPr/>
        <w:t>inhabitants, where the basic target in housing market mechanism is development of</w:t>
      </w:r>
      <w:r>
        <w:rPr>
          <w:spacing w:val="1"/>
        </w:rPr>
        <w:t> </w:t>
      </w:r>
      <w:r>
        <w:rPr/>
        <w:t>invested</w:t>
      </w:r>
      <w:r>
        <w:rPr>
          <w:spacing w:val="-1"/>
        </w:rPr>
        <w:t> </w:t>
      </w:r>
      <w:r>
        <w:rPr/>
        <w:t>capital to</w:t>
      </w:r>
      <w:r>
        <w:rPr>
          <w:spacing w:val="2"/>
        </w:rPr>
        <w:t> </w:t>
      </w:r>
      <w:r>
        <w:rPr/>
        <w:t>gain potential great profit.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77" w:lineRule="auto" w:before="1"/>
        <w:ind w:left="700" w:right="1036"/>
        <w:jc w:val="both"/>
      </w:pPr>
      <w:r>
        <w:rPr/>
        <w:t>Independent housing forming: every family is different from others, due to the fact that</w:t>
      </w:r>
      <w:r>
        <w:rPr>
          <w:spacing w:val="1"/>
        </w:rPr>
        <w:t> </w:t>
      </w:r>
      <w:r>
        <w:rPr/>
        <w:t>the family has own organization and the type of housing chosen results from several</w:t>
      </w:r>
      <w:r>
        <w:rPr>
          <w:spacing w:val="1"/>
        </w:rPr>
        <w:t> </w:t>
      </w:r>
      <w:r>
        <w:rPr/>
        <w:t>factors such as family income, educational level and the area where they wish to live.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-57"/>
        </w:rPr>
        <w:t> </w:t>
      </w:r>
      <w:r>
        <w:rPr/>
        <w:t>noticed that this trend adopts a housing policy that depends upon the private sector and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building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Temperate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trend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700" w:right="1055"/>
        <w:jc w:val="both"/>
      </w:pPr>
      <w:r>
        <w:rPr/>
        <w:t>This trend views the family‟s economic situation as the main pivot for expenditure.</w:t>
      </w:r>
      <w:r>
        <w:rPr>
          <w:spacing w:val="1"/>
        </w:rPr>
        <w:t> </w:t>
      </w:r>
      <w:r>
        <w:rPr/>
        <w:t>Betterment or development of the housing unit is connected strongly with the economic</w:t>
      </w:r>
      <w:r>
        <w:rPr>
          <w:spacing w:val="1"/>
        </w:rPr>
        <w:t> </w:t>
      </w:r>
      <w:r>
        <w:rPr/>
        <w:t>position of the family, which plays a great role in the housing market mechanism for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residence,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sanitary and environmental situation, which is appropriate not only for the family but</w:t>
      </w:r>
      <w:r>
        <w:rPr>
          <w:spacing w:val="1"/>
        </w:rPr>
        <w:t> </w:t>
      </w:r>
      <w:r>
        <w:rPr/>
        <w:t>also for society in general, and proper facilities such as water, sewage treatment, power,</w:t>
      </w:r>
      <w:r>
        <w:rPr>
          <w:spacing w:val="1"/>
        </w:rPr>
        <w:t> </w:t>
      </w:r>
      <w:r>
        <w:rPr/>
        <w:t>etc,</w:t>
      </w:r>
      <w:r>
        <w:rPr>
          <w:spacing w:val="-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5" w:lineRule="auto"/>
        <w:ind w:left="700" w:right="1055"/>
        <w:jc w:val="both"/>
      </w:pPr>
      <w:r>
        <w:rPr/>
        <w:t>Housing is a consumption commodity for all classes in the society, and political systems</w:t>
      </w:r>
      <w:r>
        <w:rPr>
          <w:spacing w:val="-57"/>
        </w:rPr>
        <w:t> </w:t>
      </w:r>
      <w:r>
        <w:rPr/>
        <w:t>must provide it to people as a part of its functions to realize the equal distribution of</w:t>
      </w:r>
      <w:r>
        <w:rPr>
          <w:spacing w:val="1"/>
        </w:rPr>
        <w:t> </w:t>
      </w:r>
      <w:r>
        <w:rPr/>
        <w:t>justice. Each trend adopts particular policies to achieve its objectives, and countries may</w:t>
      </w:r>
      <w:r>
        <w:rPr>
          <w:spacing w:val="-57"/>
        </w:rPr>
        <w:t> </w:t>
      </w:r>
      <w:r>
        <w:rPr/>
        <w:t>select</w:t>
      </w:r>
      <w:r>
        <w:rPr>
          <w:spacing w:val="-1"/>
        </w:rPr>
        <w:t> </w:t>
      </w:r>
      <w:r>
        <w:rPr/>
        <w:t>one or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policy</w:t>
      </w:r>
      <w:r>
        <w:rPr>
          <w:spacing w:val="-3"/>
        </w:rPr>
        <w:t> </w:t>
      </w:r>
      <w:r>
        <w:rPr/>
        <w:t>to enable</w:t>
      </w:r>
      <w:r>
        <w:rPr>
          <w:spacing w:val="-1"/>
        </w:rPr>
        <w:t> </w:t>
      </w:r>
      <w:r>
        <w:rPr/>
        <w:t>them to reach their planned housing</w:t>
      </w:r>
      <w:r>
        <w:rPr>
          <w:spacing w:val="-3"/>
        </w:rPr>
        <w:t> </w:t>
      </w:r>
      <w:r>
        <w:rPr/>
        <w:t>targets.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72" w:lineRule="auto"/>
        <w:ind w:left="700" w:right="1056"/>
        <w:jc w:val="both"/>
      </w:pPr>
      <w:r>
        <w:rPr/>
        <w:t>From the trends identified, housing can be defined as “the final outcome from variant</w:t>
      </w:r>
      <w:r>
        <w:rPr>
          <w:spacing w:val="1"/>
        </w:rPr>
        <w:t> </w:t>
      </w:r>
      <w:r>
        <w:rPr/>
        <w:t>capitals entering in the housing market mechanism, by construction, distribution, or</w:t>
      </w:r>
      <w:r>
        <w:rPr>
          <w:spacing w:val="1"/>
        </w:rPr>
        <w:t> </w:t>
      </w:r>
      <w:r>
        <w:rPr/>
        <w:t>managing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market”.</w:t>
      </w:r>
    </w:p>
    <w:p>
      <w:pPr>
        <w:spacing w:after="0" w:line="472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</w:pPr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57"/>
        <w:jc w:val="both"/>
      </w:pPr>
      <w:r>
        <w:rPr/>
        <w:t>Housing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basic</w:t>
      </w:r>
      <w:r>
        <w:rPr>
          <w:spacing w:val="13"/>
        </w:rPr>
        <w:t> </w:t>
      </w:r>
      <w:r>
        <w:rPr/>
        <w:t>necessities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humans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accounts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largest</w:t>
      </w:r>
      <w:r>
        <w:rPr>
          <w:spacing w:val="13"/>
        </w:rPr>
        <w:t> </w:t>
      </w:r>
      <w:r>
        <w:rPr/>
        <w:t>share</w:t>
      </w:r>
      <w:r>
        <w:rPr>
          <w:spacing w:val="-57"/>
        </w:rPr>
        <w:t> </w:t>
      </w:r>
      <w:r>
        <w:rPr/>
        <w:t>of the consumer price index, however, providing houses at affordable rent prices has</w:t>
      </w:r>
      <w:r>
        <w:rPr>
          <w:spacing w:val="1"/>
        </w:rPr>
        <w:t> </w:t>
      </w:r>
      <w:r>
        <w:rPr/>
        <w:t>been a long-standing issue for governments</w:t>
      </w:r>
      <w:r>
        <w:rPr>
          <w:spacing w:val="1"/>
        </w:rPr>
        <w:t> </w:t>
      </w:r>
      <w:r>
        <w:rPr/>
        <w:t>of most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for this reason,</w:t>
      </w:r>
      <w:r>
        <w:rPr>
          <w:spacing w:val="60"/>
        </w:rPr>
        <w:t> </w:t>
      </w:r>
      <w:r>
        <w:rPr/>
        <w:t>house</w:t>
      </w:r>
      <w:r>
        <w:rPr>
          <w:spacing w:val="1"/>
        </w:rPr>
        <w:t> </w:t>
      </w:r>
      <w:r>
        <w:rPr/>
        <w:t>rent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issue.</w:t>
      </w:r>
      <w:r>
        <w:rPr>
          <w:spacing w:val="-57"/>
        </w:rPr>
        <w:t> </w:t>
      </w:r>
      <w:r>
        <w:rPr/>
        <w:t>Expenditures associated with house rents has forced some households to reduce their</w:t>
      </w:r>
      <w:r>
        <w:rPr>
          <w:spacing w:val="1"/>
        </w:rPr>
        <w:t> </w:t>
      </w:r>
      <w:r>
        <w:rPr/>
        <w:t>consumption of other necessities and consequently lowered their standard of living</w:t>
      </w:r>
      <w:r>
        <w:rPr>
          <w:spacing w:val="1"/>
        </w:rPr>
        <w:t> </w:t>
      </w:r>
      <w:r>
        <w:rPr/>
        <w:t>(Eugene, 2017).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housing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Housing is one of the best indicators of a person‟s standard of living and his or her</w:t>
      </w:r>
      <w:r>
        <w:rPr>
          <w:spacing w:val="1"/>
        </w:rPr>
        <w:t> </w:t>
      </w:r>
      <w:r>
        <w:rPr/>
        <w:t>position in the society (Ademiluyi, 2010) Housing is also an effective way to promote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stimulates</w:t>
      </w:r>
      <w:r>
        <w:rPr>
          <w:spacing w:val="61"/>
        </w:rPr>
        <w:t> </w:t>
      </w:r>
      <w:r>
        <w:rPr/>
        <w:t>civic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(housing</w:t>
      </w:r>
      <w:r>
        <w:rPr>
          <w:spacing w:val="1"/>
        </w:rPr>
        <w:t> </w:t>
      </w:r>
      <w:r>
        <w:rPr/>
        <w:t>associations,</w:t>
      </w:r>
      <w:r>
        <w:rPr>
          <w:spacing w:val="1"/>
        </w:rPr>
        <w:t> </w:t>
      </w:r>
      <w:r>
        <w:rPr/>
        <w:t>community-based</w:t>
      </w:r>
      <w:r>
        <w:rPr>
          <w:spacing w:val="1"/>
        </w:rPr>
        <w:t> </w:t>
      </w:r>
      <w:r>
        <w:rPr/>
        <w:t>organizations)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incubators for elected representation (Duane </w:t>
      </w:r>
      <w:r>
        <w:rPr>
          <w:i/>
        </w:rPr>
        <w:t>et al., </w:t>
      </w:r>
      <w:r>
        <w:rPr/>
        <w:t>2006). The subject of housing is one</w:t>
      </w:r>
      <w:r>
        <w:rPr>
          <w:spacing w:val="1"/>
        </w:rPr>
        <w:t> </w:t>
      </w:r>
      <w:r>
        <w:rPr/>
        <w:t>that causes disputes between politicians, economists, and social experts, because it 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society 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(Sheibani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Havard,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liveability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 that emerges over a recent time, however both housing experts and academic</w:t>
      </w:r>
      <w:r>
        <w:rPr>
          <w:spacing w:val="1"/>
        </w:rPr>
        <w:t> </w:t>
      </w:r>
      <w:r>
        <w:rPr/>
        <w:t>scholars have identified that the real meaning of liveable can be difficult to examine.</w:t>
      </w:r>
      <w:r>
        <w:rPr>
          <w:spacing w:val="1"/>
        </w:rPr>
        <w:t> </w:t>
      </w:r>
      <w:r>
        <w:rPr/>
        <w:t>There is not one singular definition of the term „liveable city Work, leisure, recreation,</w:t>
      </w:r>
      <w:r>
        <w:rPr>
          <w:spacing w:val="1"/>
        </w:rPr>
        <w:t> </w:t>
      </w:r>
      <w:r>
        <w:rPr/>
        <w:t>health care, affordable housing in a safe and green environment are in our view very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aspects of „liveability`</w:t>
      </w:r>
      <w:r>
        <w:rPr>
          <w:spacing w:val="1"/>
        </w:rPr>
        <w:t> </w:t>
      </w:r>
      <w:r>
        <w:rPr/>
        <w:t>(Rama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Housing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Affordability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 w:before="1"/>
        <w:ind w:left="700" w:right="1063"/>
        <w:jc w:val="both"/>
      </w:pPr>
      <w:r>
        <w:rPr/>
        <w:t>This is related to, and dependent on, several factors. Wealth, equity, consumption,</w:t>
      </w:r>
      <w:r>
        <w:rPr>
          <w:spacing w:val="1"/>
        </w:rPr>
        <w:t> </w:t>
      </w:r>
      <w:r>
        <w:rPr/>
        <w:t>income,</w:t>
      </w:r>
      <w:r>
        <w:rPr>
          <w:spacing w:val="-1"/>
        </w:rPr>
        <w:t> </w:t>
      </w:r>
      <w:r>
        <w:rPr/>
        <w:t>taxes, risk, leverage,</w:t>
      </w:r>
      <w:r>
        <w:rPr>
          <w:spacing w:val="-1"/>
        </w:rPr>
        <w:t> </w:t>
      </w:r>
      <w:r>
        <w:rPr/>
        <w:t>house</w:t>
      </w:r>
      <w:r>
        <w:rPr>
          <w:spacing w:val="-1"/>
        </w:rPr>
        <w:t> </w:t>
      </w:r>
      <w:r>
        <w:rPr/>
        <w:t>prices and</w:t>
      </w:r>
      <w:r>
        <w:rPr>
          <w:spacing w:val="-1"/>
        </w:rPr>
        <w:t> </w:t>
      </w:r>
      <w:r>
        <w:rPr/>
        <w:t>debt 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ones most often</w:t>
      </w:r>
      <w:r>
        <w:rPr>
          <w:spacing w:val="-1"/>
        </w:rPr>
        <w:t> </w:t>
      </w:r>
      <w:r>
        <w:rPr/>
        <w:t>mentioned.</w:t>
      </w:r>
    </w:p>
    <w:p>
      <w:pPr>
        <w:spacing w:after="0" w:line="47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6"/>
        <w:ind w:left="700" w:right="1055"/>
        <w:jc w:val="both"/>
      </w:pPr>
      <w:r>
        <w:rPr/>
        <w:t>In addition, the borrowers mind and behaviour has a critical role in the process of</w:t>
      </w:r>
      <w:r>
        <w:rPr>
          <w:spacing w:val="1"/>
        </w:rPr>
        <w:t> </w:t>
      </w:r>
      <w:r>
        <w:rPr/>
        <w:t>homeownership and affordability, not least when estimating the risk of default. The</w:t>
      </w:r>
      <w:r>
        <w:rPr>
          <w:spacing w:val="1"/>
        </w:rPr>
        <w:t> </w:t>
      </w:r>
      <w:r>
        <w:rPr/>
        <w:t>change in one‟s affordability is a function of the factors mentioned above and the</w:t>
      </w:r>
      <w:r>
        <w:rPr>
          <w:spacing w:val="1"/>
        </w:rPr>
        <w:t> </w:t>
      </w:r>
      <w:r>
        <w:rPr/>
        <w:t>relationship is complicated (Copenhagen Business School, 2013). Affordability is well-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household‟s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(Fauziah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incomes,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affordable housing</w:t>
      </w:r>
      <w:r>
        <w:rPr>
          <w:spacing w:val="-3"/>
        </w:rPr>
        <w:t> </w:t>
      </w:r>
      <w:r>
        <w:rPr/>
        <w:t>stock</w:t>
      </w:r>
      <w:r>
        <w:rPr>
          <w:spacing w:val="-1"/>
        </w:rPr>
        <w:t> </w:t>
      </w:r>
      <w:r>
        <w:rPr/>
        <w:t>(Singaravello, 2010).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477" w:lineRule="auto"/>
        <w:ind w:left="700" w:right="1059"/>
        <w:jc w:val="both"/>
      </w:pPr>
      <w:r>
        <w:rPr/>
        <w:t>A house is a multidimensional good, which consists of a bundle of attributes that differ</w:t>
      </w:r>
      <w:r>
        <w:rPr>
          <w:spacing w:val="1"/>
        </w:rPr>
        <w:t> </w:t>
      </w:r>
      <w:r>
        <w:rPr/>
        <w:t>in quantity and quality and influence house rent price, this includes physical attributes</w:t>
      </w:r>
      <w:r>
        <w:rPr>
          <w:spacing w:val="1"/>
        </w:rPr>
        <w:t> </w:t>
      </w:r>
      <w:r>
        <w:rPr/>
        <w:t>such as number of rooms, lot size, and housing type; community attributes such as</w:t>
      </w:r>
      <w:r>
        <w:rPr>
          <w:spacing w:val="1"/>
        </w:rPr>
        <w:t> </w:t>
      </w:r>
      <w:r>
        <w:rPr/>
        <w:t>population and characteristics of neighbourhood; and accessibility to the place of work.</w:t>
      </w:r>
      <w:r>
        <w:rPr>
          <w:spacing w:val="1"/>
        </w:rPr>
        <w:t> </w:t>
      </w:r>
      <w:r>
        <w:rPr/>
        <w:t>People‟s preferences for these attributes differ, and they often influence the amount of</w:t>
      </w:r>
      <w:r>
        <w:rPr>
          <w:spacing w:val="1"/>
        </w:rPr>
        <w:t> </w:t>
      </w:r>
      <w:r>
        <w:rPr/>
        <w:t>money that consumers would be willing to pay for house rent. House rent price is</w:t>
      </w:r>
      <w:r>
        <w:rPr>
          <w:spacing w:val="1"/>
        </w:rPr>
        <w:t> </w:t>
      </w:r>
      <w:r>
        <w:rPr/>
        <w:t>determined by the price at which a house owner is willing to give out a house unit to a</w:t>
      </w:r>
      <w:r>
        <w:rPr>
          <w:spacing w:val="1"/>
        </w:rPr>
        <w:t> </w:t>
      </w:r>
      <w:r>
        <w:rPr/>
        <w:t>potential tenant for rent and the price tenant is willing to pay i.e., equilibrium house rent</w:t>
      </w:r>
      <w:r>
        <w:rPr>
          <w:spacing w:val="-57"/>
        </w:rPr>
        <w:t> </w:t>
      </w:r>
      <w:r>
        <w:rPr/>
        <w:t>price (Eugene 2017). In other words, the house that was advertised for rent by a house</w:t>
      </w:r>
      <w:r>
        <w:rPr>
          <w:spacing w:val="1"/>
        </w:rPr>
        <w:t> </w:t>
      </w:r>
      <w:r>
        <w:rPr/>
        <w:t>owner</w:t>
      </w:r>
      <w:r>
        <w:rPr>
          <w:spacing w:val="-1"/>
        </w:rPr>
        <w:t> </w:t>
      </w:r>
      <w:r>
        <w:rPr/>
        <w:t>meets the</w:t>
      </w:r>
      <w:r>
        <w:rPr>
          <w:spacing w:val="-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and demand 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potential tenant.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7" w:lineRule="auto"/>
        <w:ind w:left="700" w:right="1052"/>
        <w:jc w:val="both"/>
      </w:pPr>
      <w:r>
        <w:rPr/>
        <w:t>Housing affordability on the other hand is described as not only affordability in terms of</w:t>
      </w:r>
      <w:r>
        <w:rPr>
          <w:spacing w:val="-57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affordability,</w:t>
      </w:r>
      <w:r>
        <w:rPr>
          <w:spacing w:val="61"/>
        </w:rPr>
        <w:t> </w:t>
      </w:r>
      <w:r>
        <w:rPr/>
        <w:t>non-housing</w:t>
      </w:r>
      <w:r>
        <w:rPr>
          <w:spacing w:val="1"/>
        </w:rPr>
        <w:t> </w:t>
      </w:r>
      <w:r>
        <w:rPr/>
        <w:t>expenditures, and current housing wealth (Stone </w:t>
      </w:r>
      <w:r>
        <w:rPr>
          <w:i/>
        </w:rPr>
        <w:t>et al., </w:t>
      </w:r>
      <w:r>
        <w:rPr/>
        <w:t>2011). Affordability of home</w:t>
      </w:r>
      <w:r>
        <w:rPr>
          <w:spacing w:val="1"/>
        </w:rPr>
        <w:t> </w:t>
      </w:r>
      <w:r>
        <w:rPr/>
        <w:t>ownership is one aspect of liveability in a city. Liveability reflects the well-being of the</w:t>
      </w:r>
      <w:r>
        <w:rPr>
          <w:spacing w:val="1"/>
        </w:rPr>
        <w:t> </w:t>
      </w:r>
      <w:r>
        <w:rPr/>
        <w:t>population; a dwelling for the present and it should be able to sustain the future. (Abdul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2008)</w:t>
      </w:r>
      <w:r>
        <w:rPr>
          <w:spacing w:val="-1"/>
        </w:rPr>
        <w:t> </w:t>
      </w:r>
      <w:r>
        <w:rPr/>
        <w:t>described the</w:t>
      </w:r>
      <w:r>
        <w:rPr>
          <w:spacing w:val="-1"/>
        </w:rPr>
        <w:t> </w:t>
      </w:r>
      <w:r>
        <w:rPr/>
        <w:t>liveable concept where a</w:t>
      </w:r>
      <w:r>
        <w:rPr>
          <w:spacing w:val="-1"/>
        </w:rPr>
        <w:t> </w:t>
      </w:r>
      <w:r>
        <w:rPr/>
        <w:t>city</w:t>
      </w:r>
      <w:r>
        <w:rPr>
          <w:spacing w:val="-5"/>
        </w:rPr>
        <w:t> </w:t>
      </w:r>
      <w:r>
        <w:rPr/>
        <w:t>provides housing</w:t>
      </w:r>
      <w:r>
        <w:rPr>
          <w:spacing w:val="-3"/>
        </w:rPr>
        <w:t> </w:t>
      </w:r>
      <w:r>
        <w:rPr/>
        <w:t>options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59"/>
        <w:jc w:val="both"/>
      </w:pPr>
      <w:r>
        <w:rPr/>
        <w:t>consistent with affordability, job opportunities, comprehensive and easy accessibility to</w:t>
      </w:r>
      <w:r>
        <w:rPr>
          <w:spacing w:val="1"/>
        </w:rPr>
        <w:t> </w:t>
      </w:r>
      <w:r>
        <w:rPr/>
        <w:t>socialize. This will enable estates residents to live their daily life with safety,</w:t>
      </w:r>
      <w:r>
        <w:rPr>
          <w:spacing w:val="60"/>
        </w:rPr>
        <w:t> </w:t>
      </w:r>
      <w:r>
        <w:rPr/>
        <w:t>healthy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vibrancy.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current</w:t>
      </w:r>
      <w:r>
        <w:rPr>
          <w:spacing w:val="17"/>
        </w:rPr>
        <w:t> </w:t>
      </w:r>
      <w:r>
        <w:rPr/>
        <w:t>affordable</w:t>
      </w:r>
      <w:r>
        <w:rPr>
          <w:spacing w:val="16"/>
        </w:rPr>
        <w:t> </w:t>
      </w:r>
      <w:r>
        <w:rPr/>
        <w:t>housing</w:t>
      </w:r>
      <w:r>
        <w:rPr>
          <w:spacing w:val="16"/>
        </w:rPr>
        <w:t> </w:t>
      </w:r>
      <w:r>
        <w:rPr/>
        <w:t>crisis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rooted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many</w:t>
      </w:r>
      <w:r>
        <w:rPr>
          <w:spacing w:val="11"/>
        </w:rPr>
        <w:t> </w:t>
      </w:r>
      <w:r>
        <w:rPr/>
        <w:t>factors.</w:t>
      </w:r>
      <w:r>
        <w:rPr>
          <w:spacing w:val="16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unaffordable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person‟s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gentrification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affordable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development.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affordability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77" w:lineRule="auto"/>
        <w:ind w:left="700" w:right="1055"/>
        <w:jc w:val="both"/>
      </w:pPr>
      <w:r>
        <w:rPr/>
        <w:t>The idea of affordable housing recognizes the needs of households whose incomes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(Milligan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„affordable</w:t>
      </w:r>
      <w:r>
        <w:rPr>
          <w:spacing w:val="1"/>
        </w:rPr>
        <w:t> </w:t>
      </w:r>
      <w:r>
        <w:rPr/>
        <w:t>housing‟</w:t>
      </w:r>
      <w:r>
        <w:rPr>
          <w:spacing w:val="60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housing that assists lower income households in obtaining and paying for appropriate</w:t>
      </w:r>
      <w:r>
        <w:rPr>
          <w:spacing w:val="1"/>
        </w:rPr>
        <w:t> </w:t>
      </w:r>
      <w:r>
        <w:rPr/>
        <w:t>housing without experiencing undue financial hardship (Milligan </w:t>
      </w:r>
      <w:r>
        <w:rPr>
          <w:i/>
        </w:rPr>
        <w:t>et al., </w:t>
      </w:r>
      <w:r>
        <w:rPr/>
        <w:t>2004). A range</w:t>
      </w:r>
      <w:r>
        <w:rPr>
          <w:spacing w:val="1"/>
        </w:rPr>
        <w:t> </w:t>
      </w:r>
      <w:r>
        <w:rPr/>
        <w:t>of publicly or privately initiated forms of housing may meet this specification (Milligan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2007). In fact, in recent years, the term „affordable housing‟ has been used as an</w:t>
      </w:r>
      <w:r>
        <w:rPr>
          <w:spacing w:val="1"/>
        </w:rPr>
        <w:t> </w:t>
      </w:r>
      <w:r>
        <w:rPr/>
        <w:t>alternative to terms such as „public‟, „social‟ or „low cost‟ housing (Gabriel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2005). Affordable housing is housing that is appropriate for the needs of a range of low</w:t>
      </w:r>
      <w:r>
        <w:rPr>
          <w:spacing w:val="1"/>
        </w:rPr>
        <w:t> </w:t>
      </w:r>
      <w:r>
        <w:rPr/>
        <w:t>to</w:t>
      </w:r>
      <w:r>
        <w:rPr>
          <w:spacing w:val="18"/>
        </w:rPr>
        <w:t> </w:t>
      </w:r>
      <w:r>
        <w:rPr/>
        <w:t>moderate</w:t>
      </w:r>
      <w:r>
        <w:rPr>
          <w:spacing w:val="17"/>
        </w:rPr>
        <w:t> </w:t>
      </w:r>
      <w:r>
        <w:rPr/>
        <w:t>income</w:t>
      </w:r>
      <w:r>
        <w:rPr>
          <w:spacing w:val="17"/>
        </w:rPr>
        <w:t> </w:t>
      </w:r>
      <w:r>
        <w:rPr/>
        <w:t>households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priced</w:t>
      </w:r>
      <w:r>
        <w:rPr>
          <w:spacing w:val="17"/>
        </w:rPr>
        <w:t> </w:t>
      </w:r>
      <w:r>
        <w:rPr/>
        <w:t>so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low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moderate</w:t>
      </w:r>
      <w:r>
        <w:rPr>
          <w:spacing w:val="17"/>
        </w:rPr>
        <w:t> </w:t>
      </w:r>
      <w:r>
        <w:rPr/>
        <w:t>incomes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able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meet their other</w:t>
      </w:r>
      <w:r>
        <w:rPr>
          <w:spacing w:val="-1"/>
        </w:rPr>
        <w:t> </w:t>
      </w:r>
      <w:r>
        <w:rPr/>
        <w:t>essential basic</w:t>
      </w:r>
      <w:r>
        <w:rPr>
          <w:spacing w:val="-1"/>
        </w:rPr>
        <w:t> </w:t>
      </w:r>
      <w:r>
        <w:rPr/>
        <w:t>living</w:t>
      </w:r>
      <w:r>
        <w:rPr>
          <w:spacing w:val="-2"/>
        </w:rPr>
        <w:t> </w:t>
      </w:r>
      <w:r>
        <w:rPr/>
        <w:t>costs</w:t>
      </w:r>
      <w:r>
        <w:rPr>
          <w:spacing w:val="-1"/>
        </w:rPr>
        <w:t> </w:t>
      </w:r>
      <w:r>
        <w:rPr/>
        <w:t>(Milligan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477" w:lineRule="auto"/>
        <w:ind w:left="700" w:right="1035"/>
        <w:jc w:val="both"/>
      </w:pPr>
      <w:r>
        <w:rPr/>
        <w:t>Affordable housing has become a serious and considerable challenge especially for low</w:t>
      </w:r>
      <w:r>
        <w:rPr>
          <w:spacing w:val="1"/>
        </w:rPr>
        <w:t> </w:t>
      </w:r>
      <w:r>
        <w:rPr/>
        <w:t>incomes households which resulted from continue growth and expansion of the urban</w:t>
      </w:r>
      <w:r>
        <w:rPr>
          <w:spacing w:val="1"/>
        </w:rPr>
        <w:t> </w:t>
      </w:r>
      <w:r>
        <w:rPr/>
        <w:t>centre. The determinants of housing affordability include household income and house</w:t>
      </w:r>
      <w:r>
        <w:rPr>
          <w:spacing w:val="1"/>
        </w:rPr>
        <w:t> </w:t>
      </w:r>
      <w:r>
        <w:rPr/>
        <w:t>price (Olatubara, 2007). Housing affordability is the capacity of household or individual</w:t>
      </w:r>
      <w:r>
        <w:rPr>
          <w:spacing w:val="-57"/>
        </w:rPr>
        <w:t> </w:t>
      </w:r>
      <w:r>
        <w:rPr/>
        <w:t>to meet housing costs while maintaining the ability to meet other basic costs of living</w:t>
      </w:r>
      <w:r>
        <w:rPr>
          <w:spacing w:val="1"/>
        </w:rPr>
        <w:t> </w:t>
      </w:r>
      <w:r>
        <w:rPr/>
        <w:t>without any</w:t>
      </w:r>
      <w:r>
        <w:rPr>
          <w:spacing w:val="-6"/>
        </w:rPr>
        <w:t> </w:t>
      </w:r>
      <w:r>
        <w:rPr/>
        <w:t>problem. This explains the</w:t>
      </w:r>
      <w:r>
        <w:rPr>
          <w:spacing w:val="-1"/>
        </w:rPr>
        <w:t> </w:t>
      </w:r>
      <w:r>
        <w:rPr/>
        <w:t>extent to which the</w:t>
      </w:r>
      <w:r>
        <w:rPr>
          <w:spacing w:val="-1"/>
        </w:rPr>
        <w:t> </w:t>
      </w:r>
      <w:r>
        <w:rPr/>
        <w:t>household or individuals are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80" w:lineRule="auto" w:before="74"/>
        <w:ind w:left="700" w:right="1033"/>
        <w:jc w:val="both"/>
      </w:pPr>
      <w:r>
        <w:rPr/>
        <w:t>able to pay for housing. CIH (1992) as quoted in Onu &amp; Onu (2012) identifies variables</w:t>
      </w:r>
      <w:r>
        <w:rPr>
          <w:spacing w:val="1"/>
        </w:rPr>
        <w:t> </w:t>
      </w:r>
      <w:r>
        <w:rPr/>
        <w:t>which determine whether accommodation is affordable or not. These variables include</w:t>
      </w:r>
      <w:r>
        <w:rPr>
          <w:spacing w:val="1"/>
        </w:rPr>
        <w:t> </w:t>
      </w:r>
      <w:r>
        <w:rPr/>
        <w:t>rent levels, household income and eligibility of households for housing benefits where</w:t>
      </w:r>
      <w:r>
        <w:rPr>
          <w:spacing w:val="1"/>
        </w:rPr>
        <w:t> </w:t>
      </w:r>
      <w:r>
        <w:rPr/>
        <w:t>practiced. House rent represents the level of payment that is required to secure housing</w:t>
      </w:r>
      <w:r>
        <w:rPr>
          <w:spacing w:val="1"/>
        </w:rPr>
        <w:t> </w:t>
      </w:r>
      <w:r>
        <w:rPr/>
        <w:t>unit (Bramley, 2011). The housing industry is composed of competitive firms. The</w:t>
      </w:r>
      <w:r>
        <w:rPr>
          <w:spacing w:val="1"/>
        </w:rPr>
        <w:t> </w:t>
      </w:r>
      <w:r>
        <w:rPr/>
        <w:t>industry‟s aggregate supply depends on its output price and the real price of housing</w:t>
      </w:r>
      <w:r>
        <w:rPr>
          <w:spacing w:val="1"/>
        </w:rPr>
        <w:t> </w:t>
      </w:r>
      <w:r>
        <w:rPr/>
        <w:t>structure. Limits to supply of any factor of construction and increases in demand for</w:t>
      </w:r>
      <w:r>
        <w:rPr>
          <w:spacing w:val="1"/>
        </w:rPr>
        <w:t> </w:t>
      </w:r>
      <w:r>
        <w:rPr/>
        <w:t>construction will boost the equilibrium price of houses (Lee &amp; Ong, 2005). This is</w:t>
      </w:r>
      <w:r>
        <w:rPr>
          <w:spacing w:val="1"/>
        </w:rPr>
        <w:t> </w:t>
      </w:r>
      <w:r>
        <w:rPr/>
        <w:t>supported by Meen (2002) who asserted that positive demand in housing leads to a</w:t>
      </w:r>
      <w:r>
        <w:rPr>
          <w:spacing w:val="1"/>
        </w:rPr>
        <w:t> </w:t>
      </w:r>
      <w:r>
        <w:rPr/>
        <w:t>temporary increase in</w:t>
      </w:r>
      <w:r>
        <w:rPr>
          <w:spacing w:val="1"/>
        </w:rPr>
        <w:t> </w:t>
      </w:r>
      <w:r>
        <w:rPr/>
        <w:t>house rents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short-run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inelastic housing</w:t>
      </w:r>
      <w:r>
        <w:rPr>
          <w:spacing w:val="1"/>
        </w:rPr>
        <w:t> </w:t>
      </w:r>
      <w:r>
        <w:rPr/>
        <w:t>supply,</w:t>
      </w:r>
      <w:r>
        <w:rPr>
          <w:spacing w:val="-1"/>
        </w:rPr>
        <w:t> </w:t>
      </w:r>
      <w:r>
        <w:rPr/>
        <w:t>but rents overshoot on the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run.</w:t>
      </w:r>
    </w:p>
    <w:p>
      <w:pPr>
        <w:pStyle w:val="BodyText"/>
        <w:spacing w:before="1"/>
      </w:pPr>
    </w:p>
    <w:p>
      <w:pPr>
        <w:pStyle w:val="BodyText"/>
        <w:spacing w:line="477" w:lineRule="auto" w:before="1"/>
        <w:ind w:left="700" w:right="1060"/>
        <w:jc w:val="both"/>
      </w:pPr>
      <w:r>
        <w:rPr/>
        <w:t>Right to adequate and affordable housing is an important component of standard of</w:t>
      </w:r>
      <w:r>
        <w:rPr>
          <w:spacing w:val="1"/>
        </w:rPr>
        <w:t> </w:t>
      </w:r>
      <w:r>
        <w:rPr/>
        <w:t>living. Improvement in housing stock when it is well planned with acceptable standard</w:t>
      </w:r>
      <w:r>
        <w:rPr>
          <w:spacing w:val="1"/>
        </w:rPr>
        <w:t> </w:t>
      </w:r>
      <w:r>
        <w:rPr/>
        <w:t>of infrastructures and affordable cost, it becomes strategically important social and</w:t>
      </w:r>
      <w:r>
        <w:rPr>
          <w:spacing w:val="1"/>
        </w:rPr>
        <w:t> </w:t>
      </w:r>
      <w:r>
        <w:rPr/>
        <w:t>economic investment to the individual family and the community at large. As housing</w:t>
      </w:r>
      <w:r>
        <w:rPr>
          <w:spacing w:val="1"/>
        </w:rPr>
        <w:t> </w:t>
      </w:r>
      <w:r>
        <w:rPr/>
        <w:t>contributes towards improved health and increase productivity, government should see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(Babatunde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/>
        <w:ind w:left="700" w:right="1054"/>
        <w:jc w:val="both"/>
      </w:pPr>
      <w:r>
        <w:rPr/>
        <w:t>It is crucial to state that while the state governments built estates are more or less</w:t>
      </w:r>
      <w:r>
        <w:rPr>
          <w:spacing w:val="1"/>
        </w:rPr>
        <w:t> </w:t>
      </w:r>
      <w:r>
        <w:rPr/>
        <w:t>allocated to civil servants on owner occupier basis, the ones built by private developers</w:t>
      </w:r>
      <w:r>
        <w:rPr>
          <w:spacing w:val="1"/>
        </w:rPr>
        <w:t> </w:t>
      </w:r>
      <w:r>
        <w:rPr/>
        <w:t>are sold at exorbitant rates. This situation is explained by Adajumo (2008) when he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sale,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developers have taken large loans from banks to finance their building projects, their</w:t>
      </w:r>
      <w:r>
        <w:rPr>
          <w:spacing w:val="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is necessarily</w:t>
      </w:r>
      <w:r>
        <w:rPr>
          <w:spacing w:val="-5"/>
        </w:rPr>
        <w:t> </w:t>
      </w:r>
      <w:r>
        <w:rPr/>
        <w:t>to get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quick return on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money; hence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prefer to sell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58"/>
        <w:jc w:val="both"/>
      </w:pPr>
      <w:r>
        <w:rPr/>
        <w:t>these houses, usually at high prices, to ensure that they have a minimum of 50% profit.</w:t>
      </w:r>
      <w:r>
        <w:rPr>
          <w:spacing w:val="1"/>
        </w:rPr>
        <w:t> </w:t>
      </w:r>
      <w:r>
        <w:rPr/>
        <w:t>After completion of the sale, they usually have 100% profit, if not more. This leaves</w:t>
      </w:r>
      <w:r>
        <w:rPr>
          <w:spacing w:val="1"/>
        </w:rPr>
        <w:t> </w:t>
      </w:r>
      <w:r>
        <w:rPr/>
        <w:t>Nigerians who are not civil servants and are not rich in cold in matters of adequate</w:t>
      </w:r>
      <w:r>
        <w:rPr>
          <w:spacing w:val="1"/>
        </w:rPr>
        <w:t> </w:t>
      </w:r>
      <w:r>
        <w:rPr/>
        <w:t>shelter; the cost at which the house reaches the market will go a long way to determine</w:t>
      </w:r>
      <w:r>
        <w:rPr>
          <w:spacing w:val="1"/>
        </w:rPr>
        <w:t> </w:t>
      </w:r>
      <w:r>
        <w:rPr/>
        <w:t>affordability</w:t>
      </w:r>
      <w:r>
        <w:rPr>
          <w:spacing w:val="-6"/>
        </w:rPr>
        <w:t> </w:t>
      </w:r>
      <w:r>
        <w:rPr/>
        <w:t>(Adajumo, 2008).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The income of an employee determines his ability to afford a house. Where per unit cost</w:t>
      </w:r>
      <w:r>
        <w:rPr>
          <w:spacing w:val="-57"/>
        </w:rPr>
        <w:t> </w:t>
      </w:r>
      <w:r>
        <w:rPr/>
        <w:t>of building is abnormally high as we have today, the simple implication is that few</w:t>
      </w:r>
      <w:r>
        <w:rPr>
          <w:spacing w:val="1"/>
        </w:rPr>
        <w:t> </w:t>
      </w:r>
      <w:r>
        <w:rPr/>
        <w:t>people will be able to afford it (Bello, 2008). The limited finance available will not be</w:t>
      </w:r>
      <w:r>
        <w:rPr>
          <w:spacing w:val="1"/>
        </w:rPr>
        <w:t> </w:t>
      </w:r>
      <w:r>
        <w:rPr/>
        <w:t>able to spread around the potential home owners. The gap between income and shelter</w:t>
      </w:r>
      <w:r>
        <w:rPr>
          <w:spacing w:val="1"/>
        </w:rPr>
        <w:t> </w:t>
      </w:r>
      <w:r>
        <w:rPr/>
        <w:t>cost in Nigeria is very wide. This has eliminated the low-income earners from 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 Rising cost of building materials, inflation rate in the economy, high space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quality</w:t>
      </w:r>
      <w:r>
        <w:rPr>
          <w:spacing w:val="27"/>
        </w:rPr>
        <w:t> </w:t>
      </w:r>
      <w:r>
        <w:rPr/>
        <w:t>standards</w:t>
      </w:r>
      <w:r>
        <w:rPr>
          <w:spacing w:val="35"/>
        </w:rPr>
        <w:t> </w:t>
      </w:r>
      <w:r>
        <w:rPr/>
        <w:t>adopted</w:t>
      </w:r>
      <w:r>
        <w:rPr>
          <w:spacing w:val="31"/>
        </w:rPr>
        <w:t> </w:t>
      </w:r>
      <w:r>
        <w:rPr/>
        <w:t>by</w:t>
      </w:r>
      <w:r>
        <w:rPr>
          <w:spacing w:val="30"/>
        </w:rPr>
        <w:t> </w:t>
      </w:r>
      <w:r>
        <w:rPr/>
        <w:t>designers,</w:t>
      </w:r>
      <w:r>
        <w:rPr>
          <w:spacing w:val="34"/>
        </w:rPr>
        <w:t> </w:t>
      </w:r>
      <w:r>
        <w:rPr/>
        <w:t>fees</w:t>
      </w:r>
      <w:r>
        <w:rPr>
          <w:spacing w:val="35"/>
        </w:rPr>
        <w:t> </w:t>
      </w:r>
      <w:r>
        <w:rPr/>
        <w:t>of</w:t>
      </w:r>
      <w:r>
        <w:rPr>
          <w:spacing w:val="31"/>
        </w:rPr>
        <w:t> </w:t>
      </w:r>
      <w:r>
        <w:rPr/>
        <w:t>professionals</w:t>
      </w:r>
      <w:r>
        <w:rPr>
          <w:spacing w:val="33"/>
        </w:rPr>
        <w:t> </w:t>
      </w:r>
      <w:r>
        <w:rPr/>
        <w:t>involved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designs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construction, excessive</w:t>
      </w:r>
      <w:r>
        <w:rPr>
          <w:spacing w:val="-1"/>
        </w:rPr>
        <w:t> </w:t>
      </w:r>
      <w:r>
        <w:rPr/>
        <w:t>profit of contractors.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475" w:lineRule="auto"/>
        <w:ind w:left="700" w:right="1056"/>
        <w:jc w:val="both"/>
      </w:pPr>
      <w:r>
        <w:rPr/>
        <w:t>The average income of Nigerians is too low to support the construction of buildings</w:t>
      </w:r>
      <w:r>
        <w:rPr>
          <w:spacing w:val="1"/>
        </w:rPr>
        <w:t> </w:t>
      </w:r>
      <w:r>
        <w:rPr/>
        <w:t>within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short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even</w:t>
      </w:r>
      <w:r>
        <w:rPr>
          <w:spacing w:val="15"/>
        </w:rPr>
        <w:t> </w:t>
      </w:r>
      <w:r>
        <w:rPr/>
        <w:t>medium</w:t>
      </w:r>
      <w:r>
        <w:rPr>
          <w:spacing w:val="16"/>
        </w:rPr>
        <w:t> </w:t>
      </w:r>
      <w:r>
        <w:rPr/>
        <w:t>time</w:t>
      </w:r>
      <w:r>
        <w:rPr>
          <w:spacing w:val="15"/>
        </w:rPr>
        <w:t> </w:t>
      </w:r>
      <w:r>
        <w:rPr/>
        <w:t>span</w:t>
      </w:r>
      <w:r>
        <w:rPr>
          <w:spacing w:val="15"/>
        </w:rPr>
        <w:t> </w:t>
      </w:r>
      <w:r>
        <w:rPr/>
        <w:t>(Opaluwa,</w:t>
      </w:r>
      <w:r>
        <w:rPr>
          <w:spacing w:val="15"/>
        </w:rPr>
        <w:t> </w:t>
      </w:r>
      <w:r>
        <w:rPr/>
        <w:t>2010).</w:t>
      </w:r>
      <w:r>
        <w:rPr>
          <w:spacing w:val="15"/>
        </w:rPr>
        <w:t> </w:t>
      </w:r>
      <w:r>
        <w:rPr/>
        <w:t>Many</w:t>
      </w:r>
      <w:r>
        <w:rPr>
          <w:spacing w:val="10"/>
        </w:rPr>
        <w:t> </w:t>
      </w:r>
      <w:r>
        <w:rPr/>
        <w:t>even</w:t>
      </w:r>
      <w:r>
        <w:rPr>
          <w:spacing w:val="15"/>
        </w:rPr>
        <w:t> </w:t>
      </w:r>
      <w:r>
        <w:rPr/>
        <w:t>find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to cope with regular and prompt rent payment. This makes the aspiration of the average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to own a</w:t>
      </w:r>
      <w:r>
        <w:rPr>
          <w:spacing w:val="-1"/>
        </w:rPr>
        <w:t> </w:t>
      </w:r>
      <w:r>
        <w:rPr/>
        <w:t>house</w:t>
      </w:r>
      <w:r>
        <w:rPr>
          <w:spacing w:val="1"/>
        </w:rPr>
        <w:t> </w:t>
      </w:r>
      <w:r>
        <w:rPr/>
        <w:t>or occupy</w:t>
      </w:r>
      <w:r>
        <w:rPr>
          <w:spacing w:val="-5"/>
        </w:rPr>
        <w:t> </w:t>
      </w:r>
      <w:r>
        <w:rPr/>
        <w:t>adequate rented apartment almost elusive.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Concept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livability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700" w:right="1060"/>
        <w:jc w:val="both"/>
      </w:pPr>
      <w:r>
        <w:rPr/>
        <w:t>Throsby,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liveability 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-57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characteristics could be divided into tangible features, particularly with regard to the</w:t>
      </w:r>
      <w:r>
        <w:rPr>
          <w:spacing w:val="1"/>
        </w:rPr>
        <w:t> </w:t>
      </w:r>
      <w:r>
        <w:rPr/>
        <w:t>availability of public infrastructure and intangible features, such as sense of place, local</w:t>
      </w:r>
      <w:r>
        <w:rPr>
          <w:spacing w:val="1"/>
        </w:rPr>
        <w:t> </w:t>
      </w:r>
      <w:r>
        <w:rPr/>
        <w:t>identity</w:t>
      </w:r>
      <w:r>
        <w:rPr>
          <w:spacing w:val="-5"/>
        </w:rPr>
        <w:t> </w:t>
      </w:r>
      <w:r>
        <w:rPr/>
        <w:t>and social</w:t>
      </w:r>
      <w:r>
        <w:rPr>
          <w:spacing w:val="1"/>
        </w:rPr>
        <w:t> </w:t>
      </w:r>
      <w:r>
        <w:rPr/>
        <w:t>networks. Webster dictionary</w:t>
      </w:r>
      <w:r>
        <w:rPr>
          <w:spacing w:val="-5"/>
        </w:rPr>
        <w:t> </w:t>
      </w:r>
      <w:r>
        <w:rPr/>
        <w:t>defines</w:t>
      </w:r>
      <w:r>
        <w:rPr>
          <w:spacing w:val="1"/>
        </w:rPr>
        <w:t> </w:t>
      </w:r>
      <w:r>
        <w:rPr/>
        <w:t>livability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„„suitability</w:t>
      </w:r>
      <w:r>
        <w:rPr>
          <w:spacing w:val="-4"/>
        </w:rPr>
        <w:t> </w:t>
      </w:r>
      <w:r>
        <w:rPr/>
        <w:t>for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68" w:lineRule="auto" w:before="74"/>
        <w:ind w:left="700" w:right="1056"/>
        <w:jc w:val="both"/>
      </w:pPr>
      <w:r>
        <w:rPr/>
        <w:t>human living‟‟. Livability means quality of life, standard of living or general well-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population in some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such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city.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77" w:lineRule="auto" w:before="1"/>
        <w:ind w:left="700" w:right="1034"/>
        <w:jc w:val="both"/>
      </w:pPr>
      <w:r>
        <w:rPr/>
        <w:t>Liveability refers to the living conditions of a place and reflects people‟s perception of</w:t>
      </w:r>
      <w:r>
        <w:rPr>
          <w:spacing w:val="1"/>
        </w:rPr>
        <w:t> </w:t>
      </w:r>
      <w:r>
        <w:rPr/>
        <w:t>the place to be fit for living or not. Though the interpretation of liveability varies with</w:t>
      </w:r>
      <w:r>
        <w:rPr>
          <w:spacing w:val="1"/>
        </w:rPr>
        <w:t> </w:t>
      </w:r>
      <w:r>
        <w:rPr/>
        <w:t>time and place but the concept seems to share terms like “quality of life”, “well-being”</w:t>
      </w:r>
      <w:r>
        <w:rPr>
          <w:spacing w:val="1"/>
        </w:rPr>
        <w:t> </w:t>
      </w:r>
      <w:r>
        <w:rPr/>
        <w:t>and “life satisfaction” all across (Rama </w:t>
      </w:r>
      <w:r>
        <w:rPr>
          <w:i/>
        </w:rPr>
        <w:t>et al., </w:t>
      </w:r>
      <w:r>
        <w:rPr/>
        <w:t>2013). Liveability encompasses numerous</w:t>
      </w:r>
      <w:r>
        <w:rPr>
          <w:spacing w:val="1"/>
        </w:rPr>
        <w:t> </w:t>
      </w:r>
      <w:r>
        <w:rPr/>
        <w:t>factors that depend on locally prevailing economic, social and cultural</w:t>
      </w:r>
      <w:r>
        <w:rPr>
          <w:spacing w:val="60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and therefore becomes necessary to contextualize liveability by enlarging focus beyond</w:t>
      </w:r>
      <w:r>
        <w:rPr>
          <w:spacing w:val="1"/>
        </w:rPr>
        <w:t> </w:t>
      </w:r>
      <w:r>
        <w:rPr/>
        <w:t>generic attributes (Rama </w:t>
      </w:r>
      <w:r>
        <w:rPr>
          <w:i/>
        </w:rPr>
        <w:t>et al., </w:t>
      </w:r>
      <w:r>
        <w:rPr/>
        <w:t>2013). Livability now a day is pre-requisite for healthy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life.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7" w:lineRule="auto"/>
        <w:ind w:left="700" w:right="1053"/>
        <w:jc w:val="both"/>
      </w:pPr>
      <w:r>
        <w:rPr/>
        <w:t>Senlier </w:t>
      </w:r>
      <w:r>
        <w:rPr>
          <w:i/>
        </w:rPr>
        <w:t>et al. </w:t>
      </w:r>
      <w:r>
        <w:rPr/>
        <w:t>2013 stated that urban quality of life attracts attention as an important</w:t>
      </w:r>
      <w:r>
        <w:rPr>
          <w:spacing w:val="1"/>
        </w:rPr>
        <w:t> </w:t>
      </w:r>
      <w:r>
        <w:rPr/>
        <w:t>indicator of sustainable development of cities. Livability, as a measurable component of</w:t>
      </w:r>
      <w:r>
        <w:rPr>
          <w:spacing w:val="-57"/>
        </w:rPr>
        <w:t> </w:t>
      </w:r>
      <w:r>
        <w:rPr/>
        <w:t>quality of life and urban</w:t>
      </w:r>
      <w:r>
        <w:rPr>
          <w:spacing w:val="1"/>
        </w:rPr>
        <w:t> </w:t>
      </w:r>
      <w:r>
        <w:rPr/>
        <w:t>quality of life concepts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 space, is</w:t>
      </w:r>
      <w:r>
        <w:rPr>
          <w:spacing w:val="1"/>
        </w:rPr>
        <w:t> </w:t>
      </w:r>
      <w:r>
        <w:rPr/>
        <w:t>defined at</w:t>
      </w:r>
      <w:r>
        <w:rPr>
          <w:spacing w:val="60"/>
        </w:rPr>
        <w:t> </w:t>
      </w:r>
      <w:r>
        <w:rPr/>
        <w:t>utmost</w:t>
      </w:r>
      <w:r>
        <w:rPr>
          <w:spacing w:val="1"/>
        </w:rPr>
        <w:t> </w:t>
      </w:r>
      <w:r>
        <w:rPr/>
        <w:t>level as, the right of honorable life, and respect to human‟s rights of existence in life. In</w:t>
      </w:r>
      <w:r>
        <w:rPr>
          <w:spacing w:val="1"/>
        </w:rPr>
        <w:t> </w:t>
      </w:r>
      <w:r>
        <w:rPr/>
        <w:t>line with this, provisioning of livability for the built environment of housing areas, that</w:t>
      </w:r>
      <w:r>
        <w:rPr>
          <w:spacing w:val="1"/>
        </w:rPr>
        <w:t> </w:t>
      </w:r>
      <w:r>
        <w:rPr/>
        <w:t>form the main function of urban settlements, emerges as an important issue. Thus, the</w:t>
      </w:r>
      <w:r>
        <w:rPr>
          <w:spacing w:val="1"/>
        </w:rPr>
        <w:t> </w:t>
      </w:r>
      <w:r>
        <w:rPr/>
        <w:t>necessity of providing the inhabitants not only the basic spatial needs, but also a way of</w:t>
      </w:r>
      <w:r>
        <w:rPr>
          <w:spacing w:val="1"/>
        </w:rPr>
        <w:t> </w:t>
      </w:r>
      <w:r>
        <w:rPr/>
        <w:t>life that individuals get involved as a participant in producing and consuming together,</w:t>
      </w:r>
      <w:r>
        <w:rPr>
          <w:spacing w:val="1"/>
        </w:rPr>
        <w:t> </w:t>
      </w:r>
      <w:r>
        <w:rPr/>
        <w:t>turns</w:t>
      </w:r>
      <w:r>
        <w:rPr>
          <w:spacing w:val="-1"/>
        </w:rPr>
        <w:t> </w:t>
      </w:r>
      <w:r>
        <w:rPr/>
        <w:t>out to be</w:t>
      </w:r>
      <w:r>
        <w:rPr>
          <w:spacing w:val="-1"/>
        </w:rPr>
        <w:t> </w:t>
      </w:r>
      <w:r>
        <w:rPr/>
        <w:t>the main issue</w:t>
      </w:r>
      <w:r>
        <w:rPr>
          <w:spacing w:val="-1"/>
        </w:rPr>
        <w:t> </w:t>
      </w:r>
      <w:r>
        <w:rPr/>
        <w:t>(Şenlier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2013)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/>
        <w:ind w:left="700" w:right="1055"/>
        <w:jc w:val="both"/>
      </w:pPr>
      <w:r>
        <w:rPr/>
        <w:t>A livable community is an age-friendly community fostering active participation and</w:t>
      </w:r>
      <w:r>
        <w:rPr>
          <w:spacing w:val="1"/>
        </w:rPr>
        <w:t> </w:t>
      </w:r>
      <w:r>
        <w:rPr/>
        <w:t>independence.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safer,</w:t>
      </w:r>
      <w:r>
        <w:rPr>
          <w:spacing w:val="1"/>
        </w:rPr>
        <w:t> </w:t>
      </w:r>
      <w:r>
        <w:rPr/>
        <w:t>barrier-free</w:t>
      </w:r>
      <w:r>
        <w:rPr>
          <w:spacing w:val="-57"/>
        </w:rPr>
        <w:t> </w:t>
      </w:r>
      <w:r>
        <w:rPr/>
        <w:t>buildings and streets, better access to local businesses, and more green spaces (Hunter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2011). Planning</w:t>
      </w:r>
      <w:r>
        <w:rPr>
          <w:spacing w:val="-3"/>
        </w:rPr>
        <w:t> </w:t>
      </w:r>
      <w:r>
        <w:rPr/>
        <w:t>local</w:t>
      </w:r>
      <w:r>
        <w:rPr>
          <w:spacing w:val="2"/>
        </w:rPr>
        <w:t> </w:t>
      </w:r>
      <w:r>
        <w:rPr/>
        <w:t>amenities</w:t>
      </w:r>
      <w:r>
        <w:rPr>
          <w:spacing w:val="-1"/>
        </w:rPr>
        <w:t> </w:t>
      </w:r>
      <w:r>
        <w:rPr/>
        <w:t>in walking</w:t>
      </w:r>
      <w:r>
        <w:rPr>
          <w:spacing w:val="-3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important.</w:t>
      </w:r>
    </w:p>
    <w:p>
      <w:pPr>
        <w:spacing w:after="0" w:line="475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2" w:lineRule="auto" w:before="76"/>
        <w:ind w:left="700" w:right="1060"/>
        <w:jc w:val="both"/>
      </w:pPr>
      <w:r>
        <w:rPr/>
        <w:t>An ideal livable community explores the complex relationship between neighborhood</w:t>
      </w:r>
      <w:r>
        <w:rPr>
          <w:spacing w:val="1"/>
        </w:rPr>
        <w:t> </w:t>
      </w:r>
      <w:r>
        <w:rPr/>
        <w:t>walkability features and the participation of residents in social and community activities</w:t>
      </w:r>
      <w:r>
        <w:rPr>
          <w:spacing w:val="-57"/>
        </w:rPr>
        <w:t> </w:t>
      </w:r>
      <w:r>
        <w:rPr/>
        <w:t>(Metlife</w:t>
      </w:r>
      <w:r>
        <w:rPr>
          <w:spacing w:val="-3"/>
        </w:rPr>
        <w:t> </w:t>
      </w:r>
      <w:r>
        <w:rPr/>
        <w:t>Mature</w:t>
      </w:r>
      <w:r>
        <w:rPr>
          <w:spacing w:val="-2"/>
        </w:rPr>
        <w:t> </w:t>
      </w:r>
      <w:r>
        <w:rPr/>
        <w:t>Markets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Stanford Center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Longevity, 2013).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5" w:lineRule="auto"/>
        <w:ind w:left="700" w:right="1060"/>
        <w:jc w:val="both"/>
      </w:pPr>
      <w:r>
        <w:rPr/>
        <w:t>The term „livability‟ as urban planning concept emerged as a philosophy for proactive</w:t>
      </w:r>
      <w:r>
        <w:rPr>
          <w:spacing w:val="1"/>
        </w:rPr>
        <w:t> </w:t>
      </w:r>
      <w:r>
        <w:rPr/>
        <w:t>planning/management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academics and planners were confronted with the effects of urban sprawl such as social</w:t>
      </w:r>
      <w:r>
        <w:rPr>
          <w:spacing w:val="1"/>
        </w:rPr>
        <w:t> </w:t>
      </w:r>
      <w:r>
        <w:rPr/>
        <w:t>alienation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loss of sense</w:t>
      </w:r>
      <w:r>
        <w:rPr>
          <w:spacing w:val="-1"/>
        </w:rPr>
        <w:t> </w:t>
      </w:r>
      <w:r>
        <w:rPr/>
        <w:t>of community</w:t>
      </w:r>
      <w:r>
        <w:rPr>
          <w:spacing w:val="-5"/>
        </w:rPr>
        <w:t> </w:t>
      </w:r>
      <w:r>
        <w:rPr/>
        <w:t>(Sule</w:t>
      </w:r>
      <w:r>
        <w:rPr>
          <w:spacing w:val="4"/>
        </w:rPr>
        <w:t> </w:t>
      </w:r>
      <w:r>
        <w:rPr>
          <w:i/>
        </w:rPr>
        <w:t>et al., </w:t>
      </w:r>
      <w:r>
        <w:rPr/>
        <w:t>2017)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/>
        <w:ind w:left="700" w:right="1033"/>
        <w:jc w:val="both"/>
      </w:pPr>
      <w:r>
        <w:rPr/>
        <w:t>There is a growing concern about city livability around the world and of particular</w:t>
      </w:r>
      <w:r>
        <w:rPr>
          <w:spacing w:val="1"/>
        </w:rPr>
        <w:t> </w:t>
      </w:r>
      <w:r>
        <w:rPr/>
        <w:t>concern is the aspects of the person-environment relationship which encompasses many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suffice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livable.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vitality and safety environment. These livability dimensions as well as their attributes</w:t>
      </w:r>
      <w:r>
        <w:rPr>
          <w:spacing w:val="1"/>
        </w:rPr>
        <w:t> </w:t>
      </w:r>
      <w:r>
        <w:rPr/>
        <w:t>found in the extant literature have been reported to have high reliability measurement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(Sule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2017).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The concept of liveability stands for the interaction between the community and the</w:t>
      </w:r>
      <w:r>
        <w:rPr>
          <w:spacing w:val="1"/>
        </w:rPr>
        <w:t> </w:t>
      </w:r>
      <w:r>
        <w:rPr/>
        <w:t>environment (Safer </w:t>
      </w:r>
      <w:r>
        <w:rPr>
          <w:i/>
        </w:rPr>
        <w:t>et al., </w:t>
      </w:r>
      <w:r>
        <w:rPr/>
        <w:t>2000). How well a city works for its inhabitants is the central</w:t>
      </w:r>
      <w:r>
        <w:rPr>
          <w:spacing w:val="1"/>
        </w:rPr>
        <w:t> </w:t>
      </w:r>
      <w:r>
        <w:rPr/>
        <w:t>focus of liveability. The inhabitants of cities need services for their well-being; this</w:t>
      </w:r>
      <w:r>
        <w:rPr>
          <w:spacing w:val="1"/>
        </w:rPr>
        <w:t> </w:t>
      </w:r>
      <w:r>
        <w:rPr/>
        <w:t>naturally brings about the concept of liveable city. The extant literature neither provide a</w:t>
      </w:r>
      <w:r>
        <w:rPr>
          <w:spacing w:val="-57"/>
        </w:rPr>
        <w:t> </w:t>
      </w:r>
      <w:r>
        <w:rPr/>
        <w:t>unified definition of liveability/liveable city nor present a standardize measurement of it.</w:t>
      </w:r>
      <w:r>
        <w:rPr>
          <w:spacing w:val="-57"/>
        </w:rPr>
        <w:t> </w:t>
      </w:r>
      <w:r>
        <w:rPr/>
        <w:t>The Centre for Liveable Cities (2011) refers to liveability as the city with excellent</w:t>
      </w:r>
      <w:r>
        <w:rPr>
          <w:spacing w:val="1"/>
        </w:rPr>
        <w:t> </w:t>
      </w:r>
      <w:r>
        <w:rPr/>
        <w:t>planning that creates lively, an attractive and secure environment for the inhabitants to</w:t>
      </w:r>
      <w:r>
        <w:rPr>
          <w:spacing w:val="1"/>
        </w:rPr>
        <w:t> </w:t>
      </w:r>
      <w:r>
        <w:rPr/>
        <w:t>live, work and play. It has good governance, a competitive economy, high quality of life</w:t>
      </w:r>
      <w:r>
        <w:rPr>
          <w:spacing w:val="-57"/>
        </w:rPr>
        <w:t> </w:t>
      </w:r>
      <w:r>
        <w:rPr/>
        <w:t>and sustainable environment. Thus, it is an urban system that contributes to the physical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wellbeing</w:t>
      </w:r>
      <w:r>
        <w:rPr>
          <w:spacing w:val="-4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personal 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all inhabitants</w:t>
      </w:r>
      <w:r>
        <w:rPr>
          <w:spacing w:val="-1"/>
        </w:rPr>
        <w:t> </w:t>
      </w:r>
      <w:r>
        <w:rPr/>
        <w:t>(Song,</w:t>
      </w:r>
      <w:r>
        <w:rPr>
          <w:spacing w:val="-1"/>
        </w:rPr>
        <w:t> </w:t>
      </w:r>
      <w:r>
        <w:rPr/>
        <w:t>2011).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57"/>
        <w:jc w:val="both"/>
      </w:pPr>
      <w:r>
        <w:rPr/>
        <w:t>Economic Intelligent Unit (2012) described livability as one of the determinants of</w:t>
      </w:r>
      <w:r>
        <w:rPr>
          <w:spacing w:val="1"/>
        </w:rPr>
        <w:t> </w:t>
      </w:r>
      <w:r>
        <w:rPr/>
        <w:t>quality of life. Shuhana </w:t>
      </w:r>
      <w:r>
        <w:rPr>
          <w:i/>
        </w:rPr>
        <w:t>et al., </w:t>
      </w:r>
      <w:r>
        <w:rPr/>
        <w:t>(2012) opined that high quality of living will affect</w:t>
      </w:r>
      <w:r>
        <w:rPr>
          <w:spacing w:val="1"/>
        </w:rPr>
        <w:t> </w:t>
      </w:r>
      <w:r>
        <w:rPr/>
        <w:t>citizen‟s lifestyle, health condition and shows stability of the built environment. Van</w:t>
      </w:r>
      <w:r>
        <w:rPr>
          <w:spacing w:val="1"/>
        </w:rPr>
        <w:t> </w:t>
      </w:r>
      <w:r>
        <w:rPr/>
        <w:t>Dorst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environment. His opinion suggests an ideal environment where the residents maintained</w:t>
      </w:r>
      <w:r>
        <w:rPr>
          <w:spacing w:val="-57"/>
        </w:rPr>
        <w:t> </w:t>
      </w:r>
      <w:r>
        <w:rPr/>
        <w:t>outdoor</w:t>
      </w:r>
      <w:r>
        <w:rPr>
          <w:spacing w:val="-1"/>
        </w:rPr>
        <w:t> </w:t>
      </w:r>
      <w:r>
        <w:rPr/>
        <w:t>spaces</w:t>
      </w:r>
      <w:r>
        <w:rPr>
          <w:spacing w:val="2"/>
        </w:rPr>
        <w:t> </w:t>
      </w:r>
      <w:r>
        <w:rPr/>
        <w:t>collectively.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41"/>
        <w:jc w:val="both"/>
      </w:pPr>
      <w:r>
        <w:rPr/>
        <w:t>City governance was considered as the most important determinant of city livability by</w:t>
      </w:r>
      <w:r>
        <w:rPr>
          <w:spacing w:val="1"/>
        </w:rPr>
        <w:t> </w:t>
      </w:r>
      <w:r>
        <w:rPr/>
        <w:t>the cross-examination of people living in the continent of Africa and those living in the</w:t>
      </w:r>
      <w:r>
        <w:rPr>
          <w:spacing w:val="1"/>
        </w:rPr>
        <w:t> </w:t>
      </w:r>
      <w:r>
        <w:rPr/>
        <w:t>Diaspora (Lawanson </w:t>
      </w:r>
      <w:r>
        <w:rPr>
          <w:i/>
        </w:rPr>
        <w:t>et al., </w:t>
      </w:r>
      <w:r>
        <w:rPr/>
        <w:t>2013). Other studies have investigated various factors in</w:t>
      </w:r>
      <w:r>
        <w:rPr>
          <w:spacing w:val="1"/>
        </w:rPr>
        <w:t> </w:t>
      </w:r>
      <w:r>
        <w:rPr/>
        <w:t>connection with livability such as dwelling units, housing services, neighbourhood and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(Salleh, 2008).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5" w:lineRule="auto"/>
        <w:ind w:left="700" w:right="1056"/>
        <w:jc w:val="both"/>
      </w:pPr>
      <w:r>
        <w:rPr/>
        <w:t>One method to decrease the negative effects of gentrification is through affordable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Municipalities,</w:t>
      </w:r>
      <w:r>
        <w:rPr>
          <w:spacing w:val="1"/>
        </w:rPr>
        <w:t> </w:t>
      </w:r>
      <w:r>
        <w:rPr/>
        <w:t>non-profit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for-profit</w:t>
      </w:r>
      <w:r>
        <w:rPr>
          <w:spacing w:val="-57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can provide</w:t>
      </w:r>
      <w:r>
        <w:rPr>
          <w:spacing w:val="60"/>
        </w:rPr>
        <w:t> </w:t>
      </w:r>
      <w:r>
        <w:rPr/>
        <w:t>affordable housing for low- and moderate-income households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it (Diane </w:t>
      </w:r>
      <w:r>
        <w:rPr>
          <w:i/>
        </w:rPr>
        <w:t>et al.,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/>
        <w:ind w:left="700" w:right="1032"/>
        <w:jc w:val="both"/>
      </w:pP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land-use.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land-use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dispersal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residential,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</w:t>
      </w:r>
      <w:r>
        <w:rPr>
          <w:spacing w:val="1"/>
        </w:rPr>
        <w:t> </w:t>
      </w:r>
      <w:r>
        <w:rPr/>
        <w:t>zoning.</w:t>
      </w:r>
      <w:r>
        <w:rPr>
          <w:spacing w:val="1"/>
        </w:rPr>
        <w:t> </w:t>
      </w:r>
      <w:r>
        <w:rPr/>
        <w:t>Zoning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mixed-use</w:t>
      </w:r>
      <w:r>
        <w:rPr>
          <w:spacing w:val="1"/>
        </w:rPr>
        <w:t> </w:t>
      </w:r>
      <w:r>
        <w:rPr/>
        <w:t>development better supports residents of neighborhoods in leaving their car at home and</w:t>
      </w:r>
      <w:r>
        <w:rPr>
          <w:spacing w:val="-57"/>
        </w:rPr>
        <w:t> </w:t>
      </w:r>
      <w:r>
        <w:rPr/>
        <w:t>walking 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everyday needs</w:t>
      </w:r>
      <w:r>
        <w:rPr>
          <w:spacing w:val="1"/>
        </w:rPr>
        <w:t> </w:t>
      </w:r>
      <w:r>
        <w:rPr/>
        <w:t>(Rosenthal,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land-use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exercise, neighborhood interaction, and sustainability; in addition, the practice results in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(Frank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traffic</w:t>
      </w:r>
      <w:r>
        <w:rPr>
          <w:spacing w:val="-57"/>
        </w:rPr>
        <w:t> </w:t>
      </w:r>
      <w:r>
        <w:rPr/>
        <w:t>congestion in small downtown areas or urban areas, streets are safer, cleaner, and more</w:t>
      </w:r>
      <w:r>
        <w:rPr>
          <w:spacing w:val="1"/>
        </w:rPr>
        <w:t> </w:t>
      </w:r>
      <w:r>
        <w:rPr/>
        <w:t>efficient for the surrounding areas. Rest stops with green spaces and benches along the</w:t>
      </w:r>
      <w:r>
        <w:rPr>
          <w:spacing w:val="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path provide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pleasant walking</w:t>
      </w:r>
      <w:r>
        <w:rPr>
          <w:spacing w:val="-4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(Weiss</w:t>
      </w:r>
      <w:r>
        <w:rPr>
          <w:spacing w:val="4"/>
        </w:rPr>
        <w:t> </w:t>
      </w:r>
      <w:r>
        <w:rPr>
          <w:i/>
        </w:rPr>
        <w:t>et al., </w:t>
      </w:r>
      <w:r>
        <w:rPr/>
        <w:t>2010).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2" w:lineRule="auto" w:before="76"/>
        <w:ind w:left="700" w:right="1055"/>
        <w:jc w:val="both"/>
      </w:pPr>
      <w:r>
        <w:rPr/>
        <w:t>Since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individual, the ultimate aim of any housing program is to improve its adequacy in order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satisfy</w:t>
      </w:r>
      <w:r>
        <w:rPr>
          <w:spacing w:val="-5"/>
        </w:rPr>
        <w:t> </w:t>
      </w:r>
      <w:r>
        <w:rPr/>
        <w:t>the needs of its</w:t>
      </w:r>
      <w:r>
        <w:rPr>
          <w:spacing w:val="2"/>
        </w:rPr>
        <w:t> </w:t>
      </w:r>
      <w:r>
        <w:rPr/>
        <w:t>occupants (Adesoji, 2010).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7" w:lineRule="auto"/>
        <w:ind w:left="700" w:right="1053"/>
        <w:jc w:val="both"/>
      </w:pPr>
      <w:r>
        <w:rPr/>
        <w:t>Several factors have been identified that could influence house rent price. These include</w:t>
      </w:r>
      <w:r>
        <w:rPr>
          <w:spacing w:val="-57"/>
        </w:rPr>
        <w:t> </w:t>
      </w:r>
      <w:r>
        <w:rPr/>
        <w:t>shortage in supply of houses for rent relative to demand, which increases house rent</w:t>
      </w:r>
      <w:r>
        <w:rPr>
          <w:spacing w:val="1"/>
        </w:rPr>
        <w:t> </w:t>
      </w:r>
      <w:r>
        <w:rPr/>
        <w:t>price. In addition, low interest rates increase investment in housing and, consequently,</w:t>
      </w:r>
      <w:r>
        <w:rPr>
          <w:spacing w:val="1"/>
        </w:rPr>
        <w:t> </w:t>
      </w:r>
      <w:r>
        <w:rPr/>
        <w:t>increases supply of houses for rent in a housing market, which pushes down house rent</w:t>
      </w:r>
      <w:r>
        <w:rPr>
          <w:spacing w:val="1"/>
        </w:rPr>
        <w:t> </w:t>
      </w:r>
      <w:r>
        <w:rPr/>
        <w:t>prices. Other factors include house quality, and location. For example, houses made up</w:t>
      </w:r>
      <w:r>
        <w:rPr>
          <w:spacing w:val="1"/>
        </w:rPr>
        <w:t> </w:t>
      </w:r>
      <w:r>
        <w:rPr/>
        <w:t>of high-quality materials and located in the city centre attract higher house rent prices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inferior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found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low-income</w:t>
      </w:r>
      <w:r>
        <w:rPr>
          <w:spacing w:val="-1"/>
        </w:rPr>
        <w:t> </w:t>
      </w:r>
      <w:r>
        <w:rPr/>
        <w:t>areas (Eugene,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54"/>
        <w:jc w:val="both"/>
      </w:pPr>
      <w:r>
        <w:rPr/>
        <w:t>Houses in an area that</w:t>
      </w:r>
      <w:r>
        <w:rPr>
          <w:spacing w:val="60"/>
        </w:rPr>
        <w:t> </w:t>
      </w:r>
      <w:r>
        <w:rPr/>
        <w:t>have trunk infrastructure such as clean portable piped-borne</w:t>
      </w:r>
      <w:r>
        <w:rPr>
          <w:spacing w:val="1"/>
        </w:rPr>
        <w:t> </w:t>
      </w:r>
      <w:r>
        <w:rPr/>
        <w:t>water and electric power will attract a higher house rent price than houses in areas</w:t>
      </w:r>
      <w:r>
        <w:rPr>
          <w:spacing w:val="1"/>
        </w:rPr>
        <w:t> </w:t>
      </w:r>
      <w:r>
        <w:rPr/>
        <w:t>devoid of the infrastructure. An increase in the human population of an area triggers an</w:t>
      </w:r>
      <w:r>
        <w:rPr>
          <w:spacing w:val="1"/>
        </w:rPr>
        <w:t> </w:t>
      </w:r>
      <w:r>
        <w:rPr/>
        <w:t>increased demand for houses for rent relative to supply, which contributes to increased</w:t>
      </w:r>
      <w:r>
        <w:rPr>
          <w:spacing w:val="1"/>
        </w:rPr>
        <w:t> </w:t>
      </w:r>
      <w:r>
        <w:rPr/>
        <w:t>house</w:t>
      </w:r>
      <w:r>
        <w:rPr>
          <w:spacing w:val="-2"/>
        </w:rPr>
        <w:t> </w:t>
      </w:r>
      <w:r>
        <w:rPr/>
        <w:t>rent prices (Eugene, 2017).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5" w:lineRule="auto"/>
        <w:ind w:left="700" w:right="1061"/>
        <w:jc w:val="both"/>
      </w:pPr>
      <w:r>
        <w:rPr/>
        <w:t>Others factors affecting house rent price are mortgage market features, which could</w:t>
      </w:r>
      <w:r>
        <w:rPr>
          <w:spacing w:val="1"/>
        </w:rPr>
        <w:t> </w:t>
      </w:r>
      <w:r>
        <w:rPr/>
        <w:t>encourage or discourage investment in the housing sector. If the market encourages</w:t>
      </w:r>
      <w:r>
        <w:rPr>
          <w:spacing w:val="1"/>
        </w:rPr>
        <w:t> </w:t>
      </w:r>
      <w:r>
        <w:rPr/>
        <w:t>investment in the housing sector, this will result in an increase in the supply of houses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rent and,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reduces house</w:t>
      </w:r>
      <w:r>
        <w:rPr>
          <w:spacing w:val="-1"/>
        </w:rPr>
        <w:t> </w:t>
      </w:r>
      <w:r>
        <w:rPr/>
        <w:t>rent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(Eugene, 2017).</w:t>
      </w:r>
    </w:p>
    <w:p>
      <w:pPr>
        <w:pStyle w:val="BodyText"/>
        <w:rPr>
          <w:sz w:val="26"/>
        </w:rPr>
      </w:pPr>
    </w:p>
    <w:p>
      <w:pPr>
        <w:pStyle w:val="BodyText"/>
        <w:spacing w:line="472" w:lineRule="auto"/>
        <w:ind w:left="700" w:right="1059"/>
        <w:jc w:val="both"/>
      </w:pPr>
      <w:r>
        <w:rPr/>
        <w:t>According to the national Rolling plan, the national housing requirement is between</w:t>
      </w:r>
      <w:r>
        <w:rPr>
          <w:spacing w:val="1"/>
        </w:rPr>
        <w:t> </w:t>
      </w:r>
      <w:r>
        <w:rPr/>
        <w:t>500,000 and 600,000 units, considering the prevailing occupancy ratio of three and four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room (Ojenuwah,</w:t>
      </w:r>
      <w:r>
        <w:rPr>
          <w:spacing w:val="-1"/>
        </w:rPr>
        <w:t> </w:t>
      </w:r>
      <w:r>
        <w:rPr/>
        <w:t>2006). As Abimaje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(2014)</w:t>
      </w:r>
      <w:r>
        <w:rPr>
          <w:spacing w:val="-1"/>
        </w:rPr>
        <w:t> </w:t>
      </w:r>
      <w:r>
        <w:rPr/>
        <w:t>puts it,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rapid</w:t>
      </w:r>
      <w:r>
        <w:rPr>
          <w:spacing w:val="-1"/>
        </w:rPr>
        <w:t> </w:t>
      </w:r>
      <w:r>
        <w:rPr/>
        <w:t>population</w:t>
      </w:r>
    </w:p>
    <w:p>
      <w:pPr>
        <w:spacing w:after="0" w:line="472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68" w:lineRule="auto" w:before="74"/>
        <w:ind w:left="700" w:right="1061"/>
        <w:jc w:val="both"/>
      </w:pPr>
      <w:r>
        <w:rPr/>
        <w:t>increases coupled with rate of urbanization have contributed in no small way to the</w:t>
      </w:r>
      <w:r>
        <w:rPr>
          <w:spacing w:val="1"/>
        </w:rPr>
        <w:t> </w:t>
      </w:r>
      <w:r>
        <w:rPr/>
        <w:t>shortage</w:t>
      </w:r>
      <w:r>
        <w:rPr>
          <w:spacing w:val="-2"/>
        </w:rPr>
        <w:t> </w:t>
      </w:r>
      <w:r>
        <w:rPr/>
        <w:t>of urban housing</w:t>
      </w:r>
      <w:r>
        <w:rPr>
          <w:spacing w:val="-3"/>
        </w:rPr>
        <w:t> </w:t>
      </w:r>
      <w:r>
        <w:rPr/>
        <w:t>in Nigeria.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77" w:lineRule="auto" w:before="1"/>
        <w:ind w:left="700" w:right="1034"/>
        <w:jc w:val="both"/>
      </w:pPr>
      <w:r>
        <w:rPr/>
        <w:t>The income of the average Nigerian is usually not adequate to meet his needs to own a</w:t>
      </w:r>
      <w:r>
        <w:rPr>
          <w:spacing w:val="1"/>
        </w:rPr>
        <w:t> </w:t>
      </w:r>
      <w:r>
        <w:rPr/>
        <w:t>house of his choice or rent an apartment of his taste. Some other challenges faced by</w:t>
      </w:r>
      <w:r>
        <w:rPr>
          <w:spacing w:val="1"/>
        </w:rPr>
        <w:t> </w:t>
      </w:r>
      <w:r>
        <w:rPr/>
        <w:t>Nigerians on housing affordability as enumerated by Onyike, (2007) are cost of land and</w:t>
      </w:r>
      <w:r>
        <w:rPr>
          <w:spacing w:val="-57"/>
        </w:rPr>
        <w:t> </w:t>
      </w:r>
      <w:r>
        <w:rPr/>
        <w:t>building materials, high interest rates on mortgages, poorly developed mortgage finance</w:t>
      </w:r>
      <w:r>
        <w:rPr>
          <w:spacing w:val="1"/>
        </w:rPr>
        <w:t> </w:t>
      </w:r>
      <w:r>
        <w:rPr/>
        <w:t>system, administrative bottlenecks that makes the processing and securing of approvals</w:t>
      </w:r>
      <w:r>
        <w:rPr>
          <w:spacing w:val="1"/>
        </w:rPr>
        <w:t> </w:t>
      </w:r>
      <w:r>
        <w:rPr/>
        <w:t>for building plans, certificates of occupancy and other necessary government permits a</w:t>
      </w:r>
      <w:r>
        <w:rPr>
          <w:spacing w:val="1"/>
        </w:rPr>
        <w:t> </w:t>
      </w:r>
      <w:r>
        <w:rPr/>
        <w:t>nightmare, and the unmitigated corruption in the allocation of government land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framework of</w:t>
      </w:r>
      <w:r>
        <w:rPr>
          <w:spacing w:val="1"/>
        </w:rPr>
        <w:t> </w:t>
      </w:r>
      <w:r>
        <w:rPr/>
        <w:t>Land Use</w:t>
      </w:r>
      <w:r>
        <w:rPr>
          <w:spacing w:val="-1"/>
        </w:rPr>
        <w:t> </w:t>
      </w:r>
      <w:r>
        <w:rPr/>
        <w:t>Act,</w:t>
      </w:r>
      <w:r>
        <w:rPr>
          <w:spacing w:val="-1"/>
        </w:rPr>
        <w:t> </w:t>
      </w:r>
      <w:r>
        <w:rPr/>
        <w:t>Cap 202</w:t>
      </w:r>
      <w:r>
        <w:rPr>
          <w:spacing w:val="2"/>
        </w:rPr>
        <w:t> </w:t>
      </w:r>
      <w:r>
        <w:rPr/>
        <w:t>LFW, 1990.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77" w:lineRule="auto"/>
        <w:ind w:left="700" w:right="1056"/>
        <w:jc w:val="both"/>
      </w:pPr>
      <w:r>
        <w:rPr/>
        <w:t>An adequate, affordable</w:t>
      </w:r>
      <w:r>
        <w:rPr>
          <w:spacing w:val="60"/>
        </w:rPr>
        <w:t> </w:t>
      </w:r>
      <w:r>
        <w:rPr/>
        <w:t>supply of housing is the lifeblood of culturally rich, diverse,</w:t>
      </w:r>
      <w:r>
        <w:rPr>
          <w:spacing w:val="1"/>
        </w:rPr>
        <w:t> </w:t>
      </w:r>
      <w:r>
        <w:rPr/>
        <w:t>and livable urban centers. Without this, people who work here will be forced to move</w:t>
      </w:r>
      <w:r>
        <w:rPr>
          <w:spacing w:val="1"/>
        </w:rPr>
        <w:t> </w:t>
      </w:r>
      <w:r>
        <w:rPr/>
        <w:t>out of the city, with dire impacts not only on individual lives, but also on the region:</w:t>
      </w:r>
      <w:r>
        <w:rPr>
          <w:spacing w:val="1"/>
        </w:rPr>
        <w:t> </w:t>
      </w:r>
      <w:r>
        <w:rPr/>
        <w:t>more traffic congestion,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cornerstone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city‟s</w:t>
      </w:r>
      <w:r>
        <w:rPr>
          <w:spacing w:val="1"/>
        </w:rPr>
        <w:t> </w:t>
      </w:r>
      <w:r>
        <w:rPr/>
        <w:t>commitment to an equity agenda that ensures a fundamental fairness for each individual</w:t>
      </w:r>
      <w:r>
        <w:rPr>
          <w:spacing w:val="-57"/>
        </w:rPr>
        <w:t> </w:t>
      </w:r>
      <w:r>
        <w:rPr/>
        <w:t>and community that calls Seattle home. Without vigilance, we risk becoming a city</w:t>
      </w:r>
      <w:r>
        <w:rPr>
          <w:spacing w:val="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to the</w:t>
      </w:r>
      <w:r>
        <w:rPr>
          <w:spacing w:val="1"/>
        </w:rPr>
        <w:t> </w:t>
      </w:r>
      <w:r>
        <w:rPr/>
        <w:t>affluent and privileged</w:t>
      </w:r>
      <w:r>
        <w:rPr>
          <w:spacing w:val="-1"/>
        </w:rPr>
        <w:t> </w:t>
      </w:r>
      <w:r>
        <w:rPr/>
        <w:t>(Mayor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2015)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decent,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accommodation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affordable disposal prices has been a</w:t>
      </w:r>
      <w:r>
        <w:rPr>
          <w:spacing w:val="1"/>
        </w:rPr>
        <w:t> </w:t>
      </w:r>
      <w:r>
        <w:rPr/>
        <w:t>mirage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 Nigerians especially the</w:t>
      </w:r>
      <w:r>
        <w:rPr>
          <w:spacing w:val="60"/>
        </w:rPr>
        <w:t> </w:t>
      </w:r>
      <w:r>
        <w:rPr/>
        <w:t>middle</w:t>
      </w:r>
      <w:r>
        <w:rPr>
          <w:spacing w:val="1"/>
        </w:rPr>
        <w:t> </w:t>
      </w:r>
      <w:r>
        <w:rPr/>
        <w:t>and low income segment of the society. This is because housing entails large capital</w:t>
      </w:r>
      <w:r>
        <w:rPr>
          <w:spacing w:val="1"/>
        </w:rPr>
        <w:t> </w:t>
      </w:r>
      <w:r>
        <w:rPr/>
        <w:t>financial out lay, which is beyond the surplus accruable to families after caring for other</w:t>
      </w:r>
      <w:r>
        <w:rPr>
          <w:spacing w:val="-57"/>
        </w:rPr>
        <w:t> </w:t>
      </w:r>
      <w:r>
        <w:rPr/>
        <w:t>existential needs of food, clothing, medicals, transportation and other family needs.</w:t>
      </w:r>
      <w:r>
        <w:rPr>
          <w:spacing w:val="1"/>
        </w:rPr>
        <w:t> </w:t>
      </w: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huge</w:t>
      </w:r>
      <w:r>
        <w:rPr>
          <w:spacing w:val="-2"/>
        </w:rPr>
        <w:t> </w:t>
      </w:r>
      <w:r>
        <w:rPr/>
        <w:t>deficit of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4"/>
        </w:rPr>
        <w:t> </w:t>
      </w:r>
      <w:r>
        <w:rPr/>
        <w:t>(Ugochukwu, 2016),</w:t>
      </w:r>
      <w:r>
        <w:rPr>
          <w:spacing w:val="1"/>
        </w:rPr>
        <w:t> </w:t>
      </w:r>
      <w:r>
        <w:rPr/>
        <w:t>which must</w:t>
      </w:r>
      <w:r>
        <w:rPr>
          <w:spacing w:val="-1"/>
        </w:rPr>
        <w:t> </w:t>
      </w:r>
      <w:r>
        <w:rPr/>
        <w:t>be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59"/>
        <w:jc w:val="both"/>
      </w:pPr>
      <w:r>
        <w:rPr/>
        <w:t>accompanied by the livability of such estates and according to (Vera, 2011), he argued</w:t>
      </w:r>
      <w:r>
        <w:rPr>
          <w:spacing w:val="1"/>
        </w:rPr>
        <w:t> </w:t>
      </w:r>
      <w:r>
        <w:rPr/>
        <w:t>that there is not a general consensus on one definition. However, a scan of this national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tangible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intangible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community‟s level of livability. Residents and other community members find tangible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see,</w:t>
      </w:r>
      <w:r>
        <w:rPr>
          <w:spacing w:val="1"/>
        </w:rPr>
        <w:t> </w:t>
      </w:r>
      <w:r>
        <w:rPr/>
        <w:t>identify,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Tangible</w:t>
      </w:r>
      <w:r>
        <w:rPr>
          <w:spacing w:val="1"/>
        </w:rPr>
        <w:t> </w:t>
      </w:r>
      <w:r>
        <w:rPr/>
        <w:t>Elements-visible,</w:t>
      </w:r>
      <w:r>
        <w:rPr>
          <w:spacing w:val="-1"/>
        </w:rPr>
        <w:t> </w:t>
      </w:r>
      <w:r>
        <w:rPr/>
        <w:t>easily</w:t>
      </w:r>
      <w:r>
        <w:rPr>
          <w:spacing w:val="-3"/>
        </w:rPr>
        <w:t> </w:t>
      </w:r>
      <w:r>
        <w:rPr/>
        <w:t>measured.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/>
        <w:ind w:left="700" w:right="1055"/>
        <w:jc w:val="both"/>
      </w:pPr>
      <w:r>
        <w:rPr/>
        <w:t>Choices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Universally 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homes,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public spaces, and communication venues, walk able communities and complete streets,</w:t>
      </w:r>
      <w:r>
        <w:rPr>
          <w:spacing w:val="-57"/>
        </w:rPr>
        <w:t> </w:t>
      </w:r>
      <w:r>
        <w:rPr/>
        <w:t>Accessible, affordable transportation, Choices in mobility options, Sustainable homes</w:t>
      </w:r>
      <w:r>
        <w:rPr>
          <w:spacing w:val="1"/>
        </w:rPr>
        <w:t> </w:t>
      </w:r>
      <w:r>
        <w:rPr/>
        <w:t>and communities using green building, energy-efficiency, and smart growth strategies,</w:t>
      </w:r>
      <w:r>
        <w:rPr>
          <w:spacing w:val="1"/>
        </w:rPr>
        <w:t> </w:t>
      </w:r>
      <w:r>
        <w:rPr/>
        <w:t>Healthy living environments home, workplace, public spaces, Flexible zoning and land-</w:t>
      </w:r>
      <w:r>
        <w:rPr>
          <w:spacing w:val="1"/>
        </w:rPr>
        <w:t> </w:t>
      </w:r>
      <w:r>
        <w:rPr/>
        <w:t>use policies to allow the benefits of multiple and innovative solutions to community</w:t>
      </w:r>
      <w:r>
        <w:rPr>
          <w:spacing w:val="1"/>
        </w:rPr>
        <w:t> </w:t>
      </w:r>
      <w:r>
        <w:rPr/>
        <w:t>issues, Access to appropriate and affordable basic necessities such as healthy food,</w:t>
      </w:r>
      <w:r>
        <w:rPr>
          <w:spacing w:val="1"/>
        </w:rPr>
        <w:t> </w:t>
      </w:r>
      <w:r>
        <w:rPr/>
        <w:t>socialization opportunities, amenities, supportive services, preventative health services,</w:t>
      </w:r>
      <w:r>
        <w:rPr>
          <w:spacing w:val="1"/>
        </w:rPr>
        <w:t> </w:t>
      </w:r>
      <w:r>
        <w:rPr/>
        <w:t>medical care, Safe neighborhoods, Opportunities for active engagement in community</w:t>
      </w:r>
      <w:r>
        <w:rPr>
          <w:spacing w:val="1"/>
        </w:rPr>
        <w:t> </w:t>
      </w:r>
      <w:r>
        <w:rPr/>
        <w:t>life and civic activities by residents of all ages, all cultures, and all abilities, Good</w:t>
      </w:r>
      <w:r>
        <w:rPr>
          <w:spacing w:val="1"/>
        </w:rPr>
        <w:t> </w:t>
      </w:r>
      <w:r>
        <w:rPr/>
        <w:t>educational opportunities, Meaningful volunteer and paid work opportunities for all</w:t>
      </w:r>
      <w:r>
        <w:rPr>
          <w:spacing w:val="1"/>
        </w:rPr>
        <w:t> </w:t>
      </w:r>
      <w:r>
        <w:rPr/>
        <w:t>residents</w:t>
      </w:r>
      <w:r>
        <w:rPr>
          <w:spacing w:val="-1"/>
        </w:rPr>
        <w:t> </w:t>
      </w:r>
      <w:r>
        <w:rPr/>
        <w:t>(Senlier</w:t>
      </w:r>
      <w:r>
        <w:rPr>
          <w:spacing w:val="-2"/>
        </w:rPr>
        <w:t> </w:t>
      </w:r>
      <w:r>
        <w:rPr>
          <w:i/>
        </w:rPr>
        <w:t>et al.,</w:t>
      </w:r>
      <w:r>
        <w:rPr/>
        <w:t>2013).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77" w:lineRule="auto" w:before="1"/>
        <w:ind w:left="700" w:right="1054"/>
        <w:jc w:val="both"/>
      </w:pPr>
      <w:r>
        <w:rPr/>
        <w:t>Vera,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intangible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define;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community evaluations show that residents definitely know when they are missing.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environments and on our daily lives and are the subject of increasing desire by residents</w:t>
      </w:r>
      <w:r>
        <w:rPr>
          <w:spacing w:val="-57"/>
        </w:rPr>
        <w:t> </w:t>
      </w:r>
      <w:r>
        <w:rPr/>
        <w:t>in communities across the country. Some examples include: Intangible Elements less</w:t>
      </w:r>
      <w:r>
        <w:rPr>
          <w:spacing w:val="1"/>
        </w:rPr>
        <w:t> </w:t>
      </w:r>
      <w:r>
        <w:rPr/>
        <w:t>concretely</w:t>
      </w:r>
      <w:r>
        <w:rPr>
          <w:spacing w:val="-6"/>
        </w:rPr>
        <w:t> </w:t>
      </w:r>
      <w:r>
        <w:rPr/>
        <w:t>visible, harder</w:t>
      </w:r>
      <w:r>
        <w:rPr>
          <w:spacing w:val="1"/>
        </w:rPr>
        <w:t> </w:t>
      </w:r>
      <w:r>
        <w:rPr/>
        <w:t>to define.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60"/>
        <w:jc w:val="both"/>
      </w:pPr>
      <w:r>
        <w:rPr/>
        <w:t>Sense of Community</w:t>
      </w:r>
      <w:r>
        <w:rPr>
          <w:i/>
        </w:rPr>
        <w:t>: </w:t>
      </w:r>
      <w:r>
        <w:rPr/>
        <w:t>If a sense of community exists, members feel a shared feeling of</w:t>
      </w:r>
      <w:r>
        <w:rPr>
          <w:spacing w:val="1"/>
        </w:rPr>
        <w:t> </w:t>
      </w:r>
      <w:r>
        <w:rPr/>
        <w:t>belonging, a feeling of interconnectedness among community members; there is a belief</w:t>
      </w:r>
      <w:r>
        <w:rPr>
          <w:spacing w:val="-57"/>
        </w:rPr>
        <w:t> </w:t>
      </w:r>
      <w:r>
        <w:rPr/>
        <w:t>that members matter to one another and to the larger group; there is a shared faith that</w:t>
      </w:r>
      <w:r>
        <w:rPr>
          <w:spacing w:val="1"/>
        </w:rPr>
        <w:t> </w:t>
      </w:r>
      <w:r>
        <w:rPr/>
        <w:t>members‟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community(Ugochukwu, 2016).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Community</w:t>
      </w:r>
      <w:r>
        <w:rPr>
          <w:spacing w:val="1"/>
        </w:rPr>
        <w:t> </w:t>
      </w:r>
      <w:r>
        <w:rPr/>
        <w:t>Empowerment: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(all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groups)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empowered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avenues for actively engaging in civic opportunities and community activities; when</w:t>
      </w:r>
      <w:r>
        <w:rPr>
          <w:spacing w:val="1"/>
        </w:rPr>
        <w:t> </w:t>
      </w:r>
      <w:r>
        <w:rPr/>
        <w:t>their ability to participate in community planning and decision-making is sought and</w:t>
      </w:r>
      <w:r>
        <w:rPr>
          <w:spacing w:val="1"/>
        </w:rPr>
        <w:t> </w:t>
      </w:r>
      <w:r>
        <w:rPr/>
        <w:t>promoted;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when</w:t>
      </w:r>
      <w:r>
        <w:rPr>
          <w:spacing w:val="35"/>
        </w:rPr>
        <w:t> </w:t>
      </w:r>
      <w:r>
        <w:rPr/>
        <w:t>they</w:t>
      </w:r>
      <w:r>
        <w:rPr>
          <w:spacing w:val="33"/>
        </w:rPr>
        <w:t> </w:t>
      </w:r>
      <w:r>
        <w:rPr/>
        <w:t>feel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sense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personal</w:t>
      </w:r>
      <w:r>
        <w:rPr>
          <w:spacing w:val="36"/>
        </w:rPr>
        <w:t> </w:t>
      </w:r>
      <w:r>
        <w:rPr/>
        <w:t>control</w:t>
      </w:r>
      <w:r>
        <w:rPr>
          <w:spacing w:val="36"/>
        </w:rPr>
        <w:t> </w:t>
      </w:r>
      <w:r>
        <w:rPr/>
        <w:t>over</w:t>
      </w:r>
      <w:r>
        <w:rPr>
          <w:spacing w:val="37"/>
        </w:rPr>
        <w:t> </w:t>
      </w:r>
      <w:r>
        <w:rPr/>
        <w:t>decisions</w:t>
      </w:r>
      <w:r>
        <w:rPr>
          <w:spacing w:val="35"/>
        </w:rPr>
        <w:t> </w:t>
      </w:r>
      <w:r>
        <w:rPr/>
        <w:t>about</w:t>
      </w:r>
      <w:r>
        <w:rPr>
          <w:spacing w:val="36"/>
        </w:rPr>
        <w:t> </w:t>
      </w:r>
      <w:r>
        <w:rPr/>
        <w:t>their</w:t>
      </w:r>
      <w:r>
        <w:rPr>
          <w:spacing w:val="-57"/>
        </w:rPr>
        <w:t> </w:t>
      </w:r>
      <w:r>
        <w:rPr/>
        <w:t>daily</w:t>
      </w:r>
      <w:r>
        <w:rPr>
          <w:spacing w:val="-5"/>
        </w:rPr>
        <w:t> </w:t>
      </w:r>
      <w:r>
        <w:rPr/>
        <w:t>lives (Ugochukwu,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77" w:lineRule="auto"/>
        <w:ind w:left="700" w:right="1056"/>
        <w:jc w:val="both"/>
      </w:pPr>
      <w:r>
        <w:rPr/>
        <w:t>Social Capital</w:t>
      </w:r>
      <w:r>
        <w:rPr>
          <w:i/>
        </w:rPr>
        <w:t>: </w:t>
      </w:r>
      <w:r>
        <w:rPr/>
        <w:t>A community‟s social capital is its entire people, the network of social</w:t>
      </w:r>
      <w:r>
        <w:rPr>
          <w:spacing w:val="1"/>
        </w:rPr>
        <w:t> </w:t>
      </w:r>
      <w:r>
        <w:rPr/>
        <w:t>relationships that tie them together, and the value of these relationships for achieving</w:t>
      </w:r>
      <w:r>
        <w:rPr>
          <w:spacing w:val="1"/>
        </w:rPr>
        <w:t> </w:t>
      </w:r>
      <w:r>
        <w:rPr/>
        <w:t>mutual</w:t>
      </w:r>
      <w:r>
        <w:rPr>
          <w:spacing w:val="11"/>
        </w:rPr>
        <w:t> </w:t>
      </w:r>
      <w:r>
        <w:rPr/>
        <w:t>goals.</w:t>
      </w:r>
      <w:r>
        <w:rPr>
          <w:spacing w:val="12"/>
        </w:rPr>
        <w:t> </w:t>
      </w:r>
      <w:r>
        <w:rPr/>
        <w:t>Economic,</w:t>
      </w:r>
      <w:r>
        <w:rPr>
          <w:spacing w:val="13"/>
        </w:rPr>
        <w:t> </w:t>
      </w:r>
      <w:r>
        <w:rPr/>
        <w:t>social,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community-building</w:t>
      </w:r>
      <w:r>
        <w:rPr>
          <w:spacing w:val="9"/>
        </w:rPr>
        <w:t> </w:t>
      </w:r>
      <w:r>
        <w:rPr/>
        <w:t>benefits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maximized</w:t>
      </w:r>
      <w:r>
        <w:rPr>
          <w:spacing w:val="10"/>
        </w:rPr>
        <w:t> </w:t>
      </w:r>
      <w:r>
        <w:rPr/>
        <w:t>when</w:t>
      </w:r>
      <w:r>
        <w:rPr>
          <w:spacing w:val="-57"/>
        </w:rPr>
        <w:t> </w:t>
      </w:r>
      <w:r>
        <w:rPr/>
        <w:t>a community fully capitalizes upon the creativity, skills, knowledge, and resources</w:t>
      </w:r>
      <w:r>
        <w:rPr>
          <w:spacing w:val="1"/>
        </w:rPr>
        <w:t> </w:t>
      </w:r>
      <w:r>
        <w:rPr/>
        <w:t>inherent in its social capital when defining and resolving crucial community issues</w:t>
      </w:r>
      <w:r>
        <w:rPr>
          <w:spacing w:val="1"/>
        </w:rPr>
        <w:t> </w:t>
      </w:r>
      <w:r>
        <w:rPr/>
        <w:t>(Ugochukwu,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51"/>
        <w:jc w:val="both"/>
      </w:pPr>
      <w:r>
        <w:rPr/>
        <w:t>Community Character</w:t>
      </w:r>
      <w:r>
        <w:rPr>
          <w:i/>
        </w:rPr>
        <w:t>: </w:t>
      </w:r>
      <w:r>
        <w:rPr/>
        <w:t>Community character has been described as a combination of</w:t>
      </w:r>
      <w:r>
        <w:rPr>
          <w:spacing w:val="1"/>
        </w:rPr>
        <w:t> </w:t>
      </w:r>
      <w:r>
        <w:rPr/>
        <w:t>traits and values, such as aesthetic and visual resources; existing patterns of landuse,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settlement,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recreation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spaces;</w:t>
      </w:r>
      <w:r>
        <w:rPr>
          <w:spacing w:val="1"/>
        </w:rPr>
        <w:t> </w:t>
      </w:r>
      <w:r>
        <w:rPr/>
        <w:t>historic,</w:t>
      </w:r>
      <w:r>
        <w:rPr>
          <w:spacing w:val="1"/>
        </w:rPr>
        <w:t> </w:t>
      </w:r>
      <w:r>
        <w:rPr/>
        <w:t>heritage,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archeological resources; and level of health and safety. A community that is favorably</w:t>
      </w:r>
      <w:r>
        <w:rPr>
          <w:spacing w:val="1"/>
        </w:rPr>
        <w:t> </w:t>
      </w:r>
      <w:r>
        <w:rPr/>
        <w:t>recognized for its character is one in which the combination of these traits and values</w:t>
      </w:r>
      <w:r>
        <w:rPr>
          <w:spacing w:val="1"/>
        </w:rPr>
        <w:t> </w:t>
      </w:r>
      <w:r>
        <w:rPr/>
        <w:t>reflects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 quality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-2"/>
        </w:rPr>
        <w:t> </w:t>
      </w:r>
      <w:r>
        <w:rPr/>
        <w:t>(Ugochukwu, 2016).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6"/>
        <w:ind w:left="700" w:right="1038"/>
        <w:jc w:val="both"/>
      </w:pPr>
      <w:r>
        <w:rPr/>
        <w:t>While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varied,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definitional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 to all these elements is their significant impact on individual residents‟ quality</w:t>
      </w:r>
      <w:r>
        <w:rPr>
          <w:spacing w:val="1"/>
        </w:rPr>
        <w:t> </w:t>
      </w:r>
      <w:r>
        <w:rPr/>
        <w:t>of life and on the overall community‟s well-being. However, the subjective nature of</w:t>
      </w:r>
      <w:r>
        <w:rPr>
          <w:spacing w:val="1"/>
        </w:rPr>
        <w:t> </w:t>
      </w:r>
      <w:r>
        <w:rPr/>
        <w:t>“quality of life” and “well-being” adds to the imprecision of a definition for livability;</w:t>
      </w:r>
      <w:r>
        <w:rPr>
          <w:spacing w:val="1"/>
        </w:rPr>
        <w:t> </w:t>
      </w:r>
      <w:r>
        <w:rPr/>
        <w:t>and, in addition, as each municipality‟s resident profile and community circumstances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unique,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prioritize</w:t>
      </w:r>
      <w:r>
        <w:rPr>
          <w:spacing w:val="1"/>
        </w:rPr>
        <w:t> </w:t>
      </w:r>
      <w:r>
        <w:rPr/>
        <w:t>livability</w:t>
      </w:r>
      <w:r>
        <w:rPr>
          <w:spacing w:val="-7"/>
        </w:rPr>
        <w:t> </w:t>
      </w:r>
      <w:r>
        <w:rPr/>
        <w:t>aspects (Vera,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77" w:lineRule="auto"/>
        <w:ind w:left="700" w:right="1118"/>
      </w:pPr>
      <w:r>
        <w:rPr/>
        <w:t>According to Vera (2011) stated some factors that contribute to housing unaffordability</w:t>
      </w:r>
      <w:r>
        <w:rPr>
          <w:spacing w:val="-57"/>
        </w:rPr>
        <w:t> </w:t>
      </w:r>
      <w:r>
        <w:rPr/>
        <w:t>Attractive, liveable communities, Population and economic growth, High wages and</w:t>
      </w:r>
      <w:r>
        <w:rPr>
          <w:spacing w:val="1"/>
        </w:rPr>
        <w:t> </w:t>
      </w:r>
      <w:r>
        <w:rPr/>
        <w:t>economic opportunities, Natural restrictions on urban expansion , Restrictions on</w:t>
      </w:r>
      <w:r>
        <w:rPr>
          <w:spacing w:val="1"/>
        </w:rPr>
        <w:t> </w:t>
      </w:r>
      <w:r>
        <w:rPr/>
        <w:t>development density and affordable housing types (townhouses, apartments, secondary</w:t>
      </w:r>
      <w:r>
        <w:rPr>
          <w:spacing w:val="1"/>
        </w:rPr>
        <w:t> </w:t>
      </w:r>
      <w:r>
        <w:rPr/>
        <w:t>suites,</w:t>
      </w:r>
      <w:r>
        <w:rPr>
          <w:spacing w:val="-2"/>
        </w:rPr>
        <w:t> </w:t>
      </w:r>
      <w:r>
        <w:rPr/>
        <w:t>etc.)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Parking</w:t>
      </w:r>
      <w:r>
        <w:rPr>
          <w:spacing w:val="-2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,</w:t>
      </w:r>
      <w:r>
        <w:rPr>
          <w:spacing w:val="1"/>
        </w:rPr>
        <w:t> </w:t>
      </w:r>
      <w:r>
        <w:rPr/>
        <w:t>Infill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fees and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Affordability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Ratios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5" w:lineRule="auto" w:before="1"/>
        <w:ind w:left="700" w:right="1032"/>
        <w:jc w:val="both"/>
      </w:pPr>
      <w:r>
        <w:rPr/>
        <w:t>According to Gan &amp; Hill (2009) affordability can be defined in at least three ways. The</w:t>
      </w:r>
      <w:r>
        <w:rPr>
          <w:spacing w:val="1"/>
        </w:rPr>
        <w:t> </w:t>
      </w:r>
      <w:r>
        <w:rPr>
          <w:i/>
        </w:rPr>
        <w:t>Purchase</w:t>
      </w:r>
      <w:r>
        <w:rPr>
          <w:i/>
          <w:spacing w:val="1"/>
        </w:rPr>
        <w:t> </w:t>
      </w:r>
      <w:r>
        <w:rPr>
          <w:i/>
        </w:rPr>
        <w:t>Affordability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borrow</w:t>
      </w:r>
      <w:r>
        <w:rPr>
          <w:spacing w:val="1"/>
        </w:rPr>
        <w:t> </w:t>
      </w:r>
      <w:r>
        <w:rPr/>
        <w:t>enough funds to buy an asset, the </w:t>
      </w:r>
      <w:r>
        <w:rPr>
          <w:i/>
        </w:rPr>
        <w:t>Repayment Affordability </w:t>
      </w:r>
      <w:r>
        <w:rPr/>
        <w:t>which determines the pay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Income</w:t>
      </w:r>
      <w:r>
        <w:rPr>
          <w:i/>
          <w:spacing w:val="1"/>
        </w:rPr>
        <w:t> </w:t>
      </w:r>
      <w:r>
        <w:rPr>
          <w:i/>
        </w:rPr>
        <w:t>Affordability</w:t>
      </w:r>
      <w:r>
        <w:rPr>
          <w:i/>
          <w:spacing w:val="-2"/>
        </w:rPr>
        <w:t> </w:t>
      </w:r>
      <w:r>
        <w:rPr/>
        <w:t>which measures the house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ratio.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7" w:lineRule="auto"/>
        <w:ind w:left="700" w:right="105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(Bernard,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ratios,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purchase</w:t>
      </w:r>
      <w:r>
        <w:rPr>
          <w:spacing w:val="-57"/>
        </w:rPr>
        <w:t> </w:t>
      </w:r>
      <w:r>
        <w:rPr/>
        <w:t>affordability ratio and the repayment affordability ratio reflect the buyer‟s two main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deciding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owner-occupier‟s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whether he can raise enough funds for the equity share of the funding followed whether</w:t>
      </w:r>
      <w:r>
        <w:rPr>
          <w:spacing w:val="1"/>
        </w:rPr>
        <w:t> </w:t>
      </w:r>
      <w:r>
        <w:rPr/>
        <w:t>he is able to pay off the mortgage. In this context two theories of default are relevant,</w:t>
      </w:r>
      <w:r>
        <w:rPr>
          <w:spacing w:val="1"/>
        </w:rPr>
        <w:t> </w:t>
      </w:r>
      <w:r>
        <w:rPr/>
        <w:t>aiming</w:t>
      </w:r>
      <w:r>
        <w:rPr>
          <w:spacing w:val="-3"/>
        </w:rPr>
        <w:t> </w:t>
      </w:r>
      <w:r>
        <w:rPr/>
        <w:t>at the</w:t>
      </w:r>
      <w:r>
        <w:rPr>
          <w:spacing w:val="-1"/>
        </w:rPr>
        <w:t> </w:t>
      </w:r>
      <w:r>
        <w:rPr/>
        <w:t>risk</w:t>
      </w:r>
      <w:r>
        <w:rPr>
          <w:spacing w:val="2"/>
        </w:rPr>
        <w:t> </w:t>
      </w:r>
      <w:r>
        <w:rPr/>
        <w:t>and the</w:t>
      </w:r>
      <w:r>
        <w:rPr>
          <w:spacing w:val="1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of the borrower not to default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loan.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80" w:lineRule="auto" w:before="90"/>
        <w:ind w:left="700" w:right="1034"/>
        <w:jc w:val="both"/>
      </w:pPr>
      <w:r>
        <w:rPr/>
        <w:t>In the purchase affordability context, the loan-to-value ratio will be considered as this</w:t>
      </w:r>
      <w:r>
        <w:rPr>
          <w:spacing w:val="1"/>
        </w:rPr>
        <w:t> </w:t>
      </w:r>
      <w:r>
        <w:rPr/>
        <w:t>ratio describes</w:t>
      </w:r>
      <w:r>
        <w:rPr>
          <w:spacing w:val="1"/>
        </w:rPr>
        <w:t> </w:t>
      </w:r>
      <w:r>
        <w:rPr/>
        <w:t>the total</w:t>
      </w:r>
      <w:r>
        <w:rPr>
          <w:spacing w:val="1"/>
        </w:rPr>
        <w:t> </w:t>
      </w:r>
      <w:r>
        <w:rPr/>
        <w:t>leverage of the household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fraction of the market</w:t>
      </w:r>
      <w:r>
        <w:rPr>
          <w:spacing w:val="60"/>
        </w:rPr>
        <w:t> </w:t>
      </w:r>
      <w:r>
        <w:rPr/>
        <w:t>value of</w:t>
      </w:r>
      <w:r>
        <w:rPr>
          <w:spacing w:val="-57"/>
        </w:rPr>
        <w:t> </w:t>
      </w:r>
      <w:r>
        <w:rPr/>
        <w:t>the asset at the time given (Zainal, 2010).When looking at the repayment affordability,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(repayments)</w:t>
      </w:r>
      <w:r>
        <w:rPr>
          <w:spacing w:val="33"/>
        </w:rPr>
        <w:t> </w:t>
      </w:r>
      <w:r>
        <w:rPr/>
        <w:t>considers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household‟s</w:t>
      </w:r>
      <w:r>
        <w:rPr>
          <w:spacing w:val="33"/>
        </w:rPr>
        <w:t> </w:t>
      </w:r>
      <w:r>
        <w:rPr/>
        <w:t>monthly</w:t>
      </w:r>
      <w:r>
        <w:rPr>
          <w:spacing w:val="28"/>
        </w:rPr>
        <w:t> </w:t>
      </w:r>
      <w:r>
        <w:rPr/>
        <w:t>mortgage</w:t>
      </w:r>
      <w:r>
        <w:rPr>
          <w:spacing w:val="33"/>
        </w:rPr>
        <w:t> </w:t>
      </w:r>
      <w:r>
        <w:rPr/>
        <w:t>burden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36"/>
        </w:rPr>
        <w:t> </w:t>
      </w:r>
      <w:r>
        <w:rPr/>
        <w:t>percentage</w:t>
      </w:r>
      <w:r>
        <w:rPr>
          <w:spacing w:val="3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household´s income. The installments account for the amount of the total payment</w:t>
      </w:r>
      <w:r>
        <w:rPr>
          <w:spacing w:val="1"/>
        </w:rPr>
        <w:t> </w:t>
      </w:r>
      <w:r>
        <w:rPr/>
        <w:t>which goes directly to the principal of the mortgage often referred to as the Repayment</w:t>
      </w:r>
      <w:r>
        <w:rPr>
          <w:spacing w:val="1"/>
        </w:rPr>
        <w:t> </w:t>
      </w:r>
      <w:r>
        <w:rPr/>
        <w:t>service to income ratio (Bernard, 2008). The</w:t>
      </w:r>
      <w:r>
        <w:rPr>
          <w:spacing w:val="1"/>
        </w:rPr>
        <w:t> </w:t>
      </w:r>
      <w:r>
        <w:rPr/>
        <w:t>interest service to income</w:t>
      </w:r>
      <w:r>
        <w:rPr>
          <w:spacing w:val="60"/>
        </w:rPr>
        <w:t> </w:t>
      </w:r>
      <w:r>
        <w:rPr/>
        <w:t>ratio accounts</w:t>
      </w:r>
      <w:r>
        <w:rPr>
          <w:spacing w:val="1"/>
        </w:rPr>
        <w:t> </w:t>
      </w:r>
      <w:r>
        <w:rPr/>
        <w:t>for the interest part of the whole amount used to pay off the mortgage. Finally the debt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household‟s income. This ratio will be explained but not used in the sensitivity analysis</w:t>
      </w:r>
      <w:r>
        <w:rPr>
          <w:spacing w:val="1"/>
        </w:rPr>
        <w:t> </w:t>
      </w:r>
      <w:r>
        <w:rPr/>
        <w:t>in chapter seven. The income affordability is calculated by the market price of the house</w:t>
      </w:r>
      <w:r>
        <w:rPr>
          <w:spacing w:val="-57"/>
        </w:rPr>
        <w:t> </w:t>
      </w:r>
      <w:r>
        <w:rPr/>
        <w:t>at the time given as a fraction of the household‟s income, as mentioned before. This is</w:t>
      </w:r>
      <w:r>
        <w:rPr>
          <w:spacing w:val="1"/>
        </w:rPr>
        <w:t> </w:t>
      </w:r>
      <w:r>
        <w:rPr/>
        <w:t>often referred to as the price to income ratio. The price to income ratio is, as said before,</w:t>
      </w:r>
      <w:r>
        <w:rPr>
          <w:spacing w:val="-57"/>
        </w:rPr>
        <w:t> </w:t>
      </w:r>
      <w:r>
        <w:rPr/>
        <w:t>one measurement of the affordability of housing, and is often used in affordability</w:t>
      </w:r>
      <w:r>
        <w:rPr>
          <w:spacing w:val="1"/>
        </w:rPr>
        <w:t> </w:t>
      </w:r>
      <w:r>
        <w:rPr/>
        <w:t>indexes</w:t>
      </w:r>
      <w:r>
        <w:rPr>
          <w:spacing w:val="-1"/>
        </w:rPr>
        <w:t> </w:t>
      </w:r>
      <w:r>
        <w:rPr/>
        <w:t>as well as</w:t>
      </w:r>
      <w:r>
        <w:rPr>
          <w:spacing w:val="-1"/>
        </w:rPr>
        <w:t> </w:t>
      </w:r>
      <w:r>
        <w:rPr/>
        <w:t>to describe</w:t>
      </w:r>
      <w:r>
        <w:rPr>
          <w:spacing w:val="-2"/>
        </w:rPr>
        <w:t> </w:t>
      </w:r>
      <w:r>
        <w:rPr/>
        <w:t>the conditions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market (André,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spacing w:before="2"/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The</w:t>
      </w:r>
      <w:r>
        <w:rPr>
          <w:spacing w:val="-3"/>
        </w:rPr>
        <w:t> </w:t>
      </w:r>
      <w:r>
        <w:rPr/>
        <w:t>house</w:t>
      </w:r>
      <w:r>
        <w:rPr>
          <w:spacing w:val="-2"/>
        </w:rPr>
        <w:t> </w:t>
      </w:r>
      <w:r>
        <w:rPr/>
        <w:t>price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700" w:right="1055"/>
        <w:jc w:val="both"/>
      </w:pPr>
      <w:r>
        <w:rPr/>
        <w:t>In order to determine the house price level that follows from an exogenous positive</w:t>
      </w:r>
      <w:r>
        <w:rPr>
          <w:spacing w:val="1"/>
        </w:rPr>
        <w:t> </w:t>
      </w:r>
      <w:r>
        <w:rPr/>
        <w:t>increment to the supply of houses as a result of government policy, it is good to take</w:t>
      </w:r>
      <w:r>
        <w:rPr>
          <w:spacing w:val="1"/>
        </w:rPr>
        <w:t> </w:t>
      </w:r>
      <w:r>
        <w:rPr/>
        <w:t>account of changes to the level of demand. The assumption here is that housing demand</w:t>
      </w:r>
      <w:r>
        <w:rPr>
          <w:spacing w:val="1"/>
        </w:rPr>
        <w:t> </w:t>
      </w:r>
      <w:r>
        <w:rPr/>
        <w:t>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changing wage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locally 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commuting distance. Housing demand from within the local area is simply a function of</w:t>
      </w:r>
      <w:r>
        <w:rPr>
          <w:spacing w:val="-57"/>
        </w:rPr>
        <w:t> </w:t>
      </w:r>
      <w:r>
        <w:rPr/>
        <w:t>income from local jobs, equal to the local wage rate times the local employment level</w:t>
      </w:r>
      <w:r>
        <w:rPr>
          <w:spacing w:val="1"/>
        </w:rPr>
        <w:t> </w:t>
      </w:r>
      <w:r>
        <w:rPr/>
        <w:t>(Bernard,</w:t>
      </w:r>
      <w:r>
        <w:rPr>
          <w:spacing w:val="-1"/>
        </w:rPr>
        <w:t> </w:t>
      </w:r>
      <w:r>
        <w:rPr/>
        <w:t>2008).</w:t>
      </w:r>
    </w:p>
    <w:p>
      <w:pPr>
        <w:spacing w:after="0" w:line="477" w:lineRule="auto"/>
        <w:jc w:val="both"/>
        <w:sectPr>
          <w:pgSz w:w="11900" w:h="16840"/>
          <w:pgMar w:header="0" w:footer="1123" w:top="1580" w:bottom="1320" w:left="1280" w:right="360"/>
        </w:sectPr>
      </w:pPr>
    </w:p>
    <w:p>
      <w:pPr>
        <w:pStyle w:val="BodyText"/>
        <w:spacing w:line="477" w:lineRule="auto" w:before="74"/>
        <w:ind w:left="700" w:right="1060"/>
        <w:jc w:val="both"/>
      </w:pPr>
      <w:r>
        <w:rPr/>
        <w:t>Housing demand is also</w:t>
      </w:r>
      <w:r>
        <w:rPr>
          <w:spacing w:val="60"/>
        </w:rPr>
        <w:t> </w:t>
      </w:r>
      <w:r>
        <w:rPr/>
        <w:t>negatively related to the price of housing, Given that high</w:t>
      </w:r>
      <w:r>
        <w:rPr>
          <w:spacing w:val="1"/>
        </w:rPr>
        <w:t> </w:t>
      </w:r>
      <w:r>
        <w:rPr/>
        <w:t>prices drive down demand, it is assumed that high prices „nearby‟ will cause demand</w:t>
      </w:r>
      <w:r>
        <w:rPr>
          <w:spacing w:val="1"/>
        </w:rPr>
        <w:t> </w:t>
      </w:r>
      <w:r>
        <w:rPr/>
        <w:t>otherwise</w:t>
      </w:r>
      <w:r>
        <w:rPr>
          <w:spacing w:val="17"/>
        </w:rPr>
        <w:t> </w:t>
      </w:r>
      <w:r>
        <w:rPr/>
        <w:t>attributable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nearby</w:t>
      </w:r>
      <w:r>
        <w:rPr>
          <w:spacing w:val="13"/>
        </w:rPr>
        <w:t> </w:t>
      </w:r>
      <w:r>
        <w:rPr/>
        <w:t>locations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7"/>
        </w:rPr>
        <w:t> </w:t>
      </w:r>
      <w:r>
        <w:rPr/>
        <w:t>displaced.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referring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this</w:t>
      </w:r>
      <w:r>
        <w:rPr>
          <w:spacing w:val="-58"/>
        </w:rPr>
        <w:t> </w:t>
      </w:r>
      <w:r>
        <w:rPr/>
        <w:t>as a displaced demand effect. Hence it is assumed that demand at will be positively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the weighted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 prices</w:t>
      </w:r>
      <w:r>
        <w:rPr>
          <w:spacing w:val="-1"/>
        </w:rPr>
        <w:t> </w:t>
      </w:r>
      <w:r>
        <w:rPr/>
        <w:t>in surrounding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(Bernard, 2008).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/>
        <w:ind w:left="700" w:right="1040"/>
        <w:jc w:val="both"/>
      </w:pPr>
      <w:r>
        <w:rPr/>
        <w:t>House price is influenced by economic factors, such as real income growth, interest rate,</w:t>
      </w:r>
      <w:r>
        <w:rPr>
          <w:spacing w:val="-57"/>
        </w:rPr>
        <w:t> </w:t>
      </w:r>
      <w:r>
        <w:rPr/>
        <w:t>stock prices, supply, population growth and economic activity (Zainal, 2010). However,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looked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some</w:t>
      </w:r>
      <w:r>
        <w:rPr>
          <w:spacing w:val="13"/>
        </w:rPr>
        <w:t> </w:t>
      </w:r>
      <w:r>
        <w:rPr/>
        <w:t>factors</w:t>
      </w:r>
      <w:r>
        <w:rPr>
          <w:spacing w:val="13"/>
        </w:rPr>
        <w:t> </w:t>
      </w:r>
      <w:r>
        <w:rPr/>
        <w:t>that</w:t>
      </w:r>
      <w:r>
        <w:rPr>
          <w:spacing w:val="11"/>
        </w:rPr>
        <w:t> </w:t>
      </w:r>
      <w:r>
        <w:rPr/>
        <w:t>affect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affordability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houses</w:t>
      </w:r>
      <w:r>
        <w:rPr>
          <w:spacing w:val="-57"/>
        </w:rPr>
        <w:t> </w:t>
      </w:r>
      <w:r>
        <w:rPr/>
        <w:t>in Nigeria today. Affordability problems occur for both renters and owners. A study by</w:t>
      </w:r>
      <w:r>
        <w:rPr>
          <w:spacing w:val="1"/>
        </w:rPr>
        <w:t> </w:t>
      </w:r>
      <w:r>
        <w:rPr/>
        <w:t>Moore and Skaburskis (2004) found that there has been a progressive increase in the</w:t>
      </w:r>
      <w:r>
        <w:rPr>
          <w:spacing w:val="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low income</w:t>
      </w:r>
      <w:r>
        <w:rPr>
          <w:spacing w:val="-1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with housing</w:t>
      </w:r>
      <w:r>
        <w:rPr>
          <w:spacing w:val="-2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problems.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Bernard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renters</w:t>
      </w:r>
      <w:r>
        <w:rPr>
          <w:spacing w:val="1"/>
        </w:rPr>
        <w:t> </w:t>
      </w:r>
      <w:r>
        <w:rPr/>
        <w:t>grew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nineties,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mortgages.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homeownership are important factors of urban</w:t>
      </w:r>
      <w:r>
        <w:rPr>
          <w:spacing w:val="1"/>
        </w:rPr>
        <w:t> </w:t>
      </w:r>
      <w:r>
        <w:rPr/>
        <w:t>livability. However, given the rapid</w:t>
      </w:r>
      <w:r>
        <w:rPr>
          <w:spacing w:val="1"/>
        </w:rPr>
        <w:t> </w:t>
      </w:r>
      <w:r>
        <w:rPr/>
        <w:t>increase in house prices and the slower growth of individual incomes in Malaysia, the</w:t>
      </w:r>
      <w:r>
        <w:rPr>
          <w:spacing w:val="1"/>
        </w:rPr>
        <w:t> </w:t>
      </w:r>
      <w:r>
        <w:rPr/>
        <w:t>ability to own a house presents a significant challenge. Rising costs of living add to the</w:t>
      </w:r>
      <w:r>
        <w:rPr>
          <w:spacing w:val="1"/>
        </w:rPr>
        <w:t> </w:t>
      </w:r>
      <w:r>
        <w:rPr/>
        <w:t>problem. Current trends show that housing unaffordability is particularly acute among</w:t>
      </w:r>
      <w:r>
        <w:rPr>
          <w:spacing w:val="1"/>
        </w:rPr>
        <w:t> </w:t>
      </w:r>
      <w:r>
        <w:rPr/>
        <w:t>the middle-income earners, the group that constitutes the main bulk of the Ilorin urban</w:t>
      </w:r>
      <w:r>
        <w:rPr>
          <w:spacing w:val="1"/>
        </w:rPr>
        <w:t> </w:t>
      </w:r>
      <w:r>
        <w:rPr/>
        <w:t>populace. Housing</w:t>
      </w:r>
      <w:r>
        <w:rPr>
          <w:spacing w:val="-3"/>
        </w:rPr>
        <w:t> </w:t>
      </w:r>
      <w:r>
        <w:rPr/>
        <w:t>affordability</w:t>
      </w:r>
      <w:r>
        <w:rPr>
          <w:spacing w:val="-5"/>
        </w:rPr>
        <w:t> </w:t>
      </w:r>
      <w:r>
        <w:rPr/>
        <w:t>impinges upon urban livability</w:t>
      </w:r>
      <w:r>
        <w:rPr>
          <w:spacing w:val="-5"/>
        </w:rPr>
        <w:t> </w:t>
      </w:r>
      <w:r>
        <w:rPr/>
        <w:t>(Elia, 2017).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wages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model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5" w:lineRule="auto"/>
        <w:ind w:left="700" w:right="1055"/>
        <w:jc w:val="both"/>
      </w:pPr>
      <w:r>
        <w:rPr/>
        <w:t>The analysis up to this point has assumed that wage levels will remain the same as the</w:t>
      </w:r>
      <w:r>
        <w:rPr>
          <w:spacing w:val="1"/>
        </w:rPr>
        <w:t> </w:t>
      </w:r>
      <w:r>
        <w:rPr/>
        <w:t>number of homes expands, but it is more reasonable to assume also that wages may</w:t>
      </w:r>
      <w:r>
        <w:rPr>
          <w:spacing w:val="1"/>
        </w:rPr>
        <w:t> </w:t>
      </w:r>
      <w:r>
        <w:rPr/>
        <w:t>change as housing supply expands and new employment is created (Bernard 2008). One</w:t>
      </w:r>
      <w:r>
        <w:rPr>
          <w:spacing w:val="-57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factor is the</w:t>
      </w:r>
      <w:r>
        <w:rPr>
          <w:spacing w:val="-2"/>
        </w:rPr>
        <w:t> </w:t>
      </w:r>
      <w:r>
        <w:rPr/>
        <w:t>variation in worker efficiency</w:t>
      </w:r>
      <w:r>
        <w:rPr>
          <w:spacing w:val="-4"/>
        </w:rPr>
        <w:t> </w:t>
      </w:r>
      <w:r>
        <w:rPr/>
        <w:t>across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7" w:lineRule="auto" w:before="1"/>
        <w:ind w:left="700" w:right="1033"/>
        <w:jc w:val="both"/>
      </w:pPr>
      <w:r>
        <w:rPr/>
        <w:t>Housing affordability on the other hand is described by Stone </w:t>
      </w:r>
      <w:r>
        <w:rPr>
          <w:i/>
        </w:rPr>
        <w:t>et al. </w:t>
      </w:r>
      <w:r>
        <w:rPr/>
        <w:t>(2011) as not only</w:t>
      </w:r>
      <w:r>
        <w:rPr>
          <w:spacing w:val="1"/>
        </w:rPr>
        <w:t> </w:t>
      </w:r>
      <w:r>
        <w:rPr/>
        <w:t>affordability in terms of household income but also in terms of mortgage affordability,</w:t>
      </w:r>
      <w:r>
        <w:rPr>
          <w:spacing w:val="1"/>
        </w:rPr>
        <w:t> </w:t>
      </w:r>
      <w:r>
        <w:rPr/>
        <w:t>non-housing expenditures, and current housing wealth. Affordability of home ownership</w:t>
      </w:r>
      <w:r>
        <w:rPr>
          <w:spacing w:val="-57"/>
        </w:rPr>
        <w:t> </w:t>
      </w:r>
      <w:r>
        <w:rPr/>
        <w:t>is one aspect of livability in a city. Livability reflects the well-being of the population; a</w:t>
      </w:r>
      <w:r>
        <w:rPr>
          <w:spacing w:val="1"/>
        </w:rPr>
        <w:t> </w:t>
      </w:r>
      <w:r>
        <w:rPr/>
        <w:t>dwelling for the present and future (Victorian Competition and Efficiency Commission,</w:t>
      </w:r>
      <w:r>
        <w:rPr>
          <w:spacing w:val="1"/>
        </w:rPr>
        <w:t> </w:t>
      </w:r>
      <w:r>
        <w:rPr/>
        <w:t>2008), especially in the city. Abdul Samad </w:t>
      </w:r>
      <w:r>
        <w:rPr>
          <w:i/>
        </w:rPr>
        <w:t>et al. </w:t>
      </w:r>
      <w:r>
        <w:rPr/>
        <w:t>(2008) described the livable concept</w:t>
      </w:r>
      <w:r>
        <w:rPr>
          <w:spacing w:val="1"/>
        </w:rPr>
        <w:t> </w:t>
      </w:r>
      <w:r>
        <w:rPr/>
        <w:t>where a city provides housing options consistent with affordability, job opportunities,</w:t>
      </w:r>
      <w:r>
        <w:rPr>
          <w:spacing w:val="1"/>
        </w:rPr>
        <w:t> </w:t>
      </w:r>
      <w:r>
        <w:rPr/>
        <w:t>comprehensive and easy accessibility to socialize. Urban residents will be able to live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daily</w:t>
      </w:r>
      <w:r>
        <w:rPr>
          <w:spacing w:val="-5"/>
        </w:rPr>
        <w:t> </w:t>
      </w:r>
      <w:r>
        <w:rPr/>
        <w:t>life with safety,</w:t>
      </w:r>
      <w:r>
        <w:rPr>
          <w:spacing w:val="2"/>
        </w:rPr>
        <w:t> </w:t>
      </w:r>
      <w:r>
        <w:rPr/>
        <w:t>healthy</w:t>
      </w:r>
      <w:r>
        <w:rPr>
          <w:spacing w:val="-3"/>
        </w:rPr>
        <w:t> </w:t>
      </w:r>
      <w:r>
        <w:rPr/>
        <w:t>and vibrancy</w:t>
      </w:r>
      <w:r>
        <w:rPr>
          <w:spacing w:val="-5"/>
        </w:rPr>
        <w:t> </w:t>
      </w:r>
      <w:r>
        <w:rPr/>
        <w:t>(Shaharudin</w:t>
      </w:r>
      <w:r>
        <w:rPr>
          <w:spacing w:val="4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75" w:lineRule="auto"/>
        <w:ind w:left="700" w:right="1053"/>
        <w:jc w:val="both"/>
      </w:pPr>
      <w:r>
        <w:rPr/>
        <w:t>The government and private sectors have to make an effort to increase the number of</w:t>
      </w:r>
      <w:r>
        <w:rPr>
          <w:spacing w:val="1"/>
        </w:rPr>
        <w:t> </w:t>
      </w:r>
      <w:r>
        <w:rPr/>
        <w:t>affordable housing units by increasing supplies. A sharp rise in house prices without the</w:t>
      </w:r>
      <w:r>
        <w:rPr>
          <w:spacing w:val="-57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fundamentals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accommodative monetary policy, and low unemployment rate could lead to artificial</w:t>
      </w:r>
      <w:r>
        <w:rPr>
          <w:spacing w:val="1"/>
        </w:rPr>
        <w:t> </w:t>
      </w:r>
      <w:r>
        <w:rPr/>
        <w:t>house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bubble</w:t>
      </w:r>
      <w:r>
        <w:rPr>
          <w:spacing w:val="1"/>
        </w:rPr>
        <w:t> </w:t>
      </w:r>
      <w:r>
        <w:rPr/>
        <w:t>(Zainal, 2010).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5" w:lineRule="auto"/>
        <w:ind w:left="700" w:right="1032"/>
        <w:jc w:val="both"/>
      </w:pPr>
      <w:r>
        <w:rPr/>
        <w:t>Linneman &amp; Megbolugbe (1992) outlined factors in relation to housing affordability</w:t>
      </w:r>
      <w:r>
        <w:rPr>
          <w:spacing w:val="1"/>
        </w:rPr>
        <w:t> </w:t>
      </w:r>
      <w:r>
        <w:rPr/>
        <w:t>issues, including housing prices, household incomes, mortgage rates, instruments and</w:t>
      </w:r>
      <w:r>
        <w:rPr>
          <w:spacing w:val="1"/>
        </w:rPr>
        <w:t> </w:t>
      </w:r>
      <w:r>
        <w:rPr/>
        <w:t>underwritings, real property taxes and insurance, consumer spending and debt, local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finance,</w:t>
      </w:r>
      <w:r>
        <w:rPr>
          <w:spacing w:val="2"/>
        </w:rPr>
        <w:t> </w:t>
      </w:r>
      <w:r>
        <w:rPr/>
        <w:t>rent controls, and housing</w:t>
      </w:r>
      <w:r>
        <w:rPr>
          <w:spacing w:val="-2"/>
        </w:rPr>
        <w:t> </w:t>
      </w:r>
      <w:r>
        <w:rPr/>
        <w:t>subsidies.</w:t>
      </w:r>
    </w:p>
    <w:p>
      <w:pPr>
        <w:spacing w:after="0" w:line="475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6"/>
        <w:ind w:left="700" w:right="1055"/>
        <w:jc w:val="both"/>
      </w:pPr>
      <w:r>
        <w:rPr/>
        <w:t>Skaburskis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affordability problems, including “geography, demography, migration / immigration /</w:t>
      </w:r>
      <w:r>
        <w:rPr>
          <w:spacing w:val="1"/>
        </w:rPr>
        <w:t> </w:t>
      </w:r>
      <w:r>
        <w:rPr/>
        <w:t>ethnicity, income recipients, income source, employment and education”. Wang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(2010)</w:t>
      </w:r>
      <w:r>
        <w:rPr>
          <w:spacing w:val="15"/>
        </w:rPr>
        <w:t> </w:t>
      </w:r>
      <w:r>
        <w:rPr/>
        <w:t>concluded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family</w:t>
      </w:r>
      <w:r>
        <w:rPr>
          <w:spacing w:val="9"/>
        </w:rPr>
        <w:t> </w:t>
      </w:r>
      <w:r>
        <w:rPr/>
        <w:t>housing</w:t>
      </w:r>
      <w:r>
        <w:rPr>
          <w:spacing w:val="11"/>
        </w:rPr>
        <w:t> </w:t>
      </w:r>
      <w:r>
        <w:rPr/>
        <w:t>wealth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mortgage</w:t>
      </w:r>
      <w:r>
        <w:rPr>
          <w:spacing w:val="15"/>
        </w:rPr>
        <w:t> </w:t>
      </w:r>
      <w:r>
        <w:rPr/>
        <w:t>debt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key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debates</w:t>
      </w:r>
      <w:r>
        <w:rPr>
          <w:spacing w:val="-57"/>
        </w:rPr>
        <w:t> </w:t>
      </w:r>
      <w:r>
        <w:rPr/>
        <w:t>of housing affordability/inequality/security/stability issues in western societies, while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escalation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countries.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401" w:val="left" w:leader="none"/>
          <w:tab w:pos="1402" w:val="left" w:leader="none"/>
        </w:tabs>
        <w:spacing w:line="232" w:lineRule="auto" w:before="1" w:after="0"/>
        <w:ind w:left="1420" w:right="1062" w:hanging="720"/>
        <w:jc w:val="left"/>
      </w:pPr>
      <w:r>
        <w:rPr/>
        <w:t>Factors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Affect House Affordability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Estates</w:t>
      </w: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206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Location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demand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700" w:right="1036"/>
        <w:jc w:val="both"/>
      </w:pPr>
      <w:r>
        <w:rPr/>
        <w:t>Most</w:t>
      </w:r>
      <w:r>
        <w:rPr>
          <w:spacing w:val="16"/>
        </w:rPr>
        <w:t> </w:t>
      </w:r>
      <w:r>
        <w:rPr/>
        <w:t>people</w:t>
      </w:r>
      <w:r>
        <w:rPr>
          <w:spacing w:val="16"/>
        </w:rPr>
        <w:t> </w:t>
      </w:r>
      <w:r>
        <w:rPr/>
        <w:t>prefer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stay</w:t>
      </w:r>
      <w:r>
        <w:rPr>
          <w:spacing w:val="10"/>
        </w:rPr>
        <w:t> </w:t>
      </w:r>
      <w:r>
        <w:rPr/>
        <w:t>in</w:t>
      </w:r>
      <w:r>
        <w:rPr>
          <w:spacing w:val="17"/>
        </w:rPr>
        <w:t> </w:t>
      </w:r>
      <w:r>
        <w:rPr/>
        <w:t>better</w:t>
      </w:r>
      <w:r>
        <w:rPr>
          <w:spacing w:val="15"/>
        </w:rPr>
        <w:t> </w:t>
      </w:r>
      <w:r>
        <w:rPr/>
        <w:t>estates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livable</w:t>
      </w:r>
      <w:r>
        <w:rPr>
          <w:spacing w:val="15"/>
        </w:rPr>
        <w:t> </w:t>
      </w:r>
      <w:r>
        <w:rPr/>
        <w:t>ones</w:t>
      </w:r>
      <w:r>
        <w:rPr>
          <w:spacing w:val="16"/>
        </w:rPr>
        <w:t> </w:t>
      </w:r>
      <w:r>
        <w:rPr/>
        <w:t>within</w:t>
      </w:r>
      <w:r>
        <w:rPr>
          <w:spacing w:val="16"/>
        </w:rPr>
        <w:t> </w:t>
      </w:r>
      <w:r>
        <w:rPr/>
        <w:t>any</w:t>
      </w:r>
      <w:r>
        <w:rPr>
          <w:spacing w:val="10"/>
        </w:rPr>
        <w:t> </w:t>
      </w:r>
      <w:r>
        <w:rPr/>
        <w:t>city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as it is noted that such good estates are constructed or build with infrastructures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burst with economic activities. As a result, the demands for housing in such estates 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(Pivo,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Affordable housing may add substance to additional "area affordability" costs such as</w:t>
      </w:r>
      <w:r>
        <w:rPr>
          <w:spacing w:val="1"/>
        </w:rPr>
        <w:t> </w:t>
      </w:r>
      <w:r>
        <w:rPr/>
        <w:t>where these houses may be located to endure additional costs due to environmental,</w:t>
      </w:r>
      <w:r>
        <w:rPr>
          <w:spacing w:val="1"/>
        </w:rPr>
        <w:t> </w:t>
      </w:r>
      <w:r>
        <w:rPr/>
        <w:t>social, or transportation conditions. For instance some developers built houses in less</w:t>
      </w:r>
      <w:r>
        <w:rPr>
          <w:spacing w:val="1"/>
        </w:rPr>
        <w:t> </w:t>
      </w:r>
      <w:r>
        <w:rPr/>
        <w:t>accessible locations, where people must drive alone to work, own more cars, or face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commute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accessibility,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conditions and public safety also need to be put in account of area affordability cost.</w:t>
      </w:r>
      <w:r>
        <w:rPr>
          <w:spacing w:val="1"/>
        </w:rPr>
        <w:t> </w:t>
      </w:r>
      <w:r>
        <w:rPr/>
        <w:t>This resulted higher area affordability costs for house owners. Additional facts related to</w:t>
      </w:r>
      <w:r>
        <w:rPr>
          <w:spacing w:val="-57"/>
        </w:rPr>
        <w:t> </w:t>
      </w:r>
      <w:r>
        <w:rPr/>
        <w:t>neighbourhood conditions, accessibility, and the ability of families to afford their non-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needs should be</w:t>
      </w:r>
      <w:r>
        <w:rPr>
          <w:spacing w:val="1"/>
        </w:rPr>
        <w:t> </w:t>
      </w:r>
      <w:r>
        <w:rPr/>
        <w:t>given more</w:t>
      </w:r>
      <w:r>
        <w:rPr>
          <w:spacing w:val="-1"/>
        </w:rPr>
        <w:t> </w:t>
      </w:r>
      <w:r>
        <w:rPr/>
        <w:t>consideration (Pivo, 2013).</w:t>
      </w:r>
    </w:p>
    <w:p>
      <w:pPr>
        <w:spacing w:after="0" w:line="48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Cost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land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700" w:right="1057"/>
        <w:jc w:val="both"/>
      </w:pPr>
      <w:r>
        <w:rPr/>
        <w:t>Effective governance of residential development and housing markets poses difficult</w:t>
      </w:r>
      <w:r>
        <w:rPr>
          <w:spacing w:val="1"/>
        </w:rPr>
        <w:t> </w:t>
      </w:r>
      <w:r>
        <w:rPr/>
        <w:t>challenges for land regulators. In theory, excessive land restrictions limit the buildable</w:t>
      </w:r>
      <w:r>
        <w:rPr>
          <w:spacing w:val="1"/>
        </w:rPr>
        <w:t> </w:t>
      </w:r>
      <w:r>
        <w:rPr/>
        <w:t>supply, tilting construction toward lower densities and larger, more expensive homes.</w:t>
      </w:r>
      <w:r>
        <w:rPr>
          <w:spacing w:val="1"/>
        </w:rPr>
        <w:t> </w:t>
      </w:r>
      <w:r>
        <w:rPr/>
        <w:t>Often,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prerogative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policymakers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tradeoffs carefully. When higher income incumbents control the political processes 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zoning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made,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become</w:t>
      </w:r>
      <w:r>
        <w:rPr>
          <w:spacing w:val="60"/>
        </w:rPr>
        <w:t> </w:t>
      </w:r>
      <w:r>
        <w:rPr/>
        <w:t>less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(Pivo,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meant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benefit lower income households could be frustrated by limits on density and other</w:t>
      </w:r>
      <w:r>
        <w:rPr>
          <w:spacing w:val="1"/>
        </w:rPr>
        <w:t> </w:t>
      </w:r>
      <w:r>
        <w:rPr/>
        <w:t>restrictions on the number and size of new units. (John 2005). Availability of buildable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securing plots</w:t>
      </w:r>
      <w:r>
        <w:rPr>
          <w:spacing w:val="1"/>
        </w:rPr>
        <w:t> </w:t>
      </w:r>
      <w:r>
        <w:rPr/>
        <w:t>therefore influence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affordability.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700" w:right="1035"/>
        <w:jc w:val="both"/>
      </w:pPr>
      <w:r>
        <w:rPr/>
        <w:t>Availability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cost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land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turn</w:t>
      </w:r>
      <w:r>
        <w:rPr>
          <w:spacing w:val="13"/>
        </w:rPr>
        <w:t> </w:t>
      </w:r>
      <w:r>
        <w:rPr/>
        <w:t>affected</w:t>
      </w:r>
      <w:r>
        <w:rPr>
          <w:spacing w:val="12"/>
        </w:rPr>
        <w:t> </w:t>
      </w:r>
      <w:r>
        <w:rPr/>
        <w:t>by</w:t>
      </w:r>
      <w:r>
        <w:rPr>
          <w:spacing w:val="10"/>
        </w:rPr>
        <w:t> </w:t>
      </w:r>
      <w:r>
        <w:rPr/>
        <w:t>demand</w:t>
      </w:r>
      <w:r>
        <w:rPr>
          <w:spacing w:val="15"/>
        </w:rPr>
        <w:t> </w:t>
      </w:r>
      <w:r>
        <w:rPr/>
        <w:t>for</w:t>
      </w:r>
      <w:r>
        <w:rPr>
          <w:spacing w:val="12"/>
        </w:rPr>
        <w:t> </w:t>
      </w:r>
      <w:r>
        <w:rPr/>
        <w:t>land</w:t>
      </w:r>
      <w:r>
        <w:rPr>
          <w:spacing w:val="12"/>
        </w:rPr>
        <w:t> </w:t>
      </w:r>
      <w:r>
        <w:rPr/>
        <w:t>from</w:t>
      </w:r>
      <w:r>
        <w:rPr>
          <w:spacing w:val="16"/>
        </w:rPr>
        <w:t> </w:t>
      </w:r>
      <w:r>
        <w:rPr/>
        <w:t>others</w:t>
      </w:r>
      <w:r>
        <w:rPr>
          <w:spacing w:val="14"/>
        </w:rPr>
        <w:t> </w:t>
      </w:r>
      <w:r>
        <w:rPr/>
        <w:t>sectors</w:t>
      </w:r>
      <w:r>
        <w:rPr>
          <w:spacing w:val="-58"/>
        </w:rPr>
        <w:t> </w:t>
      </w:r>
      <w:r>
        <w:rPr/>
        <w:t>of the economy as well as government`s attitude to informal or illegal developments (i.e</w:t>
      </w:r>
      <w:r>
        <w:rPr>
          <w:spacing w:val="1"/>
        </w:rPr>
        <w:t> </w:t>
      </w:r>
      <w:r>
        <w:rPr/>
        <w:t>the extent to which informal housing and land development are tolerated). For instance</w:t>
      </w:r>
      <w:r>
        <w:rPr>
          <w:spacing w:val="1"/>
        </w:rPr>
        <w:t> </w:t>
      </w:r>
      <w:r>
        <w:rPr/>
        <w:t>land for development will be more available and affordable in any city where there is</w:t>
      </w:r>
      <w:r>
        <w:rPr>
          <w:spacing w:val="1"/>
        </w:rPr>
        <w:t> </w:t>
      </w:r>
      <w:r>
        <w:rPr/>
        <w:t>little control on informal land market. The overall government`s land development and</w:t>
      </w:r>
      <w:r>
        <w:rPr>
          <w:spacing w:val="1"/>
        </w:rPr>
        <w:t> </w:t>
      </w:r>
      <w:r>
        <w:rPr/>
        <w:t>control policies influence housing supply (Jinadu, 2007). Notwithstanding the shortage</w:t>
      </w:r>
      <w:r>
        <w:rPr>
          <w:spacing w:val="1"/>
        </w:rPr>
        <w:t> </w:t>
      </w:r>
      <w:r>
        <w:rPr/>
        <w:t>of land supply, a major problem that has been evolving for developers is the increasing</w:t>
      </w:r>
      <w:r>
        <w:rPr>
          <w:spacing w:val="1"/>
        </w:rPr>
        <w:t> </w:t>
      </w:r>
      <w:r>
        <w:rPr/>
        <w:t>cost of land or land and house supply is becoming so great that it is not feasible to</w:t>
      </w:r>
      <w:r>
        <w:rPr>
          <w:spacing w:val="1"/>
        </w:rPr>
        <w:t> </w:t>
      </w:r>
      <w:r>
        <w:rPr/>
        <w:t>undertake the development. This is because, on the one side costs are increasing and on</w:t>
      </w:r>
      <w:r>
        <w:rPr>
          <w:spacing w:val="1"/>
        </w:rPr>
        <w:t> </w:t>
      </w:r>
      <w:r>
        <w:rPr/>
        <w:t>the other, developers are faced with lower gross realizations as they move further from</w:t>
      </w:r>
      <w:r>
        <w:rPr>
          <w:spacing w:val="1"/>
        </w:rPr>
        <w:t> </w:t>
      </w:r>
      <w:r>
        <w:rPr/>
        <w:t>the CBD (Angelo). As a result, the demand for housing is high which caused expensive</w:t>
      </w:r>
      <w:r>
        <w:rPr>
          <w:spacing w:val="1"/>
        </w:rPr>
        <w:t> </w:t>
      </w:r>
      <w:r>
        <w:rPr/>
        <w:t>houses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offered for sale. Therefore, it has become a</w:t>
      </w:r>
      <w:r>
        <w:rPr>
          <w:spacing w:val="-2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middle-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68" w:lineRule="auto" w:before="74"/>
        <w:ind w:left="700" w:right="1059"/>
        <w:jc w:val="both"/>
      </w:pPr>
      <w:r>
        <w:rPr/>
        <w:t>income groups to own a house, especially for graduates who have just started working</w:t>
      </w:r>
      <w:r>
        <w:rPr>
          <w:spacing w:val="1"/>
        </w:rPr>
        <w:t> </w:t>
      </w:r>
      <w:r>
        <w:rPr/>
        <w:t>(Musa</w:t>
      </w:r>
      <w:r>
        <w:rPr>
          <w:spacing w:val="-3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construction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00" w:right="1033"/>
        <w:jc w:val="both"/>
      </w:pPr>
      <w:r>
        <w:rPr/>
        <w:t>The rising construction is also seen as one of the challenges with respect to house prices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Ilorin.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Alliance</w:t>
      </w:r>
      <w:r>
        <w:rPr>
          <w:spacing w:val="1"/>
        </w:rPr>
        <w:t> </w:t>
      </w:r>
      <w:r>
        <w:rPr/>
        <w:t>DBS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cost-push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construction cost and the implementation of Goods &amp; Services Tax (GST) will continue</w:t>
      </w:r>
      <w:r>
        <w:rPr>
          <w:spacing w:val="1"/>
        </w:rPr>
        <w:t> </w:t>
      </w:r>
      <w:r>
        <w:rPr/>
        <w:t>to put pressure on material construction prices. New tenders for construction contracts</w:t>
      </w:r>
      <w:r>
        <w:rPr>
          <w:spacing w:val="1"/>
        </w:rPr>
        <w:t> </w:t>
      </w:r>
      <w:r>
        <w:rPr/>
        <w:t>have seen higher quotations. As a result, there are competitions between contractors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production and processing price, contractors could not afford to withstand the rise of</w:t>
      </w:r>
      <w:r>
        <w:rPr>
          <w:spacing w:val="1"/>
        </w:rPr>
        <w:t> </w:t>
      </w:r>
      <w:r>
        <w:rPr/>
        <w:t>material price that forced them to raise the selling price of their finished unit (Cindy &amp;</w:t>
      </w:r>
      <w:r>
        <w:rPr>
          <w:spacing w:val="1"/>
        </w:rPr>
        <w:t> </w:t>
      </w:r>
      <w:r>
        <w:rPr/>
        <w:t>Haron,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ecological concerns. According to Oktay (2014), local or imported building materials</w:t>
      </w:r>
      <w:r>
        <w:rPr>
          <w:spacing w:val="1"/>
        </w:rPr>
        <w:t> </w:t>
      </w:r>
      <w:r>
        <w:rPr/>
        <w:t>used should suit the weather and surroundings. They have to be adaptable to changes</w:t>
      </w:r>
      <w:r>
        <w:rPr>
          <w:spacing w:val="1"/>
        </w:rPr>
        <w:t> </w:t>
      </w:r>
      <w:r>
        <w:rPr/>
        <w:t>through time which ability to adopt bring positive impacts to the residents‟ well-being</w:t>
      </w:r>
      <w:r>
        <w:rPr>
          <w:spacing w:val="1"/>
        </w:rPr>
        <w:t> </w:t>
      </w:r>
      <w:r>
        <w:rPr/>
        <w:t>and security when there is no need for short-term maintenance and upgrading costs. For</w:t>
      </w:r>
      <w:r>
        <w:rPr>
          <w:spacing w:val="1"/>
        </w:rPr>
        <w:t> </w:t>
      </w:r>
      <w:r>
        <w:rPr/>
        <w:t>labour cost, the use of Industrialized Building System may cut down labour use by 30 to</w:t>
      </w:r>
      <w:r>
        <w:rPr>
          <w:spacing w:val="-57"/>
        </w:rPr>
        <w:t> </w:t>
      </w:r>
      <w:r>
        <w:rPr/>
        <w:t>40</w:t>
      </w:r>
      <w:r>
        <w:rPr>
          <w:spacing w:val="-1"/>
        </w:rPr>
        <w:t> </w:t>
      </w:r>
      <w:r>
        <w:rPr/>
        <w:t>percent, thereby</w:t>
      </w:r>
      <w:r>
        <w:rPr>
          <w:spacing w:val="-5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the building</w:t>
      </w:r>
      <w:r>
        <w:rPr>
          <w:spacing w:val="-1"/>
        </w:rPr>
        <w:t> </w:t>
      </w:r>
      <w:r>
        <w:rPr/>
        <w:t>cost of a</w:t>
      </w:r>
      <w:r>
        <w:rPr>
          <w:spacing w:val="1"/>
        </w:rPr>
        <w:t> </w:t>
      </w:r>
      <w:r>
        <w:rPr/>
        <w:t>house</w:t>
      </w:r>
      <w:r>
        <w:rPr>
          <w:spacing w:val="-1"/>
        </w:rPr>
        <w:t> </w:t>
      </w:r>
      <w:r>
        <w:rPr/>
        <w:t>(Nathan, 2016).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700" w:right="1061"/>
        <w:jc w:val="both"/>
      </w:pPr>
      <w:r>
        <w:rPr/>
        <w:t>In order to maintain house ownership, buyers would have to bear additional payment</w:t>
      </w:r>
      <w:r>
        <w:rPr>
          <w:spacing w:val="1"/>
        </w:rPr>
        <w:t> </w:t>
      </w:r>
      <w:r>
        <w:rPr/>
        <w:t>service costs that include assessment tax and property tax. Assessment tax is to cover</w:t>
      </w:r>
      <w:r>
        <w:rPr>
          <w:spacing w:val="1"/>
        </w:rPr>
        <w:t> </w:t>
      </w:r>
      <w:r>
        <w:rPr/>
        <w:t>expenses for services and development such as garbage collection, construction and</w:t>
      </w:r>
      <w:r>
        <w:rPr>
          <w:spacing w:val="1"/>
        </w:rPr>
        <w:t> </w:t>
      </w:r>
      <w:r>
        <w:rPr/>
        <w:t>maintenance of public infrastructure, and greenery maintenance. The property tax is</w:t>
      </w:r>
      <w:r>
        <w:rPr>
          <w:spacing w:val="1"/>
        </w:rPr>
        <w:t> </w:t>
      </w:r>
      <w:r>
        <w:rPr/>
        <w:t>imposed to finance construction, maintenance of public facilities, infrastructure and</w:t>
      </w:r>
      <w:r>
        <w:rPr>
          <w:spacing w:val="1"/>
        </w:rPr>
        <w:t> </w:t>
      </w:r>
      <w:r>
        <w:rPr/>
        <w:t>street</w:t>
      </w:r>
      <w:r>
        <w:rPr>
          <w:spacing w:val="-1"/>
        </w:rPr>
        <w:t> </w:t>
      </w:r>
      <w:r>
        <w:rPr/>
        <w:t>lights (Elia, 2017).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80" w:lineRule="auto" w:before="74"/>
        <w:ind w:left="700" w:right="1055"/>
        <w:jc w:val="both"/>
      </w:pPr>
      <w:r>
        <w:rPr/>
        <w:t>However, assessment taxes paid did not explicitly specify the type of services delivered,</w:t>
      </w:r>
      <w:r>
        <w:rPr>
          <w:spacing w:val="-57"/>
        </w:rPr>
        <w:t> </w:t>
      </w:r>
      <w:r>
        <w:rPr/>
        <w:t>which lead to taxpayer‟s dissatisfaction. Their argument was related to the poor service</w:t>
      </w:r>
      <w:r>
        <w:rPr>
          <w:spacing w:val="1"/>
        </w:rPr>
        <w:t> </w:t>
      </w:r>
      <w:r>
        <w:rPr/>
        <w:t>provided by the Local Government that did not reflect the rates paid. This argument of</w:t>
      </w:r>
      <w:r>
        <w:rPr>
          <w:spacing w:val="1"/>
        </w:rPr>
        <w:t> </w:t>
      </w:r>
      <w:r>
        <w:rPr/>
        <w:t>unfairness regarding payment system arose since the assessment tax rate was valued</w:t>
      </w:r>
      <w:r>
        <w:rPr>
          <w:spacing w:val="1"/>
        </w:rPr>
        <w:t> </w:t>
      </w:r>
      <w:r>
        <w:rPr/>
        <w:t>based on the size of land and type of houses. The unfairness of the tax system may</w:t>
      </w:r>
      <w:r>
        <w:rPr>
          <w:spacing w:val="1"/>
        </w:rPr>
        <w:t> </w:t>
      </w:r>
      <w:r>
        <w:rPr/>
        <w:t>reflect taxpayer‟s perceptions that they are overpaying taxes regardless of the value of</w:t>
      </w:r>
      <w:r>
        <w:rPr>
          <w:spacing w:val="1"/>
        </w:rPr>
        <w:t> </w:t>
      </w:r>
      <w:r>
        <w:rPr/>
        <w:t>the</w:t>
      </w:r>
      <w:r>
        <w:rPr>
          <w:spacing w:val="45"/>
        </w:rPr>
        <w:t> </w:t>
      </w:r>
      <w:r>
        <w:rPr/>
        <w:t>services</w:t>
      </w:r>
      <w:r>
        <w:rPr>
          <w:spacing w:val="47"/>
        </w:rPr>
        <w:t> </w:t>
      </w:r>
      <w:r>
        <w:rPr/>
        <w:t>provided</w:t>
      </w:r>
      <w:r>
        <w:rPr>
          <w:spacing w:val="46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government</w:t>
      </w:r>
      <w:r>
        <w:rPr>
          <w:spacing w:val="47"/>
        </w:rPr>
        <w:t> </w:t>
      </w:r>
      <w:r>
        <w:rPr/>
        <w:t>or</w:t>
      </w:r>
      <w:r>
        <w:rPr>
          <w:spacing w:val="46"/>
        </w:rPr>
        <w:t> </w:t>
      </w:r>
      <w:r>
        <w:rPr/>
        <w:t>about</w:t>
      </w:r>
      <w:r>
        <w:rPr>
          <w:spacing w:val="47"/>
        </w:rPr>
        <w:t> </w:t>
      </w:r>
      <w:r>
        <w:rPr/>
        <w:t>what</w:t>
      </w:r>
      <w:r>
        <w:rPr>
          <w:spacing w:val="46"/>
        </w:rPr>
        <w:t> </w:t>
      </w:r>
      <w:r>
        <w:rPr/>
        <w:t>other</w:t>
      </w:r>
      <w:r>
        <w:rPr>
          <w:spacing w:val="46"/>
        </w:rPr>
        <w:t> </w:t>
      </w:r>
      <w:r>
        <w:rPr/>
        <w:t>taxpayers</w:t>
      </w:r>
      <w:r>
        <w:rPr>
          <w:spacing w:val="47"/>
        </w:rPr>
        <w:t> </w:t>
      </w:r>
      <w:r>
        <w:rPr/>
        <w:t>are</w:t>
      </w:r>
      <w:r>
        <w:rPr>
          <w:spacing w:val="45"/>
        </w:rPr>
        <w:t> </w:t>
      </w:r>
      <w:r>
        <w:rPr/>
        <w:t>paying.</w:t>
      </w:r>
      <w:r>
        <w:rPr>
          <w:spacing w:val="-58"/>
        </w:rPr>
        <w:t> </w:t>
      </w:r>
      <w:r>
        <w:rPr/>
        <w:t>Since tax payments that are not in line with the services provided by the local authority,</w:t>
      </w:r>
      <w:r>
        <w:rPr>
          <w:spacing w:val="1"/>
        </w:rPr>
        <w:t> </w:t>
      </w:r>
      <w:r>
        <w:rPr/>
        <w:t>the ability and comfort of homeowners and renters are affected. Residents had to spend</w:t>
      </w:r>
      <w:r>
        <w:rPr>
          <w:spacing w:val="1"/>
        </w:rPr>
        <w:t> </w:t>
      </w:r>
      <w:r>
        <w:rPr/>
        <w:t>additional costs to ensure that they are provided with the necessary services such as</w:t>
      </w:r>
      <w:r>
        <w:rPr>
          <w:spacing w:val="1"/>
        </w:rPr>
        <w:t> </w:t>
      </w:r>
      <w:r>
        <w:rPr/>
        <w:t>security (e.g. CCTV installations), cleanliness (e.g. hiring cleaning) and health (e.g.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dengue),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freight</w:t>
      </w:r>
      <w:r>
        <w:rPr>
          <w:spacing w:val="1"/>
        </w:rPr>
        <w:t> </w:t>
      </w:r>
      <w:r>
        <w:rPr/>
        <w:t>costs)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congestion</w:t>
      </w:r>
      <w:r>
        <w:rPr>
          <w:spacing w:val="-1"/>
        </w:rPr>
        <w:t> </w:t>
      </w:r>
      <w:r>
        <w:rPr/>
        <w:t>(Elia, 2017).</w:t>
      </w:r>
    </w:p>
    <w:p>
      <w:pPr>
        <w:pStyle w:val="BodyText"/>
        <w:spacing w:before="2"/>
      </w:pPr>
    </w:p>
    <w:p>
      <w:pPr>
        <w:pStyle w:val="BodyText"/>
        <w:spacing w:line="477" w:lineRule="auto"/>
        <w:ind w:left="700" w:right="1043"/>
        <w:jc w:val="both"/>
      </w:pPr>
      <w:r>
        <w:rPr/>
        <w:t>In relation to construction cost, Parker (2015) have highlighted two criteria which need</w:t>
      </w:r>
      <w:r>
        <w:rPr>
          <w:spacing w:val="1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emphasized</w:t>
      </w:r>
      <w:r>
        <w:rPr>
          <w:spacing w:val="16"/>
        </w:rPr>
        <w:t> </w:t>
      </w:r>
      <w:r>
        <w:rPr/>
        <w:t>for</w:t>
      </w:r>
      <w:r>
        <w:rPr>
          <w:spacing w:val="11"/>
        </w:rPr>
        <w:t> </w:t>
      </w:r>
      <w:r>
        <w:rPr/>
        <w:t>livability</w:t>
      </w:r>
      <w:r>
        <w:rPr>
          <w:spacing w:val="9"/>
        </w:rPr>
        <w:t> </w:t>
      </w:r>
      <w:r>
        <w:rPr/>
        <w:t>namely,</w:t>
      </w:r>
      <w:r>
        <w:rPr>
          <w:spacing w:val="16"/>
        </w:rPr>
        <w:t> </w:t>
      </w:r>
      <w:r>
        <w:rPr/>
        <w:t>making</w:t>
      </w:r>
      <w:r>
        <w:rPr>
          <w:spacing w:val="11"/>
        </w:rPr>
        <w:t> </w:t>
      </w:r>
      <w:r>
        <w:rPr/>
        <w:t>design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construction</w:t>
      </w:r>
      <w:r>
        <w:rPr>
          <w:spacing w:val="14"/>
        </w:rPr>
        <w:t> </w:t>
      </w:r>
      <w:r>
        <w:rPr/>
        <w:t>easier</w:t>
      </w:r>
      <w:r>
        <w:rPr>
          <w:spacing w:val="13"/>
        </w:rPr>
        <w:t> </w:t>
      </w:r>
      <w:r>
        <w:rPr/>
        <w:t>(such</w:t>
      </w:r>
      <w:r>
        <w:rPr>
          <w:spacing w:val="13"/>
        </w:rPr>
        <w:t> </w:t>
      </w:r>
      <w:r>
        <w:rPr/>
        <w:t>as</w:t>
      </w:r>
    </w:p>
    <w:p>
      <w:pPr>
        <w:pStyle w:val="BodyText"/>
        <w:spacing w:line="477" w:lineRule="auto"/>
        <w:ind w:left="700" w:right="1037"/>
        <w:jc w:val="both"/>
      </w:pPr>
      <w:r>
        <w:rPr/>
        <w:t>„omit excessive restrictions on design unless benefits exceed costs‟) and residential</w:t>
      </w:r>
      <w:r>
        <w:rPr>
          <w:spacing w:val="1"/>
        </w:rPr>
        <w:t> </w:t>
      </w:r>
      <w:r>
        <w:rPr/>
        <w:t>construction productivity and supply (such as „development at scale to support more</w:t>
      </w:r>
      <w:r>
        <w:rPr>
          <w:spacing w:val="1"/>
        </w:rPr>
        <w:t> </w:t>
      </w:r>
      <w:r>
        <w:rPr/>
        <w:t>competitive industry structure and regulatory reform to transform the structure, conduct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market‟).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needs</w:t>
      </w:r>
      <w:r>
        <w:rPr>
          <w:spacing w:val="2"/>
        </w:rPr>
        <w:t> </w:t>
      </w:r>
      <w:r>
        <w:rPr/>
        <w:t>rather than developer.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Conceptual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Framework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Livability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700" w:right="1032"/>
        <w:jc w:val="both"/>
      </w:pPr>
      <w:r>
        <w:rPr/>
        <w:t>This study adopts the housing and livability framework developed by Jana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2018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2.1,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was developed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spacing w:after="0" w:line="47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68" w:lineRule="auto" w:before="74"/>
        <w:ind w:left="700" w:right="1057"/>
        <w:jc w:val="both"/>
      </w:pPr>
      <w:r>
        <w:rPr/>
        <w:t>Livability Index 2018, Transforming Communities for All Ages by AARP Public Policy</w:t>
      </w:r>
      <w:r>
        <w:rPr>
          <w:spacing w:val="-57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 Washington DC which has</w:t>
      </w:r>
      <w:r>
        <w:rPr>
          <w:spacing w:val="-1"/>
        </w:rPr>
        <w:t> </w:t>
      </w:r>
      <w:r>
        <w:rPr/>
        <w:t>several indicators.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77" w:lineRule="auto" w:before="1"/>
        <w:ind w:left="700" w:right="1035"/>
        <w:jc w:val="both"/>
      </w:pPr>
      <w:r>
        <w:rPr/>
        <w:t>The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livability: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Neighborhood,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Engagement,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(See figure 2.1). This is because communities across the country are enacting policies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(Housing,</w:t>
      </w:r>
      <w:r>
        <w:rPr>
          <w:spacing w:val="1"/>
        </w:rPr>
        <w:t> </w:t>
      </w:r>
      <w:r>
        <w:rPr/>
        <w:t>Neighborhood,</w:t>
      </w:r>
      <w:r>
        <w:rPr>
          <w:spacing w:val="6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Environment, Health, Engagement, and Opportunity). These actions lay the groundwork</w:t>
      </w:r>
      <w:r>
        <w:rPr>
          <w:spacing w:val="-57"/>
        </w:rPr>
        <w:t> </w:t>
      </w:r>
      <w:r>
        <w:rPr/>
        <w:t>to make places more livable for people of all ages (Jana </w:t>
      </w:r>
      <w:r>
        <w:rPr>
          <w:i/>
        </w:rPr>
        <w:t>et al., </w:t>
      </w:r>
      <w:r>
        <w:rPr/>
        <w:t>2018).It should be</w:t>
      </w:r>
      <w:r>
        <w:rPr>
          <w:spacing w:val="1"/>
        </w:rPr>
        <w:t> </w:t>
      </w:r>
      <w:r>
        <w:rPr/>
        <w:t>observed that Livability encompasses broad human needs ranging from food and basic</w:t>
      </w:r>
      <w:r>
        <w:rPr>
          <w:spacing w:val="1"/>
        </w:rPr>
        <w:t> </w:t>
      </w:r>
      <w:r>
        <w:rPr/>
        <w:t>security to beauty, cultural expression, and a sense of belonging to a community or a</w:t>
      </w:r>
      <w:r>
        <w:rPr>
          <w:spacing w:val="1"/>
        </w:rPr>
        <w:t> </w:t>
      </w:r>
      <w:r>
        <w:rPr/>
        <w:t>place and there, the livability indicators are the main functional key of every livable</w:t>
      </w:r>
      <w:r>
        <w:rPr>
          <w:spacing w:val="1"/>
        </w:rPr>
        <w:t> </w:t>
      </w:r>
      <w:r>
        <w:rPr/>
        <w:t>community, which 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driving</w:t>
      </w:r>
      <w:r>
        <w:rPr>
          <w:spacing w:val="-3"/>
        </w:rPr>
        <w:t> </w:t>
      </w:r>
      <w:r>
        <w:rPr/>
        <w:t>force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-5"/>
        </w:rPr>
        <w:t> </w:t>
      </w:r>
      <w:r>
        <w:rPr/>
        <w:t>neighborhood.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7" w:lineRule="auto"/>
        <w:ind w:left="700" w:right="1056"/>
        <w:jc w:val="both"/>
      </w:pPr>
      <w:r>
        <w:rPr/>
        <w:t>According to (Jana </w:t>
      </w:r>
      <w:r>
        <w:rPr>
          <w:i/>
        </w:rPr>
        <w:t>et al., </w:t>
      </w:r>
      <w:r>
        <w:rPr/>
        <w:t>2018) community livability is important, this is because it will</w:t>
      </w:r>
      <w:r>
        <w:rPr>
          <w:spacing w:val="-57"/>
        </w:rPr>
        <w:t> </w:t>
      </w:r>
      <w:r>
        <w:rPr/>
        <w:t>promote, enhance an equitable and affordable housing, this will help to expand 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ages,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races,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affordability, location and diversity of housing types within a neighborhood which can</w:t>
      </w:r>
      <w:r>
        <w:rPr>
          <w:spacing w:val="1"/>
        </w:rPr>
        <w:t> </w:t>
      </w:r>
      <w:r>
        <w:rPr/>
        <w:t>be attributed to the quality of a good environment as it is one of the indicators of a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livability.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77" w:lineRule="auto"/>
        <w:ind w:left="700" w:right="1032"/>
        <w:jc w:val="both"/>
      </w:pPr>
      <w:r>
        <w:rPr/>
        <w:t>However, neighborhood quality of life attracts attention as an important indicator of any</w:t>
      </w:r>
      <w:r>
        <w:rPr>
          <w:spacing w:val="-57"/>
        </w:rPr>
        <w:t> </w:t>
      </w:r>
      <w:r>
        <w:rPr/>
        <w:t>community or environment. Livability, as a measurable component of quality of life and</w:t>
      </w:r>
      <w:r>
        <w:rPr>
          <w:spacing w:val="-57"/>
        </w:rPr>
        <w:t> </w:t>
      </w:r>
      <w:r>
        <w:rPr/>
        <w:t>urban quality of life concepts in urban space, is defined at utmost level as, the right of</w:t>
      </w:r>
      <w:r>
        <w:rPr>
          <w:spacing w:val="1"/>
        </w:rPr>
        <w:t> </w:t>
      </w:r>
      <w:r>
        <w:rPr/>
        <w:t>honorable life, and respect to human‟s rights of existence in life (Şenlier </w:t>
      </w:r>
      <w:r>
        <w:rPr>
          <w:i/>
        </w:rPr>
        <w:t>et al., </w:t>
      </w:r>
      <w:r>
        <w:rPr/>
        <w:t>2015).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for Life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criteria for</w:t>
      </w:r>
      <w:r>
        <w:rPr>
          <w:spacing w:val="-3"/>
        </w:rPr>
        <w:t> </w:t>
      </w:r>
      <w:r>
        <w:rPr/>
        <w:t>every</w:t>
      </w:r>
      <w:r>
        <w:rPr>
          <w:spacing w:val="-3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of Nigeria,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6"/>
        <w:ind w:left="700" w:right="1056"/>
        <w:jc w:val="both"/>
      </w:pPr>
      <w:r>
        <w:rPr/>
        <w:t>build well-designed housings and the neighborhoods. Since it is thought that the well-</w:t>
      </w:r>
      <w:r>
        <w:rPr>
          <w:spacing w:val="1"/>
        </w:rPr>
        <w:t> </w:t>
      </w:r>
      <w:r>
        <w:rPr/>
        <w:t>designed and planned environment or neighborhood will enhance the quality of life and</w:t>
      </w:r>
      <w:r>
        <w:rPr>
          <w:spacing w:val="1"/>
        </w:rPr>
        <w:t> </w:t>
      </w:r>
      <w:r>
        <w:rPr/>
        <w:t>the level of the social welfare by reducing the crime rate, increasing the public 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factor or indicator of housing livability for both public and private developers</w:t>
      </w:r>
      <w:r>
        <w:rPr>
          <w:spacing w:val="-57"/>
        </w:rPr>
        <w:t> </w:t>
      </w:r>
      <w:r>
        <w:rPr/>
        <w:t>(Jana </w:t>
      </w:r>
      <w:r>
        <w:rPr>
          <w:i/>
        </w:rPr>
        <w:t>et al., </w:t>
      </w:r>
      <w:r>
        <w:rPr/>
        <w:t>2018). The quality of every neighborhood depend on so many key things as</w:t>
      </w:r>
      <w:r>
        <w:rPr>
          <w:spacing w:val="1"/>
        </w:rPr>
        <w:t> </w:t>
      </w:r>
      <w:r>
        <w:rPr/>
        <w:t>well, which energy efficiency is one of those key issues, for a neighborhood to be clean,</w:t>
      </w:r>
      <w:r>
        <w:rPr>
          <w:spacing w:val="-57"/>
        </w:rPr>
        <w:t> </w:t>
      </w:r>
      <w:r>
        <w:rPr/>
        <w:t>safe and free from all sort of environmental pollution, the energy efficiency must be</w:t>
      </w:r>
      <w:r>
        <w:rPr>
          <w:spacing w:val="1"/>
        </w:rPr>
        <w:t> </w:t>
      </w:r>
      <w:r>
        <w:rPr/>
        <w:t>checked.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7" w:lineRule="auto"/>
        <w:ind w:left="700" w:right="1038"/>
        <w:jc w:val="both"/>
      </w:pPr>
      <w:r>
        <w:rPr/>
        <w:t>Reducing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energy</w:t>
      </w:r>
      <w:r>
        <w:rPr>
          <w:spacing w:val="1"/>
        </w:rPr>
        <w:t> </w:t>
      </w:r>
      <w:r>
        <w:rPr/>
        <w:t>required to provide products and services for a livable neighbourhood, For example,</w:t>
      </w:r>
      <w:r>
        <w:rPr>
          <w:spacing w:val="1"/>
        </w:rPr>
        <w:t> </w:t>
      </w:r>
      <w:r>
        <w:rPr/>
        <w:t>insulating</w:t>
      </w:r>
      <w:r>
        <w:rPr>
          <w:spacing w:val="20"/>
        </w:rPr>
        <w:t> </w:t>
      </w:r>
      <w:r>
        <w:rPr/>
        <w:t>a</w:t>
      </w:r>
      <w:r>
        <w:rPr>
          <w:spacing w:val="24"/>
        </w:rPr>
        <w:t> </w:t>
      </w:r>
      <w:r>
        <w:rPr/>
        <w:t>home</w:t>
      </w:r>
      <w:r>
        <w:rPr>
          <w:spacing w:val="25"/>
        </w:rPr>
        <w:t> </w:t>
      </w:r>
      <w:r>
        <w:rPr/>
        <w:t>allows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building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use</w:t>
      </w:r>
      <w:r>
        <w:rPr>
          <w:spacing w:val="25"/>
        </w:rPr>
        <w:t> </w:t>
      </w:r>
      <w:r>
        <w:rPr/>
        <w:t>less</w:t>
      </w:r>
      <w:r>
        <w:rPr>
          <w:spacing w:val="26"/>
        </w:rPr>
        <w:t> </w:t>
      </w:r>
      <w:r>
        <w:rPr/>
        <w:t>heating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cooling</w:t>
      </w:r>
      <w:r>
        <w:rPr>
          <w:spacing w:val="23"/>
        </w:rPr>
        <w:t> </w:t>
      </w:r>
      <w:r>
        <w:rPr/>
        <w:t>energy</w:t>
      </w:r>
      <w:r>
        <w:rPr>
          <w:spacing w:val="18"/>
        </w:rPr>
        <w:t> </w:t>
      </w:r>
      <w:r>
        <w:rPr/>
        <w:t>to</w:t>
      </w:r>
      <w:r>
        <w:rPr>
          <w:spacing w:val="25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and maintain a comfortable temperature. Embarking on a locally generated renewable</w:t>
      </w:r>
      <w:r>
        <w:rPr>
          <w:spacing w:val="1"/>
        </w:rPr>
        <w:t> </w:t>
      </w:r>
      <w:r>
        <w:rPr/>
        <w:t>energy can also be good for every livable community for the safety and comfort of the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living</w:t>
      </w:r>
      <w:r>
        <w:rPr>
          <w:spacing w:val="-3"/>
        </w:rPr>
        <w:t> </w:t>
      </w:r>
      <w:r>
        <w:rPr/>
        <w:t>within the estate</w:t>
      </w:r>
      <w:r>
        <w:rPr>
          <w:spacing w:val="-1"/>
        </w:rPr>
        <w:t> </w:t>
      </w:r>
      <w:r>
        <w:rPr/>
        <w:t>(Jana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2018).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 w:before="1"/>
        <w:ind w:left="700" w:right="1057"/>
        <w:jc w:val="both"/>
      </w:pPr>
      <w:r>
        <w:rPr/>
        <w:t>Efficient transportation system reduce cost in every livable community thereby Provide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reduce our nation„s dependence on foreign oil, improve air quality, reduce greenhouse</w:t>
      </w:r>
      <w:r>
        <w:rPr>
          <w:spacing w:val="1"/>
        </w:rPr>
        <w:t> </w:t>
      </w:r>
      <w:r>
        <w:rPr/>
        <w:t>gas emissions, and promote public health (Şenlier </w:t>
      </w:r>
      <w:r>
        <w:rPr>
          <w:i/>
        </w:rPr>
        <w:t>et al., </w:t>
      </w:r>
      <w:r>
        <w:rPr/>
        <w:t>2015). A well designed, built,</w:t>
      </w:r>
      <w:r>
        <w:rPr>
          <w:spacing w:val="1"/>
        </w:rPr>
        <w:t> </w:t>
      </w:r>
      <w:r>
        <w:rPr/>
        <w:t>and maintained road network will enhance safe and convenient movement by all road</w:t>
      </w:r>
      <w:r>
        <w:rPr>
          <w:spacing w:val="1"/>
        </w:rPr>
        <w:t> </w:t>
      </w:r>
      <w:r>
        <w:rPr/>
        <w:t>users whether they drive, use public transportation, walk, or bike. To achieve this, it is</w:t>
      </w:r>
      <w:r>
        <w:rPr>
          <w:spacing w:val="1"/>
        </w:rPr>
        <w:t> </w:t>
      </w:r>
      <w:r>
        <w:rPr/>
        <w:t>important for public and private developers to take note of distance to bus stop/taxi</w:t>
      </w:r>
      <w:r>
        <w:rPr>
          <w:spacing w:val="1"/>
        </w:rPr>
        <w:t> </w:t>
      </w:r>
      <w:r>
        <w:rPr/>
        <w:t>stand, distance to provision store and day to day items shop, distance to play school,</w:t>
      </w:r>
      <w:r>
        <w:rPr>
          <w:spacing w:val="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recreational center</w:t>
      </w:r>
      <w:r>
        <w:rPr>
          <w:spacing w:val="-3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places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neighborhood</w:t>
      </w:r>
      <w:r>
        <w:rPr>
          <w:spacing w:val="-1"/>
        </w:rPr>
        <w:t> </w:t>
      </w:r>
      <w:r>
        <w:rPr/>
        <w:t>in order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2" w:lineRule="auto" w:before="76"/>
        <w:ind w:left="700" w:right="1062"/>
        <w:jc w:val="both"/>
      </w:pPr>
      <w:r>
        <w:rPr/>
        <w:t>to reduce transport cost and this will help the communities to become more livable and</w:t>
      </w:r>
      <w:r>
        <w:rPr>
          <w:spacing w:val="1"/>
        </w:rPr>
        <w:t> </w:t>
      </w:r>
      <w:r>
        <w:rPr/>
        <w:t>healthier. The centralization and provision of health centers can also reduce cost of</w:t>
      </w:r>
      <w:r>
        <w:rPr>
          <w:spacing w:val="1"/>
        </w:rPr>
        <w:t> </w:t>
      </w:r>
      <w:r>
        <w:rPr/>
        <w:t>transportation.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/>
        <w:ind w:left="700" w:right="1038"/>
        <w:jc w:val="both"/>
      </w:pPr>
      <w:r>
        <w:rPr/>
        <w:t>A</w:t>
      </w:r>
      <w:r>
        <w:rPr>
          <w:spacing w:val="1"/>
        </w:rPr>
        <w:t> </w:t>
      </w:r>
      <w:r>
        <w:rPr/>
        <w:t>healthy infrastructure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-57"/>
        </w:rPr>
        <w:t> </w:t>
      </w:r>
      <w:r>
        <w:rPr/>
        <w:t>growth of the neighborhood; this is because health issues play a discerning role in every</w:t>
      </w:r>
      <w:r>
        <w:rPr>
          <w:spacing w:val="1"/>
        </w:rPr>
        <w:t> </w:t>
      </w:r>
      <w:r>
        <w:rPr/>
        <w:t>neighborhood.</w:t>
      </w:r>
      <w:r>
        <w:rPr>
          <w:spacing w:val="57"/>
        </w:rPr>
        <w:t> </w:t>
      </w:r>
      <w:r>
        <w:rPr/>
        <w:t>Beyond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health</w:t>
      </w:r>
      <w:r>
        <w:rPr>
          <w:spacing w:val="57"/>
        </w:rPr>
        <w:t> </w:t>
      </w:r>
      <w:r>
        <w:rPr/>
        <w:t>care</w:t>
      </w:r>
      <w:r>
        <w:rPr>
          <w:spacing w:val="56"/>
        </w:rPr>
        <w:t> </w:t>
      </w:r>
      <w:r>
        <w:rPr/>
        <w:t>setting,</w:t>
      </w:r>
      <w:r>
        <w:rPr>
          <w:spacing w:val="57"/>
        </w:rPr>
        <w:t> </w:t>
      </w:r>
      <w:r>
        <w:rPr/>
        <w:t>local</w:t>
      </w:r>
      <w:r>
        <w:rPr>
          <w:spacing w:val="58"/>
        </w:rPr>
        <w:t> </w:t>
      </w:r>
      <w:r>
        <w:rPr/>
        <w:t>actions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address</w:t>
      </w:r>
      <w:r>
        <w:rPr>
          <w:spacing w:val="58"/>
        </w:rPr>
        <w:t> </w:t>
      </w:r>
      <w:r>
        <w:rPr/>
        <w:t>social</w:t>
      </w:r>
      <w:r>
        <w:rPr>
          <w:spacing w:val="-58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opportunity, and social isolation can also improve health outcomes and reduce the 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(Mohamad,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accessibility and availability of the right type</w:t>
      </w:r>
      <w:r>
        <w:rPr>
          <w:spacing w:val="1"/>
        </w:rPr>
        <w:t> </w:t>
      </w:r>
      <w:r>
        <w:rPr/>
        <w:t>of care for those in need within the</w:t>
      </w:r>
      <w:r>
        <w:rPr>
          <w:spacing w:val="1"/>
        </w:rPr>
        <w:t> </w:t>
      </w:r>
      <w:r>
        <w:rPr/>
        <w:t>neighbourhood. However, delivery a good quality of health services to the people of the</w:t>
      </w:r>
      <w:r>
        <w:rPr>
          <w:spacing w:val="1"/>
        </w:rPr>
        <w:t> </w:t>
      </w:r>
      <w:r>
        <w:rPr/>
        <w:t>neighborhood should be a major concern for both public and private developers in</w:t>
      </w:r>
      <w:r>
        <w:rPr>
          <w:spacing w:val="1"/>
        </w:rPr>
        <w:t> </w:t>
      </w:r>
      <w:r>
        <w:rPr/>
        <w:t>developing a livable estate and the individual‟s occupants of such community should</w:t>
      </w:r>
      <w:r>
        <w:rPr>
          <w:spacing w:val="1"/>
        </w:rPr>
        <w:t> </w:t>
      </w:r>
      <w:r>
        <w:rPr/>
        <w:t>have a equal right to access the health center in respective of the income and status (Jana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2018).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700" w:right="1058"/>
        <w:jc w:val="both"/>
      </w:pPr>
      <w:r>
        <w:rPr/>
        <w:t>Community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household types, and cultural and ethnic groups will feel empowered when they have</w:t>
      </w:r>
      <w:r>
        <w:rPr>
          <w:spacing w:val="1"/>
        </w:rPr>
        <w:t> </w:t>
      </w:r>
      <w:r>
        <w:rPr/>
        <w:t>avenues for actively engaging in civic opportunities and community activities; when</w:t>
      </w:r>
      <w:r>
        <w:rPr>
          <w:spacing w:val="1"/>
        </w:rPr>
        <w:t> </w:t>
      </w:r>
      <w:r>
        <w:rPr/>
        <w:t>their ability to participate in community planning and decision-making is sought and</w:t>
      </w:r>
      <w:r>
        <w:rPr>
          <w:spacing w:val="1"/>
        </w:rPr>
        <w:t> </w:t>
      </w:r>
      <w:r>
        <w:rPr/>
        <w:t>promoted;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when</w:t>
      </w:r>
      <w:r>
        <w:rPr>
          <w:spacing w:val="35"/>
        </w:rPr>
        <w:t> </w:t>
      </w:r>
      <w:r>
        <w:rPr/>
        <w:t>they</w:t>
      </w:r>
      <w:r>
        <w:rPr>
          <w:spacing w:val="33"/>
        </w:rPr>
        <w:t> </w:t>
      </w:r>
      <w:r>
        <w:rPr/>
        <w:t>feel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sense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personal</w:t>
      </w:r>
      <w:r>
        <w:rPr>
          <w:spacing w:val="36"/>
        </w:rPr>
        <w:t> </w:t>
      </w:r>
      <w:r>
        <w:rPr/>
        <w:t>control</w:t>
      </w:r>
      <w:r>
        <w:rPr>
          <w:spacing w:val="36"/>
        </w:rPr>
        <w:t> </w:t>
      </w:r>
      <w:r>
        <w:rPr/>
        <w:t>over</w:t>
      </w:r>
      <w:r>
        <w:rPr>
          <w:spacing w:val="37"/>
        </w:rPr>
        <w:t> </w:t>
      </w:r>
      <w:r>
        <w:rPr/>
        <w:t>decisions</w:t>
      </w:r>
      <w:r>
        <w:rPr>
          <w:spacing w:val="35"/>
        </w:rPr>
        <w:t> </w:t>
      </w:r>
      <w:r>
        <w:rPr/>
        <w:t>about</w:t>
      </w:r>
      <w:r>
        <w:rPr>
          <w:spacing w:val="36"/>
        </w:rPr>
        <w:t> </w:t>
      </w:r>
      <w:r>
        <w:rPr/>
        <w:t>their</w:t>
      </w:r>
      <w:r>
        <w:rPr>
          <w:spacing w:val="-57"/>
        </w:rPr>
        <w:t> </w:t>
      </w:r>
      <w:r>
        <w:rPr/>
        <w:t>daily lives thereby increasing their educational and economic opportunities through</w:t>
      </w:r>
      <w:r>
        <w:rPr>
          <w:spacing w:val="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means (Şenlier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2015).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80" w:lineRule="auto" w:before="74"/>
        <w:ind w:left="700" w:right="1057" w:firstLine="59"/>
        <w:jc w:val="both"/>
      </w:pPr>
      <w:r>
        <w:rPr/>
        <w:t>This is because education and economic opportunity is one of the prevalent views</w:t>
      </w:r>
      <w:r>
        <w:rPr>
          <w:spacing w:val="1"/>
        </w:rPr>
        <w:t> </w:t>
      </w:r>
      <w:r>
        <w:rPr/>
        <w:t>regarding community livability. The neighbourhood livability of a community should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jobs,</w:t>
      </w:r>
      <w:r>
        <w:rPr>
          <w:spacing w:val="1"/>
        </w:rPr>
        <w:t> </w:t>
      </w:r>
      <w:r>
        <w:rPr/>
        <w:t>education, and services, as well as expanded business access to markets. People choose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enjoy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jobs;</w:t>
      </w:r>
      <w:r>
        <w:rPr>
          <w:spacing w:val="1"/>
        </w:rPr>
        <w:t> </w:t>
      </w:r>
      <w:r>
        <w:rPr/>
        <w:t>opportunities to build good homes with proper services and utilities; the advantages of</w:t>
      </w:r>
      <w:r>
        <w:rPr>
          <w:spacing w:val="1"/>
        </w:rPr>
        <w:t> </w:t>
      </w:r>
      <w:r>
        <w:rPr/>
        <w:t>having excellent education both at primary and secondary school level (Şenlier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2015). These benefits of neighborhood life are being sought by most urban dwellers in</w:t>
      </w:r>
      <w:r>
        <w:rPr>
          <w:spacing w:val="1"/>
        </w:rPr>
        <w:t> </w:t>
      </w:r>
      <w:r>
        <w:rPr/>
        <w:t>search of affordable and livable community and therefore should be one of the major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60"/>
        </w:rPr>
        <w:t> </w:t>
      </w:r>
      <w:r>
        <w:rPr/>
        <w:t>earners</w:t>
      </w:r>
      <w:r>
        <w:rPr>
          <w:spacing w:val="1"/>
        </w:rPr>
        <w:t> </w:t>
      </w:r>
      <w:r>
        <w:rPr/>
        <w:t>(Mohamad,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700" w:right="1032"/>
        <w:jc w:val="both"/>
      </w:pP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(Jana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2018),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key,</w:t>
      </w:r>
      <w:r>
        <w:rPr>
          <w:spacing w:val="1"/>
        </w:rPr>
        <w:t> </w:t>
      </w:r>
      <w:r>
        <w:rPr/>
        <w:t>interdependent</w:t>
      </w:r>
      <w:r>
        <w:rPr>
          <w:spacing w:val="1"/>
        </w:rPr>
        <w:t> </w:t>
      </w:r>
      <w:r>
        <w:rPr/>
        <w:t>spheres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life: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well-being,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as it was shown in figure 2.1. The economy, which supplies jobs and</w:t>
      </w:r>
      <w:r>
        <w:rPr>
          <w:spacing w:val="1"/>
        </w:rPr>
        <w:t> </w:t>
      </w:r>
      <w:r>
        <w:rPr/>
        <w:t>income, is fundamental to residents‟ health (e.g., their ability to obtain food, clothing,</w:t>
      </w:r>
      <w:r>
        <w:rPr>
          <w:spacing w:val="1"/>
        </w:rPr>
        <w:t> </w:t>
      </w:r>
      <w:r>
        <w:rPr/>
        <w:t>and shelter), as well as higher-order needs such as education, health care, and recreation.</w:t>
      </w:r>
      <w:r>
        <w:rPr>
          <w:spacing w:val="-57"/>
        </w:rPr>
        <w:t> </w:t>
      </w:r>
      <w:r>
        <w:rPr/>
        <w:t>At the same time, the economy should efficiently utilize raw materials drawn from the</w:t>
      </w:r>
      <w:r>
        <w:rPr>
          <w:spacing w:val="1"/>
        </w:rPr>
        <w:t> </w:t>
      </w:r>
      <w:r>
        <w:rPr/>
        <w:t>environment, so as to ensure sufficient resources for current and future generations.</w:t>
      </w:r>
      <w:r>
        <w:rPr>
          <w:spacing w:val="1"/>
        </w:rPr>
        <w:t> </w:t>
      </w:r>
      <w:r>
        <w:rPr/>
        <w:t>Social well-being relies, in large part, on justice: a social and spatial distribution of</w:t>
      </w:r>
      <w:r>
        <w:rPr>
          <w:spacing w:val="1"/>
        </w:rPr>
        <w:t> </w:t>
      </w:r>
      <w:r>
        <w:rPr/>
        <w:t>economic and environmental resources that is fair, as well as systems of governance that</w:t>
      </w:r>
      <w:r>
        <w:rPr>
          <w:spacing w:val="-57"/>
        </w:rPr>
        <w:t> </w:t>
      </w:r>
      <w:r>
        <w:rPr/>
        <w:t>are inclusive of all residents. Individual freedom and opportunity are also important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and precursors of</w:t>
      </w:r>
      <w:r>
        <w:rPr>
          <w:spacing w:val="-2"/>
        </w:rPr>
        <w:t> </w:t>
      </w:r>
      <w:r>
        <w:rPr/>
        <w:t>social well-being.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00" w:h="16840"/>
          <w:pgMar w:header="0" w:footer="1123" w:top="1580" w:bottom="1320" w:left="1280" w:right="360"/>
        </w:sectPr>
      </w:pPr>
    </w:p>
    <w:p>
      <w:pPr>
        <w:pStyle w:val="Heading1"/>
        <w:spacing w:before="90"/>
        <w:ind w:left="400"/>
      </w:pPr>
      <w:r>
        <w:rPr/>
        <w:drawing>
          <wp:anchor distT="0" distB="0" distL="0" distR="0" allowOverlap="1" layoutInCell="1" locked="0" behindDoc="1" simplePos="0" relativeHeight="475836928">
            <wp:simplePos x="0" y="0"/>
            <wp:positionH relativeFrom="page">
              <wp:posOffset>890590</wp:posOffset>
            </wp:positionH>
            <wp:positionV relativeFrom="paragraph">
              <wp:posOffset>-1063007</wp:posOffset>
            </wp:positionV>
            <wp:extent cx="6273477" cy="568863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477" cy="568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OPPORTUNITY</w:t>
      </w:r>
    </w:p>
    <w:p>
      <w:pPr>
        <w:spacing w:line="249" w:lineRule="auto" w:before="79"/>
        <w:ind w:left="400" w:right="38" w:firstLine="0"/>
        <w:jc w:val="left"/>
        <w:rPr>
          <w:sz w:val="23"/>
        </w:rPr>
      </w:pPr>
      <w:r>
        <w:rPr>
          <w:sz w:val="23"/>
        </w:rPr>
        <w:t>Equal Opportunity</w:t>
      </w:r>
      <w:r>
        <w:rPr>
          <w:spacing w:val="1"/>
          <w:sz w:val="23"/>
        </w:rPr>
        <w:t> </w:t>
      </w:r>
      <w:r>
        <w:rPr>
          <w:sz w:val="23"/>
        </w:rPr>
        <w:t>Economic Opportunity</w:t>
      </w:r>
      <w:r>
        <w:rPr>
          <w:spacing w:val="1"/>
          <w:sz w:val="23"/>
        </w:rPr>
        <w:t> </w:t>
      </w:r>
      <w:r>
        <w:rPr>
          <w:sz w:val="23"/>
        </w:rPr>
        <w:t>Educational Opportunity</w:t>
      </w:r>
      <w:r>
        <w:rPr>
          <w:spacing w:val="-56"/>
          <w:sz w:val="23"/>
        </w:rPr>
        <w:t> </w:t>
      </w:r>
      <w:r>
        <w:rPr>
          <w:sz w:val="23"/>
        </w:rPr>
        <w:t>Multi-generational</w:t>
      </w:r>
      <w:r>
        <w:rPr>
          <w:spacing w:val="1"/>
          <w:sz w:val="23"/>
        </w:rPr>
        <w:t> </w:t>
      </w:r>
      <w:r>
        <w:rPr>
          <w:sz w:val="23"/>
        </w:rPr>
        <w:t>Communities Local</w:t>
      </w:r>
      <w:r>
        <w:rPr>
          <w:spacing w:val="1"/>
          <w:sz w:val="23"/>
        </w:rPr>
        <w:t> </w:t>
      </w:r>
      <w:r>
        <w:rPr>
          <w:sz w:val="23"/>
        </w:rPr>
        <w:t>Fiscal</w:t>
      </w:r>
      <w:r>
        <w:rPr>
          <w:spacing w:val="-1"/>
          <w:sz w:val="23"/>
        </w:rPr>
        <w:t> </w:t>
      </w:r>
      <w:r>
        <w:rPr>
          <w:sz w:val="23"/>
        </w:rPr>
        <w:t>Health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1" w:lineRule="exact" w:before="155"/>
        <w:ind w:left="539"/>
      </w:pPr>
      <w:r>
        <w:rPr/>
        <w:t>ENGAGEMENT</w:t>
      </w:r>
    </w:p>
    <w:p>
      <w:pPr>
        <w:pStyle w:val="BodyText"/>
        <w:ind w:left="539" w:right="317"/>
      </w:pPr>
      <w:r>
        <w:rPr/>
        <w:t>Internet Access</w:t>
      </w:r>
      <w:r>
        <w:rPr>
          <w:spacing w:val="1"/>
        </w:rPr>
        <w:t> </w:t>
      </w:r>
      <w:r>
        <w:rPr/>
        <w:t>Civic Engagement</w:t>
      </w:r>
      <w:r>
        <w:rPr>
          <w:spacing w:val="1"/>
        </w:rPr>
        <w:t> </w:t>
      </w:r>
      <w:r>
        <w:rPr/>
        <w:t>Social</w:t>
      </w:r>
      <w:r>
        <w:rPr>
          <w:spacing w:val="-15"/>
        </w:rPr>
        <w:t> </w:t>
      </w:r>
      <w:r>
        <w:rPr/>
        <w:t>Engagement</w:t>
      </w:r>
      <w:r>
        <w:rPr>
          <w:spacing w:val="-57"/>
        </w:rPr>
        <w:t> </w:t>
      </w:r>
      <w:r>
        <w:rPr/>
        <w:t>Equal</w:t>
      </w:r>
      <w:r>
        <w:rPr>
          <w:spacing w:val="-1"/>
        </w:rPr>
        <w:t> </w:t>
      </w:r>
      <w:r>
        <w:rPr/>
        <w:t>Rights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3"/>
        <w:rPr>
          <w:sz w:val="53"/>
        </w:rPr>
      </w:pPr>
    </w:p>
    <w:p>
      <w:pPr>
        <w:spacing w:line="280" w:lineRule="auto" w:before="0"/>
        <w:ind w:left="400" w:right="22" w:firstLine="79"/>
        <w:jc w:val="left"/>
        <w:rPr>
          <w:sz w:val="36"/>
        </w:rPr>
      </w:pPr>
      <w:r>
        <w:rPr/>
        <w:pict>
          <v:shape style="position:absolute;margin-left:253.089996pt;margin-top:-126.595314pt;width:246.8pt;height:82.05pt;mso-position-horizontal-relative:page;mso-position-vertical-relative:paragraph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5"/>
                    <w:gridCol w:w="2560"/>
                  </w:tblGrid>
                  <w:tr>
                    <w:trPr>
                      <w:trHeight w:val="233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20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HOUSING</w:t>
                        </w:r>
                      </w:p>
                    </w:tc>
                    <w:tc>
                      <w:tcPr>
                        <w:tcW w:w="25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57" w:lineRule="exact" w:before="5"/>
                          <w:ind w:left="2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Housing</w:t>
                        </w:r>
                      </w:p>
                    </w:tc>
                    <w:tc>
                      <w:tcPr>
                        <w:tcW w:w="2560" w:type="dxa"/>
                      </w:tcPr>
                      <w:p>
                        <w:pPr>
                          <w:pStyle w:val="TableParagraph"/>
                          <w:spacing w:line="260" w:lineRule="exact" w:before="3"/>
                          <w:ind w:left="54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ENVIRONMENT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2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Accessibility</w:t>
                        </w:r>
                      </w:p>
                    </w:tc>
                    <w:tc>
                      <w:tcPr>
                        <w:tcW w:w="2560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54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Water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Quality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2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Housing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Options</w:t>
                        </w:r>
                      </w:p>
                    </w:tc>
                    <w:tc>
                      <w:tcPr>
                        <w:tcW w:w="25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60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Air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Quality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Housing</w:t>
                        </w:r>
                      </w:p>
                    </w:tc>
                    <w:tc>
                      <w:tcPr>
                        <w:tcW w:w="2560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60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Resilience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56" w:lineRule="exact" w:before="9"/>
                          <w:ind w:left="2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Affordability</w:t>
                        </w:r>
                      </w:p>
                    </w:tc>
                    <w:tc>
                      <w:tcPr>
                        <w:tcW w:w="2560" w:type="dxa"/>
                      </w:tcPr>
                      <w:p>
                        <w:pPr>
                          <w:pStyle w:val="TableParagraph"/>
                          <w:spacing w:line="261" w:lineRule="exact" w:before="4"/>
                          <w:ind w:left="54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Energy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Efficiency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36"/>
        </w:rPr>
        <w:t>HOUSING</w:t>
      </w:r>
      <w:r>
        <w:rPr>
          <w:spacing w:val="1"/>
          <w:sz w:val="36"/>
        </w:rPr>
        <w:t> </w:t>
      </w:r>
      <w:r>
        <w:rPr>
          <w:sz w:val="36"/>
        </w:rPr>
        <w:t>LIVABILITY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3"/>
        <w:ind w:left="400"/>
      </w:pPr>
      <w:r>
        <w:rPr/>
        <w:t>NEIGHBORHOOD</w:t>
      </w:r>
    </w:p>
    <w:p>
      <w:pPr>
        <w:spacing w:line="242" w:lineRule="auto" w:before="29"/>
        <w:ind w:left="400" w:right="670" w:firstLine="0"/>
        <w:jc w:val="left"/>
        <w:rPr>
          <w:sz w:val="24"/>
        </w:rPr>
      </w:pPr>
      <w:r>
        <w:rPr>
          <w:sz w:val="24"/>
        </w:rPr>
        <w:t>Proximity to Destinations</w:t>
      </w:r>
      <w:r>
        <w:rPr>
          <w:spacing w:val="-58"/>
          <w:sz w:val="24"/>
        </w:rPr>
        <w:t> </w:t>
      </w:r>
      <w:r>
        <w:rPr>
          <w:sz w:val="23"/>
        </w:rPr>
        <w:t>Mixed-use Neighborhoods</w:t>
      </w:r>
      <w:r>
        <w:rPr>
          <w:spacing w:val="-55"/>
          <w:sz w:val="23"/>
        </w:rPr>
        <w:t> </w:t>
      </w:r>
      <w:r>
        <w:rPr>
          <w:sz w:val="24"/>
        </w:rPr>
        <w:t>Compact Neighborhoods</w:t>
      </w:r>
      <w:r>
        <w:rPr>
          <w:spacing w:val="1"/>
          <w:sz w:val="24"/>
        </w:rPr>
        <w:t> </w:t>
      </w:r>
      <w:r>
        <w:rPr>
          <w:sz w:val="24"/>
        </w:rPr>
        <w:t>Personal Safety</w:t>
      </w:r>
      <w:r>
        <w:rPr>
          <w:spacing w:val="1"/>
          <w:sz w:val="24"/>
        </w:rPr>
        <w:t> </w:t>
      </w:r>
      <w:r>
        <w:rPr>
          <w:sz w:val="24"/>
        </w:rPr>
        <w:t>Neighborhood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00" w:h="16840"/>
          <w:pgMar w:top="1320" w:bottom="280" w:left="1280" w:right="360"/>
          <w:cols w:num="3" w:equalWidth="0">
            <w:col w:w="2721" w:space="778"/>
            <w:col w:w="2482" w:space="740"/>
            <w:col w:w="35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1320" w:bottom="280" w:left="1280" w:right="360"/>
        </w:sect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spacing w:before="1"/>
        <w:ind w:left="1161"/>
      </w:pPr>
      <w:r>
        <w:rPr/>
        <w:t>HEALTH</w:t>
      </w:r>
    </w:p>
    <w:p>
      <w:pPr>
        <w:pStyle w:val="BodyText"/>
        <w:spacing w:before="67"/>
        <w:ind w:left="1161" w:right="30"/>
      </w:pPr>
      <w:r>
        <w:rPr/>
        <w:t>Healthy Behaviors</w:t>
      </w:r>
      <w:r>
        <w:rPr>
          <w:spacing w:val="1"/>
        </w:rPr>
        <w:t> </w:t>
      </w:r>
      <w:r>
        <w:rPr/>
        <w:t>Access to Health Care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Health Care</w:t>
      </w:r>
    </w:p>
    <w:p>
      <w:pPr>
        <w:pStyle w:val="Heading1"/>
        <w:spacing w:before="90"/>
        <w:ind w:left="1161"/>
      </w:pPr>
      <w:r>
        <w:rPr>
          <w:b w:val="0"/>
        </w:rPr>
        <w:br w:type="column"/>
      </w:r>
      <w:r>
        <w:rPr/>
        <w:t>TRANSPORTATION</w:t>
      </w:r>
    </w:p>
    <w:p>
      <w:pPr>
        <w:pStyle w:val="BodyText"/>
        <w:spacing w:before="67"/>
        <w:ind w:left="1161" w:right="1720"/>
      </w:pPr>
      <w:r>
        <w:rPr/>
        <w:t>Convenient Transportation</w:t>
      </w:r>
      <w:r>
        <w:rPr>
          <w:spacing w:val="-57"/>
        </w:rPr>
        <w:t> </w:t>
      </w:r>
      <w:r>
        <w:rPr/>
        <w:t>Options</w:t>
      </w:r>
    </w:p>
    <w:p>
      <w:pPr>
        <w:pStyle w:val="BodyText"/>
        <w:ind w:left="1161" w:right="2233" w:firstLine="60"/>
      </w:pPr>
      <w:r>
        <w:rPr/>
        <w:t>Transportation Costs</w:t>
      </w:r>
      <w:r>
        <w:rPr>
          <w:spacing w:val="-58"/>
        </w:rPr>
        <w:t> </w:t>
      </w:r>
      <w:r>
        <w:rPr/>
        <w:t>Safe</w:t>
      </w:r>
      <w:r>
        <w:rPr>
          <w:spacing w:val="-3"/>
        </w:rPr>
        <w:t> </w:t>
      </w:r>
      <w:r>
        <w:rPr/>
        <w:t>Streets</w:t>
      </w:r>
    </w:p>
    <w:p>
      <w:pPr>
        <w:pStyle w:val="BodyText"/>
        <w:ind w:left="1161"/>
      </w:pPr>
      <w:r>
        <w:rPr/>
        <w:t>Accessible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Design</w:t>
      </w:r>
    </w:p>
    <w:p>
      <w:pPr>
        <w:spacing w:after="0"/>
        <w:sectPr>
          <w:type w:val="continuous"/>
          <w:pgSz w:w="11900" w:h="16840"/>
          <w:pgMar w:top="1320" w:bottom="280" w:left="1280" w:right="360"/>
          <w:cols w:num="2" w:equalWidth="0">
            <w:col w:w="3398" w:space="1381"/>
            <w:col w:w="54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700" w:right="1515"/>
      </w:pPr>
      <w:r>
        <w:rPr>
          <w:b/>
        </w:rPr>
        <w:t>Figure 2.1: </w:t>
      </w:r>
      <w:r>
        <w:rPr/>
        <w:t>Seven indicators of housing livability and the attributes associated with</w:t>
      </w:r>
      <w:r>
        <w:rPr>
          <w:spacing w:val="-57"/>
        </w:rPr>
        <w:t> </w:t>
      </w:r>
      <w:r>
        <w:rPr/>
        <w:t>each.</w:t>
      </w:r>
      <w:r>
        <w:rPr>
          <w:spacing w:val="-1"/>
        </w:rPr>
        <w:t> </w:t>
      </w:r>
      <w:r>
        <w:rPr/>
        <w:t>Source: Jana </w:t>
      </w:r>
      <w:r>
        <w:rPr>
          <w:i/>
        </w:rPr>
        <w:t>et al.,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1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Literatures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Cost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living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700" w:right="1230"/>
      </w:pPr>
      <w:r>
        <w:rPr/>
        <w:t>Cost of living can be said to has to do with expenses by the household on living a</w:t>
      </w:r>
      <w:r>
        <w:rPr>
          <w:spacing w:val="1"/>
        </w:rPr>
        <w:t> </w:t>
      </w:r>
      <w:r>
        <w:rPr/>
        <w:t>decent and affordable life, However from an economic perspective, employment is the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important component that contributes to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life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 provides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sectPr>
          <w:type w:val="continuous"/>
          <w:pgSz w:w="11900" w:h="16840"/>
          <w:pgMar w:top="1320" w:bottom="280" w:left="1280" w:right="360"/>
        </w:sectPr>
      </w:pPr>
    </w:p>
    <w:p>
      <w:pPr>
        <w:pStyle w:val="BodyText"/>
        <w:spacing w:line="477" w:lineRule="auto" w:before="74"/>
        <w:ind w:left="700" w:right="1037"/>
        <w:jc w:val="both"/>
      </w:pPr>
      <w:r>
        <w:rPr/>
        <w:t>source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income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economic</w:t>
      </w:r>
      <w:r>
        <w:rPr>
          <w:spacing w:val="58"/>
        </w:rPr>
        <w:t> </w:t>
      </w:r>
      <w:r>
        <w:rPr/>
        <w:t>base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people‟s</w:t>
      </w:r>
      <w:r>
        <w:rPr>
          <w:spacing w:val="58"/>
        </w:rPr>
        <w:t> </w:t>
      </w:r>
      <w:r>
        <w:rPr/>
        <w:t>lives</w:t>
      </w:r>
      <w:r>
        <w:rPr>
          <w:spacing w:val="59"/>
        </w:rPr>
        <w:t> </w:t>
      </w:r>
      <w:r>
        <w:rPr/>
        <w:t>(Jasmine</w:t>
      </w:r>
      <w:r>
        <w:rPr>
          <w:spacing w:val="57"/>
        </w:rPr>
        <w:t> </w:t>
      </w:r>
      <w:r>
        <w:rPr/>
        <w:t>&amp;</w:t>
      </w:r>
      <w:r>
        <w:rPr>
          <w:spacing w:val="57"/>
        </w:rPr>
        <w:t> </w:t>
      </w:r>
      <w:r>
        <w:rPr/>
        <w:t>Ahmed,</w:t>
      </w:r>
      <w:r>
        <w:rPr>
          <w:spacing w:val="58"/>
        </w:rPr>
        <w:t> </w:t>
      </w:r>
      <w:r>
        <w:rPr/>
        <w:t>2010).</w:t>
      </w:r>
      <w:r>
        <w:rPr>
          <w:spacing w:val="-57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networks and be involved in societal activities. For many, employment may also bring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providing an</w:t>
      </w:r>
      <w:r>
        <w:rPr>
          <w:spacing w:val="1"/>
        </w:rPr>
        <w:t> </w:t>
      </w:r>
      <w:r>
        <w:rPr/>
        <w:t>opportunity to</w:t>
      </w:r>
      <w:r>
        <w:rPr>
          <w:spacing w:val="60"/>
        </w:rPr>
        <w:t> </w:t>
      </w:r>
      <w:r>
        <w:rPr/>
        <w:t>demonstrate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abilities and have</w:t>
      </w:r>
      <w:r>
        <w:rPr>
          <w:spacing w:val="-1"/>
        </w:rPr>
        <w:t> </w:t>
      </w:r>
      <w:r>
        <w:rPr/>
        <w:t>a feeling</w:t>
      </w:r>
      <w:r>
        <w:rPr>
          <w:spacing w:val="-3"/>
        </w:rPr>
        <w:t> </w:t>
      </w:r>
      <w:r>
        <w:rPr/>
        <w:t>of achievement</w:t>
      </w:r>
      <w:r>
        <w:rPr>
          <w:spacing w:val="2"/>
        </w:rPr>
        <w:t> </w:t>
      </w:r>
      <w:r>
        <w:rPr/>
        <w:t>(Jasmine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Ahmed, 2010).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1" w:after="0"/>
        <w:ind w:left="1401" w:right="0" w:hanging="702"/>
        <w:jc w:val="left"/>
      </w:pPr>
      <w:r>
        <w:rPr/>
        <w:t>Public</w:t>
      </w:r>
      <w:r>
        <w:rPr>
          <w:spacing w:val="-3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roads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00" w:right="1054"/>
        <w:jc w:val="both"/>
      </w:pPr>
      <w:r>
        <w:rPr/>
        <w:t>Urban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township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residents (Song 2011). It offers balance by providing affordable houses in each location</w:t>
      </w:r>
      <w:r>
        <w:rPr>
          <w:spacing w:val="1"/>
        </w:rPr>
        <w:t> </w:t>
      </w:r>
      <w:r>
        <w:rPr/>
        <w:t>and efficacy in transportation, to fulfill the demands of home choices for all ages,</w:t>
      </w:r>
      <w:r>
        <w:rPr>
          <w:spacing w:val="1"/>
        </w:rPr>
        <w:t> </w:t>
      </w:r>
      <w:r>
        <w:rPr/>
        <w:t>incomes, and races, to reduce the combined housing and</w:t>
      </w:r>
      <w:r>
        <w:rPr>
          <w:spacing w:val="1"/>
        </w:rPr>
        <w:t> </w:t>
      </w:r>
      <w:r>
        <w:rPr/>
        <w:t>transportation</w:t>
      </w:r>
      <w:r>
        <w:rPr>
          <w:spacing w:val="60"/>
        </w:rPr>
        <w:t> </w:t>
      </w:r>
      <w:r>
        <w:rPr/>
        <w:t>cost burdens</w:t>
      </w:r>
      <w:r>
        <w:rPr>
          <w:spacing w:val="1"/>
        </w:rPr>
        <w:t> </w:t>
      </w:r>
      <w:r>
        <w:rPr/>
        <w:t>(US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Town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Country Planning (2011) have put</w:t>
      </w:r>
      <w:r>
        <w:rPr>
          <w:spacing w:val="1"/>
        </w:rPr>
        <w:t> </w:t>
      </w:r>
      <w:r>
        <w:rPr/>
        <w:t>forward the</w:t>
      </w:r>
      <w:r>
        <w:rPr>
          <w:spacing w:val="1"/>
        </w:rPr>
        <w:t> </w:t>
      </w:r>
      <w:r>
        <w:rPr/>
        <w:t>concept of urban</w:t>
      </w:r>
      <w:r>
        <w:rPr>
          <w:spacing w:val="1"/>
        </w:rPr>
        <w:t> </w:t>
      </w:r>
      <w:r>
        <w:rPr/>
        <w:t>livability as</w:t>
      </w:r>
      <w:r>
        <w:rPr>
          <w:spacing w:val="60"/>
        </w:rPr>
        <w:t> </w:t>
      </w:r>
      <w:r>
        <w:rPr/>
        <w:t>an area</w:t>
      </w:r>
      <w:r>
        <w:rPr>
          <w:spacing w:val="1"/>
        </w:rPr>
        <w:t> </w:t>
      </w:r>
      <w:r>
        <w:rPr/>
        <w:t>with a strategic location</w:t>
      </w:r>
      <w:r>
        <w:rPr>
          <w:spacing w:val="60"/>
        </w:rPr>
        <w:t> </w:t>
      </w:r>
      <w:r>
        <w:rPr/>
        <w:t>that will allow for mixed use and the ability to provide for</w:t>
      </w:r>
      <w:r>
        <w:rPr>
          <w:spacing w:val="1"/>
        </w:rPr>
        <w:t> </w:t>
      </w:r>
      <w:r>
        <w:rPr/>
        <w:t>many people, flexible and easily responsive to changes. According to HALA Advisory</w:t>
      </w:r>
      <w:r>
        <w:rPr>
          <w:spacing w:val="1"/>
        </w:rPr>
        <w:t> </w:t>
      </w:r>
      <w:r>
        <w:rPr/>
        <w:t>Committee (2015), for the promotion of livability, the planning for new housing is 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resilient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 with good transportation choices, open space and facilities that will ensure a</w:t>
      </w:r>
      <w:r>
        <w:rPr>
          <w:spacing w:val="1"/>
        </w:rPr>
        <w:t> </w:t>
      </w:r>
      <w:r>
        <w:rPr/>
        <w:t>good quality of life for all. With regards to service cost, municipal council should be</w:t>
      </w:r>
      <w:r>
        <w:rPr>
          <w:spacing w:val="1"/>
        </w:rPr>
        <w:t> </w:t>
      </w:r>
      <w:r>
        <w:rPr/>
        <w:t>improving accessibility to achieve livability. For example, transit-oriented development</w:t>
      </w:r>
      <w:r>
        <w:rPr>
          <w:spacing w:val="1"/>
        </w:rPr>
        <w:t> </w:t>
      </w:r>
      <w:r>
        <w:rPr/>
        <w:t>should be highly accessible to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including disabilities which would encourage people</w:t>
      </w:r>
      <w:r>
        <w:rPr>
          <w:spacing w:val="1"/>
        </w:rPr>
        <w:t> </w:t>
      </w:r>
      <w:r>
        <w:rPr/>
        <w:t>to use of public transportation (Federal Department of Town and Country Planning,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before="2"/>
      </w:pPr>
    </w:p>
    <w:p>
      <w:pPr>
        <w:pStyle w:val="BodyText"/>
        <w:spacing w:line="470" w:lineRule="auto" w:before="1"/>
        <w:ind w:left="700" w:right="1061"/>
        <w:jc w:val="both"/>
      </w:pPr>
      <w:r>
        <w:rPr/>
        <w:t>Automobile use increases as incomes rise and employment is decentralized to outlying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weakening</w:t>
      </w:r>
      <w:r>
        <w:rPr>
          <w:spacing w:val="-4"/>
        </w:rPr>
        <w:t> </w:t>
      </w:r>
      <w:r>
        <w:rPr/>
        <w:t>mass transit</w:t>
      </w:r>
      <w:r>
        <w:rPr>
          <w:spacing w:val="-1"/>
        </w:rPr>
        <w:t> </w:t>
      </w:r>
      <w:r>
        <w:rPr/>
        <w:t>systems.</w:t>
      </w:r>
      <w:r>
        <w:rPr>
          <w:spacing w:val="-1"/>
        </w:rPr>
        <w:t> </w:t>
      </w:r>
      <w:r>
        <w:rPr/>
        <w:t>The major</w:t>
      </w:r>
      <w:r>
        <w:rPr>
          <w:spacing w:val="-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 urban</w:t>
      </w:r>
    </w:p>
    <w:p>
      <w:pPr>
        <w:spacing w:after="0" w:line="47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80" w:lineRule="auto" w:before="74"/>
        <w:ind w:left="700" w:right="1034"/>
        <w:jc w:val="both"/>
      </w:pPr>
      <w:r>
        <w:rPr/>
        <w:t>transportation relate to traffic congestion, pollution from emissions, and the limited</w:t>
      </w:r>
      <w:r>
        <w:rPr>
          <w:spacing w:val="1"/>
        </w:rPr>
        <w:t> </w:t>
      </w:r>
      <w:r>
        <w:rPr/>
        <w:t>mobility of the poor. The appropriate policies for addressing these issues require urban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formulate environmental policies and measures to mitigate congestion, improve fuel</w:t>
      </w:r>
      <w:r>
        <w:rPr>
          <w:spacing w:val="1"/>
        </w:rPr>
        <w:t> </w:t>
      </w:r>
      <w:r>
        <w:rPr/>
        <w:t>efficiency, and set up vehicle emissions control and inspection systems which will help</w:t>
      </w:r>
      <w:r>
        <w:rPr>
          <w:spacing w:val="1"/>
        </w:rPr>
        <w:t> </w:t>
      </w:r>
      <w:r>
        <w:rPr/>
        <w:t>in livability and wellbeing of the people within the community or neighborhood (World</w:t>
      </w:r>
      <w:r>
        <w:rPr>
          <w:spacing w:val="1"/>
        </w:rPr>
        <w:t> </w:t>
      </w:r>
      <w:r>
        <w:rPr/>
        <w:t>Development Report 1999 ⁄2000). Transportation in an livable environment is about</w:t>
      </w:r>
      <w:r>
        <w:rPr>
          <w:spacing w:val="1"/>
        </w:rPr>
        <w:t> </w:t>
      </w:r>
      <w:r>
        <w:rPr/>
        <w:t>using the quality, location, and type of transportation facilities and services available to</w:t>
      </w:r>
      <w:r>
        <w:rPr>
          <w:spacing w:val="1"/>
        </w:rPr>
        <w:t> </w:t>
      </w:r>
      <w:r>
        <w:rPr/>
        <w:t>help achieve broader community goals such as access to good jobs, affordable housing,</w:t>
      </w:r>
      <w:r>
        <w:rPr>
          <w:spacing w:val="1"/>
        </w:rPr>
        <w:t> </w:t>
      </w:r>
      <w:r>
        <w:rPr/>
        <w:t>quality schools, and safe streets. This includes</w:t>
      </w:r>
      <w:r>
        <w:rPr>
          <w:spacing w:val="60"/>
        </w:rPr>
        <w:t> </w:t>
      </w:r>
      <w:r>
        <w:rPr/>
        <w:t>addressing road safety and capacity</w:t>
      </w:r>
      <w:r>
        <w:rPr>
          <w:spacing w:val="1"/>
        </w:rPr>
        <w:t> </w:t>
      </w:r>
      <w:r>
        <w:rPr/>
        <w:t>issues through better planning and design, maximizing and expanding new technologies</w:t>
      </w:r>
      <w:r>
        <w:rPr>
          <w:spacing w:val="1"/>
        </w:rPr>
        <w:t> </w:t>
      </w:r>
      <w:r>
        <w:rPr/>
        <w:t>such as intelligent transportation systems (ITS) and quiet pavements, and using travel</w:t>
      </w:r>
      <w:r>
        <w:rPr>
          <w:spacing w:val="1"/>
        </w:rPr>
        <w:t> </w:t>
      </w:r>
      <w:r>
        <w:rPr/>
        <w:t>demand management (TDM) approaches in system planning and operations. It also</w:t>
      </w:r>
      <w:r>
        <w:rPr>
          <w:spacing w:val="1"/>
        </w:rPr>
        <w:t> </w:t>
      </w:r>
      <w:r>
        <w:rPr/>
        <w:t>includes developing high quality public transportation to foster economic development,</w:t>
      </w:r>
      <w:r>
        <w:rPr>
          <w:spacing w:val="1"/>
        </w:rPr>
        <w:t> </w:t>
      </w:r>
      <w:r>
        <w:rPr/>
        <w:t>and community design that offers residents and workers the full range of transportation</w:t>
      </w:r>
      <w:r>
        <w:rPr>
          <w:spacing w:val="1"/>
        </w:rPr>
        <w:t> </w:t>
      </w:r>
      <w:r>
        <w:rPr/>
        <w:t>choices and, it involves strategically connecting the modal pieces-bikeways, pedestrian</w:t>
      </w:r>
      <w:r>
        <w:rPr>
          <w:spacing w:val="1"/>
        </w:rPr>
        <w:t> </w:t>
      </w:r>
      <w:r>
        <w:rPr/>
        <w:t>facilities, transit services and roadways-into a truly intermodal, interconnected system</w:t>
      </w:r>
      <w:r>
        <w:rPr>
          <w:spacing w:val="1"/>
        </w:rPr>
        <w:t> </w:t>
      </w:r>
      <w:r>
        <w:rPr/>
        <w:t>(Federal</w:t>
      </w:r>
      <w:r>
        <w:rPr>
          <w:spacing w:val="-1"/>
        </w:rPr>
        <w:t> </w:t>
      </w:r>
      <w:r>
        <w:rPr/>
        <w:t>Highway</w:t>
      </w:r>
      <w:r>
        <w:rPr>
          <w:spacing w:val="-5"/>
        </w:rPr>
        <w:t> </w:t>
      </w:r>
      <w:r>
        <w:rPr/>
        <w:t>Administration).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402" w:val="left" w:leader="none"/>
        </w:tabs>
        <w:spacing w:line="240" w:lineRule="auto" w:before="0" w:after="0"/>
        <w:ind w:left="1401" w:right="0" w:hanging="702"/>
        <w:jc w:val="both"/>
        <w:rPr>
          <w:b/>
          <w:sz w:val="23"/>
        </w:rPr>
      </w:pPr>
      <w:r>
        <w:rPr>
          <w:b/>
          <w:sz w:val="23"/>
        </w:rPr>
        <w:t>Safety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security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55"/>
        <w:jc w:val="both"/>
      </w:pPr>
      <w:r>
        <w:rPr/>
        <w:t>Households need protection against crime and violence, but they also need 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shocks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impair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incidence of crime and violence lessens another burden on the urban poor. Here again,</w:t>
      </w:r>
      <w:r>
        <w:rPr>
          <w:spacing w:val="1"/>
        </w:rPr>
        <w:t> </w:t>
      </w:r>
      <w:r>
        <w:rPr/>
        <w:t>the 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toward community-based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community policing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citizen-police</w:t>
      </w:r>
      <w:r>
        <w:rPr>
          <w:spacing w:val="-2"/>
        </w:rPr>
        <w:t> </w:t>
      </w:r>
      <w:r>
        <w:rPr/>
        <w:t>liaison committees</w:t>
      </w:r>
      <w:r>
        <w:rPr>
          <w:spacing w:val="1"/>
        </w:rPr>
        <w:t> </w:t>
      </w:r>
      <w:r>
        <w:rPr/>
        <w:t>(World Development Report</w:t>
      </w:r>
      <w:r>
        <w:rPr>
          <w:spacing w:val="-1"/>
        </w:rPr>
        <w:t> </w:t>
      </w:r>
      <w:r>
        <w:rPr/>
        <w:t>1999 ⁄2000).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4"/>
        <w:ind w:left="700" w:right="1058"/>
        <w:jc w:val="both"/>
      </w:pPr>
      <w:r>
        <w:rPr/>
        <w:t>Safety is an important basic need, which is reflected in the fact that everyone desires to</w:t>
      </w:r>
      <w:r>
        <w:rPr>
          <w:spacing w:val="1"/>
        </w:rPr>
        <w:t> </w:t>
      </w:r>
      <w:r>
        <w:rPr/>
        <w:t>live in a crime-free and safe neighborhood. A neighborhood with a high crime rate will</w:t>
      </w:r>
      <w:r>
        <w:rPr>
          <w:spacing w:val="1"/>
        </w:rPr>
        <w:t> </w:t>
      </w:r>
      <w:r>
        <w:rPr/>
        <w:t>result in an unsafe environment that imparts fear and worry among its residents. It is</w:t>
      </w:r>
      <w:r>
        <w:rPr>
          <w:spacing w:val="1"/>
        </w:rPr>
        <w:t> </w:t>
      </w:r>
      <w:r>
        <w:rPr/>
        <w:t>impossible to bring about a good quality of life in an area with a high crime rate, even if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living</w:t>
      </w:r>
      <w:r>
        <w:rPr>
          <w:spacing w:val="-2"/>
        </w:rPr>
        <w:t> </w:t>
      </w:r>
      <w:r>
        <w:rPr/>
        <w:t>conditions are</w:t>
      </w:r>
      <w:r>
        <w:rPr>
          <w:spacing w:val="-1"/>
        </w:rPr>
        <w:t> </w:t>
      </w:r>
      <w:r>
        <w:rPr/>
        <w:t>satisfactory</w:t>
      </w:r>
      <w:r>
        <w:rPr>
          <w:spacing w:val="-3"/>
        </w:rPr>
        <w:t> </w:t>
      </w:r>
      <w:r>
        <w:rPr/>
        <w:t>(Jasmine</w:t>
      </w:r>
      <w:r>
        <w:rPr>
          <w:spacing w:val="-1"/>
        </w:rPr>
        <w:t> </w:t>
      </w:r>
      <w:r>
        <w:rPr/>
        <w:t>&amp; Ahmed, 2010).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/>
        <w:ind w:left="700" w:right="1053"/>
        <w:jc w:val="both"/>
      </w:pPr>
      <w:r>
        <w:rPr/>
        <w:t>The analysis indicated that efforts to promote neighborhood livability should focus on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satisfaction level (Jasmine &amp; Ahmed, 2010). Apart from the formal surveillance of</w:t>
      </w:r>
      <w:r>
        <w:rPr>
          <w:spacing w:val="1"/>
        </w:rPr>
        <w:t> </w:t>
      </w:r>
      <w:r>
        <w:rPr/>
        <w:t>security guards and police, casual or informal surveillance is equally critical. The latter</w:t>
      </w:r>
      <w:r>
        <w:rPr>
          <w:spacing w:val="1"/>
        </w:rPr>
        <w:t> </w:t>
      </w:r>
      <w:r>
        <w:rPr/>
        <w:t>concerns the design of the site that allows residents to observe the activities of their</w:t>
      </w:r>
      <w:r>
        <w:rPr>
          <w:spacing w:val="1"/>
        </w:rPr>
        <w:t> </w:t>
      </w:r>
      <w:r>
        <w:rPr/>
        <w:t>neighbors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community, which in turn creates territoriality among its inhabitants. The ability to take</w:t>
      </w:r>
      <w:r>
        <w:rPr>
          <w:spacing w:val="1"/>
        </w:rPr>
        <w:t> </w:t>
      </w:r>
      <w:r>
        <w:rPr/>
        <w:t>control of living space and better social surveillance tend to reduce crime and the fear of</w:t>
      </w:r>
      <w:r>
        <w:rPr>
          <w:spacing w:val="-57"/>
        </w:rPr>
        <w:t> </w:t>
      </w:r>
      <w:r>
        <w:rPr/>
        <w:t>crime</w:t>
      </w:r>
      <w:r>
        <w:rPr>
          <w:spacing w:val="-2"/>
        </w:rPr>
        <w:t> </w:t>
      </w:r>
      <w:r>
        <w:rPr/>
        <w:t>in communities (Jasmine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Ahmed, 2010).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Culture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nightlife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55"/>
        <w:jc w:val="both"/>
      </w:pPr>
      <w:r>
        <w:rPr/>
        <w:t>Housing</w:t>
      </w:r>
      <w:r>
        <w:rPr>
          <w:spacing w:val="1"/>
        </w:rPr>
        <w:t> </w:t>
      </w:r>
      <w:r>
        <w:rPr/>
        <w:t>Affordability and</w:t>
      </w:r>
      <w:r>
        <w:rPr>
          <w:spacing w:val="1"/>
        </w:rPr>
        <w:t> </w:t>
      </w:r>
      <w:r>
        <w:rPr/>
        <w:t>Livability Agenda</w:t>
      </w:r>
      <w:r>
        <w:rPr>
          <w:spacing w:val="1"/>
        </w:rPr>
        <w:t> </w:t>
      </w:r>
      <w:r>
        <w:rPr/>
        <w:t>(HALA)</w:t>
      </w:r>
      <w:r>
        <w:rPr>
          <w:spacing w:val="1"/>
        </w:rPr>
        <w:t> </w:t>
      </w:r>
      <w:r>
        <w:rPr/>
        <w:t>Advisory Committee</w:t>
      </w:r>
      <w:r>
        <w:rPr>
          <w:spacing w:val="60"/>
        </w:rPr>
        <w:t> </w:t>
      </w:r>
      <w:r>
        <w:rPr/>
        <w:t>(2015)</w:t>
      </w:r>
      <w:r>
        <w:rPr>
          <w:spacing w:val="1"/>
        </w:rPr>
        <w:t> </w:t>
      </w:r>
      <w:r>
        <w:rPr/>
        <w:t>have mentioned that the supply of affordable housing is the lifeblood of culturally rich,</w:t>
      </w:r>
      <w:r>
        <w:rPr>
          <w:spacing w:val="1"/>
        </w:rPr>
        <w:t> </w:t>
      </w:r>
      <w:r>
        <w:rPr/>
        <w:t>various, and livable urban centers. Without all of this, people who work in cities will be</w:t>
      </w:r>
      <w:r>
        <w:rPr>
          <w:spacing w:val="1"/>
        </w:rPr>
        <w:t> </w:t>
      </w:r>
      <w:r>
        <w:rPr/>
        <w:t>forced to move out, creating negative impacts not only on individual lives, but also 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congestion,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degradation, and fragmentation of communities. Recreational nightlife is seen today as a</w:t>
      </w:r>
      <w:r>
        <w:rPr>
          <w:spacing w:val="-57"/>
        </w:rPr>
        <w:t> </w:t>
      </w:r>
      <w:r>
        <w:rPr/>
        <w:t>concept with absolute and positive value in all European societies. Having time and the</w:t>
      </w:r>
      <w:r>
        <w:rPr>
          <w:spacing w:val="1"/>
        </w:rPr>
        <w:t> </w:t>
      </w:r>
      <w:r>
        <w:rPr/>
        <w:t>acquisitive</w:t>
      </w:r>
      <w:r>
        <w:rPr>
          <w:spacing w:val="7"/>
        </w:rPr>
        <w:t> </w:t>
      </w:r>
      <w:r>
        <w:rPr/>
        <w:t>power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enjoy</w:t>
      </w:r>
      <w:r>
        <w:rPr>
          <w:spacing w:val="5"/>
        </w:rPr>
        <w:t> </w:t>
      </w:r>
      <w:r>
        <w:rPr/>
        <w:t>it</w:t>
      </w:r>
      <w:r>
        <w:rPr>
          <w:spacing w:val="12"/>
        </w:rPr>
        <w:t> </w:t>
      </w:r>
      <w:r>
        <w:rPr/>
        <w:t>forms</w:t>
      </w:r>
      <w:r>
        <w:rPr>
          <w:spacing w:val="10"/>
        </w:rPr>
        <w:t> </w:t>
      </w:r>
      <w:r>
        <w:rPr/>
        <w:t>part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definition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quality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life.</w:t>
      </w:r>
      <w:r>
        <w:rPr>
          <w:spacing w:val="11"/>
        </w:rPr>
        <w:t> </w:t>
      </w:r>
      <w:r>
        <w:rPr/>
        <w:t>Leisure</w:t>
      </w:r>
      <w:r>
        <w:rPr>
          <w:spacing w:val="8"/>
        </w:rPr>
        <w:t> </w:t>
      </w:r>
      <w:r>
        <w:rPr/>
        <w:t>time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lived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one‟s</w:t>
      </w:r>
      <w:r>
        <w:rPr>
          <w:spacing w:val="-2"/>
        </w:rPr>
        <w:t> </w:t>
      </w:r>
      <w:r>
        <w:rPr/>
        <w:t>own, something</w:t>
      </w:r>
      <w:r>
        <w:rPr>
          <w:spacing w:val="-4"/>
        </w:rPr>
        <w:t> </w:t>
      </w:r>
      <w:r>
        <w:rPr/>
        <w:t>we</w:t>
      </w:r>
      <w:r>
        <w:rPr>
          <w:spacing w:val="-1"/>
        </w:rPr>
        <w:t> </w:t>
      </w:r>
      <w:r>
        <w:rPr/>
        <w:t>choose</w:t>
      </w:r>
      <w:r>
        <w:rPr>
          <w:spacing w:val="-2"/>
        </w:rPr>
        <w:t> </w:t>
      </w:r>
      <w:r>
        <w:rPr/>
        <w:t>ourselves, as</w:t>
      </w:r>
      <w:r>
        <w:rPr>
          <w:spacing w:val="-2"/>
        </w:rPr>
        <w:t> </w:t>
      </w:r>
      <w:r>
        <w:rPr/>
        <w:t>opposed to</w:t>
      </w:r>
      <w:r>
        <w:rPr>
          <w:spacing w:val="-1"/>
        </w:rPr>
        <w:t> </w:t>
      </w:r>
      <w:r>
        <w:rPr/>
        <w:t>our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7" w:lineRule="auto" w:before="76"/>
        <w:ind w:left="700" w:right="1033"/>
        <w:jc w:val="both"/>
      </w:pPr>
      <w:r>
        <w:rPr/>
        <w:t>life during the rest of the week. Young people, more than any other group, experience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weekend,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nights,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(European</w:t>
      </w:r>
      <w:r>
        <w:rPr>
          <w:spacing w:val="1"/>
        </w:rPr>
        <w:t> </w:t>
      </w:r>
      <w:r>
        <w:rPr/>
        <w:t>Commission 2007) this results in demand from a particular sector of the population,</w:t>
      </w:r>
      <w:r>
        <w:rPr>
          <w:spacing w:val="1"/>
        </w:rPr>
        <w:t> </w:t>
      </w:r>
      <w:r>
        <w:rPr/>
        <w:t>rapidly</w:t>
      </w:r>
      <w:r>
        <w:rPr>
          <w:spacing w:val="18"/>
        </w:rPr>
        <w:t> </w:t>
      </w:r>
      <w:r>
        <w:rPr/>
        <w:t>met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nightlife</w:t>
      </w:r>
      <w:r>
        <w:rPr>
          <w:spacing w:val="22"/>
        </w:rPr>
        <w:t> </w:t>
      </w:r>
      <w:r>
        <w:rPr/>
        <w:t>recreational</w:t>
      </w:r>
      <w:r>
        <w:rPr>
          <w:spacing w:val="24"/>
        </w:rPr>
        <w:t> </w:t>
      </w:r>
      <w:r>
        <w:rPr/>
        <w:t>industry.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consumption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supply</w:t>
      </w:r>
      <w:r>
        <w:rPr>
          <w:spacing w:val="18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associated marketing helps the expansion of the predominant leisure model, going</w:t>
      </w:r>
      <w:r>
        <w:rPr>
          <w:spacing w:val="1"/>
        </w:rPr>
        <w:t> </w:t>
      </w:r>
      <w:r>
        <w:rPr/>
        <w:t>out at night, as almost the core activity of young people‟s recreational space. The model</w:t>
      </w:r>
      <w:r>
        <w:rPr>
          <w:spacing w:val="-57"/>
        </w:rPr>
        <w:t> </w:t>
      </w:r>
      <w:r>
        <w:rPr/>
        <w:t>is undoubtedly perverse, since it transmits to the youngsters values associated with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rebelliousness,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leisure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themselves, when in reality it is the model that defines them (European Commission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facilities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61"/>
        <w:jc w:val="both"/>
      </w:pPr>
      <w:r>
        <w:rPr/>
        <w:t>Good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 international goals such as the Millennium Development Goals. It 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healthcare services in order to ensure that all individuals irrespective of their location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in developing</w:t>
      </w:r>
      <w:r>
        <w:rPr>
          <w:spacing w:val="-3"/>
        </w:rPr>
        <w:t> </w:t>
      </w:r>
      <w:r>
        <w:rPr/>
        <w:t>countries (Aminu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2014).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7" w:lineRule="auto"/>
        <w:ind w:left="700" w:right="1056"/>
        <w:jc w:val="both"/>
      </w:pPr>
      <w:r>
        <w:rPr/>
        <w:t>Access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healthcare</w:t>
      </w:r>
      <w:r>
        <w:rPr>
          <w:spacing w:val="40"/>
        </w:rPr>
        <w:t> </w:t>
      </w:r>
      <w:r>
        <w:rPr/>
        <w:t>services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multidimensional</w:t>
      </w:r>
      <w:r>
        <w:rPr>
          <w:spacing w:val="42"/>
        </w:rPr>
        <w:t> </w:t>
      </w:r>
      <w:r>
        <w:rPr/>
        <w:t>process</w:t>
      </w:r>
      <w:r>
        <w:rPr>
          <w:spacing w:val="43"/>
        </w:rPr>
        <w:t> </w:t>
      </w:r>
      <w:r>
        <w:rPr/>
        <w:t>involving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quality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care, geographical accessibility, availability of the right type of care for those in need,</w:t>
      </w:r>
      <w:r>
        <w:rPr>
          <w:spacing w:val="1"/>
        </w:rPr>
        <w:t> </w:t>
      </w:r>
      <w:r>
        <w:rPr/>
        <w:t>financial accessibility, and acceptability of service (Peters </w:t>
      </w:r>
      <w:r>
        <w:rPr>
          <w:i/>
        </w:rPr>
        <w:t>et al., </w:t>
      </w:r>
      <w:r>
        <w:rPr/>
        <w:t>2008). Access to health</w:t>
      </w:r>
      <w:r>
        <w:rPr>
          <w:spacing w:val="-57"/>
        </w:rPr>
        <w:t> </w:t>
      </w:r>
      <w:r>
        <w:rPr/>
        <w:t>care has four dimensions: Availability, accessibility, affordability, and acceptability.</w:t>
      </w:r>
      <w:r>
        <w:rPr>
          <w:spacing w:val="1"/>
        </w:rPr>
        <w:t> </w:t>
      </w:r>
      <w:r>
        <w:rPr/>
        <w:t>Health care delivery should be evaluated against these objectives. This has been referred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as effective</w:t>
      </w:r>
      <w:r>
        <w:rPr>
          <w:spacing w:val="-1"/>
        </w:rPr>
        <w:t> </w:t>
      </w:r>
      <w:r>
        <w:rPr/>
        <w:t>coverage.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70" w:lineRule="auto"/>
        <w:ind w:left="700" w:right="1063"/>
        <w:jc w:val="both"/>
      </w:pPr>
      <w:r>
        <w:rPr/>
        <w:t>Accessibility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providing sustainable</w:t>
      </w:r>
    </w:p>
    <w:p>
      <w:pPr>
        <w:spacing w:after="0" w:line="470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5" w:lineRule="auto" w:before="76"/>
        <w:ind w:left="700" w:right="1059"/>
        <w:jc w:val="both"/>
      </w:pPr>
      <w:r>
        <w:rPr/>
        <w:t>rural development can therefore not be over- emphasized. Convergence of opinions</w:t>
      </w:r>
      <w:r>
        <w:rPr>
          <w:spacing w:val="1"/>
        </w:rPr>
        <w:t> </w:t>
      </w:r>
      <w:r>
        <w:rPr/>
        <w:t>agreed that lack of basic health care facilities have led to inefficiency in production,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expectance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mortality</w:t>
      </w:r>
      <w:r>
        <w:rPr>
          <w:spacing w:val="60"/>
        </w:rPr>
        <w:t> </w:t>
      </w:r>
      <w:r>
        <w:rPr/>
        <w:t>rate</w:t>
      </w:r>
      <w:r>
        <w:rPr>
          <w:spacing w:val="1"/>
        </w:rPr>
        <w:t> </w:t>
      </w:r>
      <w:r>
        <w:rPr/>
        <w:t>(Ajala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2"/>
          <w:numId w:val="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Access to</w:t>
      </w:r>
      <w:r>
        <w:rPr>
          <w:spacing w:val="-2"/>
        </w:rPr>
        <w:t> </w:t>
      </w:r>
      <w:r>
        <w:rPr/>
        <w:t>leisure,</w:t>
      </w:r>
      <w:r>
        <w:rPr>
          <w:spacing w:val="-2"/>
        </w:rPr>
        <w:t> </w:t>
      </w:r>
      <w:r>
        <w:rPr/>
        <w:t>parks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green</w:t>
      </w:r>
      <w:r>
        <w:rPr>
          <w:spacing w:val="-2"/>
        </w:rPr>
        <w:t> </w:t>
      </w:r>
      <w:r>
        <w:rPr/>
        <w:t>areas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700" w:right="1057"/>
        <w:jc w:val="both"/>
      </w:pPr>
      <w:r>
        <w:rPr/>
        <w:t>The physical environment is the space where people work, live and develop social</w:t>
      </w:r>
      <w:r>
        <w:rPr>
          <w:spacing w:val="1"/>
        </w:rPr>
        <w:t> </w:t>
      </w:r>
      <w:r>
        <w:rPr/>
        <w:t>networks. People are active in the space, use and interact with this space, and also</w:t>
      </w:r>
      <w:r>
        <w:rPr>
          <w:spacing w:val="1"/>
        </w:rPr>
        <w:t> </w:t>
      </w:r>
      <w:r>
        <w:rPr/>
        <w:t>perceive the space. The conditions of the space are external factors, but they 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studies</w:t>
      </w:r>
      <w:r>
        <w:rPr>
          <w:spacing w:val="1"/>
        </w:rPr>
        <w:t> </w:t>
      </w:r>
      <w:r>
        <w:rPr/>
        <w:t>emphasize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natural</w:t>
      </w:r>
      <w:r>
        <w:rPr>
          <w:spacing w:val="32"/>
        </w:rPr>
        <w:t> </w:t>
      </w:r>
      <w:r>
        <w:rPr/>
        <w:t>environment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communities,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focuses</w:t>
      </w:r>
      <w:r>
        <w:rPr>
          <w:spacing w:val="32"/>
        </w:rPr>
        <w:t> </w:t>
      </w:r>
      <w:r>
        <w:rPr/>
        <w:t>more</w:t>
      </w:r>
      <w:r>
        <w:rPr>
          <w:spacing w:val="31"/>
        </w:rPr>
        <w:t> </w:t>
      </w:r>
      <w:r>
        <w:rPr/>
        <w:t>attention</w:t>
      </w:r>
      <w:r>
        <w:rPr>
          <w:spacing w:val="33"/>
        </w:rPr>
        <w:t> </w:t>
      </w:r>
      <w:r>
        <w:rPr/>
        <w:t>on</w:t>
      </w:r>
      <w:r>
        <w:rPr>
          <w:spacing w:val="-58"/>
        </w:rPr>
        <w:t> </w:t>
      </w:r>
      <w:r>
        <w:rPr/>
        <w:t>the availability and quality of parks and green spaces. A few of them take into account</w:t>
      </w:r>
      <w:r>
        <w:rPr>
          <w:spacing w:val="1"/>
        </w:rPr>
        <w:t> </w:t>
      </w:r>
      <w:r>
        <w:rPr/>
        <w:t>the environment quality, such as pollution, litter, noisiness and congestion, as well as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(Jasmine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Heylen‟s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amenities and services are</w:t>
      </w:r>
      <w:r>
        <w:rPr>
          <w:spacing w:val="-1"/>
        </w:rPr>
        <w:t> </w:t>
      </w:r>
      <w:r>
        <w:rPr/>
        <w:t>placed under</w:t>
      </w:r>
      <w:r>
        <w:rPr>
          <w:spacing w:val="-1"/>
        </w:rPr>
        <w:t> </w:t>
      </w:r>
      <w:r>
        <w:rPr/>
        <w:t>this dimension.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77" w:lineRule="auto"/>
        <w:ind w:left="700" w:right="1053"/>
        <w:jc w:val="both"/>
      </w:pPr>
      <w:r>
        <w:rPr/>
        <w:t>Finally, according to Parker (2015), to achieve the home affordability target in such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Ilorin,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demand.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should be sharing in revenue based on economic activity to help pay for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incentivize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growth.</w:t>
      </w:r>
      <w:r>
        <w:rPr>
          <w:spacing w:val="-57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(Ilorin).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brief,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livability of neighborhoods is a crucial element to the prosperity and development of</w:t>
      </w:r>
      <w:r>
        <w:rPr>
          <w:spacing w:val="1"/>
        </w:rPr>
        <w:t> </w:t>
      </w:r>
      <w:r>
        <w:rPr/>
        <w:t>cities because it reflects the real-life experiences of inhabitants. A livable neighborhood</w:t>
      </w:r>
      <w:r>
        <w:rPr>
          <w:spacing w:val="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delightful and</w:t>
      </w:r>
      <w:r>
        <w:rPr>
          <w:spacing w:val="1"/>
        </w:rPr>
        <w:t> </w:t>
      </w:r>
      <w:r>
        <w:rPr/>
        <w:t>desirable urban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 of</w:t>
      </w:r>
      <w:r>
        <w:rPr>
          <w:spacing w:val="-2"/>
        </w:rPr>
        <w:t> </w:t>
      </w:r>
      <w:r>
        <w:rPr/>
        <w:t>equity, accessibility</w:t>
      </w:r>
      <w:r>
        <w:rPr>
          <w:spacing w:val="-6"/>
        </w:rPr>
        <w:t> </w:t>
      </w:r>
      <w:r>
        <w:rPr/>
        <w:t>and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5" w:lineRule="auto" w:before="76"/>
        <w:ind w:left="700" w:right="1032"/>
        <w:jc w:val="both"/>
      </w:pPr>
      <w:r>
        <w:rPr/>
        <w:t>participation that contributes to the well-being and development of all people, thus, a</w:t>
      </w:r>
      <w:r>
        <w:rPr>
          <w:spacing w:val="1"/>
        </w:rPr>
        <w:t> </w:t>
      </w:r>
      <w:r>
        <w:rPr/>
        <w:t>livable environment creates an optimistic future for quality and living comfort, which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61"/>
        </w:rPr>
        <w:t> </w:t>
      </w:r>
      <w:r>
        <w:rPr/>
        <w:t>built-up</w:t>
      </w:r>
      <w:r>
        <w:rPr>
          <w:spacing w:val="1"/>
        </w:rPr>
        <w:t> </w:t>
      </w:r>
      <w:r>
        <w:rPr/>
        <w:t>environment of the</w:t>
      </w:r>
      <w:r>
        <w:rPr>
          <w:spacing w:val="-1"/>
        </w:rPr>
        <w:t> </w:t>
      </w:r>
      <w:r>
        <w:rPr/>
        <w:t>whole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(Jasmine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Ahmed, 2010).</w:t>
      </w:r>
    </w:p>
    <w:p>
      <w:pPr>
        <w:spacing w:after="0" w:line="475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Heading1"/>
        <w:spacing w:before="72"/>
        <w:ind w:left="688" w:right="1029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3240" w:val="left" w:leader="none"/>
          <w:tab w:pos="3241" w:val="left" w:leader="none"/>
        </w:tabs>
        <w:spacing w:line="240" w:lineRule="auto" w:before="0" w:after="0"/>
        <w:ind w:left="3240" w:right="0" w:hanging="2541"/>
        <w:jc w:val="left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METHODOLOGY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Design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700" w:right="105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-57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quantitative and cross</w:t>
      </w:r>
      <w:r>
        <w:rPr>
          <w:spacing w:val="-1"/>
        </w:rPr>
        <w:t> </w:t>
      </w:r>
      <w:r>
        <w:rPr/>
        <w:t>sectional survey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adopted.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This research design provoke the question of why, how and what on the subject matter.</w:t>
      </w:r>
      <w:r>
        <w:rPr>
          <w:spacing w:val="1"/>
        </w:rPr>
        <w:t> </w:t>
      </w:r>
      <w:r>
        <w:rPr/>
        <w:t>The research design also help in gathering information concerning the present situation</w:t>
      </w:r>
      <w:r>
        <w:rPr>
          <w:spacing w:val="1"/>
        </w:rPr>
        <w:t> </w:t>
      </w:r>
      <w:r>
        <w:rPr/>
        <w:t>of housing affordability and livability in Ilorin with respect to public and private estates.</w:t>
      </w:r>
      <w:r>
        <w:rPr>
          <w:spacing w:val="-57"/>
        </w:rPr>
        <w:t> </w:t>
      </w:r>
      <w:r>
        <w:rPr/>
        <w:t>The data required for this study were gathered concurrently from primary and secondary</w:t>
      </w:r>
      <w:r>
        <w:rPr>
          <w:spacing w:val="-57"/>
        </w:rPr>
        <w:t> </w:t>
      </w:r>
      <w:r>
        <w:rPr/>
        <w:t>data sources. While the</w:t>
      </w:r>
      <w:r>
        <w:rPr>
          <w:spacing w:val="60"/>
        </w:rPr>
        <w:t> </w:t>
      </w:r>
      <w:r>
        <w:rPr/>
        <w:t>data collected from both the primary and secondary sources</w:t>
      </w:r>
      <w:r>
        <w:rPr>
          <w:spacing w:val="1"/>
        </w:rPr>
        <w:t> </w:t>
      </w:r>
      <w:r>
        <w:rPr/>
        <w:t>were analysed and integrated to provide answers to the research question. The research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deductive</w:t>
      </w:r>
      <w:r>
        <w:rPr>
          <w:spacing w:val="1"/>
        </w:rPr>
        <w:t> </w:t>
      </w:r>
      <w:r>
        <w:rPr/>
        <w:t>and interpretive</w:t>
      </w:r>
      <w:r>
        <w:rPr>
          <w:spacing w:val="-1"/>
        </w:rPr>
        <w:t> </w:t>
      </w:r>
      <w:r>
        <w:rPr/>
        <w:t>than inductive.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77" w:lineRule="auto"/>
        <w:ind w:left="700" w:right="1040"/>
        <w:jc w:val="both"/>
      </w:pPr>
      <w:r>
        <w:rPr/>
        <w:t>The study was restricted to the geographical boundary of Ilorin town; that is, only</w:t>
      </w:r>
      <w:r>
        <w:rPr>
          <w:spacing w:val="1"/>
        </w:rPr>
        <w:t> </w:t>
      </w:r>
      <w:r>
        <w:rPr/>
        <w:t>housing estates within Ilorin town were considered for this study. However, due to time</w:t>
      </w:r>
      <w:r>
        <w:rPr>
          <w:spacing w:val="1"/>
        </w:rPr>
        <w:t> </w:t>
      </w:r>
      <w:r>
        <w:rPr/>
        <w:t>constraint, only four housing estates was selected for sampling for this study, two each</w:t>
      </w:r>
      <w:r>
        <w:rPr>
          <w:spacing w:val="1"/>
        </w:rPr>
        <w:t> </w:t>
      </w:r>
      <w:r>
        <w:rPr/>
        <w:t>from public and private estates identified. The selection of the housing estate was based</w:t>
      </w:r>
      <w:r>
        <w:rPr>
          <w:spacing w:val="1"/>
        </w:rPr>
        <w:t> </w:t>
      </w:r>
      <w:r>
        <w:rPr/>
        <w:t>on the year of construction of the estates; this implies that the first two most recent</w:t>
      </w:r>
      <w:r>
        <w:rPr>
          <w:spacing w:val="1"/>
        </w:rPr>
        <w:t> </w:t>
      </w:r>
      <w:r>
        <w:rPr/>
        <w:t>housing estates developed by the public and private developers were considered in other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allow for effective</w:t>
      </w:r>
      <w:r>
        <w:rPr>
          <w:spacing w:val="1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before="4"/>
        <w:ind w:left="700"/>
        <w:jc w:val="both"/>
      </w:pPr>
      <w:r>
        <w:rPr/>
        <w:t>The</w:t>
      </w:r>
      <w:r>
        <w:rPr>
          <w:spacing w:val="-3"/>
        </w:rPr>
        <w:t> </w:t>
      </w:r>
      <w:r>
        <w:rPr/>
        <w:t>research design 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includes 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462"/>
        <w:jc w:val="left"/>
        <w:rPr>
          <w:sz w:val="24"/>
        </w:rPr>
      </w:pPr>
      <w:r>
        <w:rPr>
          <w:sz w:val="24"/>
        </w:rPr>
        <w:t>Observation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Participant Observation.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517"/>
        <w:jc w:val="left"/>
        <w:rPr>
          <w:sz w:val="24"/>
        </w:rPr>
      </w:pPr>
      <w:r>
        <w:rPr>
          <w:sz w:val="24"/>
        </w:rPr>
        <w:t>Interviews.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572"/>
        <w:jc w:val="left"/>
        <w:rPr>
          <w:sz w:val="24"/>
        </w:rPr>
      </w:pPr>
      <w:r>
        <w:rPr>
          <w:sz w:val="24"/>
        </w:rPr>
        <w:t>Surveys.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1123" w:top="1320" w:bottom="1320" w:left="1280" w:right="360"/>
        </w:sectPr>
      </w:pPr>
    </w:p>
    <w:p>
      <w:pPr>
        <w:pStyle w:val="ListParagraph"/>
        <w:numPr>
          <w:ilvl w:val="2"/>
          <w:numId w:val="5"/>
        </w:numPr>
        <w:tabs>
          <w:tab w:pos="1420" w:val="left" w:leader="none"/>
          <w:tab w:pos="1421" w:val="left" w:leader="none"/>
        </w:tabs>
        <w:spacing w:line="240" w:lineRule="auto" w:before="62" w:after="0"/>
        <w:ind w:left="1420" w:right="0" w:hanging="563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Archival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Types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Source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Data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700" w:right="1059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(unprocessed</w:t>
      </w:r>
      <w:r>
        <w:rPr>
          <w:spacing w:val="1"/>
        </w:rPr>
        <w:t> </w:t>
      </w:r>
      <w:r>
        <w:rPr/>
        <w:t>data)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(processed data). The primary data were gathered through the use of questionnaires and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presented in the section below.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6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Primary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data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The primary data used for this study includes the reconnaissance survey in which the</w:t>
      </w:r>
      <w:r>
        <w:rPr>
          <w:spacing w:val="1"/>
        </w:rPr>
        <w:t> </w:t>
      </w:r>
      <w:r>
        <w:rPr/>
        <w:t>photographs of the major landmarks were taken in the study area and the geographical</w:t>
      </w:r>
      <w:r>
        <w:rPr>
          <w:spacing w:val="1"/>
        </w:rPr>
        <w:t> </w:t>
      </w:r>
      <w:r>
        <w:rPr/>
        <w:t>coordinates of the selected estates were taken to allow accuracy in map digitizing. The</w:t>
      </w:r>
      <w:r>
        <w:rPr>
          <w:spacing w:val="1"/>
        </w:rPr>
        <w:t> </w:t>
      </w:r>
      <w:r>
        <w:rPr/>
        <w:t>questionnaire were administered to the residents of the selected estates by considering</w:t>
      </w:r>
      <w:r>
        <w:rPr>
          <w:spacing w:val="1"/>
        </w:rPr>
        <w:t> </w:t>
      </w:r>
      <w:r>
        <w:rPr/>
        <w:t>the type of housing, number of rooms, condition of wall, condition of floor, condition of</w:t>
      </w:r>
      <w:r>
        <w:rPr>
          <w:spacing w:val="-57"/>
        </w:rPr>
        <w:t> </w:t>
      </w:r>
      <w:r>
        <w:rPr/>
        <w:t>roof, condition of door,</w:t>
      </w:r>
      <w:r>
        <w:rPr>
          <w:spacing w:val="1"/>
        </w:rPr>
        <w:t> </w:t>
      </w:r>
      <w:r>
        <w:rPr/>
        <w:t>the study also look at</w:t>
      </w:r>
      <w:r>
        <w:rPr>
          <w:spacing w:val="1"/>
        </w:rPr>
        <w:t> </w:t>
      </w:r>
      <w:r>
        <w:rPr/>
        <w:t>the following indicators of housing</w:t>
      </w:r>
      <w:r>
        <w:rPr>
          <w:spacing w:val="1"/>
        </w:rPr>
        <w:t> </w:t>
      </w:r>
      <w:r>
        <w:rPr/>
        <w:t>affordability such as</w:t>
      </w:r>
      <w:r>
        <w:rPr>
          <w:spacing w:val="1"/>
        </w:rPr>
        <w:t> </w:t>
      </w:r>
      <w:r>
        <w:rPr/>
        <w:t>House price to income/earnings</w:t>
      </w:r>
      <w:r>
        <w:rPr>
          <w:spacing w:val="1"/>
        </w:rPr>
        <w:t> </w:t>
      </w:r>
      <w:r>
        <w:rPr/>
        <w:t>ratio, Housing expenditure to</w:t>
      </w:r>
      <w:r>
        <w:rPr>
          <w:spacing w:val="1"/>
        </w:rPr>
        <w:t> </w:t>
      </w:r>
      <w:r>
        <w:rPr/>
        <w:t>income ratio, residual income left for housing, The study used data on the following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livability: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facility,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accessibility, access to basic education, quality of housing, quality of the neighbourhood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access to communication facility.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2"/>
          <w:numId w:val="6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Secondary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700"/>
        <w:jc w:val="both"/>
      </w:pPr>
      <w:r>
        <w:rPr/>
        <w:t>The</w:t>
      </w:r>
      <w:r>
        <w:rPr>
          <w:spacing w:val="-2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data</w:t>
      </w:r>
      <w:r>
        <w:rPr>
          <w:spacing w:val="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2" w:lineRule="auto"/>
        <w:ind w:left="700" w:right="1059"/>
        <w:jc w:val="both"/>
      </w:pPr>
      <w:r>
        <w:rPr/>
        <w:t>The names of registered housing estates in Ilorin which are gotten from the housing</w:t>
      </w:r>
      <w:r>
        <w:rPr>
          <w:spacing w:val="1"/>
        </w:rPr>
        <w:t> </w:t>
      </w:r>
      <w:r>
        <w:rPr/>
        <w:t>cooperation Ilorin as well as the number of units completed and the year of completion,</w:t>
      </w:r>
      <w:r>
        <w:rPr>
          <w:spacing w:val="1"/>
        </w:rPr>
        <w:t> </w:t>
      </w:r>
      <w:r>
        <w:rPr/>
        <w:t>except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1"/>
        </w:rPr>
        <w:t> </w:t>
      </w:r>
      <w:r>
        <w:rPr/>
        <w:t>estates, that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gotten</w:t>
      </w:r>
      <w:r>
        <w:rPr>
          <w:spacing w:val="-1"/>
        </w:rPr>
        <w:t> </w:t>
      </w:r>
      <w:r>
        <w:rPr/>
        <w:t>from Ministry</w:t>
      </w:r>
      <w:r>
        <w:rPr>
          <w:spacing w:val="-8"/>
        </w:rPr>
        <w:t> </w:t>
      </w:r>
      <w:r>
        <w:rPr/>
        <w:t>of</w:t>
      </w:r>
      <w:r>
        <w:rPr>
          <w:spacing w:val="4"/>
        </w:rPr>
        <w:t> </w:t>
      </w:r>
      <w:r>
        <w:rPr/>
        <w:t>Lands and</w:t>
      </w:r>
      <w:r>
        <w:rPr>
          <w:spacing w:val="2"/>
        </w:rPr>
        <w:t> </w:t>
      </w:r>
      <w:r>
        <w:rPr/>
        <w:t>town</w:t>
      </w:r>
    </w:p>
    <w:p>
      <w:pPr>
        <w:spacing w:after="0" w:line="472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BodyText"/>
        <w:spacing w:line="475" w:lineRule="auto" w:before="76"/>
        <w:ind w:left="700" w:right="1058"/>
        <w:jc w:val="both"/>
      </w:pPr>
      <w:r>
        <w:rPr/>
        <w:t>planning development authority. The geographical locations of the housing estate were</w:t>
      </w:r>
      <w:r>
        <w:rPr>
          <w:spacing w:val="1"/>
        </w:rPr>
        <w:t> </w:t>
      </w:r>
      <w:r>
        <w:rPr/>
        <w:t>also picked through the use of geographical position system. Other relevant information</w:t>
      </w:r>
      <w:r>
        <w:rPr>
          <w:spacing w:val="1"/>
        </w:rPr>
        <w:t> </w:t>
      </w:r>
      <w:r>
        <w:rPr/>
        <w:t>on the subject matter was gathered through published document. The names of the</w:t>
      </w:r>
      <w:r>
        <w:rPr>
          <w:spacing w:val="1"/>
        </w:rPr>
        <w:t> </w:t>
      </w:r>
      <w:r>
        <w:rPr/>
        <w:t>estates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Ilorin metropolis is presented in the table</w:t>
      </w:r>
      <w:r>
        <w:rPr>
          <w:spacing w:val="-2"/>
        </w:rPr>
        <w:t> </w:t>
      </w:r>
      <w:r>
        <w:rPr/>
        <w:t>3.1.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spacing w:after="3"/>
        <w:jc w:val="both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3"/>
        </w:rPr>
        <w:t> </w:t>
      </w:r>
      <w:r>
        <w:rPr/>
        <w:t>Names</w:t>
      </w:r>
      <w:r>
        <w:rPr>
          <w:spacing w:val="-1"/>
        </w:rPr>
        <w:t> </w:t>
      </w:r>
      <w:r>
        <w:rPr/>
        <w:t>of Estate</w:t>
      </w:r>
      <w:r>
        <w:rPr>
          <w:spacing w:val="-2"/>
        </w:rPr>
        <w:t> </w:t>
      </w:r>
      <w:r>
        <w:rPr/>
        <w:t>in Ilorin</w:t>
      </w:r>
      <w:r>
        <w:rPr>
          <w:spacing w:val="-1"/>
        </w:rPr>
        <w:t> </w:t>
      </w:r>
      <w:r>
        <w:rPr/>
        <w:t>Town,</w:t>
      </w:r>
      <w:r>
        <w:rPr>
          <w:spacing w:val="-1"/>
        </w:rPr>
        <w:t> </w:t>
      </w:r>
      <w:r>
        <w:rPr/>
        <w:t>Kwara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1994"/>
        <w:gridCol w:w="2691"/>
      </w:tblGrid>
      <w:tr>
        <w:trPr>
          <w:trHeight w:val="409" w:hRule="atLeast"/>
        </w:trPr>
        <w:tc>
          <w:tcPr>
            <w:tcW w:w="29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Names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estates</w:t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2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Developed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by</w:t>
            </w:r>
          </w:p>
        </w:tc>
        <w:tc>
          <w:tcPr>
            <w:tcW w:w="26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Year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Construction</w:t>
            </w:r>
          </w:p>
        </w:tc>
      </w:tr>
      <w:tr>
        <w:trPr>
          <w:trHeight w:val="329" w:hRule="atLeast"/>
        </w:trPr>
        <w:tc>
          <w:tcPr>
            <w:tcW w:w="2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Kulende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</w:tr>
      <w:tr>
        <w:trPr>
          <w:trHeight w:val="410" w:hRule="atLeast"/>
        </w:trPr>
        <w:tc>
          <w:tcPr>
            <w:tcW w:w="2929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Irewolede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</w:tcPr>
          <w:p>
            <w:pPr>
              <w:pStyle w:val="TableParagraph"/>
              <w:spacing w:before="61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91" w:type="dxa"/>
          </w:tcPr>
          <w:p>
            <w:pPr>
              <w:pStyle w:val="TableParagraph"/>
              <w:spacing w:before="61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</w:tr>
      <w:tr>
        <w:trPr>
          <w:trHeight w:val="414" w:hRule="atLeast"/>
        </w:trPr>
        <w:tc>
          <w:tcPr>
            <w:tcW w:w="2929" w:type="dxa"/>
          </w:tcPr>
          <w:p>
            <w:pPr>
              <w:pStyle w:val="TableParagraph"/>
              <w:spacing w:before="6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</w:tcPr>
          <w:p>
            <w:pPr>
              <w:pStyle w:val="TableParagraph"/>
              <w:spacing w:before="63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91" w:type="dxa"/>
          </w:tcPr>
          <w:p>
            <w:pPr>
              <w:pStyle w:val="TableParagraph"/>
              <w:spacing w:before="63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</w:tr>
      <w:tr>
        <w:trPr>
          <w:trHeight w:val="414" w:hRule="atLeast"/>
        </w:trPr>
        <w:tc>
          <w:tcPr>
            <w:tcW w:w="2929" w:type="dxa"/>
          </w:tcPr>
          <w:p>
            <w:pPr>
              <w:pStyle w:val="TableParagraph"/>
              <w:spacing w:before="64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</w:tcPr>
          <w:p>
            <w:pPr>
              <w:pStyle w:val="TableParagraph"/>
              <w:spacing w:before="64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91" w:type="dxa"/>
          </w:tcPr>
          <w:p>
            <w:pPr>
              <w:pStyle w:val="TableParagraph"/>
              <w:spacing w:before="64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</w:tr>
      <w:tr>
        <w:trPr>
          <w:trHeight w:val="412" w:hRule="atLeast"/>
        </w:trPr>
        <w:tc>
          <w:tcPr>
            <w:tcW w:w="2929" w:type="dxa"/>
          </w:tcPr>
          <w:p>
            <w:pPr>
              <w:pStyle w:val="TableParagraph"/>
              <w:spacing w:before="6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</w:tcPr>
          <w:p>
            <w:pPr>
              <w:pStyle w:val="TableParagraph"/>
              <w:spacing w:before="63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91" w:type="dxa"/>
          </w:tcPr>
          <w:p>
            <w:pPr>
              <w:pStyle w:val="TableParagraph"/>
              <w:spacing w:before="63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</w:tr>
      <w:tr>
        <w:trPr>
          <w:trHeight w:val="413" w:hRule="atLeast"/>
        </w:trPr>
        <w:tc>
          <w:tcPr>
            <w:tcW w:w="2929" w:type="dxa"/>
          </w:tcPr>
          <w:p>
            <w:pPr>
              <w:pStyle w:val="TableParagraph"/>
              <w:spacing w:before="6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Mandate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994" w:type="dxa"/>
          </w:tcPr>
          <w:p>
            <w:pPr>
              <w:pStyle w:val="TableParagraph"/>
              <w:spacing w:before="63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</w:t>
            </w:r>
          </w:p>
        </w:tc>
        <w:tc>
          <w:tcPr>
            <w:tcW w:w="2691" w:type="dxa"/>
          </w:tcPr>
          <w:p>
            <w:pPr>
              <w:pStyle w:val="TableParagraph"/>
              <w:spacing w:before="63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2006</w:t>
            </w:r>
          </w:p>
        </w:tc>
      </w:tr>
      <w:tr>
        <w:trPr>
          <w:trHeight w:val="414" w:hRule="atLeast"/>
        </w:trPr>
        <w:tc>
          <w:tcPr>
            <w:tcW w:w="2929" w:type="dxa"/>
          </w:tcPr>
          <w:p>
            <w:pPr>
              <w:pStyle w:val="TableParagraph"/>
              <w:spacing w:before="64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Olarewaju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</w:tcPr>
          <w:p>
            <w:pPr>
              <w:pStyle w:val="TableParagraph"/>
              <w:spacing w:before="64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91" w:type="dxa"/>
          </w:tcPr>
          <w:p>
            <w:pPr>
              <w:pStyle w:val="TableParagraph"/>
              <w:spacing w:before="64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1999</w:t>
            </w:r>
          </w:p>
        </w:tc>
      </w:tr>
      <w:tr>
        <w:trPr>
          <w:trHeight w:val="413" w:hRule="atLeast"/>
        </w:trPr>
        <w:tc>
          <w:tcPr>
            <w:tcW w:w="2929" w:type="dxa"/>
          </w:tcPr>
          <w:p>
            <w:pPr>
              <w:pStyle w:val="TableParagraph"/>
              <w:spacing w:before="6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Royal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Valley</w:t>
            </w:r>
          </w:p>
        </w:tc>
        <w:tc>
          <w:tcPr>
            <w:tcW w:w="1994" w:type="dxa"/>
          </w:tcPr>
          <w:p>
            <w:pPr>
              <w:pStyle w:val="TableParagraph"/>
              <w:spacing w:before="63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91" w:type="dxa"/>
          </w:tcPr>
          <w:p>
            <w:pPr>
              <w:pStyle w:val="TableParagraph"/>
              <w:spacing w:before="63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</w:tr>
      <w:tr>
        <w:trPr>
          <w:trHeight w:val="413" w:hRule="atLeast"/>
        </w:trPr>
        <w:tc>
          <w:tcPr>
            <w:tcW w:w="2929" w:type="dxa"/>
          </w:tcPr>
          <w:p>
            <w:pPr>
              <w:pStyle w:val="TableParagraph"/>
              <w:spacing w:before="64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</w:tcPr>
          <w:p>
            <w:pPr>
              <w:pStyle w:val="TableParagraph"/>
              <w:spacing w:before="64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91" w:type="dxa"/>
          </w:tcPr>
          <w:p>
            <w:pPr>
              <w:pStyle w:val="TableParagraph"/>
              <w:spacing w:before="64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</w:tr>
      <w:tr>
        <w:trPr>
          <w:trHeight w:val="493" w:hRule="atLeast"/>
        </w:trPr>
        <w:tc>
          <w:tcPr>
            <w:tcW w:w="29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Evergreen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Private</w:t>
            </w:r>
          </w:p>
        </w:tc>
        <w:tc>
          <w:tcPr>
            <w:tcW w:w="26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2015</w:t>
            </w:r>
          </w:p>
        </w:tc>
      </w:tr>
      <w:tr>
        <w:trPr>
          <w:trHeight w:val="359" w:hRule="atLeast"/>
        </w:trPr>
        <w:tc>
          <w:tcPr>
            <w:tcW w:w="2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 w:before="83"/>
              <w:ind w:left="112" w:right="-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Source: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Authors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Compilation</w:t>
            </w:r>
          </w:p>
        </w:tc>
        <w:tc>
          <w:tcPr>
            <w:tcW w:w="199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Study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Population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 w:before="1"/>
        <w:ind w:left="700" w:right="1035"/>
        <w:jc w:val="both"/>
      </w:pPr>
      <w:r>
        <w:rPr/>
        <w:t>The sample frame for the study is the total population of the four selected housing</w:t>
      </w:r>
      <w:r>
        <w:rPr>
          <w:spacing w:val="1"/>
        </w:rPr>
        <w:t> </w:t>
      </w:r>
      <w:r>
        <w:rPr/>
        <w:t>estates. Table 3.2 shows the number of housing units in the public and private housing</w:t>
      </w:r>
      <w:r>
        <w:rPr>
          <w:spacing w:val="1"/>
        </w:rPr>
        <w:t> </w:t>
      </w:r>
      <w:r>
        <w:rPr/>
        <w:t>estates selected. The Table shows that the total number of housing units in the estates is</w:t>
      </w:r>
      <w:r>
        <w:rPr>
          <w:spacing w:val="1"/>
        </w:rPr>
        <w:t> </w:t>
      </w:r>
      <w:r>
        <w:rPr/>
        <w:t>1254. Therefore, since the study is household base, the sample frame for the study is</w:t>
      </w:r>
      <w:r>
        <w:rPr>
          <w:spacing w:val="1"/>
        </w:rPr>
        <w:t> </w:t>
      </w:r>
      <w:r>
        <w:rPr/>
        <w:t>1254 households. Harmony Estate has</w:t>
      </w:r>
      <w:r>
        <w:rPr>
          <w:spacing w:val="1"/>
        </w:rPr>
        <w:t> </w:t>
      </w:r>
      <w:r>
        <w:rPr/>
        <w:t>a total</w:t>
      </w:r>
      <w:r>
        <w:rPr>
          <w:spacing w:val="1"/>
        </w:rPr>
        <w:t> </w:t>
      </w:r>
      <w:r>
        <w:rPr/>
        <w:t>of 260 housing units,</w:t>
      </w:r>
      <w:r>
        <w:rPr>
          <w:spacing w:val="60"/>
        </w:rPr>
        <w:t> </w:t>
      </w:r>
      <w:r>
        <w:rPr/>
        <w:t>while Mandate</w:t>
      </w:r>
      <w:r>
        <w:rPr>
          <w:spacing w:val="1"/>
        </w:rPr>
        <w:t> </w:t>
      </w:r>
      <w:r>
        <w:rPr/>
        <w:t>Estate has a total of 500 housing units, making a total of 760 housing units for the public</w:t>
      </w:r>
      <w:r>
        <w:rPr>
          <w:spacing w:val="-57"/>
        </w:rPr>
        <w:t> </w:t>
      </w:r>
      <w:r>
        <w:rPr/>
        <w:t>housing estates. The total number of housing units in the private housing estates is 494,</w:t>
      </w:r>
      <w:r>
        <w:rPr>
          <w:spacing w:val="1"/>
        </w:rPr>
        <w:t> </w:t>
      </w:r>
      <w:r>
        <w:rPr/>
        <w:t>where Royal Valley has a total of 244 housing units and Evergreen Estates has a total of</w:t>
      </w:r>
      <w:r>
        <w:rPr>
          <w:spacing w:val="1"/>
        </w:rPr>
        <w:t> </w:t>
      </w:r>
      <w:r>
        <w:rPr/>
        <w:t>250 housing</w:t>
      </w:r>
      <w:r>
        <w:rPr>
          <w:spacing w:val="-3"/>
        </w:rPr>
        <w:t> </w:t>
      </w:r>
      <w:r>
        <w:rPr/>
        <w:t>units.</w:t>
      </w:r>
    </w:p>
    <w:p>
      <w:pPr>
        <w:spacing w:after="0" w:line="477" w:lineRule="auto"/>
        <w:jc w:val="both"/>
        <w:sectPr>
          <w:pgSz w:w="11900" w:h="16840"/>
          <w:pgMar w:header="0" w:footer="1123" w:top="1320" w:bottom="1320" w:left="1280" w:right="360"/>
        </w:sectPr>
      </w:pPr>
    </w:p>
    <w:p>
      <w:pPr>
        <w:pStyle w:val="Heading1"/>
        <w:spacing w:before="72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4"/>
        </w:rPr>
        <w:t> </w:t>
      </w:r>
      <w:r>
        <w:rPr/>
        <w:t>Sample Frame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3153"/>
        <w:gridCol w:w="2820"/>
      </w:tblGrid>
      <w:tr>
        <w:trPr>
          <w:trHeight w:val="282" w:hRule="atLeast"/>
        </w:trPr>
        <w:tc>
          <w:tcPr>
            <w:tcW w:w="8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3"/>
              <w:ind w:left="1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S/No</w:t>
            </w:r>
          </w:p>
        </w:tc>
        <w:tc>
          <w:tcPr>
            <w:tcW w:w="3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3"/>
              <w:ind w:left="2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Estates</w:t>
            </w:r>
          </w:p>
        </w:tc>
        <w:tc>
          <w:tcPr>
            <w:tcW w:w="28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3"/>
              <w:ind w:left="61" w:right="1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Number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Housing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Unit</w:t>
            </w:r>
          </w:p>
        </w:tc>
      </w:tr>
      <w:tr>
        <w:trPr>
          <w:trHeight w:val="266" w:hRule="atLeast"/>
        </w:trPr>
        <w:tc>
          <w:tcPr>
            <w:tcW w:w="82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/>
              <w:ind w:left="2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282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28" w:type="dxa"/>
          </w:tcPr>
          <w:p>
            <w:pPr>
              <w:pStyle w:val="TableParagraph"/>
              <w:spacing w:line="250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153" w:type="dxa"/>
          </w:tcPr>
          <w:p>
            <w:pPr>
              <w:pStyle w:val="TableParagraph"/>
              <w:spacing w:line="250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</w:p>
        </w:tc>
        <w:tc>
          <w:tcPr>
            <w:tcW w:w="2820" w:type="dxa"/>
          </w:tcPr>
          <w:p>
            <w:pPr>
              <w:pStyle w:val="TableParagraph"/>
              <w:spacing w:line="250" w:lineRule="exact"/>
              <w:ind w:left="61" w:right="1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260</w:t>
            </w:r>
          </w:p>
        </w:tc>
      </w:tr>
      <w:tr>
        <w:trPr>
          <w:trHeight w:val="278" w:hRule="atLeast"/>
        </w:trPr>
        <w:tc>
          <w:tcPr>
            <w:tcW w:w="828" w:type="dxa"/>
          </w:tcPr>
          <w:p>
            <w:pPr>
              <w:pStyle w:val="TableParagraph"/>
              <w:spacing w:line="258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153" w:type="dxa"/>
          </w:tcPr>
          <w:p>
            <w:pPr>
              <w:pStyle w:val="TableParagraph"/>
              <w:spacing w:line="258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Mandate 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2820" w:type="dxa"/>
          </w:tcPr>
          <w:p>
            <w:pPr>
              <w:pStyle w:val="TableParagraph"/>
              <w:spacing w:line="258" w:lineRule="exact"/>
              <w:ind w:left="61" w:right="1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</w:tr>
      <w:tr>
        <w:trPr>
          <w:trHeight w:val="280" w:hRule="atLeast"/>
        </w:trPr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3" w:type="dxa"/>
          </w:tcPr>
          <w:p>
            <w:pPr>
              <w:pStyle w:val="TableParagraph"/>
              <w:spacing w:line="261" w:lineRule="exact"/>
              <w:ind w:right="7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820" w:type="dxa"/>
          </w:tcPr>
          <w:p>
            <w:pPr>
              <w:pStyle w:val="TableParagraph"/>
              <w:spacing w:line="261" w:lineRule="exact"/>
              <w:ind w:left="61" w:right="1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760</w:t>
            </w:r>
          </w:p>
        </w:tc>
      </w:tr>
      <w:tr>
        <w:trPr>
          <w:trHeight w:val="273" w:hRule="atLeast"/>
        </w:trPr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3" w:type="dxa"/>
          </w:tcPr>
          <w:p>
            <w:pPr>
              <w:pStyle w:val="TableParagraph"/>
              <w:spacing w:line="254" w:lineRule="exact"/>
              <w:ind w:left="2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2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828" w:type="dxa"/>
          </w:tcPr>
          <w:p>
            <w:pPr>
              <w:pStyle w:val="TableParagraph"/>
              <w:spacing w:line="251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153" w:type="dxa"/>
          </w:tcPr>
          <w:p>
            <w:pPr>
              <w:pStyle w:val="TableParagraph"/>
              <w:spacing w:line="251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Royal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Valley</w:t>
            </w:r>
          </w:p>
        </w:tc>
        <w:tc>
          <w:tcPr>
            <w:tcW w:w="2820" w:type="dxa"/>
          </w:tcPr>
          <w:p>
            <w:pPr>
              <w:pStyle w:val="TableParagraph"/>
              <w:spacing w:line="251" w:lineRule="exact"/>
              <w:ind w:left="61" w:right="1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244</w:t>
            </w:r>
          </w:p>
        </w:tc>
      </w:tr>
      <w:tr>
        <w:trPr>
          <w:trHeight w:val="278" w:hRule="atLeast"/>
        </w:trPr>
        <w:tc>
          <w:tcPr>
            <w:tcW w:w="828" w:type="dxa"/>
          </w:tcPr>
          <w:p>
            <w:pPr>
              <w:pStyle w:val="TableParagraph"/>
              <w:spacing w:line="258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153" w:type="dxa"/>
          </w:tcPr>
          <w:p>
            <w:pPr>
              <w:pStyle w:val="TableParagraph"/>
              <w:spacing w:line="258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Evergreen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2820" w:type="dxa"/>
          </w:tcPr>
          <w:p>
            <w:pPr>
              <w:pStyle w:val="TableParagraph"/>
              <w:spacing w:line="258" w:lineRule="exact"/>
              <w:ind w:left="61" w:right="1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</w:tr>
      <w:tr>
        <w:trPr>
          <w:trHeight w:val="409" w:hRule="atLeast"/>
        </w:trPr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53" w:type="dxa"/>
          </w:tcPr>
          <w:p>
            <w:pPr>
              <w:pStyle w:val="TableParagraph"/>
              <w:spacing w:line="276" w:lineRule="exact"/>
              <w:ind w:right="7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820" w:type="dxa"/>
          </w:tcPr>
          <w:p>
            <w:pPr>
              <w:pStyle w:val="TableParagraph"/>
              <w:spacing w:line="276" w:lineRule="exact"/>
              <w:ind w:left="61" w:right="1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494</w:t>
            </w:r>
          </w:p>
        </w:tc>
      </w:tr>
      <w:tr>
        <w:trPr>
          <w:trHeight w:val="402" w:hRule="atLeast"/>
        </w:trPr>
        <w:tc>
          <w:tcPr>
            <w:tcW w:w="8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23"/>
              <w:ind w:right="7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Grand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8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23"/>
              <w:ind w:left="61" w:right="1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1254</w:t>
            </w:r>
          </w:p>
        </w:tc>
      </w:tr>
    </w:tbl>
    <w:p>
      <w:pPr>
        <w:spacing w:before="97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Author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Sample</w:t>
      </w:r>
      <w:r>
        <w:rPr>
          <w:spacing w:val="-3"/>
        </w:rPr>
        <w:t> </w:t>
      </w:r>
      <w:r>
        <w:rPr/>
        <w:t>Size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700" w:right="1060"/>
        <w:jc w:val="both"/>
      </w:pP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population, the Taro Yammane sample size formula will be adopted. The mathematical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formula is presented in equation 3.1.</w:t>
      </w:r>
    </w:p>
    <w:p>
      <w:pPr>
        <w:pStyle w:val="BodyText"/>
        <w:spacing w:before="174"/>
        <w:ind w:right="1876"/>
        <w:jc w:val="right"/>
      </w:pPr>
      <w:r>
        <w:rPr/>
        <w:pict>
          <v:shape style="position:absolute;margin-left:128.060013pt;margin-top:11.743109pt;width:34pt;height:1pt;mso-position-horizontal-relative:page;mso-position-vertical-relative:paragraph;z-index:15730176" coordorigin="2561,235" coordsize="680,20" path="m2919,235l2900,235,2561,235,2561,254,2900,254,2919,254,2919,235xm3240,235l2919,235,2919,254,3240,254,3240,235xe" filled="true" fillcolor="#000000" stroked="false">
            <v:path arrowok="t"/>
            <v:fill type="solid"/>
            <w10:wrap type="none"/>
          </v:shape>
        </w:pict>
      </w:r>
      <w:r>
        <w:rPr/>
        <w:t>(3.1)</w:t>
      </w:r>
    </w:p>
    <w:p>
      <w:pPr>
        <w:tabs>
          <w:tab w:pos="1943" w:val="left" w:leader="none"/>
        </w:tabs>
        <w:spacing w:before="22"/>
        <w:ind w:left="1346" w:right="0" w:firstLine="0"/>
        <w:jc w:val="left"/>
        <w:rPr>
          <w:rFonts w:ascii="Cambria Math"/>
          <w:sz w:val="4"/>
        </w:rPr>
      </w:pPr>
      <w:r>
        <w:rPr>
          <w:rFonts w:ascii="Cambria Math"/>
          <w:sz w:val="4"/>
        </w:rPr>
        <w:t>(</w:t>
        <w:tab/>
        <w:t>)</w:t>
      </w:r>
    </w:p>
    <w:p>
      <w:pPr>
        <w:pStyle w:val="BodyText"/>
        <w:spacing w:before="2"/>
        <w:rPr>
          <w:rFonts w:ascii="Cambria Math"/>
          <w:sz w:val="18"/>
        </w:rPr>
      </w:pPr>
    </w:p>
    <w:p>
      <w:pPr>
        <w:pStyle w:val="BodyText"/>
        <w:spacing w:before="90"/>
        <w:ind w:left="700"/>
      </w:pPr>
      <w:r>
        <w:rPr/>
        <w:t>Where,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=Sample</w:t>
      </w:r>
      <w:r>
        <w:rPr>
          <w:spacing w:val="-2"/>
        </w:rPr>
        <w:t> </w:t>
      </w:r>
      <w:r>
        <w:rPr/>
        <w:t>frame,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freedom</w:t>
      </w:r>
      <w:r>
        <w:rPr>
          <w:spacing w:val="1"/>
        </w:rPr>
        <w:t> </w:t>
      </w:r>
      <w:r>
        <w:rPr/>
        <w:t>(0.05),</w:t>
      </w:r>
      <w:r>
        <w:rPr>
          <w:spacing w:val="-1"/>
        </w:rPr>
        <w:t> </w:t>
      </w:r>
      <w:r>
        <w:rPr/>
        <w:t>SS=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size.</w:t>
      </w:r>
      <w:r>
        <w:rPr>
          <w:spacing w:val="-1"/>
        </w:rPr>
        <w:t> </w:t>
      </w:r>
      <w:r>
        <w:rPr/>
        <w:t>Therefore,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2"/>
          <w:pgSz w:w="11900" w:h="16840"/>
          <w:pgMar w:footer="928" w:header="0" w:top="1320" w:bottom="1120" w:left="128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0" w:lineRule="exact"/>
        <w:ind w:left="1281" w:right="-15"/>
        <w:rPr>
          <w:sz w:val="2"/>
        </w:rPr>
      </w:pPr>
      <w:r>
        <w:rPr>
          <w:sz w:val="2"/>
        </w:rPr>
        <w:pict>
          <v:group style="width:67.95pt;height:1pt;mso-position-horizontal-relative:char;mso-position-vertical-relative:line" coordorigin="0,0" coordsize="1359,20">
            <v:shape style="position:absolute;left:0;top:0;width:1359;height:20" coordorigin="0,0" coordsize="1359,20" path="m418,0l398,0,0,0,0,19,398,19,418,19,418,0xm1359,0l979,0,960,0,418,0,418,19,960,19,979,19,1359,19,135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2"/>
        <w:rPr>
          <w:sz w:val="3"/>
        </w:rPr>
      </w:pPr>
    </w:p>
    <w:p>
      <w:pPr>
        <w:tabs>
          <w:tab w:pos="2085" w:val="left" w:leader="none"/>
          <w:tab w:pos="2589" w:val="left" w:leader="none"/>
        </w:tabs>
        <w:spacing w:before="0"/>
        <w:ind w:left="1346" w:right="0" w:firstLine="0"/>
        <w:jc w:val="left"/>
        <w:rPr>
          <w:rFonts w:ascii="Cambria Math"/>
          <w:sz w:val="5"/>
        </w:rPr>
      </w:pPr>
      <w:r>
        <w:rPr>
          <w:rFonts w:ascii="Cambria Math"/>
          <w:sz w:val="4"/>
        </w:rPr>
        <w:t>(</w:t>
        <w:tab/>
      </w:r>
      <w:r>
        <w:rPr>
          <w:rFonts w:ascii="Cambria Math"/>
          <w:sz w:val="5"/>
        </w:rPr>
        <w:t>(</w:t>
        <w:tab/>
        <w:t>)</w:t>
      </w:r>
      <w:r>
        <w:rPr>
          <w:rFonts w:ascii="Cambria Math"/>
          <w:spacing w:val="1"/>
          <w:sz w:val="5"/>
        </w:rPr>
        <w:t> </w:t>
      </w:r>
      <w:r>
        <w:rPr>
          <w:rFonts w:ascii="Cambria Math"/>
          <w:sz w:val="5"/>
        </w:rPr>
        <w:t>)</w:t>
      </w:r>
    </w:p>
    <w:p>
      <w:pPr>
        <w:pStyle w:val="BodyText"/>
        <w:spacing w:before="212"/>
        <w:ind w:left="1327" w:right="1857"/>
        <w:jc w:val="center"/>
      </w:pPr>
      <w:r>
        <w:rPr/>
        <w:br w:type="column"/>
      </w:r>
      <w:r>
        <w:rPr/>
        <w:t>(3.2)</w:t>
      </w:r>
    </w:p>
    <w:p>
      <w:pPr>
        <w:spacing w:after="0"/>
        <w:jc w:val="center"/>
        <w:sectPr>
          <w:type w:val="continuous"/>
          <w:pgSz w:w="11900" w:h="16840"/>
          <w:pgMar w:top="1320" w:bottom="280" w:left="1280" w:right="360"/>
          <w:cols w:num="2" w:equalWidth="0">
            <w:col w:w="2685" w:space="3890"/>
            <w:col w:w="36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77" w:lineRule="auto" w:before="90"/>
        <w:ind w:left="700" w:right="1054"/>
        <w:jc w:val="both"/>
      </w:pPr>
      <w:r>
        <w:rPr/>
        <w:t>Having substituted in the variables for the formula as presented in equation 2, the study</w:t>
      </w:r>
      <w:r>
        <w:rPr>
          <w:spacing w:val="1"/>
        </w:rPr>
        <w:t> </w:t>
      </w:r>
      <w:r>
        <w:rPr/>
        <w:t>arrived at a sample size of 400. Therefore, a total of 400 households will be sampled in</w:t>
      </w:r>
      <w:r>
        <w:rPr>
          <w:spacing w:val="1"/>
        </w:rPr>
        <w:t> </w:t>
      </w:r>
      <w:r>
        <w:rPr/>
        <w:t>the four housing estates. The distribution of the sample size is presented in Table 3.2.</w:t>
      </w:r>
      <w:r>
        <w:rPr>
          <w:spacing w:val="1"/>
        </w:rPr>
        <w:t> </w:t>
      </w:r>
      <w:r>
        <w:rPr/>
        <w:t>The sample size was distributed across the four selected housing estate base on the</w:t>
      </w:r>
      <w:r>
        <w:rPr>
          <w:spacing w:val="1"/>
        </w:rPr>
        <w:t> </w:t>
      </w:r>
      <w:r>
        <w:rPr/>
        <w:t>proportion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housing</w:t>
      </w:r>
      <w:r>
        <w:rPr>
          <w:spacing w:val="17"/>
        </w:rPr>
        <w:t> </w:t>
      </w:r>
      <w:r>
        <w:rPr/>
        <w:t>unit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each</w:t>
      </w:r>
      <w:r>
        <w:rPr>
          <w:spacing w:val="20"/>
        </w:rPr>
        <w:t> </w:t>
      </w:r>
      <w:r>
        <w:rPr/>
        <w:t>estate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total</w:t>
      </w:r>
      <w:r>
        <w:rPr>
          <w:spacing w:val="20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housing</w:t>
      </w:r>
      <w:r>
        <w:rPr>
          <w:spacing w:val="17"/>
        </w:rPr>
        <w:t> </w:t>
      </w:r>
      <w:r>
        <w:rPr/>
        <w:t>unit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all</w:t>
      </w:r>
      <w:r>
        <w:rPr>
          <w:spacing w:val="-58"/>
        </w:rPr>
        <w:t> </w:t>
      </w:r>
      <w:r>
        <w:rPr/>
        <w:t>the estates. Table 3.3 shows that a total of 242 questionnaires will be administered in the</w:t>
      </w:r>
      <w:r>
        <w:rPr>
          <w:spacing w:val="-57"/>
        </w:rPr>
        <w:t> </w:t>
      </w:r>
      <w:r>
        <w:rPr/>
        <w:t>public estates; 83 in Harmony estate and 159 in Mandate housing estate. While in the</w:t>
      </w:r>
      <w:r>
        <w:rPr>
          <w:spacing w:val="1"/>
        </w:rPr>
        <w:t> </w:t>
      </w:r>
      <w:r>
        <w:rPr/>
        <w:t>private housing estates, a total of 158 questionnaires were administered to the resident;</w:t>
      </w:r>
      <w:r>
        <w:rPr>
          <w:spacing w:val="1"/>
        </w:rPr>
        <w:t> </w:t>
      </w:r>
      <w:r>
        <w:rPr/>
        <w:t>78</w:t>
      </w:r>
      <w:r>
        <w:rPr>
          <w:spacing w:val="-1"/>
        </w:rPr>
        <w:t> </w:t>
      </w:r>
      <w:r>
        <w:rPr/>
        <w:t>in Royal Valley</w:t>
      </w:r>
      <w:r>
        <w:rPr>
          <w:spacing w:val="-5"/>
        </w:rPr>
        <w:t> </w:t>
      </w:r>
      <w:r>
        <w:rPr/>
        <w:t>Estate</w:t>
      </w:r>
      <w:r>
        <w:rPr>
          <w:spacing w:val="-1"/>
        </w:rPr>
        <w:t> </w:t>
      </w:r>
      <w:r>
        <w:rPr/>
        <w:t>and 80 in Evergreen housing</w:t>
      </w:r>
      <w:r>
        <w:rPr>
          <w:spacing w:val="-2"/>
        </w:rPr>
        <w:t> </w:t>
      </w:r>
      <w:r>
        <w:rPr/>
        <w:t>estate.</w:t>
      </w:r>
    </w:p>
    <w:p>
      <w:pPr>
        <w:spacing w:after="0" w:line="477" w:lineRule="auto"/>
        <w:jc w:val="both"/>
        <w:sectPr>
          <w:type w:val="continuous"/>
          <w:pgSz w:w="11900" w:h="16840"/>
          <w:pgMar w:top="1320" w:bottom="280" w:left="1280" w:right="360"/>
        </w:sectPr>
      </w:pPr>
    </w:p>
    <w:p>
      <w:pPr>
        <w:pStyle w:val="Heading1"/>
        <w:spacing w:before="72"/>
      </w:pPr>
      <w:r>
        <w:rPr/>
        <w:t>Table</w:t>
      </w:r>
      <w:r>
        <w:rPr>
          <w:spacing w:val="-2"/>
        </w:rPr>
        <w:t> </w:t>
      </w:r>
      <w:r>
        <w:rPr/>
        <w:t>3.3:</w:t>
      </w:r>
      <w:r>
        <w:rPr>
          <w:spacing w:val="-4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3265"/>
        <w:gridCol w:w="1565"/>
        <w:gridCol w:w="2493"/>
      </w:tblGrid>
      <w:tr>
        <w:trPr>
          <w:trHeight w:val="283" w:hRule="atLeast"/>
        </w:trPr>
        <w:tc>
          <w:tcPr>
            <w:tcW w:w="8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1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S/No</w:t>
            </w:r>
          </w:p>
        </w:tc>
        <w:tc>
          <w:tcPr>
            <w:tcW w:w="32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2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Estates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43" w:right="1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Number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24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2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Sample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</w:t>
            </w:r>
          </w:p>
        </w:tc>
      </w:tr>
      <w:tr>
        <w:trPr>
          <w:trHeight w:val="274" w:hRule="atLeast"/>
        </w:trPr>
        <w:tc>
          <w:tcPr>
            <w:tcW w:w="81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45" w:right="1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Unit</w:t>
            </w:r>
          </w:p>
        </w:tc>
        <w:tc>
          <w:tcPr>
            <w:tcW w:w="249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81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/>
              <w:ind w:left="2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18" w:type="dxa"/>
          </w:tcPr>
          <w:p>
            <w:pPr>
              <w:pStyle w:val="TableParagraph"/>
              <w:spacing w:line="250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265" w:type="dxa"/>
          </w:tcPr>
          <w:p>
            <w:pPr>
              <w:pStyle w:val="TableParagraph"/>
              <w:spacing w:line="250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Harmony</w:t>
            </w:r>
          </w:p>
        </w:tc>
        <w:tc>
          <w:tcPr>
            <w:tcW w:w="1565" w:type="dxa"/>
          </w:tcPr>
          <w:p>
            <w:pPr>
              <w:pStyle w:val="TableParagraph"/>
              <w:spacing w:line="250" w:lineRule="exact"/>
              <w:ind w:left="43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260</w:t>
            </w:r>
          </w:p>
        </w:tc>
        <w:tc>
          <w:tcPr>
            <w:tcW w:w="2493" w:type="dxa"/>
          </w:tcPr>
          <w:p>
            <w:pPr>
              <w:pStyle w:val="TableParagraph"/>
              <w:spacing w:line="250" w:lineRule="exact"/>
              <w:ind w:left="1081" w:right="10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rPr>
          <w:trHeight w:val="278" w:hRule="atLeast"/>
        </w:trPr>
        <w:tc>
          <w:tcPr>
            <w:tcW w:w="818" w:type="dxa"/>
          </w:tcPr>
          <w:p>
            <w:pPr>
              <w:pStyle w:val="TableParagraph"/>
              <w:spacing w:line="25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265" w:type="dxa"/>
          </w:tcPr>
          <w:p>
            <w:pPr>
              <w:pStyle w:val="TableParagraph"/>
              <w:spacing w:line="258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Mandate 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565" w:type="dxa"/>
          </w:tcPr>
          <w:p>
            <w:pPr>
              <w:pStyle w:val="TableParagraph"/>
              <w:spacing w:line="258" w:lineRule="exact"/>
              <w:ind w:left="43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2493" w:type="dxa"/>
          </w:tcPr>
          <w:p>
            <w:pPr>
              <w:pStyle w:val="TableParagraph"/>
              <w:spacing w:line="258" w:lineRule="exact"/>
              <w:ind w:left="1081" w:right="10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159</w:t>
            </w:r>
          </w:p>
        </w:tc>
      </w:tr>
      <w:tr>
        <w:trPr>
          <w:trHeight w:val="280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spacing w:line="261" w:lineRule="exact"/>
              <w:ind w:right="18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565" w:type="dxa"/>
          </w:tcPr>
          <w:p>
            <w:pPr>
              <w:pStyle w:val="TableParagraph"/>
              <w:spacing w:line="261" w:lineRule="exact"/>
              <w:ind w:left="43" w:right="1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760</w:t>
            </w:r>
          </w:p>
        </w:tc>
        <w:tc>
          <w:tcPr>
            <w:tcW w:w="2493" w:type="dxa"/>
          </w:tcPr>
          <w:p>
            <w:pPr>
              <w:pStyle w:val="TableParagraph"/>
              <w:spacing w:line="261" w:lineRule="exact"/>
              <w:ind w:left="1081" w:right="10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242</w:t>
            </w:r>
          </w:p>
        </w:tc>
      </w:tr>
      <w:tr>
        <w:trPr>
          <w:trHeight w:val="273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spacing w:line="254" w:lineRule="exact"/>
              <w:ind w:left="2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Housing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818" w:type="dxa"/>
          </w:tcPr>
          <w:p>
            <w:pPr>
              <w:pStyle w:val="TableParagraph"/>
              <w:spacing w:line="251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265" w:type="dxa"/>
          </w:tcPr>
          <w:p>
            <w:pPr>
              <w:pStyle w:val="TableParagraph"/>
              <w:spacing w:line="251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Royal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Valley</w:t>
            </w:r>
          </w:p>
        </w:tc>
        <w:tc>
          <w:tcPr>
            <w:tcW w:w="1565" w:type="dxa"/>
          </w:tcPr>
          <w:p>
            <w:pPr>
              <w:pStyle w:val="TableParagraph"/>
              <w:spacing w:line="251" w:lineRule="exact"/>
              <w:ind w:left="43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244</w:t>
            </w:r>
          </w:p>
        </w:tc>
        <w:tc>
          <w:tcPr>
            <w:tcW w:w="2493" w:type="dxa"/>
          </w:tcPr>
          <w:p>
            <w:pPr>
              <w:pStyle w:val="TableParagraph"/>
              <w:spacing w:line="251" w:lineRule="exact"/>
              <w:ind w:left="1081" w:right="10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</w:tr>
      <w:tr>
        <w:trPr>
          <w:trHeight w:val="278" w:hRule="atLeast"/>
        </w:trPr>
        <w:tc>
          <w:tcPr>
            <w:tcW w:w="818" w:type="dxa"/>
          </w:tcPr>
          <w:p>
            <w:pPr>
              <w:pStyle w:val="TableParagraph"/>
              <w:spacing w:line="25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65" w:type="dxa"/>
          </w:tcPr>
          <w:p>
            <w:pPr>
              <w:pStyle w:val="TableParagraph"/>
              <w:spacing w:line="258" w:lineRule="exact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Evergreen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1565" w:type="dxa"/>
          </w:tcPr>
          <w:p>
            <w:pPr>
              <w:pStyle w:val="TableParagraph"/>
              <w:spacing w:line="258" w:lineRule="exact"/>
              <w:ind w:left="43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2493" w:type="dxa"/>
          </w:tcPr>
          <w:p>
            <w:pPr>
              <w:pStyle w:val="TableParagraph"/>
              <w:spacing w:line="258" w:lineRule="exact"/>
              <w:ind w:left="1081" w:right="10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</w:tr>
      <w:tr>
        <w:trPr>
          <w:trHeight w:val="406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spacing w:line="276" w:lineRule="exact"/>
              <w:ind w:right="18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565" w:type="dxa"/>
          </w:tcPr>
          <w:p>
            <w:pPr>
              <w:pStyle w:val="TableParagraph"/>
              <w:spacing w:line="276" w:lineRule="exact"/>
              <w:ind w:left="43" w:right="1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494</w:t>
            </w:r>
          </w:p>
        </w:tc>
        <w:tc>
          <w:tcPr>
            <w:tcW w:w="2493" w:type="dxa"/>
          </w:tcPr>
          <w:p>
            <w:pPr>
              <w:pStyle w:val="TableParagraph"/>
              <w:spacing w:line="276" w:lineRule="exact"/>
              <w:ind w:left="1081" w:right="10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158</w:t>
            </w:r>
          </w:p>
        </w:tc>
      </w:tr>
      <w:tr>
        <w:trPr>
          <w:trHeight w:val="407" w:hRule="atLeast"/>
        </w:trPr>
        <w:tc>
          <w:tcPr>
            <w:tcW w:w="8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121"/>
              <w:ind w:right="18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Grand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121"/>
              <w:ind w:left="42" w:right="1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1254</w:t>
            </w:r>
          </w:p>
        </w:tc>
        <w:tc>
          <w:tcPr>
            <w:tcW w:w="24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121"/>
              <w:ind w:left="1081" w:right="10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400</w:t>
            </w:r>
          </w:p>
        </w:tc>
      </w:tr>
    </w:tbl>
    <w:p>
      <w:pPr>
        <w:spacing w:before="0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Author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Sampling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58" w:lineRule="auto" w:before="1"/>
        <w:ind w:left="700" w:right="1057"/>
        <w:jc w:val="both"/>
        <w:rPr>
          <w:sz w:val="21"/>
        </w:rPr>
      </w:pPr>
      <w:r>
        <w:rPr/>
        <w:t>The study adopts the multistage sampling technique. First the housing estates identified</w:t>
      </w:r>
      <w:r>
        <w:rPr>
          <w:spacing w:val="1"/>
        </w:rPr>
        <w:t> </w:t>
      </w:r>
      <w:r>
        <w:rPr/>
        <w:t>in Ilorin were divided into two clusters based on the developer; that is either developed</w:t>
      </w:r>
      <w:r>
        <w:rPr>
          <w:spacing w:val="1"/>
        </w:rPr>
        <w:t> </w:t>
      </w:r>
      <w:r>
        <w:rPr/>
        <w:t>by the private or the public developer. Consequently, two housing estate was selected</w:t>
      </w:r>
      <w:r>
        <w:rPr>
          <w:spacing w:val="1"/>
        </w:rPr>
        <w:t> </w:t>
      </w:r>
      <w:r>
        <w:rPr/>
        <w:t>from each of the clusters based on the date of completion. The two most recent housing</w:t>
      </w:r>
      <w:r>
        <w:rPr>
          <w:spacing w:val="1"/>
        </w:rPr>
        <w:t> </w:t>
      </w:r>
      <w:r>
        <w:rPr/>
        <w:t>estates in each cluster were then selected for sampling. Secondly, to identify household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sampling 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random</w:t>
      </w:r>
      <w:r>
        <w:rPr>
          <w:spacing w:val="-57"/>
        </w:rPr>
        <w:t> </w:t>
      </w:r>
      <w:r>
        <w:rPr/>
        <w:t>sampling</w:t>
      </w:r>
      <w:r>
        <w:rPr>
          <w:spacing w:val="9"/>
        </w:rPr>
        <w:t> </w:t>
      </w:r>
      <w:r>
        <w:rPr/>
        <w:t>technique</w:t>
      </w:r>
      <w:r>
        <w:rPr>
          <w:spacing w:val="11"/>
        </w:rPr>
        <w:t> </w:t>
      </w:r>
      <w:r>
        <w:rPr/>
        <w:t>was</w:t>
      </w:r>
      <w:r>
        <w:rPr>
          <w:spacing w:val="15"/>
        </w:rPr>
        <w:t> </w:t>
      </w:r>
      <w:r>
        <w:rPr/>
        <w:t>adopted.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samples</w:t>
      </w:r>
      <w:r>
        <w:rPr>
          <w:spacing w:val="15"/>
        </w:rPr>
        <w:t> </w:t>
      </w:r>
      <w:r>
        <w:rPr/>
        <w:t>were</w:t>
      </w:r>
      <w:r>
        <w:rPr>
          <w:spacing w:val="10"/>
        </w:rPr>
        <w:t> </w:t>
      </w:r>
      <w:r>
        <w:rPr/>
        <w:t>selected</w:t>
      </w:r>
      <w:r>
        <w:rPr>
          <w:spacing w:val="11"/>
        </w:rPr>
        <w:t> </w:t>
      </w:r>
      <w:r>
        <w:rPr/>
        <w:t>at</w:t>
      </w:r>
      <w:r>
        <w:rPr>
          <w:spacing w:val="15"/>
        </w:rPr>
        <w:t> </w:t>
      </w:r>
      <w:r>
        <w:rPr/>
        <w:t>an</w:t>
      </w:r>
      <w:r>
        <w:rPr>
          <w:spacing w:val="11"/>
        </w:rPr>
        <w:t> </w:t>
      </w:r>
      <w:r>
        <w:rPr/>
        <w:t>interval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every</w:t>
      </w:r>
      <w:r>
        <w:rPr>
          <w:spacing w:val="6"/>
        </w:rPr>
        <w:t> </w:t>
      </w:r>
      <w:r>
        <w:rPr/>
        <w:t>3</w:t>
      </w:r>
      <w:r>
        <w:rPr>
          <w:position w:val="11"/>
          <w:sz w:val="21"/>
        </w:rPr>
        <w:t>rd</w:t>
      </w:r>
    </w:p>
    <w:p>
      <w:pPr>
        <w:pStyle w:val="BodyText"/>
        <w:spacing w:line="458" w:lineRule="auto" w:before="99"/>
        <w:ind w:left="700" w:right="1062"/>
        <w:jc w:val="both"/>
      </w:pPr>
      <w:r>
        <w:rPr/>
        <w:t>houses in the housing estates. The sample interval was derived by dividing the number</w:t>
      </w:r>
      <w:r>
        <w:rPr>
          <w:spacing w:val="1"/>
        </w:rPr>
        <w:t> </w:t>
      </w:r>
      <w:r>
        <w:rPr/>
        <w:t>of housing</w:t>
      </w:r>
      <w:r>
        <w:rPr>
          <w:spacing w:val="-2"/>
        </w:rPr>
        <w:t> </w:t>
      </w:r>
      <w:r>
        <w:rPr/>
        <w:t>unit in the</w:t>
      </w:r>
      <w:r>
        <w:rPr>
          <w:spacing w:val="-1"/>
        </w:rPr>
        <w:t> </w:t>
      </w:r>
      <w:r>
        <w:rPr/>
        <w:t>estate by</w:t>
      </w:r>
      <w:r>
        <w:rPr>
          <w:spacing w:val="-5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size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estate.</w:t>
      </w:r>
    </w:p>
    <w:p>
      <w:pPr>
        <w:pStyle w:val="BodyText"/>
        <w:spacing w:before="3"/>
        <w:rPr>
          <w:sz w:val="27"/>
        </w:rPr>
      </w:pPr>
      <w:r>
        <w:rPr/>
        <w:pict>
          <v:shape style="position:absolute;margin-left:281.049988pt;margin-top:18.079346pt;width:73.95pt;height:.1pt;mso-position-horizontal-relative:page;mso-position-vertical-relative:paragraph;z-index:-15726592;mso-wrap-distance-left:0;mso-wrap-distance-right:0" coordorigin="5621,362" coordsize="1479,0" path="m5621,362l7100,362e" filled="false" stroked="true" strokeweight=".839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60"/>
      </w:pPr>
      <w:r>
        <w:rPr/>
        <w:pict>
          <v:line style="position:absolute;mso-position-horizontal-relative:page;mso-position-vertical-relative:paragraph;z-index:15731200" from="111.5pt,8.243132pt" to="126.25pt,8.243132pt" stroked="true" strokeweight=".83992pt" strokecolor="#000000">
            <v:stroke dashstyle="solid"/>
            <w10:wrap type="none"/>
          </v:line>
        </w:pict>
      </w:r>
      <w:r>
        <w:rPr/>
        <w:t>=</w:t>
      </w:r>
      <w:r>
        <w:rPr>
          <w:spacing w:val="43"/>
        </w:rPr>
        <w:t> </w:t>
      </w:r>
      <w:r>
        <w:rPr/>
        <w:t>3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interval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1" w:after="0"/>
        <w:ind w:left="1401" w:right="0" w:hanging="702"/>
        <w:jc w:val="left"/>
      </w:pPr>
      <w:r>
        <w:rPr/>
        <w:t>Instrument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700" w:right="1065"/>
        <w:jc w:val="both"/>
      </w:pPr>
      <w:r>
        <w:rPr/>
        <w:t>The primary instrument for data collection for this study is the questionnaire, digital</w:t>
      </w:r>
      <w:r>
        <w:rPr>
          <w:spacing w:val="1"/>
        </w:rPr>
        <w:t> </w:t>
      </w:r>
      <w:r>
        <w:rPr/>
        <w:t>camera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geographic positioning</w:t>
      </w:r>
      <w:r>
        <w:rPr>
          <w:spacing w:val="-3"/>
        </w:rPr>
        <w:t> </w:t>
      </w:r>
      <w:r>
        <w:rPr/>
        <w:t>system (GPS).</w:t>
      </w:r>
    </w:p>
    <w:p>
      <w:pPr>
        <w:spacing w:after="0" w:line="470" w:lineRule="auto"/>
        <w:jc w:val="both"/>
        <w:sectPr>
          <w:pgSz w:w="11900" w:h="16840"/>
          <w:pgMar w:header="0" w:footer="928" w:top="1320" w:bottom="1320" w:left="1280" w:right="360"/>
        </w:sectPr>
      </w:pPr>
    </w:p>
    <w:p>
      <w:pPr>
        <w:pStyle w:val="Heading1"/>
        <w:numPr>
          <w:ilvl w:val="2"/>
          <w:numId w:val="7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</w:pPr>
      <w:r>
        <w:rPr/>
        <w:t>Questionnaire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Two types of questionnaires were developed for the study; a well-structured close ended</w:t>
      </w:r>
      <w:r>
        <w:rPr>
          <w:spacing w:val="-57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ended</w:t>
      </w:r>
      <w:r>
        <w:rPr>
          <w:spacing w:val="1"/>
        </w:rPr>
        <w:t> </w:t>
      </w:r>
      <w:r>
        <w:rPr/>
        <w:t>questionnaires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“A”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information on the socio-economic attribute of the respondents, which include gender of</w:t>
      </w:r>
      <w:r>
        <w:rPr>
          <w:spacing w:val="-57"/>
        </w:rPr>
        <w:t> </w:t>
      </w:r>
      <w:r>
        <w:rPr/>
        <w:t>household head, education, and occupation status. Section “B” of the question focus on</w:t>
      </w:r>
      <w:r>
        <w:rPr>
          <w:spacing w:val="1"/>
        </w:rPr>
        <w:t> </w:t>
      </w:r>
      <w:r>
        <w:rPr/>
        <w:t>the housing characteristics in terms of types, design, building material and condition,</w:t>
      </w:r>
      <w:r>
        <w:rPr>
          <w:spacing w:val="1"/>
        </w:rPr>
        <w:t> </w:t>
      </w:r>
      <w:r>
        <w:rPr/>
        <w:t>while section “C” was used to elicit information the housing affordability within the</w:t>
      </w:r>
      <w:r>
        <w:rPr>
          <w:spacing w:val="1"/>
        </w:rPr>
        <w:t> </w:t>
      </w:r>
      <w:r>
        <w:rPr/>
        <w:t>selected housing estates which includes the household monthly income and household</w:t>
      </w:r>
      <w:r>
        <w:rPr>
          <w:spacing w:val="1"/>
        </w:rPr>
        <w:t> </w:t>
      </w:r>
      <w:r>
        <w:rPr/>
        <w:t>monthly expenditure on housing . The checklist questionnaire was used to determine the</w:t>
      </w:r>
      <w:r>
        <w:rPr>
          <w:spacing w:val="-57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livability</w:t>
      </w:r>
      <w:r>
        <w:rPr>
          <w:spacing w:val="-8"/>
        </w:rPr>
        <w:t> </w:t>
      </w:r>
      <w:r>
        <w:rPr/>
        <w:t>indicators in the</w:t>
      </w:r>
      <w:r>
        <w:rPr>
          <w:spacing w:val="-1"/>
        </w:rPr>
        <w:t> </w:t>
      </w:r>
      <w:r>
        <w:rPr/>
        <w:t>estates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Digital</w:t>
      </w:r>
      <w:r>
        <w:rPr>
          <w:spacing w:val="-3"/>
        </w:rPr>
        <w:t> </w:t>
      </w:r>
      <w:r>
        <w:rPr/>
        <w:t>camera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0" w:lineRule="auto"/>
        <w:ind w:left="700" w:right="1063"/>
        <w:jc w:val="both"/>
      </w:pPr>
      <w:r>
        <w:rPr/>
        <w:t>Digital camera was used to take the pictorial view of housing units within the four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estates.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Method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Data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Analysis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5" w:lineRule="auto"/>
        <w:ind w:left="700" w:right="1059"/>
        <w:jc w:val="both"/>
      </w:pPr>
      <w:r>
        <w:rPr/>
        <w:t>The primary data from the field were analyzed according to the objectives of this study.</w:t>
      </w:r>
      <w:r>
        <w:rPr>
          <w:spacing w:val="1"/>
        </w:rPr>
        <w:t> </w:t>
      </w:r>
      <w:r>
        <w:rPr/>
        <w:t>The</w:t>
      </w:r>
      <w:r>
        <w:rPr>
          <w:spacing w:val="45"/>
        </w:rPr>
        <w:t> </w:t>
      </w:r>
      <w:r>
        <w:rPr/>
        <w:t>data</w:t>
      </w:r>
      <w:r>
        <w:rPr>
          <w:spacing w:val="46"/>
        </w:rPr>
        <w:t> </w:t>
      </w:r>
      <w:r>
        <w:rPr/>
        <w:t>required</w:t>
      </w:r>
      <w:r>
        <w:rPr>
          <w:spacing w:val="46"/>
        </w:rPr>
        <w:t> </w:t>
      </w:r>
      <w:r>
        <w:rPr/>
        <w:t>were</w:t>
      </w:r>
      <w:r>
        <w:rPr>
          <w:spacing w:val="48"/>
        </w:rPr>
        <w:t> </w:t>
      </w:r>
      <w:r>
        <w:rPr/>
        <w:t>analysed</w:t>
      </w:r>
      <w:r>
        <w:rPr>
          <w:spacing w:val="46"/>
        </w:rPr>
        <w:t> </w:t>
      </w:r>
      <w:r>
        <w:rPr/>
        <w:t>using</w:t>
      </w:r>
      <w:r>
        <w:rPr>
          <w:spacing w:val="45"/>
        </w:rPr>
        <w:t> </w:t>
      </w:r>
      <w:r>
        <w:rPr/>
        <w:t>descriptive</w:t>
      </w:r>
      <w:r>
        <w:rPr>
          <w:spacing w:val="46"/>
        </w:rPr>
        <w:t> </w:t>
      </w:r>
      <w:r>
        <w:rPr/>
        <w:t>statistics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describe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types and condition. The primary descriptive statistics to be employed would include</w:t>
      </w:r>
      <w:r>
        <w:rPr>
          <w:spacing w:val="1"/>
        </w:rPr>
        <w:t> </w:t>
      </w:r>
      <w:r>
        <w:rPr/>
        <w:t>frequencies,</w:t>
      </w:r>
      <w:r>
        <w:rPr>
          <w:spacing w:val="-1"/>
        </w:rPr>
        <w:t> </w:t>
      </w:r>
      <w:r>
        <w:rPr/>
        <w:t>percentage.</w:t>
      </w:r>
    </w:p>
    <w:p>
      <w:pPr>
        <w:pStyle w:val="BodyText"/>
        <w:rPr>
          <w:sz w:val="26"/>
        </w:rPr>
      </w:pPr>
    </w:p>
    <w:p>
      <w:pPr>
        <w:pStyle w:val="BodyText"/>
        <w:spacing w:line="472" w:lineRule="auto"/>
        <w:ind w:left="700" w:right="1062"/>
        <w:jc w:val="both"/>
      </w:pP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mean,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expenditure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in relation</w:t>
      </w:r>
      <w:r>
        <w:rPr>
          <w:spacing w:val="-1"/>
        </w:rPr>
        <w:t> </w:t>
      </w:r>
      <w:r>
        <w:rPr/>
        <w:t>to the total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of household</w:t>
      </w:r>
      <w:r>
        <w:rPr>
          <w:spacing w:val="-1"/>
        </w:rPr>
        <w:t> </w:t>
      </w:r>
      <w:r>
        <w:rPr/>
        <w:t>head was</w:t>
      </w:r>
      <w:r>
        <w:rPr>
          <w:spacing w:val="2"/>
        </w:rPr>
        <w:t> </w:t>
      </w:r>
      <w:r>
        <w:rPr/>
        <w:t>also</w:t>
      </w:r>
      <w:r>
        <w:rPr>
          <w:spacing w:val="-1"/>
        </w:rPr>
        <w:t> </w:t>
      </w:r>
      <w:r>
        <w:rPr/>
        <w:t>determined.</w:t>
      </w:r>
    </w:p>
    <w:p>
      <w:pPr>
        <w:pStyle w:val="BodyText"/>
        <w:spacing w:line="470" w:lineRule="auto" w:before="23"/>
        <w:ind w:left="700" w:right="1044"/>
        <w:jc w:val="both"/>
      </w:pPr>
      <w:r>
        <w:rPr/>
        <w:t>The data for this study were also collected in weighted form using likert scale. Hence,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analytical tool.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livability</w:t>
      </w:r>
    </w:p>
    <w:p>
      <w:pPr>
        <w:spacing w:after="0" w:line="470" w:lineRule="auto"/>
        <w:jc w:val="both"/>
        <w:sectPr>
          <w:pgSz w:w="11900" w:h="16840"/>
          <w:pgMar w:header="0" w:footer="928" w:top="1320" w:bottom="1320" w:left="1280" w:right="360"/>
        </w:sectPr>
      </w:pPr>
    </w:p>
    <w:p>
      <w:pPr>
        <w:pStyle w:val="BodyText"/>
        <w:spacing w:line="465" w:lineRule="auto" w:before="74"/>
        <w:ind w:left="700" w:right="1389"/>
      </w:pPr>
      <w:r>
        <w:rPr/>
        <w:t>indicators were analysed using frequencies and percentage, while the livability index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computed 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presented in equation 3.3</w:t>
      </w:r>
    </w:p>
    <w:p>
      <w:pPr>
        <w:tabs>
          <w:tab w:pos="1761" w:val="left" w:leader="none"/>
          <w:tab w:pos="2481" w:val="left" w:leader="none"/>
          <w:tab w:pos="2920" w:val="left" w:leader="none"/>
          <w:tab w:pos="3681" w:val="left" w:leader="none"/>
          <w:tab w:pos="4780" w:val="left" w:leader="none"/>
          <w:tab w:pos="5722" w:val="left" w:leader="none"/>
          <w:tab w:pos="8441" w:val="left" w:leader="dot"/>
        </w:tabs>
        <w:spacing w:before="5"/>
        <w:ind w:left="681" w:right="0" w:firstLine="0"/>
        <w:jc w:val="left"/>
        <w:rPr>
          <w:sz w:val="23"/>
        </w:rPr>
      </w:pPr>
      <w:r>
        <w:rPr>
          <w:b/>
          <w:sz w:val="13"/>
        </w:rPr>
        <w:t>(i)</w:t>
        <w:tab/>
      </w:r>
      <w:r>
        <w:rPr>
          <w:rFonts w:ascii="Cambria Math" w:hAnsi="Cambria Math"/>
          <w:position w:val="3"/>
          <w:sz w:val="9"/>
        </w:rPr>
        <w:t>(</w:t>
        <w:tab/>
        <w:t>)</w:t>
        <w:tab/>
        <w:t>(</w:t>
        <w:tab/>
        <w:t>)</w:t>
        <w:tab/>
        <w:t>(</w:t>
        <w:tab/>
        <w:t>)</w:t>
      </w:r>
      <w:r>
        <w:rPr>
          <w:rFonts w:ascii="Cambria Math" w:hAnsi="Cambria Math"/>
          <w:sz w:val="14"/>
        </w:rPr>
        <w:t>⁄</w:t>
      </w:r>
      <w:r>
        <w:rPr>
          <w:sz w:val="14"/>
        </w:rPr>
        <w:tab/>
      </w:r>
      <w:r>
        <w:rPr>
          <w:sz w:val="23"/>
        </w:rPr>
        <w:t>(3.3)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93" w:lineRule="auto"/>
        <w:ind w:left="1420" w:right="5962" w:hanging="180"/>
      </w:pPr>
      <w:r>
        <w:rPr/>
        <w:t>Where: </w:t>
      </w:r>
      <w:r>
        <w:rPr>
          <w:i/>
        </w:rPr>
        <w:t>LI</w:t>
      </w:r>
      <w:r>
        <w:rPr/>
        <w:t>= Livability Index</w:t>
      </w:r>
      <w:r>
        <w:rPr>
          <w:spacing w:val="1"/>
        </w:rPr>
        <w:t> </w:t>
      </w:r>
      <w:r>
        <w:rPr/>
        <w:t>w</w:t>
      </w:r>
      <w:r>
        <w:rPr>
          <w:position w:val="-2"/>
          <w:sz w:val="21"/>
        </w:rPr>
        <w:t>i=</w:t>
      </w:r>
      <w:r>
        <w:rPr>
          <w:spacing w:val="5"/>
          <w:position w:val="-2"/>
          <w:sz w:val="21"/>
        </w:rPr>
        <w:t> </w:t>
      </w:r>
      <w:r>
        <w:rPr/>
        <w:t>the</w:t>
      </w:r>
      <w:r>
        <w:rPr>
          <w:spacing w:val="-3"/>
        </w:rPr>
        <w:t> </w:t>
      </w:r>
      <w:r>
        <w:rPr/>
        <w:t>weight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i</w:t>
      </w:r>
      <w:r>
        <w:rPr>
          <w:position w:val="11"/>
          <w:sz w:val="21"/>
        </w:rPr>
        <w:t>th</w:t>
      </w:r>
      <w:r>
        <w:rPr>
          <w:spacing w:val="4"/>
          <w:position w:val="11"/>
          <w:sz w:val="21"/>
        </w:rPr>
        <w:t> </w:t>
      </w:r>
      <w:r>
        <w:rPr/>
        <w:t>term</w:t>
      </w:r>
    </w:p>
    <w:p>
      <w:pPr>
        <w:pStyle w:val="BodyText"/>
        <w:spacing w:line="480" w:lineRule="auto" w:before="93"/>
        <w:ind w:left="1420" w:right="5878" w:firstLine="60"/>
      </w:pPr>
      <w:r>
        <w:rPr/>
        <w:t>n= frequency of the ith term</w:t>
      </w:r>
      <w:r>
        <w:rPr>
          <w:spacing w:val="1"/>
        </w:rPr>
        <w:t> </w:t>
      </w:r>
      <w:r>
        <w:rPr/>
        <w:t>N= the total number of sample</w:t>
      </w:r>
      <w:r>
        <w:rPr>
          <w:spacing w:val="-58"/>
        </w:rPr>
        <w:t> </w:t>
      </w:r>
      <w:r>
        <w:rPr/>
        <w:t>W=</w:t>
      </w:r>
      <w:r>
        <w:rPr>
          <w:spacing w:val="-2"/>
        </w:rPr>
        <w:t> </w:t>
      </w:r>
      <w:r>
        <w:rPr/>
        <w:t>the maximum</w:t>
      </w:r>
      <w:r>
        <w:rPr>
          <w:spacing w:val="1"/>
        </w:rPr>
        <w:t> </w:t>
      </w:r>
      <w:r>
        <w:rPr/>
        <w:t>weight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77" w:lineRule="auto"/>
        <w:ind w:left="700" w:right="1060"/>
        <w:jc w:val="both"/>
      </w:pPr>
      <w:r>
        <w:rPr/>
        <w:t>The study also adopts the use of inferential statistics for the test of hypothesis. The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(ANOVA).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Therefore, to determine the variation between the two groups of housing estate (Public</w:t>
      </w:r>
      <w:r>
        <w:rPr>
          <w:spacing w:val="1"/>
        </w:rPr>
        <w:t> </w:t>
      </w:r>
      <w:r>
        <w:rPr/>
        <w:t>and Private) the test of ANOVA was employed as analytical tool in summary, 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can be</w:t>
      </w:r>
      <w:r>
        <w:rPr>
          <w:spacing w:val="-1"/>
        </w:rPr>
        <w:t> </w:t>
      </w:r>
      <w:r>
        <w:rPr/>
        <w:t>summarized in Table 3.4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before="1" w:after="3"/>
        <w:jc w:val="both"/>
      </w:pPr>
      <w:r>
        <w:rPr/>
        <w:t>Table</w:t>
      </w:r>
      <w:r>
        <w:rPr>
          <w:spacing w:val="-2"/>
        </w:rPr>
        <w:t> </w:t>
      </w:r>
      <w:r>
        <w:rPr/>
        <w:t>3.4:</w:t>
      </w:r>
      <w:r>
        <w:rPr>
          <w:spacing w:val="-3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Methodology</w:t>
      </w: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2404"/>
        <w:gridCol w:w="1929"/>
        <w:gridCol w:w="1146"/>
        <w:gridCol w:w="651"/>
        <w:gridCol w:w="849"/>
      </w:tblGrid>
      <w:tr>
        <w:trPr>
          <w:trHeight w:val="271" w:hRule="atLeast"/>
        </w:trPr>
        <w:tc>
          <w:tcPr>
            <w:tcW w:w="17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Objective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2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Data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Require</w:t>
            </w:r>
          </w:p>
        </w:tc>
        <w:tc>
          <w:tcPr>
            <w:tcW w:w="1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right="12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Instrument</w:t>
            </w:r>
            <w:r>
              <w:rPr>
                <w:rFonts w:ascii="Times New Roman"/>
                <w:b/>
                <w:spacing w:val="5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for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Method</w:t>
            </w:r>
          </w:p>
        </w:tc>
        <w:tc>
          <w:tcPr>
            <w:tcW w:w="6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205" w:right="20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Data</w:t>
            </w:r>
          </w:p>
        </w:tc>
      </w:tr>
      <w:tr>
        <w:trPr>
          <w:trHeight w:val="274" w:hRule="atLeast"/>
        </w:trPr>
        <w:tc>
          <w:tcPr>
            <w:tcW w:w="17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collection</w:t>
            </w:r>
          </w:p>
        </w:tc>
        <w:tc>
          <w:tcPr>
            <w:tcW w:w="2646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Analysis/Presentation</w:t>
            </w:r>
          </w:p>
        </w:tc>
      </w:tr>
      <w:tr>
        <w:trPr>
          <w:trHeight w:val="259" w:hRule="atLeast"/>
        </w:trPr>
        <w:tc>
          <w:tcPr>
            <w:tcW w:w="17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Examine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type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housing,</w:t>
            </w:r>
          </w:p>
        </w:tc>
        <w:tc>
          <w:tcPr>
            <w:tcW w:w="1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2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Questionnaire,</w:t>
            </w:r>
          </w:p>
        </w:tc>
        <w:tc>
          <w:tcPr>
            <w:tcW w:w="2646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Descriptive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Statics</w:t>
            </w:r>
          </w:p>
        </w:tc>
      </w:tr>
      <w:tr>
        <w:trPr>
          <w:trHeight w:val="272" w:hRule="atLeast"/>
        </w:trPr>
        <w:tc>
          <w:tcPr>
            <w:tcW w:w="1759" w:type="dxa"/>
          </w:tcPr>
          <w:p>
            <w:pPr>
              <w:pStyle w:val="TableParagraph"/>
              <w:spacing w:line="252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types</w:t>
            </w:r>
          </w:p>
        </w:tc>
        <w:tc>
          <w:tcPr>
            <w:tcW w:w="2404" w:type="dxa"/>
          </w:tcPr>
          <w:p>
            <w:pPr>
              <w:pStyle w:val="TableParagraph"/>
              <w:spacing w:line="252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rooms,</w:t>
            </w:r>
          </w:p>
        </w:tc>
        <w:tc>
          <w:tcPr>
            <w:tcW w:w="1929" w:type="dxa"/>
          </w:tcPr>
          <w:p>
            <w:pPr>
              <w:pStyle w:val="TableParagraph"/>
              <w:tabs>
                <w:tab w:pos="851" w:val="left" w:leader="none"/>
              </w:tabs>
              <w:spacing w:line="252" w:lineRule="exact"/>
              <w:ind w:right="1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digital</w:t>
              <w:tab/>
              <w:t>camera</w:t>
            </w:r>
          </w:p>
        </w:tc>
        <w:tc>
          <w:tcPr>
            <w:tcW w:w="2646" w:type="dxa"/>
            <w:gridSpan w:val="3"/>
          </w:tcPr>
          <w:p>
            <w:pPr>
              <w:pStyle w:val="TableParagraph"/>
              <w:spacing w:line="252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Frequencies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/Table</w:t>
            </w: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conditions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condition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wall,</w:t>
            </w:r>
          </w:p>
        </w:tc>
        <w:tc>
          <w:tcPr>
            <w:tcW w:w="1929" w:type="dxa"/>
          </w:tcPr>
          <w:p>
            <w:pPr>
              <w:pStyle w:val="TableParagraph"/>
              <w:spacing w:line="256" w:lineRule="exact"/>
              <w:ind w:left="2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GPS</w:t>
            </w:r>
          </w:p>
        </w:tc>
        <w:tc>
          <w:tcPr>
            <w:tcW w:w="2646" w:type="dxa"/>
            <w:gridSpan w:val="3"/>
          </w:tcPr>
          <w:p>
            <w:pPr>
              <w:pStyle w:val="TableParagraph"/>
              <w:spacing w:line="256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/Chats</w:t>
            </w:r>
          </w:p>
        </w:tc>
      </w:tr>
      <w:tr>
        <w:trPr>
          <w:trHeight w:val="275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floor,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roof,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door,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estates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building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material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housing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Determine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rental value,</w:t>
            </w:r>
          </w:p>
        </w:tc>
        <w:tc>
          <w:tcPr>
            <w:tcW w:w="1929" w:type="dxa"/>
          </w:tcPr>
          <w:p>
            <w:pPr>
              <w:pStyle w:val="TableParagraph"/>
              <w:spacing w:line="256" w:lineRule="exact"/>
              <w:ind w:left="2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questionnaire,</w:t>
            </w:r>
          </w:p>
        </w:tc>
        <w:tc>
          <w:tcPr>
            <w:tcW w:w="2646" w:type="dxa"/>
            <w:gridSpan w:val="3"/>
          </w:tcPr>
          <w:p>
            <w:pPr>
              <w:pStyle w:val="TableParagraph"/>
              <w:spacing w:line="256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Descriptive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Statics</w:t>
            </w: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affordability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property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value,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  <w:gridSpan w:val="3"/>
          </w:tcPr>
          <w:p>
            <w:pPr>
              <w:pStyle w:val="TableParagraph"/>
              <w:spacing w:line="256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Frequencies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/Table</w:t>
            </w:r>
          </w:p>
        </w:tc>
      </w:tr>
      <w:tr>
        <w:trPr>
          <w:trHeight w:val="275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houses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monthly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  <w:gridSpan w:val="3"/>
          </w:tcPr>
          <w:p>
            <w:pPr>
              <w:pStyle w:val="TableParagraph"/>
              <w:spacing w:line="256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/Chats</w:t>
            </w:r>
          </w:p>
        </w:tc>
      </w:tr>
      <w:tr>
        <w:trPr>
          <w:trHeight w:val="276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household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income,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59" w:type="dxa"/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estates</w:t>
            </w:r>
          </w:p>
        </w:tc>
        <w:tc>
          <w:tcPr>
            <w:tcW w:w="2404" w:type="dxa"/>
          </w:tcPr>
          <w:p>
            <w:pPr>
              <w:pStyle w:val="TableParagraph"/>
              <w:spacing w:line="256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monthly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spacing w:line="258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expenditure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basic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44" w:hRule="atLeast"/>
        </w:trPr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tabs>
                <w:tab w:pos="6983" w:val="left" w:leader="none"/>
              </w:tabs>
              <w:spacing w:line="273" w:lineRule="exact"/>
              <w:ind w:left="-1779" w:right="-45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                                </w:t>
            </w:r>
            <w:r>
              <w:rPr>
                <w:rFonts w:ascii="Times New Roman"/>
                <w:sz w:val="24"/>
                <w:u w:val="single"/>
              </w:rPr>
              <w:t>services</w:t>
              <w:tab/>
            </w: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2" w:hRule="atLeast"/>
        </w:trPr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9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line="245" w:lineRule="exact"/>
              <w:ind w:left="78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3"/>
          <w:pgSz w:w="11900" w:h="16840"/>
          <w:pgMar w:footer="0" w:header="0" w:top="1320" w:bottom="280" w:left="1280" w:right="360"/>
        </w:sectPr>
      </w:pPr>
    </w:p>
    <w:p>
      <w:pPr>
        <w:spacing w:before="74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Cont’d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7"/>
        <w:gridCol w:w="3101"/>
        <w:gridCol w:w="1604"/>
        <w:gridCol w:w="1627"/>
      </w:tblGrid>
      <w:tr>
        <w:trPr>
          <w:trHeight w:val="275" w:hRule="atLeast"/>
        </w:trPr>
        <w:tc>
          <w:tcPr>
            <w:tcW w:w="24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Examine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livability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Livability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indicators: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Questionnaire</w:t>
            </w:r>
          </w:p>
        </w:tc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Descriptive</w:t>
            </w:r>
          </w:p>
        </w:tc>
      </w:tr>
      <w:tr>
        <w:trPr>
          <w:trHeight w:val="275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houses within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Security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safety,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Statics</w:t>
            </w:r>
          </w:p>
        </w:tc>
      </w:tr>
      <w:tr>
        <w:trPr>
          <w:trHeight w:val="275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recreational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water,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Frequencies</w:t>
            </w:r>
          </w:p>
        </w:tc>
      </w:tr>
      <w:tr>
        <w:trPr>
          <w:trHeight w:val="276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infrastructure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accessibility,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clean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energy,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/Table</w:t>
            </w:r>
          </w:p>
        </w:tc>
      </w:tr>
      <w:tr>
        <w:trPr>
          <w:trHeight w:val="276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indices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waste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management,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drainage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</w:p>
        </w:tc>
      </w:tr>
      <w:tr>
        <w:trPr>
          <w:trHeight w:val="275" w:hRule="atLeast"/>
        </w:trPr>
        <w:tc>
          <w:tcPr>
            <w:tcW w:w="24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facility,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educational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/Chats</w:t>
            </w:r>
          </w:p>
        </w:tc>
      </w:tr>
      <w:tr>
        <w:trPr>
          <w:trHeight w:val="275" w:hRule="atLeast"/>
        </w:trPr>
        <w:tc>
          <w:tcPr>
            <w:tcW w:w="24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facility.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Determine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objective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Questionnaire</w:t>
            </w: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Inferential</w:t>
            </w:r>
          </w:p>
        </w:tc>
      </w:tr>
      <w:tr>
        <w:trPr>
          <w:trHeight w:val="276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through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processed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statistics</w:t>
            </w:r>
          </w:p>
        </w:tc>
      </w:tr>
      <w:tr>
        <w:trPr>
          <w:trHeight w:val="276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affordability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 objective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(2) and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</w:tr>
      <w:tr>
        <w:trPr>
          <w:trHeight w:val="275" w:hRule="atLeast"/>
        </w:trPr>
        <w:tc>
          <w:tcPr>
            <w:tcW w:w="2427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livability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among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3101" w:type="dxa"/>
          </w:tcPr>
          <w:p>
            <w:pPr>
              <w:pStyle w:val="TableParagraph"/>
              <w:spacing w:line="256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(3).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Variance</w:t>
            </w:r>
          </w:p>
        </w:tc>
      </w:tr>
      <w:tr>
        <w:trPr>
          <w:trHeight w:val="567" w:hRule="atLeast"/>
        </w:trPr>
        <w:tc>
          <w:tcPr>
            <w:tcW w:w="24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estates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objective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two</w:t>
            </w: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(ANOVA).</w:t>
            </w:r>
          </w:p>
        </w:tc>
      </w:tr>
    </w:tbl>
    <w:p>
      <w:pPr>
        <w:spacing w:after="0" w:line="271" w:lineRule="exact"/>
        <w:rPr>
          <w:rFonts w:ascii="Times New Roman"/>
          <w:sz w:val="24"/>
        </w:rPr>
        <w:sectPr>
          <w:footerReference w:type="default" r:id="rId14"/>
          <w:pgSz w:w="11900" w:h="16840"/>
          <w:pgMar w:footer="1012" w:header="0" w:top="1320" w:bottom="1200" w:left="1280" w:right="360"/>
          <w:pgNumType w:start="56"/>
        </w:sectPr>
      </w:pPr>
    </w:p>
    <w:p>
      <w:pPr>
        <w:pStyle w:val="Heading1"/>
        <w:spacing w:before="72"/>
        <w:ind w:left="688" w:right="1033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2841" w:val="left" w:leader="none"/>
          <w:tab w:pos="2842" w:val="left" w:leader="none"/>
        </w:tabs>
        <w:spacing w:line="240" w:lineRule="auto" w:before="0" w:after="0"/>
        <w:ind w:left="2841" w:right="0" w:hanging="2142"/>
        <w:jc w:val="left"/>
        <w:rPr>
          <w:b/>
          <w:sz w:val="23"/>
        </w:rPr>
      </w:pPr>
      <w:r>
        <w:rPr>
          <w:b/>
          <w:sz w:val="23"/>
        </w:rPr>
        <w:t>RESULTS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AND 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Demographic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700" w:right="1042"/>
        <w:jc w:val="both"/>
      </w:pPr>
      <w:r>
        <w:rPr/>
        <w:t>This section deals with the findings from the study. It starts with the bio data 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occupation,</w:t>
      </w:r>
      <w:r>
        <w:rPr>
          <w:spacing w:val="-1"/>
        </w:rPr>
        <w:t> </w:t>
      </w:r>
      <w:r>
        <w:rPr/>
        <w:t>as well as the</w:t>
      </w:r>
      <w:r>
        <w:rPr>
          <w:spacing w:val="-1"/>
        </w:rPr>
        <w:t> </w:t>
      </w:r>
      <w:r>
        <w:rPr/>
        <w:t>educational qualification of the</w:t>
      </w:r>
      <w:r>
        <w:rPr>
          <w:spacing w:val="-3"/>
        </w:rPr>
        <w:t> </w:t>
      </w:r>
      <w:r>
        <w:rPr/>
        <w:t>respondents.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Gender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marital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status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 respondents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75" w:lineRule="auto"/>
        <w:ind w:left="700" w:right="1057"/>
        <w:jc w:val="both"/>
      </w:pPr>
      <w:r>
        <w:rPr/>
        <w:t>Table</w:t>
      </w:r>
      <w:r>
        <w:rPr>
          <w:spacing w:val="27"/>
        </w:rPr>
        <w:t> </w:t>
      </w:r>
      <w:r>
        <w:rPr/>
        <w:t>4.1</w:t>
      </w:r>
      <w:r>
        <w:rPr>
          <w:spacing w:val="29"/>
        </w:rPr>
        <w:t> </w:t>
      </w:r>
      <w:r>
        <w:rPr/>
        <w:t>shows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82.5%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respondents</w:t>
      </w:r>
      <w:r>
        <w:rPr>
          <w:spacing w:val="30"/>
        </w:rPr>
        <w:t> </w:t>
      </w:r>
      <w:r>
        <w:rPr/>
        <w:t>were</w:t>
      </w:r>
      <w:r>
        <w:rPr>
          <w:spacing w:val="29"/>
        </w:rPr>
        <w:t> </w:t>
      </w:r>
      <w:r>
        <w:rPr/>
        <w:t>males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17.5%</w:t>
      </w:r>
      <w:r>
        <w:rPr>
          <w:spacing w:val="29"/>
        </w:rPr>
        <w:t> </w:t>
      </w:r>
      <w:r>
        <w:rPr/>
        <w:t>were</w:t>
      </w:r>
      <w:r>
        <w:rPr>
          <w:spacing w:val="28"/>
        </w:rPr>
        <w:t> </w:t>
      </w:r>
      <w:r>
        <w:rPr/>
        <w:t>females.</w:t>
      </w:r>
      <w:r>
        <w:rPr>
          <w:spacing w:val="-57"/>
        </w:rPr>
        <w:t> </w:t>
      </w:r>
      <w:r>
        <w:rPr/>
        <w:t>The results of the marital status revealed that 95% of the respondents were married, 2%</w:t>
      </w:r>
      <w:r>
        <w:rPr>
          <w:spacing w:val="1"/>
        </w:rPr>
        <w:t> </w:t>
      </w:r>
      <w:r>
        <w:rPr/>
        <w:t>of them were single and 3% of the respondents were widows/widowers. The results is</w:t>
      </w:r>
      <w:r>
        <w:rPr>
          <w:spacing w:val="1"/>
        </w:rPr>
        <w:t> </w:t>
      </w:r>
      <w:r>
        <w:rPr/>
        <w:t>shown in fig</w:t>
      </w:r>
      <w:r>
        <w:rPr>
          <w:spacing w:val="-3"/>
        </w:rPr>
        <w:t> </w:t>
      </w:r>
      <w:r>
        <w:rPr/>
        <w:t>4.1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1"/>
        <w:jc w:val="both"/>
      </w:pPr>
      <w:r>
        <w:rPr/>
        <w:pict>
          <v:group style="position:absolute;margin-left:160pt;margin-top:148.763107pt;width:303.350pt;height:180.3pt;mso-position-horizontal-relative:page;mso-position-vertical-relative:paragraph;z-index:-27476480" coordorigin="3200,2975" coordsize="6067,3606">
            <v:shape style="position:absolute;left:3200;top:2975;width:6067;height:3566" type="#_x0000_t75" stroked="false">
              <v:imagedata r:id="rId15" o:title=""/>
            </v:shape>
            <v:shape style="position:absolute;left:5969;top:6146;width:657;height:43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pacing w:val="-1"/>
                        <w:sz w:val="19"/>
                      </w:rPr>
                      <w:t>Married</w:t>
                    </w:r>
                  </w:p>
                  <w:p>
                    <w:pPr>
                      <w:spacing w:line="240" w:lineRule="exact" w:before="1"/>
                      <w:ind w:left="0" w:right="1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20"/>
                      </w:rPr>
                      <w:t>95%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Gender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5"/>
        <w:gridCol w:w="3783"/>
      </w:tblGrid>
      <w:tr>
        <w:trPr>
          <w:trHeight w:val="424" w:hRule="atLeast"/>
        </w:trPr>
        <w:tc>
          <w:tcPr>
            <w:tcW w:w="49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991" w:val="left" w:leader="none"/>
              </w:tabs>
              <w:spacing w:before="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3"/>
              </w:rPr>
              <w:t>Gender</w:t>
              <w:tab/>
            </w:r>
            <w:r>
              <w:rPr>
                <w:rFonts w:ascii="Times New Roman"/>
                <w:sz w:val="24"/>
              </w:rPr>
              <w:t>Frequency</w:t>
            </w:r>
          </w:p>
        </w:tc>
        <w:tc>
          <w:tcPr>
            <w:tcW w:w="37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9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</w:p>
        </w:tc>
      </w:tr>
      <w:tr>
        <w:trPr>
          <w:trHeight w:val="408" w:hRule="atLeast"/>
        </w:trPr>
        <w:tc>
          <w:tcPr>
            <w:tcW w:w="4955" w:type="dxa"/>
            <w:tcBorders>
              <w:top w:val="single" w:sz="8" w:space="0" w:color="000000"/>
              <w:left w:val="single" w:sz="4" w:space="0" w:color="FFFFFF"/>
            </w:tcBorders>
          </w:tcPr>
          <w:p>
            <w:pPr>
              <w:pStyle w:val="TableParagraph"/>
              <w:tabs>
                <w:tab w:pos="3346" w:val="right" w:leader="none"/>
              </w:tabs>
              <w:spacing w:line="259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Male</w:t>
              <w:tab/>
              <w:t>316</w:t>
            </w:r>
          </w:p>
        </w:tc>
        <w:tc>
          <w:tcPr>
            <w:tcW w:w="3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9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82.5 %</w:t>
            </w:r>
          </w:p>
        </w:tc>
      </w:tr>
      <w:tr>
        <w:trPr>
          <w:trHeight w:val="354" w:hRule="atLeast"/>
        </w:trPr>
        <w:tc>
          <w:tcPr>
            <w:tcW w:w="4955" w:type="dxa"/>
          </w:tcPr>
          <w:p>
            <w:pPr>
              <w:pStyle w:val="TableParagraph"/>
              <w:tabs>
                <w:tab w:pos="3231" w:val="right" w:leader="none"/>
              </w:tabs>
              <w:spacing w:before="2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3"/>
              </w:rPr>
              <w:t>Female</w:t>
              <w:tab/>
            </w: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3783" w:type="dxa"/>
          </w:tcPr>
          <w:p>
            <w:pPr>
              <w:pStyle w:val="TableParagraph"/>
              <w:ind w:left="9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17.5%</w:t>
            </w:r>
          </w:p>
        </w:tc>
      </w:tr>
      <w:tr>
        <w:trPr>
          <w:trHeight w:val="502" w:hRule="atLeast"/>
        </w:trPr>
        <w:tc>
          <w:tcPr>
            <w:tcW w:w="495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351" w:val="right" w:leader="none"/>
              </w:tabs>
              <w:spacing w:before="68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  <w:tab/>
              <w:t>383</w:t>
            </w:r>
          </w:p>
        </w:tc>
        <w:tc>
          <w:tcPr>
            <w:tcW w:w="3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9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3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2130"/>
      </w:tblGrid>
      <w:tr>
        <w:trPr>
          <w:trHeight w:val="307" w:hRule="atLeast"/>
        </w:trPr>
        <w:tc>
          <w:tcPr>
            <w:tcW w:w="1652" w:type="dxa"/>
          </w:tcPr>
          <w:p>
            <w:pPr>
              <w:pStyle w:val="TableParagraph"/>
              <w:spacing w:line="242" w:lineRule="exact" w:before="45"/>
              <w:ind w:left="180" w:right="936"/>
              <w:jc w:val="center"/>
              <w:rPr>
                <w:b/>
                <w:sz w:val="20"/>
              </w:rPr>
            </w:pPr>
            <w:r>
              <w:rPr>
                <w:b/>
                <w:color w:val="C0504D"/>
                <w:sz w:val="20"/>
              </w:rPr>
              <w:t>Single</w:t>
            </w:r>
          </w:p>
        </w:tc>
        <w:tc>
          <w:tcPr>
            <w:tcW w:w="2130" w:type="dxa"/>
          </w:tcPr>
          <w:p>
            <w:pPr>
              <w:pStyle w:val="TableParagraph"/>
              <w:spacing w:line="203" w:lineRule="exact"/>
              <w:ind w:left="930" w:right="173"/>
              <w:jc w:val="center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Widow/wid</w:t>
            </w:r>
          </w:p>
        </w:tc>
      </w:tr>
      <w:tr>
        <w:trPr>
          <w:trHeight w:val="276" w:hRule="atLeast"/>
        </w:trPr>
        <w:tc>
          <w:tcPr>
            <w:tcW w:w="1652" w:type="dxa"/>
          </w:tcPr>
          <w:p>
            <w:pPr>
              <w:pStyle w:val="TableParagraph"/>
              <w:spacing w:line="190" w:lineRule="exact" w:before="67"/>
              <w:ind w:left="180" w:right="857"/>
              <w:jc w:val="center"/>
              <w:rPr>
                <w:b/>
                <w:sz w:val="20"/>
              </w:rPr>
            </w:pPr>
            <w:r>
              <w:rPr>
                <w:b/>
                <w:color w:val="C0504D"/>
                <w:sz w:val="20"/>
              </w:rPr>
              <w:t>2%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exact"/>
              <w:ind w:left="919" w:right="173"/>
              <w:jc w:val="center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ower</w:t>
            </w:r>
          </w:p>
        </w:tc>
      </w:tr>
      <w:tr>
        <w:trPr>
          <w:trHeight w:val="188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spacing w:line="169" w:lineRule="exact"/>
              <w:ind w:left="918" w:right="173"/>
              <w:jc w:val="center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3%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700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Marital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Residents</w:t>
      </w:r>
    </w:p>
    <w:p>
      <w:pPr>
        <w:spacing w:after="0"/>
        <w:jc w:val="both"/>
        <w:rPr>
          <w:sz w:val="24"/>
        </w:rPr>
        <w:sectPr>
          <w:pgSz w:w="11900" w:h="16840"/>
          <w:pgMar w:header="0" w:footer="1012" w:top="1320" w:bottom="1200" w:left="1280" w:right="360"/>
        </w:sectPr>
      </w:pPr>
    </w:p>
    <w:p>
      <w:pPr>
        <w:pStyle w:val="Heading1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</w:pPr>
      <w:r>
        <w:rPr/>
        <w:t>Occupational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26.1%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were civil servants, 34.2% them were businessmen/women, while 39.7% of</w:t>
      </w:r>
      <w:r>
        <w:rPr>
          <w:spacing w:val="-57"/>
        </w:rPr>
        <w:t> </w:t>
      </w:r>
      <w:r>
        <w:rPr/>
        <w:t>the respondents were those that were self-employed i.e those with their private firms,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clinic/hospitals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 self-employed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businessmen/women 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 4.2.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 of this result is that livelihood of the household will therefore affect the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environment they</w:t>
      </w:r>
      <w:r>
        <w:rPr>
          <w:spacing w:val="-3"/>
        </w:rPr>
        <w:t> </w:t>
      </w:r>
      <w:r>
        <w:rPr/>
        <w:t>dwell.</w:t>
      </w: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153.949997pt;margin-top:14.964668pt;width:316.25pt;height:186.15pt;mso-position-horizontal-relative:page;mso-position-vertical-relative:paragraph;z-index:-15725056;mso-wrap-distance-left:0;mso-wrap-distance-right:0" coordorigin="3079,299" coordsize="6325,3723">
            <v:shape style="position:absolute;left:3079;top:299;width:6325;height:3723" type="#_x0000_t75" stroked="false">
              <v:imagedata r:id="rId17" o:title=""/>
            </v:shape>
            <v:shape style="position:absolute;left:7620;top:1890;width:110;height:108" type="#_x0000_t75" stroked="false">
              <v:imagedata r:id="rId18" o:title=""/>
            </v:shape>
            <v:shape style="position:absolute;left:7620;top:2559;width:110;height:111" type="#_x0000_t75" stroked="false">
              <v:imagedata r:id="rId19" o:title=""/>
            </v:shape>
            <v:shape style="position:absolute;left:7620;top:3241;width:110;height:110" type="#_x0000_t75" stroked="false">
              <v:imagedata r:id="rId20" o:title=""/>
            </v:shape>
            <v:shape style="position:absolute;left:5991;top:1482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26.1%</w:t>
                    </w:r>
                  </w:p>
                </w:txbxContent>
              </v:textbox>
              <w10:wrap type="none"/>
            </v:shape>
            <v:shape style="position:absolute;left:4361;top:1681;width:445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34.2%</w:t>
                    </w:r>
                  </w:p>
                </w:txbxContent>
              </v:textbox>
              <w10:wrap type="none"/>
            </v:shape>
            <v:shape style="position:absolute;left:7777;top:1849;width:10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Civil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servant</w:t>
                    </w:r>
                  </w:p>
                </w:txbxContent>
              </v:textbox>
              <w10:wrap type="none"/>
            </v:shape>
            <v:shape style="position:absolute;left:7777;top:2521;width:118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Self-employed</w:t>
                    </w:r>
                  </w:p>
                </w:txbxContent>
              </v:textbox>
              <w10:wrap type="none"/>
            </v:shape>
            <v:shape style="position:absolute;left:5281;top:2862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39.7%</w:t>
                    </w:r>
                  </w:p>
                </w:txbxContent>
              </v:textbox>
              <w10:wrap type="none"/>
            </v:shape>
            <v:shape style="position:absolute;left:7777;top:3203;width:14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Business/Trading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1"/>
        <w:jc w:val="both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Occupational</w:t>
      </w:r>
      <w:r>
        <w:rPr>
          <w:spacing w:val="-2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Residents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23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Educational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status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respondents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The highest educational qualification of the household-heads of research population in</w:t>
      </w:r>
      <w:r>
        <w:rPr>
          <w:spacing w:val="1"/>
        </w:rPr>
        <w:t> </w:t>
      </w:r>
      <w:r>
        <w:rPr/>
        <w:t>the survey was also examined. As shown in Table 4.2 household-heads with tertiary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62.2%.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followed by those with secondary education constituting around 35.5%. Those with</w:t>
      </w:r>
      <w:r>
        <w:rPr>
          <w:spacing w:val="1"/>
        </w:rPr>
        <w:t> </w:t>
      </w:r>
      <w:r>
        <w:rPr/>
        <w:t>primary education accounted for 2.3%. This result indicates that majority (over 50%) of</w:t>
      </w:r>
      <w:r>
        <w:rPr>
          <w:spacing w:val="1"/>
        </w:rPr>
        <w:t> </w:t>
      </w:r>
      <w:r>
        <w:rPr/>
        <w:t>the houses in the research population were those whose household-heads have tertiary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while the</w:t>
      </w:r>
      <w:r>
        <w:rPr>
          <w:spacing w:val="-2"/>
        </w:rPr>
        <w:t> </w:t>
      </w:r>
      <w:r>
        <w:rPr/>
        <w:t>least (less than</w:t>
      </w:r>
      <w:r>
        <w:rPr>
          <w:spacing w:val="-1"/>
        </w:rPr>
        <w:t> </w:t>
      </w:r>
      <w:r>
        <w:rPr/>
        <w:t>2.4%) were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with primary</w:t>
      </w:r>
      <w:r>
        <w:rPr>
          <w:spacing w:val="-6"/>
        </w:rPr>
        <w:t> </w:t>
      </w:r>
      <w:r>
        <w:rPr/>
        <w:t>education certificate.</w:t>
      </w:r>
    </w:p>
    <w:p>
      <w:pPr>
        <w:spacing w:after="0" w:line="477" w:lineRule="auto"/>
        <w:jc w:val="both"/>
        <w:sectPr>
          <w:footerReference w:type="default" r:id="rId16"/>
          <w:pgSz w:w="11900" w:h="16840"/>
          <w:pgMar w:footer="1068" w:header="0" w:top="1320" w:bottom="1260" w:left="1280" w:right="360"/>
        </w:sectPr>
      </w:pPr>
    </w:p>
    <w:tbl>
      <w:tblPr>
        <w:tblW w:w="0" w:type="auto"/>
        <w:jc w:val="left"/>
        <w:tblInd w:w="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9"/>
        <w:gridCol w:w="2118"/>
        <w:gridCol w:w="3762"/>
      </w:tblGrid>
      <w:tr>
        <w:trPr>
          <w:trHeight w:val="408" w:hRule="atLeast"/>
        </w:trPr>
        <w:tc>
          <w:tcPr>
            <w:tcW w:w="8749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Table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4.2: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Educational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Status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Respondents</w:t>
            </w:r>
          </w:p>
        </w:tc>
      </w:tr>
      <w:tr>
        <w:trPr>
          <w:trHeight w:val="404" w:hRule="atLeast"/>
        </w:trPr>
        <w:tc>
          <w:tcPr>
            <w:tcW w:w="28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Highest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Educational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Status</w:t>
            </w:r>
          </w:p>
        </w:tc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Frequency</w:t>
            </w:r>
          </w:p>
        </w:tc>
        <w:tc>
          <w:tcPr>
            <w:tcW w:w="37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9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</w:p>
        </w:tc>
      </w:tr>
      <w:tr>
        <w:trPr>
          <w:trHeight w:val="333" w:hRule="atLeast"/>
        </w:trPr>
        <w:tc>
          <w:tcPr>
            <w:tcW w:w="28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Tertiary</w:t>
            </w:r>
          </w:p>
        </w:tc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238</w:t>
            </w:r>
          </w:p>
        </w:tc>
        <w:tc>
          <w:tcPr>
            <w:tcW w:w="37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9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62.2 %</w:t>
            </w:r>
          </w:p>
        </w:tc>
      </w:tr>
      <w:tr>
        <w:trPr>
          <w:trHeight w:val="420" w:hRule="atLeast"/>
        </w:trPr>
        <w:tc>
          <w:tcPr>
            <w:tcW w:w="2869" w:type="dxa"/>
          </w:tcPr>
          <w:p>
            <w:pPr>
              <w:pStyle w:val="TableParagraph"/>
              <w:spacing w:before="65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Secondary</w:t>
            </w:r>
          </w:p>
        </w:tc>
        <w:tc>
          <w:tcPr>
            <w:tcW w:w="2118" w:type="dxa"/>
          </w:tcPr>
          <w:p>
            <w:pPr>
              <w:pStyle w:val="TableParagraph"/>
              <w:spacing w:before="6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3762" w:type="dxa"/>
          </w:tcPr>
          <w:p>
            <w:pPr>
              <w:pStyle w:val="TableParagraph"/>
              <w:spacing w:before="65"/>
              <w:ind w:left="9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35.5%</w:t>
            </w:r>
          </w:p>
        </w:tc>
      </w:tr>
      <w:tr>
        <w:trPr>
          <w:trHeight w:val="423" w:hRule="atLeast"/>
        </w:trPr>
        <w:tc>
          <w:tcPr>
            <w:tcW w:w="2869" w:type="dxa"/>
          </w:tcPr>
          <w:p>
            <w:pPr>
              <w:pStyle w:val="TableParagraph"/>
              <w:spacing w:before="68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Primary</w:t>
            </w:r>
          </w:p>
        </w:tc>
        <w:tc>
          <w:tcPr>
            <w:tcW w:w="2118" w:type="dxa"/>
          </w:tcPr>
          <w:p>
            <w:pPr>
              <w:pStyle w:val="TableParagraph"/>
              <w:spacing w:before="68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62" w:type="dxa"/>
          </w:tcPr>
          <w:p>
            <w:pPr>
              <w:pStyle w:val="TableParagraph"/>
              <w:spacing w:before="68"/>
              <w:ind w:left="9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2.3%</w:t>
            </w:r>
          </w:p>
        </w:tc>
      </w:tr>
      <w:tr>
        <w:trPr>
          <w:trHeight w:val="499" w:hRule="atLeast"/>
        </w:trPr>
        <w:tc>
          <w:tcPr>
            <w:tcW w:w="2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383</w:t>
            </w:r>
          </w:p>
        </w:tc>
        <w:tc>
          <w:tcPr>
            <w:tcW w:w="37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9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numPr>
          <w:ilvl w:val="1"/>
          <w:numId w:val="8"/>
        </w:numPr>
        <w:tabs>
          <w:tab w:pos="1401" w:val="left" w:leader="none"/>
          <w:tab w:pos="1402" w:val="left" w:leader="none"/>
        </w:tabs>
        <w:spacing w:line="240" w:lineRule="auto" w:before="90" w:after="0"/>
        <w:ind w:left="1401" w:right="0" w:hanging="702"/>
        <w:jc w:val="left"/>
      </w:pPr>
      <w:r>
        <w:rPr/>
        <w:t>Housing</w:t>
      </w:r>
      <w:r>
        <w:rPr>
          <w:spacing w:val="-4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Estates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700" w:right="1037"/>
        <w:jc w:val="both"/>
      </w:pPr>
      <w:r>
        <w:rPr/>
        <w:t>Table 4.3 shows the different types of housing based on structure and design provided in</w:t>
      </w:r>
      <w:r>
        <w:rPr>
          <w:spacing w:val="-57"/>
        </w:rPr>
        <w:t> </w:t>
      </w:r>
      <w:r>
        <w:rPr/>
        <w:t>the public and private estates in the study area. The research reveals that at Harmony</w:t>
      </w:r>
      <w:r>
        <w:rPr>
          <w:spacing w:val="1"/>
        </w:rPr>
        <w:t> </w:t>
      </w:r>
      <w:r>
        <w:rPr/>
        <w:t>Estate, 17.5% of the housing units provided were detached and29.0% were semi-detach</w:t>
      </w:r>
      <w:r>
        <w:rPr>
          <w:spacing w:val="1"/>
        </w:rPr>
        <w:t> </w:t>
      </w:r>
      <w:r>
        <w:rPr/>
        <w:t>while at</w:t>
      </w:r>
      <w:r>
        <w:rPr>
          <w:spacing w:val="60"/>
        </w:rPr>
        <w:t> </w:t>
      </w:r>
      <w:r>
        <w:rPr/>
        <w:t>Mandate Estate 27.4% of the housing units provided were detached while</w:t>
      </w:r>
      <w:r>
        <w:rPr>
          <w:spacing w:val="1"/>
        </w:rPr>
        <w:t> </w:t>
      </w:r>
      <w:r>
        <w:rPr/>
        <w:t>61.8% were semi-detach, at Royal Valley Estate, 27.0% of the housing units provided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detached</w:t>
      </w:r>
      <w:r>
        <w:rPr>
          <w:spacing w:val="1"/>
        </w:rPr>
        <w:t> </w:t>
      </w:r>
      <w:r>
        <w:rPr/>
        <w:t>and3.8%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Semi-detach;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Evergreen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65.8%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 units provided were detached and5.3% were Semi-detach. Research 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65.8%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detached</w:t>
      </w:r>
      <w:r>
        <w:rPr>
          <w:spacing w:val="1"/>
        </w:rPr>
        <w:t> </w:t>
      </w:r>
      <w:r>
        <w:rPr/>
        <w:t>bungalows,</w:t>
      </w:r>
      <w:r>
        <w:rPr>
          <w:spacing w:val="1"/>
        </w:rPr>
        <w:t> </w:t>
      </w:r>
      <w:r>
        <w:rPr/>
        <w:t>while 34.2 %, accounted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semi detach houses.</w:t>
      </w:r>
    </w:p>
    <w:p>
      <w:pPr>
        <w:pStyle w:val="BodyText"/>
        <w:spacing w:line="477" w:lineRule="auto" w:before="203"/>
        <w:ind w:left="700" w:right="1034"/>
        <w:jc w:val="both"/>
      </w:pPr>
      <w:r>
        <w:rPr/>
        <w:t>From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result</w:t>
      </w:r>
      <w:r>
        <w:rPr>
          <w:spacing w:val="50"/>
        </w:rPr>
        <w:t> </w:t>
      </w:r>
      <w:r>
        <w:rPr/>
        <w:t>in</w:t>
      </w:r>
      <w:r>
        <w:rPr>
          <w:spacing w:val="49"/>
        </w:rPr>
        <w:t> </w:t>
      </w:r>
      <w:r>
        <w:rPr/>
        <w:t>table</w:t>
      </w:r>
      <w:r>
        <w:rPr>
          <w:spacing w:val="50"/>
        </w:rPr>
        <w:t> </w:t>
      </w:r>
      <w:r>
        <w:rPr/>
        <w:t>4.3</w:t>
      </w:r>
      <w:r>
        <w:rPr>
          <w:spacing w:val="49"/>
        </w:rPr>
        <w:t> </w:t>
      </w:r>
      <w:r>
        <w:rPr/>
        <w:t>it</w:t>
      </w:r>
      <w:r>
        <w:rPr>
          <w:spacing w:val="50"/>
        </w:rPr>
        <w:t> </w:t>
      </w:r>
      <w:r>
        <w:rPr/>
        <w:t>can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concluded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Evergreen</w:t>
      </w:r>
      <w:r>
        <w:rPr>
          <w:spacing w:val="49"/>
        </w:rPr>
        <w:t> </w:t>
      </w:r>
      <w:r>
        <w:rPr/>
        <w:t>housing</w:t>
      </w:r>
      <w:r>
        <w:rPr>
          <w:spacing w:val="46"/>
        </w:rPr>
        <w:t> </w:t>
      </w:r>
      <w:r>
        <w:rPr/>
        <w:t>estate</w:t>
      </w:r>
      <w:r>
        <w:rPr>
          <w:spacing w:val="49"/>
        </w:rPr>
        <w:t> </w:t>
      </w:r>
      <w:r>
        <w:rPr/>
        <w:t>had</w:t>
      </w:r>
      <w:r>
        <w:rPr>
          <w:spacing w:val="-58"/>
        </w:rPr>
        <w:t> </w:t>
      </w:r>
      <w:r>
        <w:rPr/>
        <w:t>highest percentage of detached housing units with 28.17%. Mandate housing estates</w:t>
      </w:r>
      <w:r>
        <w:rPr>
          <w:spacing w:val="1"/>
        </w:rPr>
        <w:t> </w:t>
      </w:r>
      <w:r>
        <w:rPr/>
        <w:t>records the highest percentage of the total housing units in the study area with semi-</w:t>
      </w:r>
      <w:r>
        <w:rPr>
          <w:spacing w:val="1"/>
        </w:rPr>
        <w:t> </w:t>
      </w:r>
      <w:r>
        <w:rPr/>
        <w:t>detached housing units with 61.7%. This results now shows that Evergreen housing</w:t>
      </w:r>
      <w:r>
        <w:rPr>
          <w:spacing w:val="1"/>
        </w:rPr>
        <w:t> </w:t>
      </w:r>
      <w:r>
        <w:rPr/>
        <w:t>estates which is a private housing estate, had more of detached bungalows than the other</w:t>
      </w:r>
      <w:r>
        <w:rPr>
          <w:spacing w:val="-57"/>
        </w:rPr>
        <w:t> </w:t>
      </w:r>
      <w:r>
        <w:rPr/>
        <w:t>three estates while Mandate estates contain more of semi-detached bungalows than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three</w:t>
      </w:r>
      <w:r>
        <w:rPr>
          <w:spacing w:val="1"/>
        </w:rPr>
        <w:t> </w:t>
      </w:r>
      <w:r>
        <w:rPr/>
        <w:t>estates.</w:t>
      </w:r>
    </w:p>
    <w:p>
      <w:pPr>
        <w:spacing w:after="0" w:line="477" w:lineRule="auto"/>
        <w:jc w:val="both"/>
        <w:sectPr>
          <w:pgSz w:w="11900" w:h="16840"/>
          <w:pgMar w:header="0" w:footer="1068" w:top="1400" w:bottom="1300" w:left="1280" w:right="360"/>
        </w:sectPr>
      </w:pPr>
    </w:p>
    <w:p>
      <w:pPr>
        <w:pStyle w:val="Heading1"/>
        <w:spacing w:before="74" w:after="46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3"/>
        </w:rPr>
        <w:t> </w:t>
      </w:r>
      <w:r>
        <w:rPr/>
        <w:t>Housing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Structure Design</w:t>
      </w: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547"/>
        <w:gridCol w:w="1378"/>
        <w:gridCol w:w="1268"/>
        <w:gridCol w:w="1399"/>
        <w:gridCol w:w="1506"/>
      </w:tblGrid>
      <w:tr>
        <w:trPr>
          <w:trHeight w:val="331" w:hRule="atLeast"/>
        </w:trPr>
        <w:tc>
          <w:tcPr>
            <w:tcW w:w="16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53"/>
              <w:ind w:left="8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53"/>
              <w:ind w:left="4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1646" w:type="dxa"/>
          </w:tcPr>
          <w:p>
            <w:pPr>
              <w:pStyle w:val="TableParagraph"/>
              <w:spacing w:line="250" w:lineRule="exact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Types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3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  <w:tc>
          <w:tcPr>
            <w:tcW w:w="1506" w:type="dxa"/>
          </w:tcPr>
          <w:p>
            <w:pPr>
              <w:pStyle w:val="TableParagraph"/>
              <w:spacing w:line="250" w:lineRule="exact"/>
              <w:ind w:left="12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16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39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1" w:hRule="atLeast"/>
        </w:trPr>
        <w:tc>
          <w:tcPr>
            <w:tcW w:w="1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Detached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2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(17.5%)</w:t>
            </w:r>
          </w:p>
        </w:tc>
        <w:tc>
          <w:tcPr>
            <w:tcW w:w="1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right="1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(27.4%)</w:t>
            </w:r>
          </w:p>
        </w:tc>
        <w:tc>
          <w:tcPr>
            <w:tcW w:w="1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68(27.0%)</w:t>
            </w:r>
          </w:p>
        </w:tc>
        <w:tc>
          <w:tcPr>
            <w:tcW w:w="13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71(28.17%)</w:t>
            </w:r>
          </w:p>
        </w:tc>
        <w:tc>
          <w:tcPr>
            <w:tcW w:w="15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252</w:t>
            </w:r>
            <w:r>
              <w:rPr>
                <w:rFonts w:ascii="Times New Roman"/>
                <w:b/>
                <w:spacing w:val="-10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(65.8%)</w:t>
            </w:r>
          </w:p>
        </w:tc>
      </w:tr>
      <w:tr>
        <w:trPr>
          <w:trHeight w:val="1030" w:hRule="atLeast"/>
        </w:trPr>
        <w:tc>
          <w:tcPr>
            <w:tcW w:w="1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Semi-detach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2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38(29.0%)</w:t>
            </w:r>
          </w:p>
        </w:tc>
        <w:tc>
          <w:tcPr>
            <w:tcW w:w="13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81(61.8%)</w:t>
            </w: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2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5(3.8%)</w:t>
            </w:r>
          </w:p>
        </w:tc>
        <w:tc>
          <w:tcPr>
            <w:tcW w:w="13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3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7(5.3%)</w:t>
            </w:r>
          </w:p>
        </w:tc>
        <w:tc>
          <w:tcPr>
            <w:tcW w:w="15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5"/>
              <w:ind w:lef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131(34.2%)</w:t>
            </w:r>
          </w:p>
        </w:tc>
      </w:tr>
      <w:tr>
        <w:trPr>
          <w:trHeight w:val="541" w:hRule="atLeast"/>
        </w:trPr>
        <w:tc>
          <w:tcPr>
            <w:tcW w:w="16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5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2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82(21.4%)</w:t>
            </w:r>
          </w:p>
        </w:tc>
        <w:tc>
          <w:tcPr>
            <w:tcW w:w="13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right="11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150(39.2%)</w:t>
            </w:r>
          </w:p>
        </w:tc>
        <w:tc>
          <w:tcPr>
            <w:tcW w:w="12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73(19.1%)</w:t>
            </w:r>
          </w:p>
        </w:tc>
        <w:tc>
          <w:tcPr>
            <w:tcW w:w="13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5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(20.4%)</w:t>
            </w:r>
          </w:p>
        </w:tc>
        <w:tc>
          <w:tcPr>
            <w:tcW w:w="15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2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383(100%)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based 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internal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composition/ height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54"/>
      </w:pPr>
      <w:r>
        <w:rPr/>
        <w:t>Table</w:t>
      </w:r>
      <w:r>
        <w:rPr>
          <w:spacing w:val="31"/>
        </w:rPr>
        <w:t> </w:t>
      </w:r>
      <w:r>
        <w:rPr/>
        <w:t>4.4</w:t>
      </w:r>
      <w:r>
        <w:rPr>
          <w:spacing w:val="33"/>
        </w:rPr>
        <w:t> </w:t>
      </w:r>
      <w:r>
        <w:rPr/>
        <w:t>shows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Harmony</w:t>
      </w:r>
      <w:r>
        <w:rPr>
          <w:spacing w:val="30"/>
        </w:rPr>
        <w:t> </w:t>
      </w:r>
      <w:r>
        <w:rPr/>
        <w:t>Estate</w:t>
      </w:r>
      <w:r>
        <w:rPr>
          <w:spacing w:val="31"/>
        </w:rPr>
        <w:t> </w:t>
      </w:r>
      <w:r>
        <w:rPr/>
        <w:t>had</w:t>
      </w:r>
      <w:r>
        <w:rPr>
          <w:spacing w:val="33"/>
        </w:rPr>
        <w:t> </w:t>
      </w:r>
      <w:r>
        <w:rPr/>
        <w:t>23.7%</w:t>
      </w:r>
      <w:r>
        <w:rPr>
          <w:spacing w:val="32"/>
        </w:rPr>
        <w:t> </w:t>
      </w:r>
      <w:r>
        <w:rPr/>
        <w:t>flat</w:t>
      </w:r>
      <w:r>
        <w:rPr>
          <w:spacing w:val="32"/>
        </w:rPr>
        <w:t> </w:t>
      </w:r>
      <w:r>
        <w:rPr/>
        <w:t>apartment,</w:t>
      </w:r>
      <w:r>
        <w:rPr>
          <w:spacing w:val="33"/>
        </w:rPr>
        <w:t> </w:t>
      </w:r>
      <w:r>
        <w:rPr/>
        <w:t>Mandate</w:t>
      </w:r>
      <w:r>
        <w:rPr>
          <w:spacing w:val="32"/>
        </w:rPr>
        <w:t> </w:t>
      </w:r>
      <w:r>
        <w:rPr/>
        <w:t>Estate</w:t>
      </w:r>
      <w:r>
        <w:rPr>
          <w:spacing w:val="31"/>
        </w:rPr>
        <w:t> </w:t>
      </w:r>
      <w:r>
        <w:rPr/>
        <w:t>had</w:t>
      </w:r>
      <w:r>
        <w:rPr>
          <w:spacing w:val="-57"/>
        </w:rPr>
        <w:t> </w:t>
      </w:r>
      <w:r>
        <w:rPr/>
        <w:t>44.3% flat apartment, Royal Valley had 14.5% flat apartment and Evergreen Estate had</w:t>
      </w:r>
      <w:r>
        <w:rPr>
          <w:spacing w:val="1"/>
        </w:rPr>
        <w:t> </w:t>
      </w:r>
      <w:r>
        <w:rPr/>
        <w:t>17.6%</w:t>
      </w:r>
      <w:r>
        <w:rPr>
          <w:spacing w:val="30"/>
        </w:rPr>
        <w:t> </w:t>
      </w:r>
      <w:r>
        <w:rPr/>
        <w:t>flat</w:t>
      </w:r>
      <w:r>
        <w:rPr>
          <w:spacing w:val="31"/>
        </w:rPr>
        <w:t> </w:t>
      </w:r>
      <w:r>
        <w:rPr/>
        <w:t>apartment.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result</w:t>
      </w:r>
      <w:r>
        <w:rPr>
          <w:spacing w:val="31"/>
        </w:rPr>
        <w:t> </w:t>
      </w:r>
      <w:r>
        <w:rPr/>
        <w:t>also</w:t>
      </w:r>
      <w:r>
        <w:rPr>
          <w:spacing w:val="31"/>
        </w:rPr>
        <w:t> </w:t>
      </w:r>
      <w:r>
        <w:rPr/>
        <w:t>shows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duplex</w:t>
      </w:r>
      <w:r>
        <w:rPr>
          <w:spacing w:val="32"/>
        </w:rPr>
        <w:t> </w:t>
      </w:r>
      <w:r>
        <w:rPr/>
        <w:t>buildings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Harmony</w:t>
      </w:r>
      <w:r>
        <w:rPr>
          <w:spacing w:val="28"/>
        </w:rPr>
        <w:t> </w:t>
      </w:r>
      <w:r>
        <w:rPr/>
        <w:t>estate</w:t>
      </w:r>
      <w:r>
        <w:rPr>
          <w:spacing w:val="-57"/>
        </w:rPr>
        <w:t> </w:t>
      </w:r>
      <w:r>
        <w:rPr/>
        <w:t>had</w:t>
      </w:r>
      <w:r>
        <w:rPr>
          <w:spacing w:val="15"/>
        </w:rPr>
        <w:t> </w:t>
      </w:r>
      <w:r>
        <w:rPr/>
        <w:t>16.5%,</w:t>
      </w:r>
      <w:r>
        <w:rPr>
          <w:spacing w:val="15"/>
        </w:rPr>
        <w:t> </w:t>
      </w:r>
      <w:r>
        <w:rPr/>
        <w:t>Mandate</w:t>
      </w:r>
      <w:r>
        <w:rPr>
          <w:spacing w:val="16"/>
        </w:rPr>
        <w:t> </w:t>
      </w:r>
      <w:r>
        <w:rPr/>
        <w:t>Estate</w:t>
      </w:r>
      <w:r>
        <w:rPr>
          <w:spacing w:val="15"/>
        </w:rPr>
        <w:t> </w:t>
      </w:r>
      <w:r>
        <w:rPr/>
        <w:t>had</w:t>
      </w:r>
      <w:r>
        <w:rPr>
          <w:spacing w:val="16"/>
        </w:rPr>
        <w:t> </w:t>
      </w:r>
      <w:r>
        <w:rPr/>
        <w:t>28.1%,</w:t>
      </w:r>
      <w:r>
        <w:rPr>
          <w:spacing w:val="15"/>
        </w:rPr>
        <w:t> </w:t>
      </w:r>
      <w:r>
        <w:rPr/>
        <w:t>Royal</w:t>
      </w:r>
      <w:r>
        <w:rPr>
          <w:spacing w:val="18"/>
        </w:rPr>
        <w:t> </w:t>
      </w:r>
      <w:r>
        <w:rPr/>
        <w:t>Valley</w:t>
      </w:r>
      <w:r>
        <w:rPr>
          <w:spacing w:val="11"/>
        </w:rPr>
        <w:t> </w:t>
      </w:r>
      <w:r>
        <w:rPr/>
        <w:t>had</w:t>
      </w:r>
      <w:r>
        <w:rPr>
          <w:spacing w:val="15"/>
        </w:rPr>
        <w:t> </w:t>
      </w:r>
      <w:r>
        <w:rPr/>
        <w:t>23.1%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Evergreen</w:t>
      </w:r>
      <w:r>
        <w:rPr>
          <w:spacing w:val="16"/>
        </w:rPr>
        <w:t> </w:t>
      </w:r>
      <w:r>
        <w:rPr/>
        <w:t>Estate</w:t>
      </w:r>
      <w:r>
        <w:rPr>
          <w:spacing w:val="-57"/>
        </w:rPr>
        <w:t> </w:t>
      </w:r>
      <w:r>
        <w:rPr/>
        <w:t>had</w:t>
      </w:r>
      <w:r>
        <w:rPr>
          <w:spacing w:val="38"/>
        </w:rPr>
        <w:t> </w:t>
      </w:r>
      <w:r>
        <w:rPr/>
        <w:t>32.2%.</w:t>
      </w:r>
      <w:r>
        <w:rPr>
          <w:spacing w:val="38"/>
        </w:rPr>
        <w:t> </w:t>
      </w:r>
      <w:r>
        <w:rPr/>
        <w:t>Therefore,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overall</w:t>
      </w:r>
      <w:r>
        <w:rPr>
          <w:spacing w:val="38"/>
        </w:rPr>
        <w:t> </w:t>
      </w:r>
      <w:r>
        <w:rPr/>
        <w:t>report</w:t>
      </w:r>
      <w:r>
        <w:rPr>
          <w:spacing w:val="37"/>
        </w:rPr>
        <w:t> </w:t>
      </w:r>
      <w:r>
        <w:rPr/>
        <w:t>revealed</w:t>
      </w:r>
      <w:r>
        <w:rPr>
          <w:spacing w:val="39"/>
        </w:rPr>
        <w:t> </w:t>
      </w:r>
      <w:r>
        <w:rPr/>
        <w:t>that</w:t>
      </w:r>
      <w:r>
        <w:rPr>
          <w:spacing w:val="38"/>
        </w:rPr>
        <w:t> </w:t>
      </w:r>
      <w:r>
        <w:rPr/>
        <w:t>majority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housing</w:t>
      </w:r>
      <w:r>
        <w:rPr>
          <w:spacing w:val="35"/>
        </w:rPr>
        <w:t> </w:t>
      </w:r>
      <w:r>
        <w:rPr/>
        <w:t>types</w:t>
      </w:r>
      <w:r>
        <w:rPr>
          <w:spacing w:val="-57"/>
        </w:rPr>
        <w:t> </w:t>
      </w:r>
      <w:r>
        <w:rPr/>
        <w:t>based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internal</w:t>
      </w:r>
      <w:r>
        <w:rPr>
          <w:spacing w:val="5"/>
        </w:rPr>
        <w:t> </w:t>
      </w:r>
      <w:r>
        <w:rPr/>
        <w:t>composition/height,</w:t>
      </w:r>
      <w:r>
        <w:rPr>
          <w:spacing w:val="4"/>
        </w:rPr>
        <w:t> </w:t>
      </w:r>
      <w:r>
        <w:rPr/>
        <w:t>were</w:t>
      </w:r>
      <w:r>
        <w:rPr>
          <w:spacing w:val="2"/>
        </w:rPr>
        <w:t> </w:t>
      </w:r>
      <w:r>
        <w:rPr/>
        <w:t>68.4%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bungalows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31.6%</w:t>
      </w:r>
      <w:r>
        <w:rPr>
          <w:spacing w:val="3"/>
        </w:rPr>
        <w:t> </w:t>
      </w:r>
      <w:r>
        <w:rPr/>
        <w:t>low</w:t>
      </w:r>
      <w:r>
        <w:rPr>
          <w:spacing w:val="3"/>
        </w:rPr>
        <w:t> </w:t>
      </w:r>
      <w:r>
        <w:rPr/>
        <w:t>rise</w:t>
      </w:r>
      <w:r>
        <w:rPr>
          <w:spacing w:val="-57"/>
        </w:rPr>
        <w:t> </w:t>
      </w:r>
      <w:r>
        <w:rPr/>
        <w:t>buildings.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implies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housing</w:t>
      </w:r>
      <w:r>
        <w:rPr>
          <w:spacing w:val="6"/>
        </w:rPr>
        <w:t> </w:t>
      </w:r>
      <w:r>
        <w:rPr/>
        <w:t>developers</w:t>
      </w:r>
      <w:r>
        <w:rPr>
          <w:spacing w:val="7"/>
        </w:rPr>
        <w:t> </w:t>
      </w:r>
      <w:r>
        <w:rPr/>
        <w:t>developed</w:t>
      </w:r>
      <w:r>
        <w:rPr>
          <w:spacing w:val="8"/>
        </w:rPr>
        <w:t> </w:t>
      </w:r>
      <w:r>
        <w:rPr/>
        <w:t>more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bungalows</w:t>
      </w:r>
      <w:r>
        <w:rPr>
          <w:spacing w:val="8"/>
        </w:rPr>
        <w:t> </w:t>
      </w:r>
      <w:r>
        <w:rPr/>
        <w:t>than</w:t>
      </w:r>
      <w:r>
        <w:rPr>
          <w:spacing w:val="7"/>
        </w:rPr>
        <w:t> </w:t>
      </w:r>
      <w:r>
        <w:rPr/>
        <w:t>low</w:t>
      </w:r>
      <w:r>
        <w:rPr>
          <w:spacing w:val="-57"/>
        </w:rPr>
        <w:t> </w:t>
      </w:r>
      <w:r>
        <w:rPr/>
        <w:t>rise</w:t>
      </w:r>
      <w:r>
        <w:rPr>
          <w:spacing w:val="-2"/>
        </w:rPr>
        <w:t> </w:t>
      </w:r>
      <w:r>
        <w:rPr/>
        <w:t>buildings.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1242060</wp:posOffset>
            </wp:positionH>
            <wp:positionV relativeFrom="paragraph">
              <wp:posOffset>221484</wp:posOffset>
            </wp:positionV>
            <wp:extent cx="5407856" cy="8000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856" cy="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3"/>
        </w:rPr>
        <w:t> </w:t>
      </w:r>
      <w:r>
        <w:rPr/>
        <w:t>Housing</w:t>
      </w:r>
      <w:r>
        <w:rPr>
          <w:spacing w:val="-4"/>
        </w:rPr>
        <w:t> </w:t>
      </w:r>
      <w:r>
        <w:rPr/>
        <w:t>Types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Composition/</w:t>
      </w:r>
      <w:r>
        <w:rPr>
          <w:spacing w:val="-1"/>
        </w:rPr>
        <w:t> </w:t>
      </w:r>
      <w:r>
        <w:rPr/>
        <w:t>Height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628"/>
        <w:gridCol w:w="1630"/>
        <w:gridCol w:w="1566"/>
        <w:gridCol w:w="1323"/>
        <w:gridCol w:w="1571"/>
      </w:tblGrid>
      <w:tr>
        <w:trPr>
          <w:trHeight w:val="274" w:hRule="atLeast"/>
        </w:trPr>
        <w:tc>
          <w:tcPr>
            <w:tcW w:w="8875" w:type="dxa"/>
            <w:gridSpan w:val="6"/>
          </w:tcPr>
          <w:p>
            <w:pPr>
              <w:pStyle w:val="TableParagraph"/>
              <w:tabs>
                <w:tab w:pos="2352" w:val="left" w:leader="none"/>
                <w:tab w:pos="4013" w:val="left" w:leader="none"/>
              </w:tabs>
              <w:spacing w:line="254" w:lineRule="exact"/>
              <w:ind w:left="13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  <w:u w:val="single"/>
              </w:rPr>
              <w:t> </w:t>
            </w:r>
            <w:r>
              <w:rPr>
                <w:rFonts w:ascii="Times New Roman"/>
                <w:b/>
                <w:sz w:val="24"/>
                <w:u w:val="single"/>
              </w:rPr>
              <w:tab/>
            </w:r>
            <w:r>
              <w:rPr>
                <w:rFonts w:ascii="Times New Roman"/>
                <w:b/>
                <w:sz w:val="24"/>
                <w:u w:val="single"/>
              </w:rPr>
              <w:t>Public</w:t>
              <w:tab/>
            </w:r>
          </w:p>
        </w:tc>
      </w:tr>
      <w:tr>
        <w:trPr>
          <w:trHeight w:val="421" w:hRule="atLeast"/>
        </w:trPr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Types</w:t>
            </w:r>
          </w:p>
        </w:tc>
        <w:tc>
          <w:tcPr>
            <w:tcW w:w="16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3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6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2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5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3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61" w:hRule="atLeast"/>
        </w:trPr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Flat</w:t>
            </w:r>
          </w:p>
        </w:tc>
        <w:tc>
          <w:tcPr>
            <w:tcW w:w="16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3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62(23.7%)</w:t>
            </w:r>
          </w:p>
        </w:tc>
        <w:tc>
          <w:tcPr>
            <w:tcW w:w="16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116(44.3%)</w:t>
            </w:r>
          </w:p>
        </w:tc>
        <w:tc>
          <w:tcPr>
            <w:tcW w:w="15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1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(14.5%)</w:t>
            </w:r>
          </w:p>
        </w:tc>
        <w:tc>
          <w:tcPr>
            <w:tcW w:w="13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46(17.6%)</w:t>
            </w:r>
          </w:p>
        </w:tc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269 (68.4%)</w:t>
            </w:r>
          </w:p>
        </w:tc>
      </w:tr>
      <w:tr>
        <w:trPr>
          <w:trHeight w:val="372" w:hRule="atLeast"/>
        </w:trPr>
        <w:tc>
          <w:tcPr>
            <w:tcW w:w="1157" w:type="dxa"/>
          </w:tcPr>
          <w:p>
            <w:pPr>
              <w:pStyle w:val="TableParagraph"/>
              <w:spacing w:line="267" w:lineRule="exact"/>
              <w:ind w:left="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apartment</w:t>
            </w: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9" w:hRule="atLeast"/>
        </w:trPr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Duplex</w:t>
            </w:r>
          </w:p>
        </w:tc>
        <w:tc>
          <w:tcPr>
            <w:tcW w:w="16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20(16.5%)</w:t>
            </w:r>
          </w:p>
        </w:tc>
        <w:tc>
          <w:tcPr>
            <w:tcW w:w="16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34(28.1%)</w:t>
            </w:r>
          </w:p>
        </w:tc>
        <w:tc>
          <w:tcPr>
            <w:tcW w:w="15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28(23.1%)</w:t>
            </w:r>
          </w:p>
        </w:tc>
        <w:tc>
          <w:tcPr>
            <w:tcW w:w="13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(32.2%)</w:t>
            </w:r>
          </w:p>
        </w:tc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121(31.6%)</w:t>
            </w:r>
          </w:p>
        </w:tc>
      </w:tr>
      <w:tr>
        <w:trPr>
          <w:trHeight w:val="541" w:hRule="atLeast"/>
        </w:trPr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6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3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82(21.4%)</w:t>
            </w: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2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 (39.2%)</w:t>
            </w:r>
          </w:p>
        </w:tc>
        <w:tc>
          <w:tcPr>
            <w:tcW w:w="15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3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73(17.2%)</w:t>
            </w:r>
          </w:p>
        </w:tc>
        <w:tc>
          <w:tcPr>
            <w:tcW w:w="13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78(22.2%)</w:t>
            </w:r>
          </w:p>
        </w:tc>
        <w:tc>
          <w:tcPr>
            <w:tcW w:w="1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383(100%)</w:t>
            </w:r>
          </w:p>
        </w:tc>
      </w:tr>
    </w:tbl>
    <w:p>
      <w:pPr>
        <w:spacing w:after="0" w:line="260" w:lineRule="exact"/>
        <w:rPr>
          <w:rFonts w:ascii="Times New Roman"/>
          <w:sz w:val="24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 based 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 housing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Table 4.5 revealed that 32.0% of the houses were two bedroom apartments in Harmony</w:t>
      </w:r>
      <w:r>
        <w:rPr>
          <w:spacing w:val="1"/>
        </w:rPr>
        <w:t> </w:t>
      </w:r>
      <w:r>
        <w:rPr/>
        <w:t>Estate, 43.5% in Mandate Estate were two bedrooms flat, 12.9% in Evergreen Estate</w:t>
      </w:r>
      <w:r>
        <w:rPr>
          <w:spacing w:val="1"/>
        </w:rPr>
        <w:t> </w:t>
      </w:r>
      <w:r>
        <w:rPr/>
        <w:t>were two bedrooms flat and 11.6% in Royal Valley estate were two bedrooms flat. The</w:t>
      </w:r>
      <w:r>
        <w:rPr>
          <w:spacing w:val="1"/>
        </w:rPr>
        <w:t> </w:t>
      </w:r>
      <w:r>
        <w:rPr/>
        <w:t>study also reveals that 17.9% of the houses are three bedroom bungalows in Harmony</w:t>
      </w:r>
      <w:r>
        <w:rPr>
          <w:spacing w:val="1"/>
        </w:rPr>
        <w:t> </w:t>
      </w:r>
      <w:r>
        <w:rPr/>
        <w:t>Estate, 36.8% of the houses are three bedroom apartments in Mandate Estate, Evergreen</w:t>
      </w:r>
      <w:r>
        <w:rPr>
          <w:spacing w:val="-57"/>
        </w:rPr>
        <w:t> </w:t>
      </w:r>
      <w:r>
        <w:rPr/>
        <w:t>Estate had 27.4%, and Royal Valley has 17.9%, while for four bedroom bungalows</w:t>
      </w:r>
      <w:r>
        <w:rPr>
          <w:spacing w:val="1"/>
        </w:rPr>
        <w:t> </w:t>
      </w:r>
      <w:r>
        <w:rPr/>
        <w:t>Harmony Estate</w:t>
      </w:r>
      <w:r>
        <w:rPr>
          <w:spacing w:val="1"/>
        </w:rPr>
        <w:t> </w:t>
      </w:r>
      <w:r>
        <w:rPr/>
        <w:t>had 16.7%, Mandate</w:t>
      </w:r>
      <w:r>
        <w:rPr>
          <w:spacing w:val="1"/>
        </w:rPr>
        <w:t> </w:t>
      </w:r>
      <w:r>
        <w:rPr/>
        <w:t>Estate had</w:t>
      </w:r>
      <w:r>
        <w:rPr>
          <w:spacing w:val="60"/>
        </w:rPr>
        <w:t> </w:t>
      </w:r>
      <w:r>
        <w:rPr/>
        <w:t>51.2%, Evergreen Estate had 15.5%</w:t>
      </w:r>
      <w:r>
        <w:rPr>
          <w:spacing w:val="1"/>
        </w:rPr>
        <w:t> </w:t>
      </w:r>
      <w:r>
        <w:rPr/>
        <w:t>and Royal Valley had 24.7%; and for five bedrooms and above Evergreen estate had</w:t>
      </w:r>
      <w:r>
        <w:rPr>
          <w:spacing w:val="1"/>
        </w:rPr>
        <w:t> </w:t>
      </w:r>
      <w:r>
        <w:rPr/>
        <w:t>51.4%</w:t>
      </w:r>
      <w:r>
        <w:rPr>
          <w:spacing w:val="-2"/>
        </w:rPr>
        <w:t> </w:t>
      </w:r>
      <w:r>
        <w:rPr/>
        <w:t>and Royal Valley</w:t>
      </w:r>
      <w:r>
        <w:rPr>
          <w:spacing w:val="-3"/>
        </w:rPr>
        <w:t> </w:t>
      </w:r>
      <w:r>
        <w:rPr/>
        <w:t>estate</w:t>
      </w:r>
      <w:r>
        <w:rPr>
          <w:spacing w:val="-1"/>
        </w:rPr>
        <w:t> </w:t>
      </w:r>
      <w:r>
        <w:rPr/>
        <w:t>48.6%.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/>
        <w:ind w:left="700" w:right="1037"/>
        <w:jc w:val="both"/>
      </w:pP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bedrooms</w:t>
      </w:r>
      <w:r>
        <w:rPr>
          <w:spacing w:val="1"/>
        </w:rPr>
        <w:t> </w:t>
      </w:r>
      <w:r>
        <w:rPr/>
        <w:t>apartment,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had38.4%,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bedrooms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30.5%,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bedrooms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21.95%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-57"/>
        </w:rPr>
        <w:t> </w:t>
      </w:r>
      <w:r>
        <w:rPr/>
        <w:t>bedrooms and above have 9.1%. It‟s clear that public estate has more of the housing</w:t>
      </w:r>
      <w:r>
        <w:rPr>
          <w:spacing w:val="1"/>
        </w:rPr>
        <w:t> </w:t>
      </w:r>
      <w:r>
        <w:rPr/>
        <w:t>types with two bedrooms at 32.05% and 43.5% respectively while private estate had few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two bedrooms at 12.9%</w:t>
      </w:r>
      <w:r>
        <w:rPr>
          <w:spacing w:val="-1"/>
        </w:rPr>
        <w:t> </w:t>
      </w:r>
      <w:r>
        <w:rPr/>
        <w:t>and 11.6%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jc w:val="both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Type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Housing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1567"/>
        <w:gridCol w:w="1623"/>
        <w:gridCol w:w="1441"/>
        <w:gridCol w:w="1370"/>
        <w:gridCol w:w="1491"/>
      </w:tblGrid>
      <w:tr>
        <w:trPr>
          <w:trHeight w:val="283" w:hRule="atLeast"/>
        </w:trPr>
        <w:tc>
          <w:tcPr>
            <w:tcW w:w="12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156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1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49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2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Bedroom</w:t>
            </w: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6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4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3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  <w:tc>
          <w:tcPr>
            <w:tcW w:w="13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4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12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Two</w:t>
            </w:r>
          </w:p>
        </w:tc>
        <w:tc>
          <w:tcPr>
            <w:tcW w:w="15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47(32.0%)</w:t>
            </w:r>
          </w:p>
        </w:tc>
        <w:tc>
          <w:tcPr>
            <w:tcW w:w="16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2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64(43.5%)</w:t>
            </w:r>
          </w:p>
        </w:tc>
        <w:tc>
          <w:tcPr>
            <w:tcW w:w="14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10(12.9%)</w:t>
            </w:r>
          </w:p>
        </w:tc>
        <w:tc>
          <w:tcPr>
            <w:tcW w:w="13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17(11.6%)</w:t>
            </w:r>
          </w:p>
        </w:tc>
        <w:tc>
          <w:tcPr>
            <w:tcW w:w="14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138(38.4%)</w:t>
            </w:r>
          </w:p>
        </w:tc>
      </w:tr>
      <w:tr>
        <w:trPr>
          <w:trHeight w:val="551" w:hRule="atLeast"/>
        </w:trPr>
        <w:tc>
          <w:tcPr>
            <w:tcW w:w="1270" w:type="dxa"/>
          </w:tcPr>
          <w:p>
            <w:pPr>
              <w:pStyle w:val="TableParagraph"/>
              <w:spacing w:before="129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Three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9"/>
              <w:ind w:left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21(17.9%)</w:t>
            </w:r>
          </w:p>
        </w:tc>
        <w:tc>
          <w:tcPr>
            <w:tcW w:w="1623" w:type="dxa"/>
          </w:tcPr>
          <w:p>
            <w:pPr>
              <w:pStyle w:val="TableParagraph"/>
              <w:spacing w:before="129"/>
              <w:ind w:left="2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43(36.8%)</w:t>
            </w:r>
          </w:p>
        </w:tc>
        <w:tc>
          <w:tcPr>
            <w:tcW w:w="1441" w:type="dxa"/>
          </w:tcPr>
          <w:p>
            <w:pPr>
              <w:pStyle w:val="TableParagraph"/>
              <w:spacing w:before="129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32(27.4%)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29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21(17.9%)</w:t>
            </w:r>
          </w:p>
        </w:tc>
        <w:tc>
          <w:tcPr>
            <w:tcW w:w="1491" w:type="dxa"/>
          </w:tcPr>
          <w:p>
            <w:pPr>
              <w:pStyle w:val="TableParagraph"/>
              <w:spacing w:before="134"/>
              <w:ind w:left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117(30.5%)</w:t>
            </w:r>
          </w:p>
        </w:tc>
      </w:tr>
      <w:tr>
        <w:trPr>
          <w:trHeight w:val="553" w:hRule="atLeast"/>
        </w:trPr>
        <w:tc>
          <w:tcPr>
            <w:tcW w:w="1270" w:type="dxa"/>
          </w:tcPr>
          <w:p>
            <w:pPr>
              <w:pStyle w:val="TableParagraph"/>
              <w:spacing w:before="131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Four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1"/>
              <w:ind w:left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(16.7%)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1"/>
              <w:ind w:left="2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43(51.2%)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1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13(15.5%)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1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23(24.7%)</w:t>
            </w:r>
          </w:p>
        </w:tc>
        <w:tc>
          <w:tcPr>
            <w:tcW w:w="1491" w:type="dxa"/>
          </w:tcPr>
          <w:p>
            <w:pPr>
              <w:pStyle w:val="TableParagraph"/>
              <w:spacing w:before="135"/>
              <w:ind w:left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93(21.9%)</w:t>
            </w:r>
          </w:p>
        </w:tc>
      </w:tr>
      <w:tr>
        <w:trPr>
          <w:trHeight w:val="415" w:hRule="atLeast"/>
        </w:trPr>
        <w:tc>
          <w:tcPr>
            <w:tcW w:w="1270" w:type="dxa"/>
          </w:tcPr>
          <w:p>
            <w:pPr>
              <w:pStyle w:val="TableParagraph"/>
              <w:spacing w:line="263" w:lineRule="exact" w:before="131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Five &amp;</w:t>
            </w:r>
          </w:p>
        </w:tc>
        <w:tc>
          <w:tcPr>
            <w:tcW w:w="1567" w:type="dxa"/>
          </w:tcPr>
          <w:p>
            <w:pPr>
              <w:pStyle w:val="TableParagraph"/>
              <w:spacing w:line="263" w:lineRule="exact" w:before="131"/>
              <w:ind w:left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0(0.0%)</w:t>
            </w:r>
          </w:p>
        </w:tc>
        <w:tc>
          <w:tcPr>
            <w:tcW w:w="1623" w:type="dxa"/>
          </w:tcPr>
          <w:p>
            <w:pPr>
              <w:pStyle w:val="TableParagraph"/>
              <w:spacing w:line="263" w:lineRule="exact" w:before="131"/>
              <w:ind w:left="2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0(0.0%)</w:t>
            </w:r>
          </w:p>
        </w:tc>
        <w:tc>
          <w:tcPr>
            <w:tcW w:w="1441" w:type="dxa"/>
          </w:tcPr>
          <w:p>
            <w:pPr>
              <w:pStyle w:val="TableParagraph"/>
              <w:spacing w:line="263" w:lineRule="exact" w:before="131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18(51.4%)</w:t>
            </w:r>
          </w:p>
        </w:tc>
        <w:tc>
          <w:tcPr>
            <w:tcW w:w="1370" w:type="dxa"/>
          </w:tcPr>
          <w:p>
            <w:pPr>
              <w:pStyle w:val="TableParagraph"/>
              <w:spacing w:line="263" w:lineRule="exact" w:before="131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17(48.6%)</w:t>
            </w:r>
          </w:p>
        </w:tc>
        <w:tc>
          <w:tcPr>
            <w:tcW w:w="1491" w:type="dxa"/>
          </w:tcPr>
          <w:p>
            <w:pPr>
              <w:pStyle w:val="TableParagraph"/>
              <w:spacing w:line="259" w:lineRule="exact" w:before="136"/>
              <w:ind w:left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35(9.1%)</w:t>
            </w:r>
          </w:p>
        </w:tc>
      </w:tr>
      <w:tr>
        <w:trPr>
          <w:trHeight w:val="276" w:hRule="atLeast"/>
        </w:trPr>
        <w:tc>
          <w:tcPr>
            <w:tcW w:w="1270" w:type="dxa"/>
          </w:tcPr>
          <w:p>
            <w:pPr>
              <w:pStyle w:val="TableParagraph"/>
              <w:spacing w:line="256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Above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12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82(21.4%)</w:t>
            </w:r>
          </w:p>
        </w:tc>
        <w:tc>
          <w:tcPr>
            <w:tcW w:w="16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150(39.2%)</w:t>
            </w: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73(21.4%)</w:t>
            </w:r>
          </w:p>
        </w:tc>
        <w:tc>
          <w:tcPr>
            <w:tcW w:w="13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78(18.0%)</w:t>
            </w:r>
          </w:p>
        </w:tc>
        <w:tc>
          <w:tcPr>
            <w:tcW w:w="14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383(100%)</w:t>
            </w:r>
          </w:p>
        </w:tc>
      </w:tr>
    </w:tbl>
    <w:p>
      <w:pPr>
        <w:spacing w:after="0" w:line="273" w:lineRule="exact"/>
        <w:rPr>
          <w:rFonts w:ascii="Times New Roman"/>
          <w:sz w:val="24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Conditions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houses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estates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8"/>
        </w:numPr>
        <w:tabs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walls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41"/>
        <w:jc w:val="both"/>
      </w:pPr>
      <w:r>
        <w:rPr/>
        <w:t>Available statistics from field survey shows the condition of the houses in the estates.</w:t>
      </w:r>
      <w:r>
        <w:rPr>
          <w:spacing w:val="1"/>
        </w:rPr>
        <w:t> </w:t>
      </w:r>
      <w:r>
        <w:rPr/>
        <w:t>Table 4.6 shows the general condition of wall in all the four estates, in the case of</w:t>
      </w:r>
      <w:r>
        <w:rPr>
          <w:spacing w:val="1"/>
        </w:rPr>
        <w:t> </w:t>
      </w:r>
      <w:r>
        <w:rPr/>
        <w:t>Harmony estate, 23.2% of the building wall condition were intact, a little above half</w:t>
      </w:r>
      <w:r>
        <w:rPr>
          <w:spacing w:val="1"/>
        </w:rPr>
        <w:t> </w:t>
      </w:r>
      <w:r>
        <w:rPr/>
        <w:t>(54.9%) were cracked while 21.9% of the walls were dilapidated. At Mandate estate</w:t>
      </w:r>
      <w:r>
        <w:rPr>
          <w:spacing w:val="1"/>
        </w:rPr>
        <w:t> </w:t>
      </w:r>
      <w:r>
        <w:rPr/>
        <w:t>34.7% of the building wall condition were intact, a little above half (56.0%) were</w:t>
      </w:r>
      <w:r>
        <w:rPr>
          <w:spacing w:val="1"/>
        </w:rPr>
        <w:t> </w:t>
      </w:r>
      <w:r>
        <w:rPr/>
        <w:t>cracked</w:t>
      </w:r>
      <w:r>
        <w:rPr>
          <w:spacing w:val="-1"/>
        </w:rPr>
        <w:t> </w:t>
      </w:r>
      <w:r>
        <w:rPr/>
        <w:t>while 9.3%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walls were</w:t>
      </w:r>
      <w:r>
        <w:rPr>
          <w:spacing w:val="-1"/>
        </w:rPr>
        <w:t> </w:t>
      </w:r>
      <w:r>
        <w:rPr/>
        <w:t>dilapidated.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At Royal Valley Estate (94.5%) of the building wall conditions were intact and only</w:t>
      </w:r>
      <w:r>
        <w:rPr>
          <w:spacing w:val="1"/>
        </w:rPr>
        <w:t> </w:t>
      </w:r>
      <w:r>
        <w:rPr/>
        <w:t>5.5% were cracked. At evergreen estate (93.6%) of the building wall conditions were</w:t>
      </w:r>
      <w:r>
        <w:rPr>
          <w:spacing w:val="1"/>
        </w:rPr>
        <w:t> </w:t>
      </w:r>
      <w:r>
        <w:rPr/>
        <w:t>intact and 6.4% were cracked. This shows that over 50% of the building in the private</w:t>
      </w:r>
      <w:r>
        <w:rPr>
          <w:spacing w:val="1"/>
        </w:rPr>
        <w:t> </w:t>
      </w:r>
      <w:r>
        <w:rPr/>
        <w:t>estates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study</w:t>
      </w:r>
      <w:r>
        <w:rPr>
          <w:spacing w:val="20"/>
        </w:rPr>
        <w:t> </w:t>
      </w:r>
      <w:r>
        <w:rPr/>
        <w:t>area</w:t>
      </w:r>
      <w:r>
        <w:rPr>
          <w:spacing w:val="28"/>
        </w:rPr>
        <w:t> </w:t>
      </w:r>
      <w:r>
        <w:rPr/>
        <w:t>still</w:t>
      </w:r>
      <w:r>
        <w:rPr>
          <w:spacing w:val="26"/>
        </w:rPr>
        <w:t> </w:t>
      </w:r>
      <w:r>
        <w:rPr/>
        <w:t>had</w:t>
      </w:r>
      <w:r>
        <w:rPr>
          <w:spacing w:val="27"/>
        </w:rPr>
        <w:t> </w:t>
      </w:r>
      <w:r>
        <w:rPr/>
        <w:t>their</w:t>
      </w:r>
      <w:r>
        <w:rPr>
          <w:spacing w:val="26"/>
        </w:rPr>
        <w:t> </w:t>
      </w:r>
      <w:r>
        <w:rPr/>
        <w:t>wall</w:t>
      </w:r>
      <w:r>
        <w:rPr>
          <w:spacing w:val="28"/>
        </w:rPr>
        <w:t> </w:t>
      </w:r>
      <w:r>
        <w:rPr/>
        <w:t>condition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good</w:t>
      </w:r>
      <w:r>
        <w:rPr>
          <w:spacing w:val="27"/>
        </w:rPr>
        <w:t> </w:t>
      </w:r>
      <w:r>
        <w:rPr/>
        <w:t>shape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intact,</w:t>
      </w:r>
      <w:r>
        <w:rPr>
          <w:spacing w:val="28"/>
        </w:rPr>
        <w:t> </w:t>
      </w:r>
      <w:r>
        <w:rPr/>
        <w:t>while</w:t>
      </w:r>
      <w:r>
        <w:rPr>
          <w:spacing w:val="-58"/>
        </w:rPr>
        <w:t> </w:t>
      </w:r>
      <w:r>
        <w:rPr/>
        <w:t>less than 50% of the buildings in public estates of the study area had their wall condition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shape.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conditions than public housing estates. Example of this can be seen in plate I, and plate</w:t>
      </w:r>
      <w:r>
        <w:rPr>
          <w:spacing w:val="1"/>
        </w:rPr>
        <w:t> </w:t>
      </w:r>
      <w:r>
        <w:rPr/>
        <w:t>II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after="45"/>
        <w:jc w:val="both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3"/>
        </w:rPr>
        <w:t> </w:t>
      </w:r>
      <w:r>
        <w:rPr/>
        <w:t>Walls Condition</w:t>
      </w: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1737"/>
        <w:gridCol w:w="1455"/>
        <w:gridCol w:w="1399"/>
        <w:gridCol w:w="3472"/>
      </w:tblGrid>
      <w:tr>
        <w:trPr>
          <w:trHeight w:val="279" w:hRule="atLeast"/>
        </w:trPr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9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1" w:type="dxa"/>
            <w:gridSpan w:val="2"/>
          </w:tcPr>
          <w:p>
            <w:pPr>
              <w:pStyle w:val="TableParagraph"/>
              <w:spacing w:line="259" w:lineRule="exact"/>
              <w:ind w:left="12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</w:tr>
      <w:tr>
        <w:trPr>
          <w:trHeight w:val="270" w:hRule="atLeast"/>
        </w:trPr>
        <w:tc>
          <w:tcPr>
            <w:tcW w:w="1482" w:type="dxa"/>
          </w:tcPr>
          <w:p>
            <w:pPr>
              <w:pStyle w:val="TableParagraph"/>
              <w:spacing w:line="250" w:lineRule="exact"/>
              <w:ind w:left="1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Walls</w:t>
            </w:r>
          </w:p>
        </w:tc>
        <w:tc>
          <w:tcPr>
            <w:tcW w:w="17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48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34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Condition</w:t>
            </w:r>
          </w:p>
        </w:tc>
        <w:tc>
          <w:tcPr>
            <w:tcW w:w="1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4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3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44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3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400" w:hRule="atLeast"/>
        </w:trPr>
        <w:tc>
          <w:tcPr>
            <w:tcW w:w="14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Intact</w:t>
            </w:r>
          </w:p>
        </w:tc>
        <w:tc>
          <w:tcPr>
            <w:tcW w:w="1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(23.2%)</w:t>
            </w:r>
          </w:p>
        </w:tc>
        <w:tc>
          <w:tcPr>
            <w:tcW w:w="14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52(34.7%)</w:t>
            </w:r>
          </w:p>
        </w:tc>
        <w:tc>
          <w:tcPr>
            <w:tcW w:w="13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2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69(94.5%)</w:t>
            </w:r>
          </w:p>
        </w:tc>
        <w:tc>
          <w:tcPr>
            <w:tcW w:w="3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73(93.6%)</w:t>
            </w:r>
          </w:p>
        </w:tc>
      </w:tr>
      <w:tr>
        <w:trPr>
          <w:trHeight w:val="548" w:hRule="atLeast"/>
        </w:trPr>
        <w:tc>
          <w:tcPr>
            <w:tcW w:w="1482" w:type="dxa"/>
          </w:tcPr>
          <w:p>
            <w:pPr>
              <w:pStyle w:val="TableParagraph"/>
              <w:spacing w:before="129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Cracked</w:t>
            </w:r>
          </w:p>
        </w:tc>
        <w:tc>
          <w:tcPr>
            <w:tcW w:w="1737" w:type="dxa"/>
          </w:tcPr>
          <w:p>
            <w:pPr>
              <w:pStyle w:val="TableParagraph"/>
              <w:spacing w:before="129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(54.9%)</w:t>
            </w:r>
          </w:p>
        </w:tc>
        <w:tc>
          <w:tcPr>
            <w:tcW w:w="1455" w:type="dxa"/>
          </w:tcPr>
          <w:p>
            <w:pPr>
              <w:pStyle w:val="TableParagraph"/>
              <w:spacing w:before="129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84(56.0%)</w:t>
            </w:r>
          </w:p>
        </w:tc>
        <w:tc>
          <w:tcPr>
            <w:tcW w:w="1399" w:type="dxa"/>
          </w:tcPr>
          <w:p>
            <w:pPr>
              <w:pStyle w:val="TableParagraph"/>
              <w:spacing w:before="129"/>
              <w:ind w:left="2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4(5.5%)</w:t>
            </w:r>
          </w:p>
        </w:tc>
        <w:tc>
          <w:tcPr>
            <w:tcW w:w="3472" w:type="dxa"/>
          </w:tcPr>
          <w:p>
            <w:pPr>
              <w:pStyle w:val="TableParagraph"/>
              <w:spacing w:before="129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5(6.4%)</w:t>
            </w:r>
          </w:p>
        </w:tc>
      </w:tr>
      <w:tr>
        <w:trPr>
          <w:trHeight w:val="556" w:hRule="atLeast"/>
        </w:trPr>
        <w:tc>
          <w:tcPr>
            <w:tcW w:w="1482" w:type="dxa"/>
          </w:tcPr>
          <w:p>
            <w:pPr>
              <w:pStyle w:val="TableParagraph"/>
              <w:spacing w:before="133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Dilapidated</w:t>
            </w:r>
          </w:p>
        </w:tc>
        <w:tc>
          <w:tcPr>
            <w:tcW w:w="1737" w:type="dxa"/>
          </w:tcPr>
          <w:p>
            <w:pPr>
              <w:pStyle w:val="TableParagraph"/>
              <w:spacing w:before="133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18(21.9%)</w:t>
            </w:r>
          </w:p>
        </w:tc>
        <w:tc>
          <w:tcPr>
            <w:tcW w:w="1455" w:type="dxa"/>
          </w:tcPr>
          <w:p>
            <w:pPr>
              <w:pStyle w:val="TableParagraph"/>
              <w:spacing w:before="133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14(9.3%)</w:t>
            </w:r>
          </w:p>
        </w:tc>
        <w:tc>
          <w:tcPr>
            <w:tcW w:w="1399" w:type="dxa"/>
          </w:tcPr>
          <w:p>
            <w:pPr>
              <w:pStyle w:val="TableParagraph"/>
              <w:spacing w:before="133"/>
              <w:ind w:left="2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0(0.0%)</w:t>
            </w:r>
          </w:p>
        </w:tc>
        <w:tc>
          <w:tcPr>
            <w:tcW w:w="3472" w:type="dxa"/>
          </w:tcPr>
          <w:p>
            <w:pPr>
              <w:pStyle w:val="TableParagraph"/>
              <w:spacing w:before="133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0(0.0%)</w:t>
            </w:r>
          </w:p>
        </w:tc>
      </w:tr>
      <w:tr>
        <w:trPr>
          <w:trHeight w:val="413" w:hRule="atLeast"/>
        </w:trPr>
        <w:tc>
          <w:tcPr>
            <w:tcW w:w="1482" w:type="dxa"/>
          </w:tcPr>
          <w:p>
            <w:pPr>
              <w:pStyle w:val="TableParagraph"/>
              <w:spacing w:line="256" w:lineRule="exact" w:before="137"/>
              <w:ind w:left="1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737" w:type="dxa"/>
          </w:tcPr>
          <w:p>
            <w:pPr>
              <w:pStyle w:val="TableParagraph"/>
              <w:spacing w:line="256" w:lineRule="exact" w:before="137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82(100%)</w:t>
            </w:r>
          </w:p>
        </w:tc>
        <w:tc>
          <w:tcPr>
            <w:tcW w:w="1455" w:type="dxa"/>
          </w:tcPr>
          <w:p>
            <w:pPr>
              <w:pStyle w:val="TableParagraph"/>
              <w:spacing w:line="256" w:lineRule="exact" w:before="137"/>
              <w:ind w:left="1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150(100%)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 w:before="137"/>
              <w:ind w:left="2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73(100%)</w:t>
            </w:r>
          </w:p>
        </w:tc>
        <w:tc>
          <w:tcPr>
            <w:tcW w:w="3472" w:type="dxa"/>
          </w:tcPr>
          <w:p>
            <w:pPr>
              <w:pStyle w:val="TableParagraph"/>
              <w:spacing w:line="256" w:lineRule="exact" w:before="137"/>
              <w:ind w:left="1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78(100%)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92.304001pt;margin-top:11.924184pt;width:408.8pt;height:1pt;mso-position-horizontal-relative:page;mso-position-vertical-relative:paragraph;z-index:-15724032;mso-wrap-distance-left:0;mso-wrap-distance-right:0" coordorigin="1846,238" coordsize="8176,20" path="m1884,238l1880,238,1865,238,1846,238,1846,258,1865,258,1880,258,1884,258,1884,238xm6565,238l6561,238,6546,238,5106,238,5101,238,5087,238,3365,238,3360,238,3346,238,1884,238,1884,258,3346,258,3360,258,3365,258,5087,258,5101,258,5106,258,6546,258,6561,258,6565,258,6565,238xm7945,238l7941,238,7926,238,6565,238,6565,258,7926,258,7941,258,7945,258,7945,238xm9787,238l9782,238,9768,238,7945,238,7945,258,9768,258,9782,258,9787,258,9787,238xm10022,238l9787,238,9787,258,10022,258,10022,23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BodyText"/>
        <w:ind w:left="801"/>
        <w:rPr>
          <w:sz w:val="20"/>
        </w:rPr>
      </w:pPr>
      <w:r>
        <w:rPr>
          <w:sz w:val="20"/>
        </w:rPr>
        <w:drawing>
          <wp:inline distT="0" distB="0" distL="0" distR="0">
            <wp:extent cx="4705761" cy="3543300"/>
            <wp:effectExtent l="0" t="0" r="0" b="0"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761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3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Cracked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Mandate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1283335</wp:posOffset>
            </wp:positionH>
            <wp:positionV relativeFrom="paragraph">
              <wp:posOffset>113463</wp:posOffset>
            </wp:positionV>
            <wp:extent cx="4844350" cy="3667125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3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8"/>
      </w:pPr>
      <w:r>
        <w:rPr/>
        <w:t>Plate</w:t>
      </w:r>
      <w:r>
        <w:rPr>
          <w:spacing w:val="-3"/>
        </w:rPr>
        <w:t> </w:t>
      </w:r>
      <w:r>
        <w:rPr/>
        <w:t>II: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wall</w:t>
      </w:r>
      <w:r>
        <w:rPr>
          <w:spacing w:val="-2"/>
        </w:rPr>
        <w:t> </w:t>
      </w:r>
      <w:r>
        <w:rPr/>
        <w:t>of a</w:t>
      </w:r>
      <w:r>
        <w:rPr>
          <w:spacing w:val="-5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Evergreen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estates</w:t>
      </w:r>
    </w:p>
    <w:p>
      <w:pPr>
        <w:spacing w:after="0"/>
        <w:sectPr>
          <w:pgSz w:w="11900" w:h="16840"/>
          <w:pgMar w:header="0" w:footer="1068" w:top="1500" w:bottom="1320" w:left="1280" w:right="360"/>
        </w:sectPr>
      </w:pPr>
    </w:p>
    <w:p>
      <w:pPr>
        <w:pStyle w:val="ListParagraph"/>
        <w:numPr>
          <w:ilvl w:val="3"/>
          <w:numId w:val="8"/>
        </w:numPr>
        <w:tabs>
          <w:tab w:pos="1421" w:val="left" w:leader="none"/>
        </w:tabs>
        <w:spacing w:line="240" w:lineRule="auto" w:before="72" w:after="0"/>
        <w:ind w:left="1420" w:right="0" w:hanging="721"/>
        <w:jc w:val="left"/>
        <w:rPr>
          <w:b/>
          <w:sz w:val="24"/>
        </w:rPr>
      </w:pPr>
      <w:r>
        <w:rPr>
          <w:b/>
          <w:sz w:val="24"/>
        </w:rPr>
        <w:t>Floor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condition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54"/>
        <w:jc w:val="both"/>
      </w:pPr>
      <w:r>
        <w:rPr/>
        <w:t>As shown in Table 4.7, floor conditions of houses in the study area were assessed</w:t>
      </w:r>
      <w:r>
        <w:rPr>
          <w:spacing w:val="1"/>
        </w:rPr>
        <w:t> </w:t>
      </w:r>
      <w:r>
        <w:rPr/>
        <w:t>through the assistance of the respondents. The findings show that at Harmony estate</w:t>
      </w:r>
      <w:r>
        <w:rPr>
          <w:spacing w:val="1"/>
        </w:rPr>
        <w:t> </w:t>
      </w:r>
      <w:r>
        <w:rPr/>
        <w:t>25.6% of the dwelling units floor condition were intact, 20.7% of the housing units floor</w:t>
      </w:r>
      <w:r>
        <w:rPr>
          <w:spacing w:val="-57"/>
        </w:rPr>
        <w:t> </w:t>
      </w:r>
      <w:r>
        <w:rPr/>
        <w:t>condition were intact in Mandate estates. However 68% of the floor conditions of the</w:t>
      </w:r>
      <w:r>
        <w:rPr>
          <w:spacing w:val="1"/>
        </w:rPr>
        <w:t> </w:t>
      </w:r>
      <w:r>
        <w:rPr/>
        <w:t>buildings in Harmony estate were cracked while 75.3% floor condition of Mandate</w:t>
      </w:r>
      <w:r>
        <w:rPr>
          <w:spacing w:val="1"/>
        </w:rPr>
        <w:t> </w:t>
      </w:r>
      <w:r>
        <w:rPr/>
        <w:t>estate were cracked, it was also recorded that 6.1% of the floor condition were eroded in</w:t>
      </w:r>
      <w:r>
        <w:rPr>
          <w:spacing w:val="-57"/>
        </w:rPr>
        <w:t> </w:t>
      </w:r>
      <w:r>
        <w:rPr/>
        <w:t>Harmony</w:t>
      </w:r>
      <w:r>
        <w:rPr>
          <w:spacing w:val="-6"/>
        </w:rPr>
        <w:t> </w:t>
      </w:r>
      <w:r>
        <w:rPr/>
        <w:t>estate</w:t>
      </w:r>
      <w:r>
        <w:rPr>
          <w:spacing w:val="1"/>
        </w:rPr>
        <w:t> </w:t>
      </w:r>
      <w:r>
        <w:rPr/>
        <w:t>and only</w:t>
      </w:r>
      <w:r>
        <w:rPr>
          <w:spacing w:val="-3"/>
        </w:rPr>
        <w:t> </w:t>
      </w:r>
      <w:r>
        <w:rPr/>
        <w:t>4%</w:t>
      </w:r>
      <w:r>
        <w:rPr>
          <w:spacing w:val="-1"/>
        </w:rPr>
        <w:t> </w:t>
      </w:r>
      <w:r>
        <w:rPr/>
        <w:t>was eroded in Mandate estate.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77" w:lineRule="auto"/>
        <w:ind w:left="700" w:right="1061"/>
        <w:jc w:val="both"/>
      </w:pPr>
      <w:r>
        <w:rPr/>
        <w:t>The results also shown that 94.5% of the dwelling units floor condition were intact in</w:t>
      </w:r>
      <w:r>
        <w:rPr>
          <w:spacing w:val="1"/>
        </w:rPr>
        <w:t> </w:t>
      </w:r>
      <w:r>
        <w:rPr/>
        <w:t>Royal Valley estate, 5.5% of the dwelling units floor condition were cracked in Royal</w:t>
      </w:r>
      <w:r>
        <w:rPr>
          <w:spacing w:val="1"/>
        </w:rPr>
        <w:t> </w:t>
      </w:r>
      <w:r>
        <w:rPr/>
        <w:t>Valley estate, while in Evergreen Estate 93.6% of the floor are intact, only 6.4% of the</w:t>
      </w:r>
      <w:r>
        <w:rPr>
          <w:spacing w:val="1"/>
        </w:rPr>
        <w:t> </w:t>
      </w:r>
      <w:r>
        <w:rPr/>
        <w:t>floor were cracked. None of the housing units floor condition was eroded which means</w:t>
      </w:r>
      <w:r>
        <w:rPr>
          <w:spacing w:val="1"/>
        </w:rPr>
        <w:t> </w:t>
      </w:r>
      <w:r>
        <w:rPr/>
        <w:t>that a private housing estate has a good number of dwelling units with good floor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than public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estate.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spacing w:after="46"/>
        <w:jc w:val="both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3"/>
        </w:rPr>
        <w:t> </w:t>
      </w:r>
      <w:r>
        <w:rPr/>
        <w:t>Floor</w:t>
      </w:r>
      <w:r>
        <w:rPr>
          <w:spacing w:val="-1"/>
        </w:rPr>
        <w:t> </w:t>
      </w:r>
      <w:r>
        <w:rPr/>
        <w:t>Condition</w:t>
      </w: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1319"/>
        <w:gridCol w:w="1529"/>
        <w:gridCol w:w="1410"/>
        <w:gridCol w:w="1522"/>
      </w:tblGrid>
      <w:tr>
        <w:trPr>
          <w:trHeight w:val="376" w:hRule="atLeast"/>
        </w:trPr>
        <w:tc>
          <w:tcPr>
            <w:tcW w:w="428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97"/>
              <w:ind w:left="24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</w:p>
        </w:tc>
        <w:tc>
          <w:tcPr>
            <w:tcW w:w="2932" w:type="dxa"/>
            <w:gridSpan w:val="2"/>
          </w:tcPr>
          <w:p>
            <w:pPr>
              <w:pStyle w:val="TableParagraph"/>
              <w:spacing w:line="259" w:lineRule="exact" w:before="97"/>
              <w:ind w:left="8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</w:tr>
      <w:tr>
        <w:trPr>
          <w:trHeight w:val="266" w:hRule="atLeast"/>
        </w:trPr>
        <w:tc>
          <w:tcPr>
            <w:tcW w:w="1438" w:type="dxa"/>
          </w:tcPr>
          <w:p>
            <w:pPr>
              <w:pStyle w:val="TableParagraph"/>
              <w:spacing w:line="247" w:lineRule="exact"/>
              <w:ind w:left="1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Floor</w:t>
            </w:r>
          </w:p>
        </w:tc>
        <w:tc>
          <w:tcPr>
            <w:tcW w:w="131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/>
              <w:ind w:left="4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5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14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Condition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5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4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5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397" w:hRule="atLeast"/>
        </w:trPr>
        <w:tc>
          <w:tcPr>
            <w:tcW w:w="14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Intact</w:t>
            </w:r>
          </w:p>
        </w:tc>
        <w:tc>
          <w:tcPr>
            <w:tcW w:w="13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21(25.6%)</w:t>
            </w:r>
          </w:p>
        </w:tc>
        <w:tc>
          <w:tcPr>
            <w:tcW w:w="15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31(20.7%)</w:t>
            </w:r>
          </w:p>
        </w:tc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69(94.5%)</w:t>
            </w:r>
          </w:p>
        </w:tc>
        <w:tc>
          <w:tcPr>
            <w:tcW w:w="15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73(93.6%)</w:t>
            </w:r>
          </w:p>
        </w:tc>
      </w:tr>
      <w:tr>
        <w:trPr>
          <w:trHeight w:val="548" w:hRule="atLeast"/>
        </w:trPr>
        <w:tc>
          <w:tcPr>
            <w:tcW w:w="1438" w:type="dxa"/>
          </w:tcPr>
          <w:p>
            <w:pPr>
              <w:pStyle w:val="TableParagraph"/>
              <w:spacing w:before="129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Cracked</w:t>
            </w:r>
          </w:p>
        </w:tc>
        <w:tc>
          <w:tcPr>
            <w:tcW w:w="1319" w:type="dxa"/>
          </w:tcPr>
          <w:p>
            <w:pPr>
              <w:pStyle w:val="TableParagraph"/>
              <w:spacing w:before="129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56(68.3%)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9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113(75.3%)</w:t>
            </w:r>
          </w:p>
        </w:tc>
        <w:tc>
          <w:tcPr>
            <w:tcW w:w="1410" w:type="dxa"/>
          </w:tcPr>
          <w:p>
            <w:pPr>
              <w:pStyle w:val="TableParagraph"/>
              <w:spacing w:before="129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4(5.5%)</w:t>
            </w:r>
          </w:p>
        </w:tc>
        <w:tc>
          <w:tcPr>
            <w:tcW w:w="1522" w:type="dxa"/>
          </w:tcPr>
          <w:p>
            <w:pPr>
              <w:pStyle w:val="TableParagraph"/>
              <w:spacing w:before="129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5(6.4%)</w:t>
            </w:r>
          </w:p>
        </w:tc>
      </w:tr>
      <w:tr>
        <w:trPr>
          <w:trHeight w:val="557" w:hRule="atLeast"/>
        </w:trPr>
        <w:tc>
          <w:tcPr>
            <w:tcW w:w="1438" w:type="dxa"/>
          </w:tcPr>
          <w:p>
            <w:pPr>
              <w:pStyle w:val="TableParagraph"/>
              <w:spacing w:before="133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Eroded</w:t>
            </w:r>
          </w:p>
        </w:tc>
        <w:tc>
          <w:tcPr>
            <w:tcW w:w="1319" w:type="dxa"/>
          </w:tcPr>
          <w:p>
            <w:pPr>
              <w:pStyle w:val="TableParagraph"/>
              <w:spacing w:before="133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5(6.1%)</w:t>
            </w:r>
          </w:p>
        </w:tc>
        <w:tc>
          <w:tcPr>
            <w:tcW w:w="1529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6(4%)</w:t>
            </w:r>
          </w:p>
        </w:tc>
        <w:tc>
          <w:tcPr>
            <w:tcW w:w="1410" w:type="dxa"/>
          </w:tcPr>
          <w:p>
            <w:pPr>
              <w:pStyle w:val="TableParagraph"/>
              <w:spacing w:before="133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0(0%)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0(0%)</w:t>
            </w:r>
          </w:p>
        </w:tc>
      </w:tr>
      <w:tr>
        <w:trPr>
          <w:trHeight w:val="697" w:hRule="atLeast"/>
        </w:trPr>
        <w:tc>
          <w:tcPr>
            <w:tcW w:w="14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1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82(100%)</w:t>
            </w:r>
          </w:p>
        </w:tc>
        <w:tc>
          <w:tcPr>
            <w:tcW w:w="15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150(100%)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1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73(100%)</w:t>
            </w:r>
          </w:p>
        </w:tc>
        <w:tc>
          <w:tcPr>
            <w:tcW w:w="15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2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78(100%)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ListParagraph"/>
        <w:numPr>
          <w:ilvl w:val="3"/>
          <w:numId w:val="8"/>
        </w:numPr>
        <w:tabs>
          <w:tab w:pos="1421" w:val="left" w:leader="none"/>
        </w:tabs>
        <w:spacing w:line="240" w:lineRule="auto" w:before="72" w:after="0"/>
        <w:ind w:left="1420" w:right="0" w:hanging="721"/>
        <w:jc w:val="left"/>
        <w:rPr>
          <w:b/>
          <w:sz w:val="24"/>
        </w:rPr>
      </w:pPr>
      <w:r>
        <w:rPr>
          <w:b/>
          <w:sz w:val="24"/>
        </w:rPr>
        <w:t>Roof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condition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The condition of the roofing condition of the houses in the study area was gauged</w:t>
      </w:r>
      <w:r>
        <w:rPr>
          <w:spacing w:val="1"/>
        </w:rPr>
        <w:t> </w:t>
      </w:r>
      <w:r>
        <w:rPr/>
        <w:t>through the help of the results from the field. Table 4.8show that 35.4% of building roof</w:t>
      </w:r>
      <w:r>
        <w:rPr>
          <w:spacing w:val="-57"/>
        </w:rPr>
        <w:t> </w:t>
      </w:r>
      <w:r>
        <w:rPr/>
        <w:t>of the housing units in Harmony estate were intact.</w:t>
      </w:r>
      <w:r>
        <w:rPr>
          <w:spacing w:val="1"/>
        </w:rPr>
        <w:t> </w:t>
      </w:r>
      <w:r>
        <w:rPr/>
        <w:t>Little</w:t>
      </w:r>
      <w:r>
        <w:rPr>
          <w:spacing w:val="60"/>
        </w:rPr>
        <w:t> </w:t>
      </w:r>
      <w:r>
        <w:rPr/>
        <w:t>above 50% (57.3%) of the</w:t>
      </w:r>
      <w:r>
        <w:rPr>
          <w:spacing w:val="1"/>
        </w:rPr>
        <w:t> </w:t>
      </w:r>
      <w:r>
        <w:rPr/>
        <w:t>roof condition of houses in Harmony estate were rusted, 7.3% of the buildings had their</w:t>
      </w:r>
      <w:r>
        <w:rPr>
          <w:spacing w:val="1"/>
        </w:rPr>
        <w:t> </w:t>
      </w:r>
      <w:r>
        <w:rPr/>
        <w:t>roofs</w:t>
      </w:r>
      <w:r>
        <w:rPr>
          <w:spacing w:val="1"/>
        </w:rPr>
        <w:t> </w:t>
      </w:r>
      <w:r>
        <w:rPr/>
        <w:t>removed by wind.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 that at Mandate estate 22.7% of roofs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intact, 77.3% of the roofs were rusted and none of the roofs were removed or part</w:t>
      </w:r>
      <w:r>
        <w:rPr>
          <w:spacing w:val="1"/>
        </w:rPr>
        <w:t> </w:t>
      </w:r>
      <w:r>
        <w:rPr/>
        <w:t>missing.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7" w:lineRule="auto" w:before="1"/>
        <w:ind w:left="700" w:right="1059"/>
        <w:jc w:val="both"/>
      </w:pPr>
      <w:r>
        <w:rPr/>
        <w:t>It was also noted during the survey that in Royal Valley estate 71.2% of the roofs were</w:t>
      </w:r>
      <w:r>
        <w:rPr>
          <w:spacing w:val="1"/>
        </w:rPr>
        <w:t> </w:t>
      </w:r>
      <w:r>
        <w:rPr/>
        <w:t>intact, only28.8% were rusted and none of the roofs were removed, at Evergreen estate,</w:t>
      </w:r>
      <w:r>
        <w:rPr>
          <w:spacing w:val="1"/>
        </w:rPr>
        <w:t> </w:t>
      </w:r>
      <w:r>
        <w:rPr/>
        <w:t>71.8% of the buildings has their roofs intact, only 28.2% of the roofs were rusted and</w:t>
      </w:r>
      <w:r>
        <w:rPr>
          <w:spacing w:val="1"/>
        </w:rPr>
        <w:t> </w:t>
      </w:r>
      <w:r>
        <w:rPr/>
        <w:t>none of the roofs were removed. Therefore it can be deduced that the roofing condition</w:t>
      </w:r>
      <w:r>
        <w:rPr>
          <w:spacing w:val="1"/>
        </w:rPr>
        <w:t> </w:t>
      </w:r>
      <w:r>
        <w:rPr/>
        <w:t>of the houses in private estates has more of intact roofs and less of rusted roofs than</w:t>
      </w:r>
      <w:r>
        <w:rPr>
          <w:spacing w:val="1"/>
        </w:rPr>
        <w:t> </w:t>
      </w:r>
      <w:r>
        <w:rPr/>
        <w:t>public estates, Plate III and IV shows the condition of some of the roofs for both the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estates.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1302388</wp:posOffset>
            </wp:positionH>
            <wp:positionV relativeFrom="paragraph">
              <wp:posOffset>210479</wp:posOffset>
            </wp:positionV>
            <wp:extent cx="3704193" cy="2824162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193" cy="282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"/>
        <w:jc w:val="both"/>
      </w:pPr>
      <w:r>
        <w:rPr/>
        <w:t>Plate</w:t>
      </w:r>
      <w:r>
        <w:rPr>
          <w:spacing w:val="-2"/>
        </w:rPr>
        <w:t> </w:t>
      </w:r>
      <w:r>
        <w:rPr/>
        <w:t>III: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roofs missing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Mandate</w:t>
      </w:r>
      <w:r>
        <w:rPr>
          <w:spacing w:val="-3"/>
        </w:rPr>
        <w:t> </w:t>
      </w:r>
      <w:r>
        <w:rPr/>
        <w:t>estate</w:t>
      </w:r>
    </w:p>
    <w:p>
      <w:pPr>
        <w:spacing w:after="0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BodyText"/>
        <w:ind w:left="801"/>
        <w:rPr>
          <w:sz w:val="20"/>
        </w:rPr>
      </w:pPr>
      <w:r>
        <w:rPr>
          <w:sz w:val="20"/>
        </w:rPr>
        <w:drawing>
          <wp:inline distT="0" distB="0" distL="0" distR="0">
            <wp:extent cx="5090053" cy="3838575"/>
            <wp:effectExtent l="0" t="0" r="0" b="0"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5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6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roof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Royal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valley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3" w:after="49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2"/>
        </w:rPr>
        <w:t> </w:t>
      </w:r>
      <w:r>
        <w:rPr/>
        <w:t>Roof</w:t>
      </w:r>
      <w:r>
        <w:rPr>
          <w:spacing w:val="-1"/>
        </w:rPr>
        <w:t> </w:t>
      </w:r>
      <w:r>
        <w:rPr/>
        <w:t>Condition</w:t>
      </w: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360"/>
        <w:gridCol w:w="1590"/>
        <w:gridCol w:w="1657"/>
        <w:gridCol w:w="1433"/>
      </w:tblGrid>
      <w:tr>
        <w:trPr>
          <w:trHeight w:val="458" w:hRule="atLeast"/>
        </w:trPr>
        <w:tc>
          <w:tcPr>
            <w:tcW w:w="452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179"/>
              <w:ind w:left="277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79"/>
              <w:ind w:left="1211" w:right="109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</w:tr>
      <w:tr>
        <w:trPr>
          <w:trHeight w:val="271" w:hRule="atLeast"/>
        </w:trPr>
        <w:tc>
          <w:tcPr>
            <w:tcW w:w="1577" w:type="dxa"/>
          </w:tcPr>
          <w:p>
            <w:pPr>
              <w:pStyle w:val="TableParagraph"/>
              <w:spacing w:line="251" w:lineRule="exact"/>
              <w:ind w:left="1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Roof</w:t>
            </w:r>
          </w:p>
        </w:tc>
        <w:tc>
          <w:tcPr>
            <w:tcW w:w="13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Condition</w:t>
            </w:r>
          </w:p>
        </w:tc>
        <w:tc>
          <w:tcPr>
            <w:tcW w:w="13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5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3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396" w:hRule="atLeast"/>
        </w:trPr>
        <w:tc>
          <w:tcPr>
            <w:tcW w:w="15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Intact</w:t>
            </w:r>
          </w:p>
        </w:tc>
        <w:tc>
          <w:tcPr>
            <w:tcW w:w="13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29(35.4%)</w:t>
            </w:r>
          </w:p>
        </w:tc>
        <w:tc>
          <w:tcPr>
            <w:tcW w:w="15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2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34(22.7%)</w:t>
            </w:r>
          </w:p>
        </w:tc>
        <w:tc>
          <w:tcPr>
            <w:tcW w:w="16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2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52(71.2%)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56(71.8%)</w:t>
            </w:r>
          </w:p>
        </w:tc>
      </w:tr>
      <w:tr>
        <w:trPr>
          <w:trHeight w:val="547" w:hRule="atLeast"/>
        </w:trPr>
        <w:tc>
          <w:tcPr>
            <w:tcW w:w="1577" w:type="dxa"/>
          </w:tcPr>
          <w:p>
            <w:pPr>
              <w:pStyle w:val="TableParagraph"/>
              <w:spacing w:before="128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Rusted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8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47(57.3%)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8"/>
              <w:ind w:left="2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116(77.3%)</w:t>
            </w:r>
          </w:p>
        </w:tc>
        <w:tc>
          <w:tcPr>
            <w:tcW w:w="1657" w:type="dxa"/>
          </w:tcPr>
          <w:p>
            <w:pPr>
              <w:pStyle w:val="TableParagraph"/>
              <w:spacing w:before="128"/>
              <w:ind w:left="2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21(28.8%)</w:t>
            </w:r>
          </w:p>
        </w:tc>
        <w:tc>
          <w:tcPr>
            <w:tcW w:w="1433" w:type="dxa"/>
          </w:tcPr>
          <w:p>
            <w:pPr>
              <w:pStyle w:val="TableParagraph"/>
              <w:spacing w:before="128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22(28.2%)</w:t>
            </w:r>
          </w:p>
        </w:tc>
      </w:tr>
      <w:tr>
        <w:trPr>
          <w:trHeight w:val="608" w:hRule="atLeast"/>
        </w:trPr>
        <w:tc>
          <w:tcPr>
            <w:tcW w:w="1577" w:type="dxa"/>
          </w:tcPr>
          <w:p>
            <w:pPr>
              <w:pStyle w:val="TableParagraph"/>
              <w:spacing w:before="133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Missing</w:t>
            </w:r>
          </w:p>
        </w:tc>
        <w:tc>
          <w:tcPr>
            <w:tcW w:w="1360" w:type="dxa"/>
          </w:tcPr>
          <w:p>
            <w:pPr>
              <w:pStyle w:val="TableParagraph"/>
              <w:spacing w:before="13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6(7.3%)</w:t>
            </w:r>
          </w:p>
        </w:tc>
        <w:tc>
          <w:tcPr>
            <w:tcW w:w="1590" w:type="dxa"/>
          </w:tcPr>
          <w:p>
            <w:pPr>
              <w:pStyle w:val="TableParagraph"/>
              <w:spacing w:before="133"/>
              <w:ind w:left="2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1657" w:type="dxa"/>
          </w:tcPr>
          <w:p>
            <w:pPr>
              <w:pStyle w:val="TableParagraph"/>
              <w:spacing w:before="133"/>
              <w:ind w:left="2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0(0%)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0(0%)</w:t>
            </w:r>
          </w:p>
        </w:tc>
      </w:tr>
      <w:tr>
        <w:trPr>
          <w:trHeight w:val="748" w:hRule="atLeast"/>
        </w:trPr>
        <w:tc>
          <w:tcPr>
            <w:tcW w:w="15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89"/>
              <w:ind w:left="1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3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89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82(100%)</w:t>
            </w:r>
          </w:p>
        </w:tc>
        <w:tc>
          <w:tcPr>
            <w:tcW w:w="15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89"/>
              <w:ind w:left="2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150(100%)</w:t>
            </w: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89"/>
              <w:ind w:left="23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73(100%)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89"/>
              <w:ind w:left="1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78(100%)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3"/>
          <w:numId w:val="8"/>
        </w:numPr>
        <w:tabs>
          <w:tab w:pos="1421" w:val="left" w:leader="none"/>
        </w:tabs>
        <w:spacing w:line="240" w:lineRule="auto" w:before="0" w:after="0"/>
        <w:ind w:left="1420" w:right="0" w:hanging="721"/>
        <w:jc w:val="left"/>
        <w:rPr>
          <w:b/>
          <w:sz w:val="24"/>
        </w:rPr>
      </w:pPr>
      <w:r>
        <w:rPr>
          <w:b/>
          <w:sz w:val="24"/>
        </w:rPr>
        <w:t>Condition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doors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2" w:lineRule="auto" w:before="1"/>
        <w:ind w:left="700" w:right="1036"/>
        <w:jc w:val="both"/>
      </w:pPr>
      <w:r>
        <w:rPr/>
        <w:t>Table 4.9 reveals the condition of doors in both public and private estates. At Harmony</w:t>
      </w:r>
      <w:r>
        <w:rPr>
          <w:spacing w:val="1"/>
        </w:rPr>
        <w:t> </w:t>
      </w:r>
      <w:r>
        <w:rPr/>
        <w:t>estate, intact doors were 92.7%, 7.3% were broken. At Mandate estate, 78.7% of the</w:t>
      </w:r>
      <w:r>
        <w:rPr>
          <w:spacing w:val="1"/>
        </w:rPr>
        <w:t> </w:t>
      </w:r>
      <w:r>
        <w:rPr/>
        <w:t>estate</w:t>
      </w:r>
      <w:r>
        <w:rPr>
          <w:spacing w:val="-2"/>
        </w:rPr>
        <w:t> </w:t>
      </w:r>
      <w:r>
        <w:rPr/>
        <w:t>has their doors intact, 21.3% of</w:t>
      </w:r>
      <w:r>
        <w:rPr>
          <w:spacing w:val="-1"/>
        </w:rPr>
        <w:t> </w:t>
      </w:r>
      <w:r>
        <w:rPr/>
        <w:t>the doors were</w:t>
      </w:r>
      <w:r>
        <w:rPr>
          <w:spacing w:val="-2"/>
        </w:rPr>
        <w:t> </w:t>
      </w:r>
      <w:r>
        <w:rPr/>
        <w:t>broken.</w:t>
      </w:r>
    </w:p>
    <w:p>
      <w:pPr>
        <w:spacing w:after="0" w:line="472" w:lineRule="auto"/>
        <w:jc w:val="both"/>
        <w:sectPr>
          <w:pgSz w:w="11900" w:h="16840"/>
          <w:pgMar w:header="0" w:footer="1068" w:top="1500" w:bottom="1300" w:left="1280" w:right="360"/>
        </w:sectPr>
      </w:pPr>
    </w:p>
    <w:p>
      <w:pPr>
        <w:pStyle w:val="BodyText"/>
        <w:spacing w:line="477" w:lineRule="auto" w:before="90"/>
        <w:ind w:left="700" w:right="1057"/>
        <w:jc w:val="both"/>
      </w:pPr>
      <w:r>
        <w:rPr/>
        <w:t>The findings also reveals that at Royal Valley, 94.5% of the doors were intact and only</w:t>
      </w:r>
      <w:r>
        <w:rPr>
          <w:spacing w:val="1"/>
        </w:rPr>
        <w:t> </w:t>
      </w:r>
      <w:r>
        <w:rPr/>
        <w:t>5.5% of the doors were broken not fully functional, while at Evergreen estate 93.6% of</w:t>
      </w:r>
      <w:r>
        <w:rPr>
          <w:spacing w:val="1"/>
        </w:rPr>
        <w:t> </w:t>
      </w:r>
      <w:r>
        <w:rPr/>
        <w:t>the housing units has their doors intact, only 6.4% of the housing units has their doors to</w:t>
      </w:r>
      <w:r>
        <w:rPr>
          <w:spacing w:val="-57"/>
        </w:rPr>
        <w:t> </w:t>
      </w:r>
      <w:r>
        <w:rPr/>
        <w:t>be broken or not fully functional. This infers that majority of the housing units in both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 and private</w:t>
      </w:r>
      <w:r>
        <w:rPr>
          <w:spacing w:val="1"/>
        </w:rPr>
        <w:t> </w:t>
      </w:r>
      <w:r>
        <w:rPr/>
        <w:t>estate</w:t>
      </w:r>
      <w:r>
        <w:rPr>
          <w:spacing w:val="-1"/>
        </w:rPr>
        <w:t> </w:t>
      </w:r>
      <w:r>
        <w:rPr/>
        <w:t>has their doors intact.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after="46"/>
        <w:jc w:val="both"/>
      </w:pPr>
      <w:r>
        <w:rPr/>
        <w:t>Table</w:t>
      </w:r>
      <w:r>
        <w:rPr>
          <w:spacing w:val="-1"/>
        </w:rPr>
        <w:t> </w:t>
      </w:r>
      <w:r>
        <w:rPr/>
        <w:t>4.9:</w:t>
      </w:r>
      <w:r>
        <w:rPr>
          <w:spacing w:val="-3"/>
        </w:rPr>
        <w:t> </w:t>
      </w:r>
      <w:r>
        <w:rPr/>
        <w:t>Condition of</w:t>
      </w:r>
      <w:r>
        <w:rPr>
          <w:spacing w:val="-2"/>
        </w:rPr>
        <w:t> </w:t>
      </w:r>
      <w:r>
        <w:rPr/>
        <w:t>doors</w:t>
      </w:r>
    </w:p>
    <w:tbl>
      <w:tblPr>
        <w:tblW w:w="0" w:type="auto"/>
        <w:jc w:val="left"/>
        <w:tblInd w:w="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260"/>
        <w:gridCol w:w="1409"/>
        <w:gridCol w:w="1279"/>
        <w:gridCol w:w="1386"/>
      </w:tblGrid>
      <w:tr>
        <w:trPr>
          <w:trHeight w:val="298" w:hRule="atLeast"/>
        </w:trPr>
        <w:tc>
          <w:tcPr>
            <w:tcW w:w="447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18"/>
              <w:ind w:left="28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8"/>
              <w:ind w:left="931" w:right="9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</w:tr>
      <w:tr>
        <w:trPr>
          <w:trHeight w:val="267" w:hRule="atLeast"/>
        </w:trPr>
        <w:tc>
          <w:tcPr>
            <w:tcW w:w="1807" w:type="dxa"/>
          </w:tcPr>
          <w:p>
            <w:pPr>
              <w:pStyle w:val="TableParagraph"/>
              <w:spacing w:line="248" w:lineRule="exact"/>
              <w:ind w:left="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Condition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38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6" w:hRule="atLeast"/>
        </w:trPr>
        <w:tc>
          <w:tcPr>
            <w:tcW w:w="18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Doors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4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3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3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461" w:hRule="atLeast"/>
        </w:trPr>
        <w:tc>
          <w:tcPr>
            <w:tcW w:w="18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1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Intact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76(92.7%)</w:t>
            </w:r>
          </w:p>
        </w:tc>
        <w:tc>
          <w:tcPr>
            <w:tcW w:w="14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118(78.7%)</w:t>
            </w:r>
          </w:p>
        </w:tc>
        <w:tc>
          <w:tcPr>
            <w:tcW w:w="1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69(94.5%)</w:t>
            </w:r>
          </w:p>
        </w:tc>
        <w:tc>
          <w:tcPr>
            <w:tcW w:w="13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73(93.6%)</w:t>
            </w:r>
          </w:p>
        </w:tc>
      </w:tr>
      <w:tr>
        <w:trPr>
          <w:trHeight w:val="488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Broken</w:t>
            </w:r>
          </w:p>
        </w:tc>
        <w:tc>
          <w:tcPr>
            <w:tcW w:w="1260" w:type="dxa"/>
          </w:tcPr>
          <w:p>
            <w:pPr>
              <w:pStyle w:val="TableParagraph"/>
              <w:spacing w:before="63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6(7.3%)</w:t>
            </w:r>
          </w:p>
        </w:tc>
        <w:tc>
          <w:tcPr>
            <w:tcW w:w="1409" w:type="dxa"/>
          </w:tcPr>
          <w:p>
            <w:pPr>
              <w:pStyle w:val="TableParagraph"/>
              <w:spacing w:before="63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32(21.3%)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4(5.5%)</w:t>
            </w:r>
          </w:p>
        </w:tc>
        <w:tc>
          <w:tcPr>
            <w:tcW w:w="1386" w:type="dxa"/>
          </w:tcPr>
          <w:p>
            <w:pPr>
              <w:pStyle w:val="TableParagraph"/>
              <w:spacing w:before="63"/>
              <w:ind w:left="1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5(6.4%)</w:t>
            </w:r>
          </w:p>
        </w:tc>
      </w:tr>
      <w:tr>
        <w:trPr>
          <w:trHeight w:val="700" w:hRule="atLeast"/>
        </w:trPr>
        <w:tc>
          <w:tcPr>
            <w:tcW w:w="18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9"/>
              <w:ind w:left="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9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82(100%)</w:t>
            </w:r>
          </w:p>
        </w:tc>
        <w:tc>
          <w:tcPr>
            <w:tcW w:w="14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9"/>
              <w:ind w:left="1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150(100%)</w:t>
            </w:r>
          </w:p>
        </w:tc>
        <w:tc>
          <w:tcPr>
            <w:tcW w:w="1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9"/>
              <w:ind w:left="1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73(100%)</w:t>
            </w:r>
          </w:p>
        </w:tc>
        <w:tc>
          <w:tcPr>
            <w:tcW w:w="13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9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78(100%)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3"/>
          <w:numId w:val="8"/>
        </w:numPr>
        <w:tabs>
          <w:tab w:pos="1421" w:val="left" w:leader="none"/>
        </w:tabs>
        <w:spacing w:line="240" w:lineRule="auto" w:before="0" w:after="0"/>
        <w:ind w:left="1420" w:right="0" w:hanging="721"/>
        <w:jc w:val="left"/>
        <w:rPr>
          <w:b/>
          <w:sz w:val="24"/>
        </w:rPr>
      </w:pPr>
      <w:r>
        <w:rPr>
          <w:b/>
          <w:sz w:val="24"/>
        </w:rPr>
        <w:t>Condition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windows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56"/>
        <w:jc w:val="both"/>
      </w:pPr>
      <w:r>
        <w:rPr/>
        <w:t>Table</w:t>
      </w:r>
      <w:r>
        <w:rPr>
          <w:spacing w:val="27"/>
        </w:rPr>
        <w:t> </w:t>
      </w:r>
      <w:r>
        <w:rPr/>
        <w:t>4.10</w:t>
      </w:r>
      <w:r>
        <w:rPr>
          <w:spacing w:val="28"/>
        </w:rPr>
        <w:t> </w:t>
      </w:r>
      <w:r>
        <w:rPr/>
        <w:t>shows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condition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windows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both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public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private</w:t>
      </w:r>
      <w:r>
        <w:rPr>
          <w:spacing w:val="28"/>
        </w:rPr>
        <w:t> </w:t>
      </w:r>
      <w:r>
        <w:rPr/>
        <w:t>estate.</w:t>
      </w:r>
      <w:r>
        <w:rPr>
          <w:spacing w:val="-57"/>
        </w:rPr>
        <w:t> </w:t>
      </w:r>
      <w:r>
        <w:rPr/>
        <w:t>The housing units in Harmony estate has 97.6% of the windows intact, 2.4% of the</w:t>
      </w:r>
      <w:r>
        <w:rPr>
          <w:spacing w:val="1"/>
        </w:rPr>
        <w:t> </w:t>
      </w:r>
      <w:r>
        <w:rPr/>
        <w:t>windows in</w:t>
      </w:r>
      <w:r>
        <w:rPr>
          <w:spacing w:val="1"/>
        </w:rPr>
        <w:t> </w:t>
      </w:r>
      <w:r>
        <w:rPr/>
        <w:t>harmony estate removed. 74%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windows in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estate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intact and 26% of the windows in the estate were removed. At Royal Valley estate,</w:t>
      </w:r>
      <w:r>
        <w:rPr>
          <w:spacing w:val="1"/>
        </w:rPr>
        <w:t> </w:t>
      </w:r>
      <w:r>
        <w:rPr/>
        <w:t>94.5%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removed.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Evergreen estate, 93.6% of the windows were intact and 6.4% of the windows were</w:t>
      </w:r>
      <w:r>
        <w:rPr>
          <w:spacing w:val="1"/>
        </w:rPr>
        <w:t> </w:t>
      </w:r>
      <w:r>
        <w:rPr/>
        <w:t>removed. This implies that majority of the houses in both the public and private estate</w:t>
      </w:r>
      <w:r>
        <w:rPr>
          <w:spacing w:val="1"/>
        </w:rPr>
        <w:t> </w:t>
      </w:r>
      <w:r>
        <w:rPr/>
        <w:t>has their windows intact. Plate V and VI shows the conditions of the windows in both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 and private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estates.</w:t>
      </w:r>
    </w:p>
    <w:p>
      <w:pPr>
        <w:spacing w:after="0" w:line="477" w:lineRule="auto"/>
        <w:jc w:val="both"/>
        <w:sectPr>
          <w:pgSz w:w="11900" w:h="16840"/>
          <w:pgMar w:header="0" w:footer="1068" w:top="1580" w:bottom="1300" w:left="1280" w:right="360"/>
        </w:sectPr>
      </w:pPr>
    </w:p>
    <w:p>
      <w:pPr>
        <w:pStyle w:val="BodyText"/>
        <w:ind w:left="829"/>
        <w:rPr>
          <w:sz w:val="20"/>
        </w:rPr>
      </w:pPr>
      <w:r>
        <w:rPr>
          <w:sz w:val="20"/>
        </w:rPr>
        <w:drawing>
          <wp:inline distT="0" distB="0" distL="0" distR="0">
            <wp:extent cx="4946941" cy="1709737"/>
            <wp:effectExtent l="0" t="0" r="0" b="0"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41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5" w:lineRule="exact"/>
      </w:pPr>
      <w:r>
        <w:rPr/>
        <w:drawing>
          <wp:anchor distT="0" distB="0" distL="0" distR="0" allowOverlap="1" layoutInCell="1" locked="0" behindDoc="1" simplePos="0" relativeHeight="475843072">
            <wp:simplePos x="0" y="0"/>
            <wp:positionH relativeFrom="page">
              <wp:posOffset>1290317</wp:posOffset>
            </wp:positionH>
            <wp:positionV relativeFrom="paragraph">
              <wp:posOffset>783336</wp:posOffset>
            </wp:positionV>
            <wp:extent cx="5123818" cy="2281554"/>
            <wp:effectExtent l="0" t="0" r="0" b="0"/>
            <wp:wrapNone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818" cy="228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3"/>
        </w:rPr>
        <w:t> </w:t>
      </w:r>
      <w:r>
        <w:rPr/>
        <w:t>V: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showing</w:t>
      </w:r>
      <w:r>
        <w:rPr>
          <w:spacing w:val="-5"/>
        </w:rPr>
        <w:t> </w:t>
      </w:r>
      <w:r>
        <w:rPr/>
        <w:t>windows</w:t>
      </w:r>
      <w:r>
        <w:rPr>
          <w:spacing w:val="-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Harmony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line="830" w:lineRule="atLeast" w:before="0"/>
        <w:ind w:left="700" w:right="2952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windows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Evergreen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windows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2"/>
        <w:gridCol w:w="1345"/>
        <w:gridCol w:w="1472"/>
        <w:gridCol w:w="1310"/>
        <w:gridCol w:w="1445"/>
      </w:tblGrid>
      <w:tr>
        <w:trPr>
          <w:trHeight w:val="371" w:hRule="atLeast"/>
        </w:trPr>
        <w:tc>
          <w:tcPr>
            <w:tcW w:w="137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93"/>
              <w:ind w:left="1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93"/>
              <w:ind w:left="1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8" w:hRule="atLeast"/>
        </w:trPr>
        <w:tc>
          <w:tcPr>
            <w:tcW w:w="13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66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Condition</w:t>
            </w:r>
          </w:p>
        </w:tc>
        <w:tc>
          <w:tcPr>
            <w:tcW w:w="134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66"/>
              <w:ind w:left="1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44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3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of Window</w:t>
            </w:r>
          </w:p>
        </w:tc>
        <w:tc>
          <w:tcPr>
            <w:tcW w:w="1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437" w:hRule="atLeast"/>
        </w:trPr>
        <w:tc>
          <w:tcPr>
            <w:tcW w:w="13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Intact</w:t>
            </w:r>
          </w:p>
        </w:tc>
        <w:tc>
          <w:tcPr>
            <w:tcW w:w="1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80(97.6%)</w:t>
            </w:r>
          </w:p>
        </w:tc>
        <w:tc>
          <w:tcPr>
            <w:tcW w:w="1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111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(74%)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69(94.5%)</w:t>
            </w:r>
          </w:p>
        </w:tc>
        <w:tc>
          <w:tcPr>
            <w:tcW w:w="14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73(93.6%)</w:t>
            </w:r>
          </w:p>
        </w:tc>
      </w:tr>
      <w:tr>
        <w:trPr>
          <w:trHeight w:val="633" w:hRule="atLeast"/>
        </w:trPr>
        <w:tc>
          <w:tcPr>
            <w:tcW w:w="1372" w:type="dxa"/>
          </w:tcPr>
          <w:p>
            <w:pPr>
              <w:pStyle w:val="TableParagraph"/>
              <w:spacing w:before="169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Removed</w:t>
            </w:r>
          </w:p>
        </w:tc>
        <w:tc>
          <w:tcPr>
            <w:tcW w:w="1345" w:type="dxa"/>
          </w:tcPr>
          <w:p>
            <w:pPr>
              <w:pStyle w:val="TableParagraph"/>
              <w:spacing w:before="169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2(2.4%)</w:t>
            </w:r>
          </w:p>
        </w:tc>
        <w:tc>
          <w:tcPr>
            <w:tcW w:w="1472" w:type="dxa"/>
          </w:tcPr>
          <w:p>
            <w:pPr>
              <w:pStyle w:val="TableParagraph"/>
              <w:spacing w:before="169"/>
              <w:ind w:left="1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(26%)</w:t>
            </w:r>
          </w:p>
        </w:tc>
        <w:tc>
          <w:tcPr>
            <w:tcW w:w="1310" w:type="dxa"/>
          </w:tcPr>
          <w:p>
            <w:pPr>
              <w:pStyle w:val="TableParagraph"/>
              <w:spacing w:before="169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4(5.5%)</w:t>
            </w:r>
          </w:p>
        </w:tc>
        <w:tc>
          <w:tcPr>
            <w:tcW w:w="1445" w:type="dxa"/>
          </w:tcPr>
          <w:p>
            <w:pPr>
              <w:pStyle w:val="TableParagraph"/>
              <w:spacing w:before="169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5(6.4%)</w:t>
            </w:r>
          </w:p>
        </w:tc>
      </w:tr>
      <w:tr>
        <w:trPr>
          <w:trHeight w:val="817" w:hRule="atLeast"/>
        </w:trPr>
        <w:tc>
          <w:tcPr>
            <w:tcW w:w="13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9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9"/>
              <w:ind w:left="1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82(100%)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9"/>
              <w:ind w:left="1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150(100%)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9"/>
              <w:ind w:left="1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73(100%)</w:t>
            </w:r>
          </w:p>
        </w:tc>
        <w:tc>
          <w:tcPr>
            <w:tcW w:w="1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9"/>
              <w:ind w:left="1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78(100%)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1900" w:h="16840"/>
          <w:pgMar w:header="0" w:footer="1068" w:top="1460" w:bottom="1300" w:left="1280" w:right="360"/>
        </w:sectPr>
      </w:pPr>
    </w:p>
    <w:p>
      <w:pPr>
        <w:pStyle w:val="Heading1"/>
        <w:numPr>
          <w:ilvl w:val="3"/>
          <w:numId w:val="8"/>
        </w:numPr>
        <w:tabs>
          <w:tab w:pos="1421" w:val="left" w:leader="none"/>
        </w:tabs>
        <w:spacing w:line="240" w:lineRule="auto" w:before="72" w:after="0"/>
        <w:ind w:left="1420" w:right="0" w:hanging="721"/>
        <w:jc w:val="left"/>
      </w:pPr>
      <w:r>
        <w:rPr/>
        <w:t>Housing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9"/>
        <w:jc w:val="both"/>
      </w:pPr>
      <w:r>
        <w:rPr/>
        <w:t>Analysis from the field survey based on housing condition index as shown in table 4.11</w:t>
      </w:r>
      <w:r>
        <w:rPr>
          <w:spacing w:val="1"/>
        </w:rPr>
        <w:t> </w:t>
      </w:r>
      <w:r>
        <w:rPr/>
        <w:t>revealed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general</w:t>
      </w:r>
      <w:r>
        <w:rPr>
          <w:spacing w:val="15"/>
        </w:rPr>
        <w:t> </w:t>
      </w:r>
      <w:r>
        <w:rPr/>
        <w:t>condition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housing</w:t>
      </w:r>
      <w:r>
        <w:rPr>
          <w:spacing w:val="9"/>
        </w:rPr>
        <w:t> </w:t>
      </w:r>
      <w:r>
        <w:rPr/>
        <w:t>units,</w:t>
      </w:r>
      <w:r>
        <w:rPr>
          <w:spacing w:val="13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housing</w:t>
      </w:r>
      <w:r>
        <w:rPr>
          <w:spacing w:val="10"/>
        </w:rPr>
        <w:t> </w:t>
      </w:r>
      <w:r>
        <w:rPr/>
        <w:t>condition</w:t>
      </w:r>
      <w:r>
        <w:rPr>
          <w:spacing w:val="13"/>
        </w:rPr>
        <w:t> </w:t>
      </w:r>
      <w:r>
        <w:rPr/>
        <w:t>index.</w:t>
      </w:r>
      <w:r>
        <w:rPr>
          <w:spacing w:val="-58"/>
        </w:rPr>
        <w:t> </w:t>
      </w:r>
      <w:r>
        <w:rPr/>
        <w:t>It shows that ,at Harmony estate the condition was fair, at Mandate estate the condition</w:t>
      </w:r>
      <w:r>
        <w:rPr>
          <w:spacing w:val="1"/>
        </w:rPr>
        <w:t> </w:t>
      </w:r>
      <w:r>
        <w:rPr/>
        <w:t>was good, while at Royal valley and Evergreen estates the condition were very good. It</w:t>
      </w:r>
      <w:r>
        <w:rPr>
          <w:spacing w:val="1"/>
        </w:rPr>
        <w:t> </w:t>
      </w:r>
      <w:r>
        <w:rPr/>
        <w:t>was observed that the general level of housing condition at the two public estates was</w:t>
      </w:r>
      <w:r>
        <w:rPr>
          <w:spacing w:val="1"/>
        </w:rPr>
        <w:t> </w:t>
      </w:r>
      <w:r>
        <w:rPr/>
        <w:t>fair with all five housing condition indicators had an index score ranging between 2 and</w:t>
      </w:r>
      <w:r>
        <w:rPr>
          <w:spacing w:val="1"/>
        </w:rPr>
        <w:t> </w:t>
      </w:r>
      <w:r>
        <w:rPr/>
        <w:t>2.3, at the private estates the general level of housing condition was very good with all</w:t>
      </w:r>
      <w:r>
        <w:rPr>
          <w:spacing w:val="1"/>
        </w:rPr>
        <w:t> </w:t>
      </w:r>
      <w:r>
        <w:rPr/>
        <w:t>five</w:t>
      </w:r>
      <w:r>
        <w:rPr>
          <w:spacing w:val="-3"/>
        </w:rPr>
        <w:t> </w:t>
      </w:r>
      <w:r>
        <w:rPr/>
        <w:t>housing</w:t>
      </w:r>
      <w:r>
        <w:rPr>
          <w:spacing w:val="-1"/>
        </w:rPr>
        <w:t> </w:t>
      </w:r>
      <w:r>
        <w:rPr/>
        <w:t>condition indicator</w:t>
      </w:r>
      <w:r>
        <w:rPr>
          <w:spacing w:val="-1"/>
        </w:rPr>
        <w:t> </w:t>
      </w:r>
      <w:r>
        <w:rPr/>
        <w:t>shaving</w:t>
      </w:r>
      <w:r>
        <w:rPr>
          <w:spacing w:val="-3"/>
        </w:rPr>
        <w:t> </w:t>
      </w:r>
      <w:r>
        <w:rPr/>
        <w:t>an index</w:t>
      </w:r>
      <w:r>
        <w:rPr>
          <w:spacing w:val="1"/>
        </w:rPr>
        <w:t> </w:t>
      </w:r>
      <w:r>
        <w:rPr/>
        <w:t>score</w:t>
      </w:r>
      <w:r>
        <w:rPr>
          <w:spacing w:val="-3"/>
        </w:rPr>
        <w:t> </w:t>
      </w:r>
      <w:r>
        <w:rPr/>
        <w:t>ranging between 2.9</w:t>
      </w:r>
      <w:r>
        <w:rPr>
          <w:spacing w:val="-1"/>
        </w:rPr>
        <w:t> </w:t>
      </w:r>
      <w:r>
        <w:rPr/>
        <w:t>and 2.8.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after="28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3"/>
        </w:rPr>
        <w:t> </w:t>
      </w:r>
      <w:r>
        <w:rPr/>
        <w:t>Housing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Index</w:t>
      </w:r>
      <w:r>
        <w:rPr>
          <w:spacing w:val="-2"/>
        </w:rPr>
        <w:t> </w:t>
      </w:r>
      <w:r>
        <w:rPr/>
        <w:t>Rating</w:t>
      </w:r>
      <w:r>
        <w:rPr>
          <w:spacing w:val="-1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Estates</w:t>
      </w: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596"/>
        <w:gridCol w:w="1298"/>
        <w:gridCol w:w="1200"/>
        <w:gridCol w:w="1660"/>
      </w:tblGrid>
      <w:tr>
        <w:trPr>
          <w:trHeight w:val="283" w:hRule="atLeast"/>
        </w:trPr>
        <w:tc>
          <w:tcPr>
            <w:tcW w:w="163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45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2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1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2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2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3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274" w:hRule="atLeast"/>
        </w:trPr>
        <w:tc>
          <w:tcPr>
            <w:tcW w:w="16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Indicators</w:t>
            </w:r>
          </w:p>
        </w:tc>
        <w:tc>
          <w:tcPr>
            <w:tcW w:w="15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6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16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Wall</w:t>
            </w:r>
          </w:p>
        </w:tc>
        <w:tc>
          <w:tcPr>
            <w:tcW w:w="15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4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</w:t>
            </w:r>
          </w:p>
        </w:tc>
        <w:tc>
          <w:tcPr>
            <w:tcW w:w="12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</w:t>
            </w:r>
          </w:p>
        </w:tc>
        <w:tc>
          <w:tcPr>
            <w:tcW w:w="12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2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1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</w:tr>
      <w:tr>
        <w:trPr>
          <w:trHeight w:val="334" w:hRule="atLeast"/>
        </w:trPr>
        <w:tc>
          <w:tcPr>
            <w:tcW w:w="1635" w:type="dxa"/>
          </w:tcPr>
          <w:p>
            <w:pPr>
              <w:pStyle w:val="TableParagraph"/>
              <w:spacing w:before="23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Floor</w:t>
            </w:r>
          </w:p>
        </w:tc>
        <w:tc>
          <w:tcPr>
            <w:tcW w:w="1596" w:type="dxa"/>
          </w:tcPr>
          <w:p>
            <w:pPr>
              <w:pStyle w:val="TableParagraph"/>
              <w:spacing w:before="23"/>
              <w:ind w:left="4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1200" w:type="dxa"/>
          </w:tcPr>
          <w:p>
            <w:pPr>
              <w:pStyle w:val="TableParagraph"/>
              <w:spacing w:before="23"/>
              <w:ind w:left="2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</w:tr>
      <w:tr>
        <w:trPr>
          <w:trHeight w:val="337" w:hRule="atLeast"/>
        </w:trPr>
        <w:tc>
          <w:tcPr>
            <w:tcW w:w="1635" w:type="dxa"/>
          </w:tcPr>
          <w:p>
            <w:pPr>
              <w:pStyle w:val="TableParagraph"/>
              <w:spacing w:before="25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Roof</w:t>
            </w:r>
          </w:p>
        </w:tc>
        <w:tc>
          <w:tcPr>
            <w:tcW w:w="1596" w:type="dxa"/>
          </w:tcPr>
          <w:p>
            <w:pPr>
              <w:pStyle w:val="TableParagraph"/>
              <w:spacing w:before="25"/>
              <w:ind w:left="4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1298" w:type="dxa"/>
          </w:tcPr>
          <w:p>
            <w:pPr>
              <w:pStyle w:val="TableParagraph"/>
              <w:spacing w:before="25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</w:t>
            </w:r>
          </w:p>
        </w:tc>
        <w:tc>
          <w:tcPr>
            <w:tcW w:w="1200" w:type="dxa"/>
          </w:tcPr>
          <w:p>
            <w:pPr>
              <w:pStyle w:val="TableParagraph"/>
              <w:spacing w:before="25"/>
              <w:ind w:left="2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</w:t>
            </w:r>
          </w:p>
        </w:tc>
        <w:tc>
          <w:tcPr>
            <w:tcW w:w="1660" w:type="dxa"/>
          </w:tcPr>
          <w:p>
            <w:pPr>
              <w:pStyle w:val="TableParagraph"/>
              <w:spacing w:before="25"/>
              <w:ind w:lef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</w:t>
            </w:r>
          </w:p>
        </w:tc>
      </w:tr>
      <w:tr>
        <w:trPr>
          <w:trHeight w:val="338" w:hRule="atLeast"/>
        </w:trPr>
        <w:tc>
          <w:tcPr>
            <w:tcW w:w="1635" w:type="dxa"/>
          </w:tcPr>
          <w:p>
            <w:pPr>
              <w:pStyle w:val="TableParagraph"/>
              <w:spacing w:before="26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Door</w:t>
            </w:r>
          </w:p>
        </w:tc>
        <w:tc>
          <w:tcPr>
            <w:tcW w:w="1596" w:type="dxa"/>
          </w:tcPr>
          <w:p>
            <w:pPr>
              <w:pStyle w:val="TableParagraph"/>
              <w:spacing w:before="26"/>
              <w:ind w:left="4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</w:t>
            </w:r>
          </w:p>
        </w:tc>
        <w:tc>
          <w:tcPr>
            <w:tcW w:w="1298" w:type="dxa"/>
          </w:tcPr>
          <w:p>
            <w:pPr>
              <w:pStyle w:val="TableParagraph"/>
              <w:spacing w:before="26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</w:t>
            </w:r>
          </w:p>
        </w:tc>
        <w:tc>
          <w:tcPr>
            <w:tcW w:w="1200" w:type="dxa"/>
          </w:tcPr>
          <w:p>
            <w:pPr>
              <w:pStyle w:val="TableParagraph"/>
              <w:spacing w:before="26"/>
              <w:ind w:left="2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</w:tr>
      <w:tr>
        <w:trPr>
          <w:trHeight w:val="357" w:hRule="atLeast"/>
        </w:trPr>
        <w:tc>
          <w:tcPr>
            <w:tcW w:w="16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Window</w:t>
            </w:r>
          </w:p>
        </w:tc>
        <w:tc>
          <w:tcPr>
            <w:tcW w:w="15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4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</w:t>
            </w:r>
          </w:p>
        </w:tc>
        <w:tc>
          <w:tcPr>
            <w:tcW w:w="12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</w:t>
            </w:r>
          </w:p>
        </w:tc>
        <w:tc>
          <w:tcPr>
            <w:tcW w:w="12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2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1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</w:tr>
      <w:tr>
        <w:trPr>
          <w:trHeight w:val="332" w:hRule="atLeast"/>
        </w:trPr>
        <w:tc>
          <w:tcPr>
            <w:tcW w:w="16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</w:p>
        </w:tc>
        <w:tc>
          <w:tcPr>
            <w:tcW w:w="15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4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</w:t>
            </w:r>
          </w:p>
        </w:tc>
        <w:tc>
          <w:tcPr>
            <w:tcW w:w="12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</w:t>
            </w:r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1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</w:t>
            </w:r>
          </w:p>
        </w:tc>
      </w:tr>
    </w:tbl>
    <w:p>
      <w:pPr>
        <w:pStyle w:val="BodyText"/>
        <w:rPr>
          <w:b/>
          <w:sz w:val="31"/>
        </w:rPr>
      </w:pPr>
    </w:p>
    <w:p>
      <w:pPr>
        <w:spacing w:before="0"/>
        <w:ind w:left="70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Housing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Condition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Index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Rating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Scale</w:t>
      </w:r>
    </w:p>
    <w:p>
      <w:pPr>
        <w:pStyle w:val="Heading1"/>
        <w:spacing w:before="2"/>
      </w:pPr>
      <w:r>
        <w:rPr/>
        <w:t>0-1</w:t>
      </w:r>
      <w:r>
        <w:rPr>
          <w:spacing w:val="-1"/>
        </w:rPr>
        <w:t> </w:t>
      </w:r>
      <w:r>
        <w:rPr/>
        <w:t>Very</w:t>
      </w:r>
      <w:r>
        <w:rPr>
          <w:spacing w:val="-1"/>
        </w:rPr>
        <w:t> </w:t>
      </w:r>
      <w:r>
        <w:rPr/>
        <w:t>poor,</w:t>
      </w:r>
      <w:r>
        <w:rPr>
          <w:spacing w:val="-1"/>
        </w:rPr>
        <w:t> </w:t>
      </w:r>
      <w:r>
        <w:rPr/>
        <w:t>1.1-</w:t>
      </w:r>
      <w:r>
        <w:rPr>
          <w:spacing w:val="-2"/>
        </w:rPr>
        <w:t> </w:t>
      </w:r>
      <w:r>
        <w:rPr/>
        <w:t>1.5</w:t>
      </w:r>
      <w:r>
        <w:rPr>
          <w:spacing w:val="2"/>
        </w:rPr>
        <w:t> </w:t>
      </w:r>
      <w:r>
        <w:rPr/>
        <w:t>Poor,</w:t>
      </w:r>
      <w:r>
        <w:rPr>
          <w:spacing w:val="-1"/>
        </w:rPr>
        <w:t> </w:t>
      </w:r>
      <w:r>
        <w:rPr/>
        <w:t>1.6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2.0</w:t>
      </w:r>
      <w:r>
        <w:rPr>
          <w:spacing w:val="1"/>
        </w:rPr>
        <w:t> </w:t>
      </w:r>
      <w:r>
        <w:rPr/>
        <w:t>Fair, 2.1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2.5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and 2.6-</w:t>
      </w:r>
      <w:r>
        <w:rPr>
          <w:spacing w:val="-2"/>
        </w:rPr>
        <w:t> </w:t>
      </w:r>
      <w:r>
        <w:rPr/>
        <w:t>3.0</w:t>
      </w:r>
      <w:r>
        <w:rPr>
          <w:spacing w:val="-1"/>
        </w:rPr>
        <w:t> </w:t>
      </w:r>
      <w:r>
        <w:rPr/>
        <w:t>Very</w:t>
      </w:r>
      <w:r>
        <w:rPr>
          <w:spacing w:val="-1"/>
        </w:rPr>
        <w:t> </w:t>
      </w:r>
      <w:r>
        <w:rPr/>
        <w:t>good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8"/>
        </w:numPr>
        <w:tabs>
          <w:tab w:pos="1421" w:val="left" w:leader="none"/>
        </w:tabs>
        <w:spacing w:line="240" w:lineRule="auto" w:before="174" w:after="0"/>
        <w:ind w:left="1420" w:right="0" w:hanging="721"/>
        <w:jc w:val="left"/>
        <w:rPr>
          <w:b/>
          <w:sz w:val="24"/>
        </w:rPr>
      </w:pP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private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estates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7"/>
        <w:jc w:val="both"/>
      </w:pPr>
      <w:r>
        <w:rPr/>
        <w:t>Table 4.12 revealed that in public housing estate,46% of dwelling units in Harmony</w:t>
      </w:r>
      <w:r>
        <w:rPr>
          <w:spacing w:val="1"/>
        </w:rPr>
        <w:t> </w:t>
      </w:r>
      <w:r>
        <w:rPr/>
        <w:t>estate were in good condition, 55% of the houses in Mandate Estate were good while in</w:t>
      </w:r>
      <w:r>
        <w:rPr>
          <w:spacing w:val="1"/>
        </w:rPr>
        <w:t> </w:t>
      </w:r>
      <w:r>
        <w:rPr/>
        <w:t>private housing estate; over 80% of the houses were in good state at Royal Valley and</w:t>
      </w:r>
      <w:r>
        <w:rPr>
          <w:spacing w:val="1"/>
        </w:rPr>
        <w:t> </w:t>
      </w:r>
      <w:r>
        <w:rPr/>
        <w:t>Evergreen Estate. However, in public housing estate, 42% of the houses in Harmony</w:t>
      </w:r>
      <w:r>
        <w:rPr>
          <w:spacing w:val="1"/>
        </w:rPr>
        <w:t> </w:t>
      </w:r>
      <w:r>
        <w:rPr/>
        <w:t>Estate were fair, 36% of the houses in Mandate Estate were fair while in private housing</w:t>
      </w:r>
      <w:r>
        <w:rPr>
          <w:spacing w:val="-57"/>
        </w:rPr>
        <w:t> </w:t>
      </w:r>
      <w:r>
        <w:rPr/>
        <w:t>estate, less than 10% of the houses in Royal Valley and Evergreen Estate were fair. Also</w:t>
      </w:r>
      <w:r>
        <w:rPr>
          <w:spacing w:val="-57"/>
        </w:rPr>
        <w:t> </w:t>
      </w:r>
      <w:r>
        <w:rPr/>
        <w:t>in Public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estate</w:t>
      </w:r>
      <w:r>
        <w:rPr>
          <w:spacing w:val="1"/>
        </w:rPr>
        <w:t> </w:t>
      </w:r>
      <w:r>
        <w:rPr/>
        <w:t>12%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houses at Harmony</w:t>
      </w:r>
      <w:r>
        <w:rPr>
          <w:spacing w:val="-5"/>
        </w:rPr>
        <w:t> </w:t>
      </w:r>
      <w:r>
        <w:rPr/>
        <w:t>Estate</w:t>
      </w:r>
      <w:r>
        <w:rPr>
          <w:spacing w:val="1"/>
        </w:rPr>
        <w:t> </w:t>
      </w:r>
      <w:r>
        <w:rPr/>
        <w:t>and 9%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houses in</w:t>
      </w:r>
    </w:p>
    <w:p>
      <w:pPr>
        <w:spacing w:after="0" w:line="477" w:lineRule="auto"/>
        <w:jc w:val="both"/>
        <w:sectPr>
          <w:pgSz w:w="11900" w:h="16840"/>
          <w:pgMar w:header="0" w:footer="1068" w:top="1320" w:bottom="1300" w:left="1280" w:right="360"/>
        </w:sectPr>
      </w:pPr>
    </w:p>
    <w:p>
      <w:pPr>
        <w:pStyle w:val="BodyText"/>
        <w:spacing w:line="477" w:lineRule="auto" w:before="74"/>
        <w:ind w:left="700" w:right="1040"/>
        <w:jc w:val="both"/>
      </w:pPr>
      <w:r>
        <w:rPr/>
        <w:t>the Mandate estate were in poor condition. At private housing estate, less than 5% of the</w:t>
      </w:r>
      <w:r>
        <w:rPr>
          <w:spacing w:val="-57"/>
        </w:rPr>
        <w:t> </w:t>
      </w:r>
      <w:r>
        <w:rPr/>
        <w:t>houses are in poor condition. This indicates that Private housing estate had the higher</w:t>
      </w:r>
      <w:r>
        <w:rPr>
          <w:spacing w:val="1"/>
        </w:rPr>
        <w:t> </w:t>
      </w:r>
      <w:r>
        <w:rPr/>
        <w:t>percentage of houses with good condition; this means that the housing units in the</w:t>
      </w:r>
      <w:r>
        <w:rPr>
          <w:spacing w:val="1"/>
        </w:rPr>
        <w:t> </w:t>
      </w:r>
      <w:r>
        <w:rPr/>
        <w:t>private estates have been given needed attention by owners compared to public housing</w:t>
      </w:r>
      <w:r>
        <w:rPr>
          <w:spacing w:val="1"/>
        </w:rPr>
        <w:t> </w:t>
      </w:r>
      <w:r>
        <w:rPr/>
        <w:t>estate.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2" w:lineRule="auto" w:after="4"/>
        <w:ind w:left="1900" w:right="2532" w:hanging="1200"/>
      </w:pPr>
      <w:r>
        <w:rPr/>
        <w:t>Table 4.12: Housing Condition of the building elements in the Public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Estate</w:t>
      </w: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672"/>
        <w:gridCol w:w="1330"/>
        <w:gridCol w:w="1359"/>
        <w:gridCol w:w="1423"/>
      </w:tblGrid>
      <w:tr>
        <w:trPr>
          <w:trHeight w:val="270" w:hRule="atLeast"/>
        </w:trPr>
        <w:tc>
          <w:tcPr>
            <w:tcW w:w="160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4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</w:p>
        </w:tc>
        <w:tc>
          <w:tcPr>
            <w:tcW w:w="13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</w:p>
        </w:tc>
        <w:tc>
          <w:tcPr>
            <w:tcW w:w="14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</w:p>
        </w:tc>
      </w:tr>
      <w:tr>
        <w:trPr>
          <w:trHeight w:val="274" w:hRule="atLeast"/>
        </w:trPr>
        <w:tc>
          <w:tcPr>
            <w:tcW w:w="160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Valley</w:t>
            </w:r>
          </w:p>
        </w:tc>
        <w:tc>
          <w:tcPr>
            <w:tcW w:w="14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1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Good</w:t>
            </w:r>
          </w:p>
        </w:tc>
        <w:tc>
          <w:tcPr>
            <w:tcW w:w="16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4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346(46%)</w:t>
            </w:r>
          </w:p>
        </w:tc>
        <w:tc>
          <w:tcPr>
            <w:tcW w:w="13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225(55%)</w:t>
            </w: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328(90%)</w:t>
            </w:r>
          </w:p>
        </w:tc>
        <w:tc>
          <w:tcPr>
            <w:tcW w:w="14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348(89%)</w:t>
            </w:r>
          </w:p>
        </w:tc>
      </w:tr>
      <w:tr>
        <w:trPr>
          <w:trHeight w:val="334" w:hRule="atLeast"/>
        </w:trPr>
        <w:tc>
          <w:tcPr>
            <w:tcW w:w="1607" w:type="dxa"/>
          </w:tcPr>
          <w:p>
            <w:pPr>
              <w:pStyle w:val="TableParagraph"/>
              <w:spacing w:before="22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Fair</w:t>
            </w:r>
          </w:p>
        </w:tc>
        <w:tc>
          <w:tcPr>
            <w:tcW w:w="1672" w:type="dxa"/>
          </w:tcPr>
          <w:p>
            <w:pPr>
              <w:pStyle w:val="TableParagraph"/>
              <w:spacing w:before="22"/>
              <w:ind w:left="4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313(42%)</w:t>
            </w:r>
          </w:p>
        </w:tc>
        <w:tc>
          <w:tcPr>
            <w:tcW w:w="1330" w:type="dxa"/>
          </w:tcPr>
          <w:p>
            <w:pPr>
              <w:pStyle w:val="TableParagraph"/>
              <w:spacing w:before="22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148(36%)</w:t>
            </w:r>
          </w:p>
        </w:tc>
        <w:tc>
          <w:tcPr>
            <w:tcW w:w="1359" w:type="dxa"/>
          </w:tcPr>
          <w:p>
            <w:pPr>
              <w:pStyle w:val="TableParagraph"/>
              <w:spacing w:before="22"/>
              <w:ind w:lef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29(8%)</w:t>
            </w:r>
          </w:p>
        </w:tc>
        <w:tc>
          <w:tcPr>
            <w:tcW w:w="1423" w:type="dxa"/>
          </w:tcPr>
          <w:p>
            <w:pPr>
              <w:pStyle w:val="TableParagraph"/>
              <w:spacing w:before="22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32(8%)</w:t>
            </w:r>
          </w:p>
        </w:tc>
      </w:tr>
      <w:tr>
        <w:trPr>
          <w:trHeight w:val="360" w:hRule="atLeast"/>
        </w:trPr>
        <w:tc>
          <w:tcPr>
            <w:tcW w:w="16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Poor</w:t>
            </w:r>
          </w:p>
        </w:tc>
        <w:tc>
          <w:tcPr>
            <w:tcW w:w="1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4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91(12%)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37(9%)</w:t>
            </w: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8(2%)</w:t>
            </w:r>
          </w:p>
        </w:tc>
        <w:tc>
          <w:tcPr>
            <w:tcW w:w="14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10(3%)</w:t>
            </w:r>
          </w:p>
        </w:tc>
      </w:tr>
      <w:tr>
        <w:trPr>
          <w:trHeight w:val="330" w:hRule="atLeast"/>
        </w:trPr>
        <w:tc>
          <w:tcPr>
            <w:tcW w:w="16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Aggregate</w:t>
            </w:r>
          </w:p>
        </w:tc>
        <w:tc>
          <w:tcPr>
            <w:tcW w:w="16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750(100%)</w:t>
            </w:r>
          </w:p>
        </w:tc>
        <w:tc>
          <w:tcPr>
            <w:tcW w:w="13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410(100%)</w:t>
            </w:r>
          </w:p>
        </w:tc>
        <w:tc>
          <w:tcPr>
            <w:tcW w:w="13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365(100%)</w:t>
            </w:r>
          </w:p>
        </w:tc>
        <w:tc>
          <w:tcPr>
            <w:tcW w:w="14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390(100%)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Affordability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Harmony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Mandate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700" w:right="1059"/>
        <w:jc w:val="both"/>
      </w:pPr>
      <w:r>
        <w:rPr/>
        <w:t>The result as presented in Table 4.13 on the household monthly income in selected</w:t>
      </w:r>
      <w:r>
        <w:rPr>
          <w:spacing w:val="1"/>
        </w:rPr>
        <w:t> </w:t>
      </w:r>
      <w:r>
        <w:rPr/>
        <w:t>public housing estates revealed that at harmony estate the respondents that resided in</w:t>
      </w:r>
      <w:r>
        <w:rPr>
          <w:spacing w:val="1"/>
        </w:rPr>
        <w:t> </w:t>
      </w:r>
      <w:r>
        <w:rPr/>
        <w:t>two</w:t>
      </w:r>
      <w:r>
        <w:rPr>
          <w:spacing w:val="10"/>
        </w:rPr>
        <w:t> </w:t>
      </w:r>
      <w:r>
        <w:rPr/>
        <w:t>bedrooms</w:t>
      </w:r>
      <w:r>
        <w:rPr>
          <w:spacing w:val="11"/>
        </w:rPr>
        <w:t> </w:t>
      </w:r>
      <w:r>
        <w:rPr/>
        <w:t>flats</w:t>
      </w:r>
      <w:r>
        <w:rPr>
          <w:spacing w:val="12"/>
        </w:rPr>
        <w:t> </w:t>
      </w:r>
      <w:r>
        <w:rPr/>
        <w:t>earned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average</w:t>
      </w:r>
      <w:r>
        <w:rPr>
          <w:spacing w:val="10"/>
        </w:rPr>
        <w:t> </w:t>
      </w:r>
      <w:r>
        <w:rPr/>
        <w:t>monthly</w:t>
      </w:r>
      <w:r>
        <w:rPr>
          <w:spacing w:val="5"/>
        </w:rPr>
        <w:t> </w:t>
      </w:r>
      <w:r>
        <w:rPr/>
        <w:t>income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>
          <w:strike/>
        </w:rPr>
        <w:t>N</w:t>
      </w:r>
      <w:r>
        <w:rPr>
          <w:strike w:val="0"/>
        </w:rPr>
        <w:t>123,</w:t>
      </w:r>
      <w:r>
        <w:rPr>
          <w:strike w:val="0"/>
          <w:spacing w:val="10"/>
        </w:rPr>
        <w:t> </w:t>
      </w:r>
      <w:r>
        <w:rPr>
          <w:strike w:val="0"/>
        </w:rPr>
        <w:t>500</w:t>
      </w:r>
      <w:r>
        <w:rPr>
          <w:strike w:val="0"/>
          <w:spacing w:val="11"/>
        </w:rPr>
        <w:t> </w:t>
      </w:r>
      <w:r>
        <w:rPr>
          <w:strike w:val="0"/>
        </w:rPr>
        <w:t>on</w:t>
      </w:r>
      <w:r>
        <w:rPr>
          <w:strike w:val="0"/>
          <w:spacing w:val="11"/>
        </w:rPr>
        <w:t> </w:t>
      </w:r>
      <w:r>
        <w:rPr>
          <w:strike w:val="0"/>
        </w:rPr>
        <w:t>monthly</w:t>
      </w:r>
      <w:r>
        <w:rPr>
          <w:strike w:val="0"/>
          <w:spacing w:val="3"/>
        </w:rPr>
        <w:t> </w:t>
      </w:r>
      <w:r>
        <w:rPr>
          <w:strike w:val="0"/>
        </w:rPr>
        <w:t>basis.</w:t>
      </w:r>
    </w:p>
    <w:p>
      <w:pPr>
        <w:pStyle w:val="BodyText"/>
        <w:spacing w:line="477" w:lineRule="auto"/>
        <w:ind w:left="700" w:right="1050"/>
      </w:pPr>
      <w:r>
        <w:rPr/>
        <w:t>However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respondents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resided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three-bedroom</w:t>
      </w:r>
      <w:r>
        <w:rPr>
          <w:spacing w:val="11"/>
        </w:rPr>
        <w:t> </w:t>
      </w:r>
      <w:r>
        <w:rPr/>
        <w:t>flat</w:t>
      </w:r>
      <w:r>
        <w:rPr>
          <w:spacing w:val="12"/>
        </w:rPr>
        <w:t> </w:t>
      </w:r>
      <w:r>
        <w:rPr/>
        <w:t>earned</w:t>
      </w:r>
      <w:r>
        <w:rPr>
          <w:spacing w:val="14"/>
        </w:rPr>
        <w:t> </w:t>
      </w:r>
      <w:r>
        <w:rPr/>
        <w:t>an</w:t>
      </w:r>
      <w:r>
        <w:rPr>
          <w:spacing w:val="11"/>
        </w:rPr>
        <w:t> </w:t>
      </w:r>
      <w:r>
        <w:rPr/>
        <w:t>average</w:t>
      </w:r>
      <w:r>
        <w:rPr>
          <w:spacing w:val="10"/>
        </w:rPr>
        <w:t> </w:t>
      </w:r>
      <w:r>
        <w:rPr/>
        <w:t>monthly</w:t>
      </w:r>
      <w:r>
        <w:rPr>
          <w:spacing w:val="-57"/>
        </w:rPr>
        <w:t> </w:t>
      </w:r>
      <w:r>
        <w:rPr/>
        <w:t>income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>
          <w:strike/>
        </w:rPr>
        <w:t>N</w:t>
      </w:r>
      <w:r>
        <w:rPr>
          <w:strike w:val="0"/>
        </w:rPr>
        <w:t>125,</w:t>
      </w:r>
      <w:r>
        <w:rPr>
          <w:strike w:val="0"/>
          <w:spacing w:val="22"/>
        </w:rPr>
        <w:t> </w:t>
      </w:r>
      <w:r>
        <w:rPr>
          <w:strike w:val="0"/>
        </w:rPr>
        <w:t>500</w:t>
      </w:r>
      <w:r>
        <w:rPr>
          <w:strike w:val="0"/>
          <w:spacing w:val="26"/>
        </w:rPr>
        <w:t> </w:t>
      </w:r>
      <w:r>
        <w:rPr>
          <w:strike w:val="0"/>
        </w:rPr>
        <w:t>and</w:t>
      </w:r>
      <w:r>
        <w:rPr>
          <w:strike w:val="0"/>
          <w:spacing w:val="23"/>
        </w:rPr>
        <w:t> </w:t>
      </w:r>
      <w:r>
        <w:rPr>
          <w:strike w:val="0"/>
        </w:rPr>
        <w:t>the</w:t>
      </w:r>
      <w:r>
        <w:rPr>
          <w:strike w:val="0"/>
          <w:spacing w:val="22"/>
        </w:rPr>
        <w:t> </w:t>
      </w:r>
      <w:r>
        <w:rPr>
          <w:strike w:val="0"/>
        </w:rPr>
        <w:t>respondents</w:t>
      </w:r>
      <w:r>
        <w:rPr>
          <w:strike w:val="0"/>
          <w:spacing w:val="24"/>
        </w:rPr>
        <w:t> </w:t>
      </w:r>
      <w:r>
        <w:rPr>
          <w:strike w:val="0"/>
        </w:rPr>
        <w:t>that</w:t>
      </w:r>
      <w:r>
        <w:rPr>
          <w:strike w:val="0"/>
          <w:spacing w:val="25"/>
        </w:rPr>
        <w:t> </w:t>
      </w:r>
      <w:r>
        <w:rPr>
          <w:strike w:val="0"/>
        </w:rPr>
        <w:t>resided</w:t>
      </w:r>
      <w:r>
        <w:rPr>
          <w:strike w:val="0"/>
          <w:spacing w:val="23"/>
        </w:rPr>
        <w:t> </w:t>
      </w:r>
      <w:r>
        <w:rPr>
          <w:strike w:val="0"/>
        </w:rPr>
        <w:t>in</w:t>
      </w:r>
      <w:r>
        <w:rPr>
          <w:strike w:val="0"/>
          <w:spacing w:val="24"/>
        </w:rPr>
        <w:t> </w:t>
      </w:r>
      <w:r>
        <w:rPr>
          <w:strike w:val="0"/>
        </w:rPr>
        <w:t>four-bedroom</w:t>
      </w:r>
      <w:r>
        <w:rPr>
          <w:strike w:val="0"/>
          <w:spacing w:val="22"/>
        </w:rPr>
        <w:t> </w:t>
      </w:r>
      <w:r>
        <w:rPr>
          <w:strike w:val="0"/>
        </w:rPr>
        <w:t>flat</w:t>
      </w:r>
      <w:r>
        <w:rPr>
          <w:strike w:val="0"/>
          <w:spacing w:val="24"/>
        </w:rPr>
        <w:t> </w:t>
      </w:r>
      <w:r>
        <w:rPr>
          <w:strike w:val="0"/>
        </w:rPr>
        <w:t>earned</w:t>
      </w:r>
      <w:r>
        <w:rPr>
          <w:strike w:val="0"/>
          <w:spacing w:val="22"/>
        </w:rPr>
        <w:t> </w:t>
      </w:r>
      <w:r>
        <w:rPr>
          <w:strike w:val="0"/>
        </w:rPr>
        <w:t>an</w:t>
      </w:r>
    </w:p>
    <w:p>
      <w:pPr>
        <w:pStyle w:val="BodyText"/>
        <w:spacing w:line="271" w:lineRule="exact"/>
        <w:ind w:left="700"/>
      </w:pPr>
      <w:r>
        <w:rPr/>
        <w:t>average</w:t>
      </w:r>
      <w:r>
        <w:rPr>
          <w:spacing w:val="-1"/>
        </w:rPr>
        <w:t> </w:t>
      </w:r>
      <w:r>
        <w:rPr/>
        <w:t>monthly</w:t>
      </w:r>
      <w:r>
        <w:rPr>
          <w:spacing w:val="-5"/>
        </w:rPr>
        <w:t> </w:t>
      </w:r>
      <w:r>
        <w:rPr/>
        <w:t>income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trike/>
        </w:rPr>
        <w:t>N</w:t>
      </w:r>
      <w:r>
        <w:rPr>
          <w:strike w:val="0"/>
        </w:rPr>
        <w:t>175, 500.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475" w:lineRule="auto" w:before="90"/>
        <w:ind w:left="700" w:right="1051"/>
      </w:pPr>
      <w:r>
        <w:rPr/>
        <w:t>Also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Mandate</w:t>
      </w:r>
      <w:r>
        <w:rPr>
          <w:spacing w:val="13"/>
        </w:rPr>
        <w:t> </w:t>
      </w:r>
      <w:r>
        <w:rPr/>
        <w:t>housing</w:t>
      </w:r>
      <w:r>
        <w:rPr>
          <w:spacing w:val="11"/>
        </w:rPr>
        <w:t> </w:t>
      </w:r>
      <w:r>
        <w:rPr/>
        <w:t>estate,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resided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two</w:t>
      </w:r>
      <w:r>
        <w:rPr>
          <w:spacing w:val="16"/>
        </w:rPr>
        <w:t> </w:t>
      </w:r>
      <w:r>
        <w:rPr/>
        <w:t>bedrooms</w:t>
      </w:r>
      <w:r>
        <w:rPr>
          <w:spacing w:val="13"/>
        </w:rPr>
        <w:t> </w:t>
      </w:r>
      <w:r>
        <w:rPr/>
        <w:t>flats</w:t>
      </w:r>
      <w:r>
        <w:rPr>
          <w:spacing w:val="-57"/>
        </w:rPr>
        <w:t> </w:t>
      </w:r>
      <w:r>
        <w:rPr/>
        <w:t>earned</w:t>
      </w:r>
      <w:r>
        <w:rPr>
          <w:spacing w:val="107"/>
        </w:rPr>
        <w:t> </w:t>
      </w:r>
      <w:r>
        <w:rPr/>
        <w:t>an</w:t>
      </w:r>
      <w:r>
        <w:rPr>
          <w:spacing w:val="105"/>
        </w:rPr>
        <w:t> </w:t>
      </w:r>
      <w:r>
        <w:rPr/>
        <w:t>average</w:t>
      </w:r>
      <w:r>
        <w:rPr>
          <w:spacing w:val="105"/>
        </w:rPr>
        <w:t> </w:t>
      </w:r>
      <w:r>
        <w:rPr/>
        <w:t>monthly</w:t>
      </w:r>
      <w:r>
        <w:rPr>
          <w:spacing w:val="100"/>
        </w:rPr>
        <w:t> </w:t>
      </w:r>
      <w:r>
        <w:rPr/>
        <w:t>income</w:t>
      </w:r>
      <w:r>
        <w:rPr>
          <w:spacing w:val="104"/>
        </w:rPr>
        <w:t> </w:t>
      </w:r>
      <w:r>
        <w:rPr/>
        <w:t>of</w:t>
      </w:r>
      <w:r>
        <w:rPr>
          <w:spacing w:val="111"/>
        </w:rPr>
        <w:t> </w:t>
      </w:r>
      <w:r>
        <w:rPr>
          <w:strike/>
        </w:rPr>
        <w:t>N</w:t>
      </w:r>
      <w:r>
        <w:rPr>
          <w:strike w:val="0"/>
        </w:rPr>
        <w:t>129,000</w:t>
      </w:r>
      <w:r>
        <w:rPr>
          <w:strike w:val="0"/>
          <w:spacing w:val="105"/>
        </w:rPr>
        <w:t> </w:t>
      </w:r>
      <w:r>
        <w:rPr>
          <w:strike w:val="0"/>
        </w:rPr>
        <w:t>on</w:t>
      </w:r>
      <w:r>
        <w:rPr>
          <w:strike w:val="0"/>
          <w:spacing w:val="105"/>
        </w:rPr>
        <w:t> </w:t>
      </w:r>
      <w:r>
        <w:rPr>
          <w:strike w:val="0"/>
        </w:rPr>
        <w:t>monthly</w:t>
      </w:r>
      <w:r>
        <w:rPr>
          <w:strike w:val="0"/>
          <w:spacing w:val="99"/>
        </w:rPr>
        <w:t> </w:t>
      </w:r>
      <w:r>
        <w:rPr>
          <w:strike w:val="0"/>
        </w:rPr>
        <w:t>basis,</w:t>
      </w:r>
      <w:r>
        <w:rPr>
          <w:strike w:val="0"/>
          <w:spacing w:val="105"/>
        </w:rPr>
        <w:t> </w:t>
      </w:r>
      <w:r>
        <w:rPr>
          <w:strike w:val="0"/>
        </w:rPr>
        <w:t>while</w:t>
      </w:r>
      <w:r>
        <w:rPr>
          <w:strike w:val="0"/>
          <w:spacing w:val="104"/>
        </w:rPr>
        <w:t> </w:t>
      </w:r>
      <w:r>
        <w:rPr>
          <w:strike w:val="0"/>
        </w:rPr>
        <w:t>the</w:t>
      </w:r>
    </w:p>
    <w:p>
      <w:pPr>
        <w:pStyle w:val="BodyText"/>
        <w:spacing w:line="475" w:lineRule="auto" w:before="4"/>
        <w:ind w:left="700" w:right="1053"/>
      </w:pPr>
      <w:r>
        <w:rPr/>
        <w:t>respondents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resided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three-</w:t>
      </w:r>
      <w:r>
        <w:rPr>
          <w:spacing w:val="27"/>
        </w:rPr>
        <w:t> </w:t>
      </w:r>
      <w:r>
        <w:rPr/>
        <w:t>bedroom</w:t>
      </w:r>
      <w:r>
        <w:rPr>
          <w:spacing w:val="28"/>
        </w:rPr>
        <w:t> </w:t>
      </w:r>
      <w:r>
        <w:rPr/>
        <w:t>flat</w:t>
      </w:r>
      <w:r>
        <w:rPr>
          <w:spacing w:val="28"/>
        </w:rPr>
        <w:t> </w:t>
      </w:r>
      <w:r>
        <w:rPr/>
        <w:t>earned</w:t>
      </w:r>
      <w:r>
        <w:rPr>
          <w:spacing w:val="29"/>
        </w:rPr>
        <w:t> </w:t>
      </w:r>
      <w:r>
        <w:rPr/>
        <w:t>an</w:t>
      </w:r>
      <w:r>
        <w:rPr>
          <w:spacing w:val="27"/>
        </w:rPr>
        <w:t> </w:t>
      </w:r>
      <w:r>
        <w:rPr/>
        <w:t>average</w:t>
      </w:r>
      <w:r>
        <w:rPr>
          <w:spacing w:val="26"/>
        </w:rPr>
        <w:t> </w:t>
      </w:r>
      <w:r>
        <w:rPr/>
        <w:t>monthly</w:t>
      </w:r>
      <w:r>
        <w:rPr>
          <w:spacing w:val="22"/>
        </w:rPr>
        <w:t> </w:t>
      </w:r>
      <w:r>
        <w:rPr/>
        <w:t>income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>
          <w:strike/>
        </w:rPr>
        <w:t>N</w:t>
      </w:r>
      <w:r>
        <w:rPr>
          <w:strike w:val="0"/>
        </w:rPr>
        <w:t>125,000</w:t>
      </w:r>
      <w:r>
        <w:rPr>
          <w:strike w:val="0"/>
          <w:spacing w:val="38"/>
        </w:rPr>
        <w:t> </w:t>
      </w:r>
      <w:r>
        <w:rPr>
          <w:strike w:val="0"/>
        </w:rPr>
        <w:t>,</w:t>
      </w:r>
      <w:r>
        <w:rPr>
          <w:strike w:val="0"/>
          <w:spacing w:val="39"/>
        </w:rPr>
        <w:t> </w:t>
      </w:r>
      <w:r>
        <w:rPr>
          <w:strike w:val="0"/>
        </w:rPr>
        <w:t>and</w:t>
      </w:r>
      <w:r>
        <w:rPr>
          <w:strike w:val="0"/>
          <w:spacing w:val="38"/>
        </w:rPr>
        <w:t> </w:t>
      </w:r>
      <w:r>
        <w:rPr>
          <w:strike w:val="0"/>
        </w:rPr>
        <w:t>the</w:t>
      </w:r>
      <w:r>
        <w:rPr>
          <w:strike w:val="0"/>
          <w:spacing w:val="39"/>
        </w:rPr>
        <w:t> </w:t>
      </w:r>
      <w:r>
        <w:rPr>
          <w:strike w:val="0"/>
        </w:rPr>
        <w:t>respondents</w:t>
      </w:r>
      <w:r>
        <w:rPr>
          <w:strike w:val="0"/>
          <w:spacing w:val="40"/>
        </w:rPr>
        <w:t> </w:t>
      </w:r>
      <w:r>
        <w:rPr>
          <w:strike w:val="0"/>
        </w:rPr>
        <w:t>that</w:t>
      </w:r>
      <w:r>
        <w:rPr>
          <w:strike w:val="0"/>
          <w:spacing w:val="38"/>
        </w:rPr>
        <w:t> </w:t>
      </w:r>
      <w:r>
        <w:rPr>
          <w:strike w:val="0"/>
        </w:rPr>
        <w:t>resided</w:t>
      </w:r>
      <w:r>
        <w:rPr>
          <w:strike w:val="0"/>
          <w:spacing w:val="39"/>
        </w:rPr>
        <w:t> </w:t>
      </w:r>
      <w:r>
        <w:rPr>
          <w:strike w:val="0"/>
        </w:rPr>
        <w:t>in</w:t>
      </w:r>
      <w:r>
        <w:rPr>
          <w:strike w:val="0"/>
          <w:spacing w:val="37"/>
        </w:rPr>
        <w:t> </w:t>
      </w:r>
      <w:r>
        <w:rPr>
          <w:strike w:val="0"/>
        </w:rPr>
        <w:t>four-bedroom</w:t>
      </w:r>
      <w:r>
        <w:rPr>
          <w:strike w:val="0"/>
          <w:spacing w:val="38"/>
        </w:rPr>
        <w:t> </w:t>
      </w:r>
      <w:r>
        <w:rPr>
          <w:strike w:val="0"/>
        </w:rPr>
        <w:t>flat</w:t>
      </w:r>
      <w:r>
        <w:rPr>
          <w:strike w:val="0"/>
          <w:spacing w:val="40"/>
        </w:rPr>
        <w:t> </w:t>
      </w:r>
      <w:r>
        <w:rPr>
          <w:strike w:val="0"/>
        </w:rPr>
        <w:t>earned</w:t>
      </w:r>
      <w:r>
        <w:rPr>
          <w:strike w:val="0"/>
          <w:spacing w:val="39"/>
        </w:rPr>
        <w:t> </w:t>
      </w:r>
      <w:r>
        <w:rPr>
          <w:strike w:val="0"/>
        </w:rPr>
        <w:t>an</w:t>
      </w:r>
      <w:r>
        <w:rPr>
          <w:strike w:val="0"/>
          <w:spacing w:val="38"/>
        </w:rPr>
        <w:t> </w:t>
      </w:r>
      <w:r>
        <w:rPr>
          <w:strike w:val="0"/>
        </w:rPr>
        <w:t>average</w:t>
      </w:r>
    </w:p>
    <w:p>
      <w:pPr>
        <w:pStyle w:val="BodyText"/>
        <w:spacing w:before="4"/>
        <w:ind w:left="700"/>
      </w:pPr>
      <w:r>
        <w:rPr/>
        <w:t>monthly</w:t>
      </w:r>
      <w:r>
        <w:rPr>
          <w:spacing w:val="25"/>
        </w:rPr>
        <w:t> </w:t>
      </w:r>
      <w:r>
        <w:rPr/>
        <w:t>income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>
          <w:strike/>
        </w:rPr>
        <w:t>N</w:t>
      </w:r>
      <w:r>
        <w:rPr>
          <w:strike w:val="0"/>
        </w:rPr>
        <w:t>177,500.</w:t>
      </w:r>
      <w:r>
        <w:rPr>
          <w:strike w:val="0"/>
          <w:spacing w:val="33"/>
        </w:rPr>
        <w:t> </w:t>
      </w:r>
      <w:r>
        <w:rPr>
          <w:strike w:val="0"/>
        </w:rPr>
        <w:t>These</w:t>
      </w:r>
      <w:r>
        <w:rPr>
          <w:strike w:val="0"/>
          <w:spacing w:val="32"/>
        </w:rPr>
        <w:t> </w:t>
      </w:r>
      <w:r>
        <w:rPr>
          <w:strike w:val="0"/>
        </w:rPr>
        <w:t>results</w:t>
      </w:r>
      <w:r>
        <w:rPr>
          <w:strike w:val="0"/>
          <w:spacing w:val="33"/>
        </w:rPr>
        <w:t> </w:t>
      </w:r>
      <w:r>
        <w:rPr>
          <w:strike w:val="0"/>
        </w:rPr>
        <w:t>revealed</w:t>
      </w:r>
      <w:r>
        <w:rPr>
          <w:strike w:val="0"/>
          <w:spacing w:val="32"/>
        </w:rPr>
        <w:t> </w:t>
      </w:r>
      <w:r>
        <w:rPr>
          <w:strike w:val="0"/>
        </w:rPr>
        <w:t>the</w:t>
      </w:r>
      <w:r>
        <w:rPr>
          <w:strike w:val="0"/>
          <w:spacing w:val="32"/>
        </w:rPr>
        <w:t> </w:t>
      </w:r>
      <w:r>
        <w:rPr>
          <w:strike w:val="0"/>
        </w:rPr>
        <w:t>majority</w:t>
      </w:r>
      <w:r>
        <w:rPr>
          <w:strike w:val="0"/>
          <w:spacing w:val="28"/>
        </w:rPr>
        <w:t> </w:t>
      </w:r>
      <w:r>
        <w:rPr>
          <w:strike w:val="0"/>
        </w:rPr>
        <w:t>of</w:t>
      </w:r>
      <w:r>
        <w:rPr>
          <w:strike w:val="0"/>
          <w:spacing w:val="34"/>
        </w:rPr>
        <w:t> </w:t>
      </w:r>
      <w:r>
        <w:rPr>
          <w:strike w:val="0"/>
        </w:rPr>
        <w:t>residents</w:t>
      </w:r>
      <w:r>
        <w:rPr>
          <w:strike w:val="0"/>
          <w:spacing w:val="33"/>
        </w:rPr>
        <w:t> </w:t>
      </w:r>
      <w:r>
        <w:rPr>
          <w:strike w:val="0"/>
        </w:rPr>
        <w:t>of</w:t>
      </w:r>
      <w:r>
        <w:rPr>
          <w:strike w:val="0"/>
          <w:spacing w:val="32"/>
        </w:rPr>
        <w:t> </w:t>
      </w:r>
      <w:r>
        <w:rPr>
          <w:strike w:val="0"/>
        </w:rPr>
        <w:t>the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77" w:lineRule="auto" w:before="90"/>
        <w:ind w:left="700" w:right="1052"/>
      </w:pPr>
      <w:r>
        <w:rPr/>
        <w:t>study</w:t>
      </w:r>
      <w:r>
        <w:rPr>
          <w:spacing w:val="4"/>
        </w:rPr>
        <w:t> </w:t>
      </w:r>
      <w:r>
        <w:rPr/>
        <w:t>area</w:t>
      </w:r>
      <w:r>
        <w:rPr>
          <w:spacing w:val="8"/>
        </w:rPr>
        <w:t> </w:t>
      </w:r>
      <w:r>
        <w:rPr/>
        <w:t>were</w:t>
      </w:r>
      <w:r>
        <w:rPr>
          <w:spacing w:val="10"/>
        </w:rPr>
        <w:t> </w:t>
      </w:r>
      <w:r>
        <w:rPr/>
        <w:t>medium-income</w:t>
      </w:r>
      <w:r>
        <w:rPr>
          <w:spacing w:val="9"/>
        </w:rPr>
        <w:t> </w:t>
      </w:r>
      <w:r>
        <w:rPr/>
        <w:t>earners</w:t>
      </w:r>
      <w:r>
        <w:rPr>
          <w:spacing w:val="8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extent</w:t>
      </w:r>
      <w:r>
        <w:rPr>
          <w:spacing w:val="9"/>
        </w:rPr>
        <w:t> </w:t>
      </w:r>
      <w:r>
        <w:rPr/>
        <w:t>literature</w:t>
      </w:r>
      <w:r>
        <w:rPr>
          <w:spacing w:val="8"/>
        </w:rPr>
        <w:t> </w:t>
      </w:r>
      <w:r>
        <w:rPr/>
        <w:t>review</w:t>
      </w:r>
      <w:r>
        <w:rPr>
          <w:spacing w:val="10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 earners in</w:t>
      </w:r>
      <w:r>
        <w:rPr>
          <w:spacing w:val="-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that a</w:t>
      </w:r>
      <w:r>
        <w:rPr>
          <w:spacing w:val="-2"/>
        </w:rPr>
        <w:t> </w:t>
      </w:r>
      <w:r>
        <w:rPr/>
        <w:t>low-income earner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</w:p>
    <w:p>
      <w:pPr>
        <w:spacing w:after="0" w:line="477" w:lineRule="auto"/>
        <w:sectPr>
          <w:pgSz w:w="11900" w:h="16840"/>
          <w:pgMar w:header="0" w:footer="1068" w:top="1320" w:bottom="1300" w:left="1280" w:right="360"/>
        </w:sectPr>
      </w:pPr>
    </w:p>
    <w:p>
      <w:pPr>
        <w:pStyle w:val="BodyText"/>
        <w:spacing w:line="477" w:lineRule="auto" w:before="76"/>
        <w:ind w:left="700" w:right="1040"/>
        <w:jc w:val="both"/>
      </w:pPr>
      <w:r>
        <w:rPr/>
        <w:t>person who earns the National Minimum Wage or less as employment income. The</w:t>
      </w:r>
      <w:r>
        <w:rPr>
          <w:spacing w:val="1"/>
        </w:rPr>
        <w:t> </w:t>
      </w:r>
      <w:r>
        <w:rPr/>
        <w:t>current Minimum Wage in Nigeria stands NGN30, 000 per month or NGN360, 000 per</w:t>
      </w:r>
      <w:r>
        <w:rPr>
          <w:spacing w:val="1"/>
        </w:rPr>
        <w:t> </w:t>
      </w:r>
      <w:r>
        <w:rPr/>
        <w:t>annum (Finance Act 2020) A medium income earner should earn between NGN 75,000</w:t>
      </w:r>
      <w:r>
        <w:rPr>
          <w:spacing w:val="1"/>
        </w:rPr>
        <w:t> </w:t>
      </w:r>
      <w:r>
        <w:rPr/>
        <w:t>to NGN 100,000 monthly (Robertson </w:t>
      </w:r>
      <w:r>
        <w:rPr>
          <w:i/>
        </w:rPr>
        <w:t>et al., </w:t>
      </w:r>
      <w:r>
        <w:rPr/>
        <w:t>2011). High income earners are those that</w:t>
      </w:r>
      <w:r>
        <w:rPr>
          <w:spacing w:val="1"/>
        </w:rPr>
        <w:t> </w:t>
      </w:r>
      <w:r>
        <w:rPr/>
        <w:t>earn above NGN 100,000 monthly. And since monthly take-home of the 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above</w:t>
      </w:r>
      <w:r>
        <w:rPr>
          <w:strike/>
        </w:rPr>
        <w:t>N</w:t>
      </w:r>
      <w:r>
        <w:rPr>
          <w:strike w:val="0"/>
        </w:rPr>
        <w:t>30,000</w:t>
      </w:r>
      <w:r>
        <w:rPr>
          <w:strike w:val="0"/>
          <w:spacing w:val="2"/>
        </w:rPr>
        <w:t> </w:t>
      </w:r>
      <w:r>
        <w:rPr>
          <w:strike w:val="0"/>
        </w:rPr>
        <w:t>monthly</w:t>
      </w:r>
      <w:r>
        <w:rPr>
          <w:strike w:val="0"/>
          <w:spacing w:val="-4"/>
        </w:rPr>
        <w:t> </w:t>
      </w:r>
      <w:r>
        <w:rPr>
          <w:strike w:val="0"/>
        </w:rPr>
        <w:t>which</w:t>
      </w:r>
      <w:r>
        <w:rPr>
          <w:strike w:val="0"/>
          <w:spacing w:val="4"/>
        </w:rPr>
        <w:t> </w:t>
      </w:r>
      <w:r>
        <w:rPr>
          <w:strike w:val="0"/>
        </w:rPr>
        <w:t>is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current</w:t>
      </w:r>
      <w:r>
        <w:rPr>
          <w:strike w:val="0"/>
          <w:spacing w:val="5"/>
        </w:rPr>
        <w:t> </w:t>
      </w:r>
      <w:r>
        <w:rPr>
          <w:strike w:val="0"/>
        </w:rPr>
        <w:t>approved</w:t>
      </w:r>
      <w:r>
        <w:rPr>
          <w:strike w:val="0"/>
          <w:spacing w:val="1"/>
        </w:rPr>
        <w:t> </w:t>
      </w:r>
      <w:r>
        <w:rPr>
          <w:strike w:val="0"/>
        </w:rPr>
        <w:t>national</w:t>
      </w:r>
      <w:r>
        <w:rPr>
          <w:strike w:val="0"/>
          <w:spacing w:val="2"/>
        </w:rPr>
        <w:t> </w:t>
      </w:r>
      <w:r>
        <w:rPr>
          <w:strike w:val="0"/>
        </w:rPr>
        <w:t>wage</w:t>
      </w:r>
      <w:r>
        <w:rPr>
          <w:strike w:val="0"/>
          <w:spacing w:val="2"/>
        </w:rPr>
        <w:t> </w:t>
      </w:r>
      <w:r>
        <w:rPr>
          <w:strike w:val="0"/>
        </w:rPr>
        <w:t>by</w:t>
      </w:r>
      <w:r>
        <w:rPr>
          <w:strike w:val="0"/>
          <w:spacing w:val="-3"/>
        </w:rPr>
        <w:t> </w:t>
      </w:r>
      <w:r>
        <w:rPr>
          <w:strike w:val="0"/>
        </w:rPr>
        <w:t>the</w:t>
      </w:r>
      <w:r>
        <w:rPr>
          <w:strike w:val="0"/>
          <w:spacing w:val="2"/>
        </w:rPr>
        <w:t> </w:t>
      </w:r>
      <w:r>
        <w:rPr>
          <w:strike w:val="0"/>
        </w:rPr>
        <w:t>federal</w:t>
      </w:r>
    </w:p>
    <w:p>
      <w:pPr>
        <w:pStyle w:val="BodyText"/>
        <w:spacing w:before="3"/>
        <w:ind w:left="700"/>
      </w:pPr>
      <w:r>
        <w:rPr/>
        <w:t>government</w:t>
      </w:r>
      <w:r>
        <w:rPr>
          <w:spacing w:val="-1"/>
        </w:rPr>
        <w:t> </w:t>
      </w:r>
      <w:r>
        <w:rPr/>
        <w:t>of Nigeria, it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deduced that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medium-income</w:t>
      </w:r>
      <w:r>
        <w:rPr>
          <w:spacing w:val="-1"/>
        </w:rPr>
        <w:t> </w:t>
      </w:r>
      <w:r>
        <w:rPr/>
        <w:t>earners.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spacing w:after="46"/>
      </w:pPr>
      <w:r>
        <w:rPr/>
        <w:t>Table</w:t>
      </w:r>
      <w:r>
        <w:rPr>
          <w:spacing w:val="-2"/>
        </w:rPr>
        <w:t> </w:t>
      </w:r>
      <w:r>
        <w:rPr/>
        <w:t>4.13:</w:t>
      </w:r>
      <w:r>
        <w:rPr>
          <w:spacing w:val="-3"/>
        </w:rPr>
        <w:t> </w:t>
      </w:r>
      <w:r>
        <w:rPr/>
        <w:t>Household</w:t>
      </w:r>
      <w:r>
        <w:rPr>
          <w:spacing w:val="-3"/>
        </w:rPr>
        <w:t> </w:t>
      </w:r>
      <w:r>
        <w:rPr/>
        <w:t>Monthly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</w:t>
      </w:r>
      <w:r>
        <w:rPr>
          <w:spacing w:val="5"/>
        </w:rPr>
        <w:t> </w:t>
      </w:r>
      <w:r>
        <w:rPr/>
        <w:t>Public</w:t>
      </w:r>
      <w:r>
        <w:rPr>
          <w:spacing w:val="-2"/>
        </w:rPr>
        <w:t> </w:t>
      </w:r>
      <w:r>
        <w:rPr/>
        <w:t>Housing</w:t>
      </w:r>
      <w:r>
        <w:rPr>
          <w:spacing w:val="-5"/>
        </w:rPr>
        <w:t> </w:t>
      </w:r>
      <w:r>
        <w:rPr/>
        <w:t>Estates</w:t>
      </w:r>
    </w:p>
    <w:tbl>
      <w:tblPr>
        <w:tblW w:w="0" w:type="auto"/>
        <w:jc w:val="left"/>
        <w:tblInd w:w="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9"/>
        <w:gridCol w:w="1752"/>
        <w:gridCol w:w="1841"/>
        <w:gridCol w:w="1740"/>
      </w:tblGrid>
      <w:tr>
        <w:trPr>
          <w:trHeight w:val="295" w:hRule="atLeast"/>
        </w:trPr>
        <w:tc>
          <w:tcPr>
            <w:tcW w:w="3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4"/>
              <w:ind w:left="1943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Housing</w:t>
            </w:r>
          </w:p>
        </w:tc>
        <w:tc>
          <w:tcPr>
            <w:tcW w:w="17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3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56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Types</w:t>
            </w:r>
          </w:p>
        </w:tc>
        <w:tc>
          <w:tcPr>
            <w:tcW w:w="1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12" w:right="37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Minimum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66" w:right="36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Maximum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9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Average</w:t>
            </w:r>
          </w:p>
        </w:tc>
      </w:tr>
      <w:tr>
        <w:trPr>
          <w:trHeight w:val="303" w:hRule="atLeast"/>
        </w:trPr>
        <w:tc>
          <w:tcPr>
            <w:tcW w:w="3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9"/>
              <w:ind w:left="1956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9"/>
              <w:ind w:left="306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100000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9"/>
              <w:ind w:left="366" w:right="3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147000</w:t>
            </w: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9"/>
              <w:ind w:lef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123,500</w:t>
            </w:r>
          </w:p>
        </w:tc>
      </w:tr>
      <w:tr>
        <w:trPr>
          <w:trHeight w:val="302" w:hRule="atLeast"/>
        </w:trPr>
        <w:tc>
          <w:tcPr>
            <w:tcW w:w="3379" w:type="dxa"/>
          </w:tcPr>
          <w:p>
            <w:pPr>
              <w:pStyle w:val="TableParagraph"/>
              <w:spacing w:line="274" w:lineRule="exact" w:before="8"/>
              <w:ind w:left="1956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52" w:type="dxa"/>
          </w:tcPr>
          <w:p>
            <w:pPr>
              <w:pStyle w:val="TableParagraph"/>
              <w:spacing w:line="274" w:lineRule="exact" w:before="8"/>
              <w:ind w:left="306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105000</w:t>
            </w:r>
          </w:p>
        </w:tc>
        <w:tc>
          <w:tcPr>
            <w:tcW w:w="1841" w:type="dxa"/>
          </w:tcPr>
          <w:p>
            <w:pPr>
              <w:pStyle w:val="TableParagraph"/>
              <w:spacing w:line="274" w:lineRule="exact" w:before="8"/>
              <w:ind w:left="366" w:right="3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146000</w:t>
            </w:r>
          </w:p>
        </w:tc>
        <w:tc>
          <w:tcPr>
            <w:tcW w:w="1740" w:type="dxa"/>
          </w:tcPr>
          <w:p>
            <w:pPr>
              <w:pStyle w:val="TableParagraph"/>
              <w:spacing w:line="274" w:lineRule="exact" w:before="8"/>
              <w:ind w:lef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125,500</w:t>
            </w:r>
          </w:p>
        </w:tc>
      </w:tr>
      <w:tr>
        <w:trPr>
          <w:trHeight w:val="452" w:hRule="atLeast"/>
        </w:trPr>
        <w:tc>
          <w:tcPr>
            <w:tcW w:w="3379" w:type="dxa"/>
          </w:tcPr>
          <w:p>
            <w:pPr>
              <w:pStyle w:val="TableParagraph"/>
              <w:spacing w:before="8"/>
              <w:ind w:left="1956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52" w:type="dxa"/>
          </w:tcPr>
          <w:p>
            <w:pPr>
              <w:pStyle w:val="TableParagraph"/>
              <w:spacing w:before="8"/>
              <w:ind w:left="306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151000</w:t>
            </w:r>
          </w:p>
        </w:tc>
        <w:tc>
          <w:tcPr>
            <w:tcW w:w="1841" w:type="dxa"/>
          </w:tcPr>
          <w:p>
            <w:pPr>
              <w:pStyle w:val="TableParagraph"/>
              <w:spacing w:before="8"/>
              <w:ind w:left="366" w:right="3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200000</w:t>
            </w:r>
          </w:p>
        </w:tc>
        <w:tc>
          <w:tcPr>
            <w:tcW w:w="1740" w:type="dxa"/>
          </w:tcPr>
          <w:p>
            <w:pPr>
              <w:pStyle w:val="TableParagraph"/>
              <w:spacing w:before="8"/>
              <w:ind w:lef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175,500</w:t>
            </w:r>
          </w:p>
        </w:tc>
      </w:tr>
      <w:tr>
        <w:trPr>
          <w:trHeight w:val="452" w:hRule="atLeast"/>
        </w:trPr>
        <w:tc>
          <w:tcPr>
            <w:tcW w:w="3379" w:type="dxa"/>
          </w:tcPr>
          <w:p>
            <w:pPr>
              <w:pStyle w:val="TableParagraph"/>
              <w:spacing w:line="274" w:lineRule="exact" w:before="158"/>
              <w:ind w:left="1956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52" w:type="dxa"/>
          </w:tcPr>
          <w:p>
            <w:pPr>
              <w:pStyle w:val="TableParagraph"/>
              <w:spacing w:line="274" w:lineRule="exact" w:before="158"/>
              <w:ind w:left="306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110000</w:t>
            </w:r>
          </w:p>
        </w:tc>
        <w:tc>
          <w:tcPr>
            <w:tcW w:w="1841" w:type="dxa"/>
          </w:tcPr>
          <w:p>
            <w:pPr>
              <w:pStyle w:val="TableParagraph"/>
              <w:spacing w:line="274" w:lineRule="exact" w:before="158"/>
              <w:ind w:left="366" w:right="3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148000</w:t>
            </w:r>
          </w:p>
        </w:tc>
        <w:tc>
          <w:tcPr>
            <w:tcW w:w="1740" w:type="dxa"/>
          </w:tcPr>
          <w:p>
            <w:pPr>
              <w:pStyle w:val="TableParagraph"/>
              <w:spacing w:line="274" w:lineRule="exact" w:before="158"/>
              <w:ind w:lef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129,000</w:t>
            </w:r>
          </w:p>
        </w:tc>
      </w:tr>
      <w:tr>
        <w:trPr>
          <w:trHeight w:val="302" w:hRule="atLeast"/>
        </w:trPr>
        <w:tc>
          <w:tcPr>
            <w:tcW w:w="3379" w:type="dxa"/>
          </w:tcPr>
          <w:p>
            <w:pPr>
              <w:pStyle w:val="TableParagraph"/>
              <w:spacing w:line="274" w:lineRule="exact" w:before="8"/>
              <w:ind w:left="1956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52" w:type="dxa"/>
          </w:tcPr>
          <w:p>
            <w:pPr>
              <w:pStyle w:val="TableParagraph"/>
              <w:spacing w:line="274" w:lineRule="exact" w:before="8"/>
              <w:ind w:left="310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102000</w:t>
            </w:r>
          </w:p>
        </w:tc>
        <w:tc>
          <w:tcPr>
            <w:tcW w:w="1841" w:type="dxa"/>
          </w:tcPr>
          <w:p>
            <w:pPr>
              <w:pStyle w:val="TableParagraph"/>
              <w:spacing w:line="274" w:lineRule="exact" w:before="8"/>
              <w:ind w:left="366" w:right="3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149000</w:t>
            </w:r>
          </w:p>
        </w:tc>
        <w:tc>
          <w:tcPr>
            <w:tcW w:w="1740" w:type="dxa"/>
          </w:tcPr>
          <w:p>
            <w:pPr>
              <w:pStyle w:val="TableParagraph"/>
              <w:spacing w:line="274" w:lineRule="exact" w:before="8"/>
              <w:ind w:lef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125,500</w:t>
            </w:r>
          </w:p>
        </w:tc>
      </w:tr>
      <w:tr>
        <w:trPr>
          <w:trHeight w:val="299" w:hRule="atLeast"/>
        </w:trPr>
        <w:tc>
          <w:tcPr>
            <w:tcW w:w="3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956" w:right="3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306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155000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366" w:right="3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200000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177,500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1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affordability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evergreen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royal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valley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The result depicted as shown in table 4.14, the household monthly income in a selected</w:t>
      </w:r>
      <w:r>
        <w:rPr>
          <w:spacing w:val="1"/>
        </w:rPr>
        <w:t> </w:t>
      </w:r>
      <w:r>
        <w:rPr/>
        <w:t>private housing estate, uncovered that at Evergreen estate, the respondents that dwelled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two-bed</w:t>
      </w:r>
      <w:r>
        <w:rPr>
          <w:spacing w:val="75"/>
        </w:rPr>
        <w:t> </w:t>
      </w:r>
      <w:r>
        <w:rPr/>
        <w:t>rooms</w:t>
      </w:r>
      <w:r>
        <w:rPr>
          <w:spacing w:val="75"/>
        </w:rPr>
        <w:t> </w:t>
      </w:r>
      <w:r>
        <w:rPr/>
        <w:t>apartment</w:t>
      </w:r>
      <w:r>
        <w:rPr>
          <w:spacing w:val="76"/>
        </w:rPr>
        <w:t> </w:t>
      </w:r>
      <w:r>
        <w:rPr/>
        <w:t>earned</w:t>
      </w:r>
      <w:r>
        <w:rPr>
          <w:spacing w:val="75"/>
        </w:rPr>
        <w:t> </w:t>
      </w:r>
      <w:r>
        <w:rPr/>
        <w:t>an</w:t>
      </w:r>
      <w:r>
        <w:rPr>
          <w:spacing w:val="75"/>
        </w:rPr>
        <w:t> </w:t>
      </w:r>
      <w:r>
        <w:rPr/>
        <w:t>average</w:t>
      </w:r>
      <w:r>
        <w:rPr>
          <w:spacing w:val="74"/>
        </w:rPr>
        <w:t> </w:t>
      </w:r>
      <w:r>
        <w:rPr/>
        <w:t>income</w:t>
      </w:r>
      <w:r>
        <w:rPr>
          <w:spacing w:val="74"/>
        </w:rPr>
        <w:t> </w:t>
      </w:r>
      <w:r>
        <w:rPr/>
        <w:t>of</w:t>
      </w:r>
      <w:r>
        <w:rPr>
          <w:spacing w:val="78"/>
        </w:rPr>
        <w:t> </w:t>
      </w:r>
      <w:r>
        <w:rPr>
          <w:strike/>
        </w:rPr>
        <w:t>N</w:t>
      </w:r>
      <w:r>
        <w:rPr>
          <w:strike w:val="0"/>
        </w:rPr>
        <w:t>250,</w:t>
      </w:r>
      <w:r>
        <w:rPr>
          <w:strike w:val="0"/>
          <w:spacing w:val="75"/>
        </w:rPr>
        <w:t> </w:t>
      </w:r>
      <w:r>
        <w:rPr>
          <w:strike w:val="0"/>
        </w:rPr>
        <w:t>000,</w:t>
      </w:r>
      <w:r>
        <w:rPr>
          <w:strike w:val="0"/>
          <w:spacing w:val="75"/>
        </w:rPr>
        <w:t> </w:t>
      </w:r>
      <w:r>
        <w:rPr>
          <w:strike w:val="0"/>
        </w:rPr>
        <w:t>while</w:t>
      </w:r>
      <w:r>
        <w:rPr>
          <w:strike w:val="0"/>
          <w:spacing w:val="75"/>
        </w:rPr>
        <w:t> </w:t>
      </w:r>
      <w:r>
        <w:rPr>
          <w:strike w:val="0"/>
        </w:rPr>
        <w:t>the</w:t>
      </w:r>
    </w:p>
    <w:p>
      <w:pPr>
        <w:pStyle w:val="BodyText"/>
        <w:spacing w:line="477" w:lineRule="auto" w:before="2"/>
        <w:ind w:left="700" w:right="1030"/>
      </w:pPr>
      <w:r>
        <w:rPr/>
        <w:t>respondents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lived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three</w:t>
      </w:r>
      <w:r>
        <w:rPr>
          <w:spacing w:val="2"/>
        </w:rPr>
        <w:t> </w:t>
      </w:r>
      <w:r>
        <w:rPr/>
        <w:t>bedrooms</w:t>
      </w:r>
      <w:r>
        <w:rPr>
          <w:spacing w:val="3"/>
        </w:rPr>
        <w:t> </w:t>
      </w:r>
      <w:r>
        <w:rPr/>
        <w:t>bungalows</w:t>
      </w:r>
      <w:r>
        <w:rPr>
          <w:spacing w:val="3"/>
        </w:rPr>
        <w:t> </w:t>
      </w:r>
      <w:r>
        <w:rPr/>
        <w:t>earned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average</w:t>
      </w:r>
      <w:r>
        <w:rPr>
          <w:spacing w:val="2"/>
        </w:rPr>
        <w:t> </w:t>
      </w:r>
      <w:r>
        <w:rPr/>
        <w:t>income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>
          <w:strike/>
        </w:rPr>
        <w:t>N</w:t>
      </w:r>
      <w:r>
        <w:rPr>
          <w:strike w:val="0"/>
        </w:rPr>
        <w:t>282,000</w:t>
      </w:r>
      <w:r>
        <w:rPr>
          <w:strike w:val="0"/>
          <w:spacing w:val="13"/>
        </w:rPr>
        <w:t> </w:t>
      </w:r>
      <w:r>
        <w:rPr>
          <w:strike w:val="0"/>
        </w:rPr>
        <w:t>;</w:t>
      </w:r>
      <w:r>
        <w:rPr>
          <w:strike w:val="0"/>
          <w:spacing w:val="14"/>
        </w:rPr>
        <w:t> </w:t>
      </w:r>
      <w:r>
        <w:rPr>
          <w:strike w:val="0"/>
        </w:rPr>
        <w:t>the</w:t>
      </w:r>
      <w:r>
        <w:rPr>
          <w:strike w:val="0"/>
          <w:spacing w:val="13"/>
        </w:rPr>
        <w:t> </w:t>
      </w:r>
      <w:r>
        <w:rPr>
          <w:strike w:val="0"/>
        </w:rPr>
        <w:t>respondents</w:t>
      </w:r>
      <w:r>
        <w:rPr>
          <w:strike w:val="0"/>
          <w:spacing w:val="13"/>
        </w:rPr>
        <w:t> </w:t>
      </w:r>
      <w:r>
        <w:rPr>
          <w:strike w:val="0"/>
        </w:rPr>
        <w:t>that</w:t>
      </w:r>
      <w:r>
        <w:rPr>
          <w:strike w:val="0"/>
          <w:spacing w:val="14"/>
        </w:rPr>
        <w:t> </w:t>
      </w:r>
      <w:r>
        <w:rPr>
          <w:strike w:val="0"/>
        </w:rPr>
        <w:t>lived</w:t>
      </w:r>
      <w:r>
        <w:rPr>
          <w:strike w:val="0"/>
          <w:spacing w:val="14"/>
        </w:rPr>
        <w:t> </w:t>
      </w:r>
      <w:r>
        <w:rPr>
          <w:strike w:val="0"/>
        </w:rPr>
        <w:t>in</w:t>
      </w:r>
      <w:r>
        <w:rPr>
          <w:strike w:val="0"/>
          <w:spacing w:val="14"/>
        </w:rPr>
        <w:t> </w:t>
      </w:r>
      <w:r>
        <w:rPr>
          <w:strike w:val="0"/>
        </w:rPr>
        <w:t>four</w:t>
      </w:r>
      <w:r>
        <w:rPr>
          <w:strike w:val="0"/>
          <w:spacing w:val="11"/>
        </w:rPr>
        <w:t> </w:t>
      </w:r>
      <w:r>
        <w:rPr>
          <w:strike w:val="0"/>
        </w:rPr>
        <w:t>bedrooms</w:t>
      </w:r>
      <w:r>
        <w:rPr>
          <w:strike w:val="0"/>
          <w:spacing w:val="14"/>
        </w:rPr>
        <w:t> </w:t>
      </w:r>
      <w:r>
        <w:rPr>
          <w:strike w:val="0"/>
        </w:rPr>
        <w:t>apartment</w:t>
      </w:r>
      <w:r>
        <w:rPr>
          <w:strike w:val="0"/>
          <w:spacing w:val="14"/>
        </w:rPr>
        <w:t> </w:t>
      </w:r>
      <w:r>
        <w:rPr>
          <w:strike w:val="0"/>
        </w:rPr>
        <w:t>earned</w:t>
      </w:r>
      <w:r>
        <w:rPr>
          <w:strike w:val="0"/>
          <w:spacing w:val="18"/>
        </w:rPr>
        <w:t> </w:t>
      </w:r>
      <w:r>
        <w:rPr>
          <w:strike/>
        </w:rPr>
        <w:t>N</w:t>
      </w:r>
      <w:r>
        <w:rPr>
          <w:strike w:val="0"/>
        </w:rPr>
        <w:t>349,000</w:t>
      </w:r>
      <w:r>
        <w:rPr>
          <w:strike w:val="0"/>
          <w:spacing w:val="13"/>
        </w:rPr>
        <w:t> </w:t>
      </w:r>
      <w:r>
        <w:rPr>
          <w:strike w:val="0"/>
        </w:rPr>
        <w:t>on</w:t>
      </w:r>
    </w:p>
    <w:p>
      <w:pPr>
        <w:pStyle w:val="BodyText"/>
        <w:spacing w:before="1"/>
        <w:ind w:left="700"/>
      </w:pPr>
      <w:r>
        <w:rPr/>
        <w:t>monthly</w:t>
      </w:r>
      <w:r>
        <w:rPr>
          <w:spacing w:val="39"/>
        </w:rPr>
        <w:t> </w:t>
      </w:r>
      <w:r>
        <w:rPr/>
        <w:t>basis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those</w:t>
      </w:r>
      <w:r>
        <w:rPr>
          <w:spacing w:val="47"/>
        </w:rPr>
        <w:t> </w:t>
      </w:r>
      <w:r>
        <w:rPr/>
        <w:t>who</w:t>
      </w:r>
      <w:r>
        <w:rPr>
          <w:spacing w:val="44"/>
        </w:rPr>
        <w:t> </w:t>
      </w:r>
      <w:r>
        <w:rPr/>
        <w:t>lived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five</w:t>
      </w:r>
      <w:r>
        <w:rPr>
          <w:spacing w:val="43"/>
        </w:rPr>
        <w:t> </w:t>
      </w:r>
      <w:r>
        <w:rPr/>
        <w:t>bedrooms</w:t>
      </w:r>
      <w:r>
        <w:rPr>
          <w:spacing w:val="45"/>
        </w:rPr>
        <w:t> </w:t>
      </w:r>
      <w:r>
        <w:rPr/>
        <w:t>apartments</w:t>
      </w:r>
      <w:r>
        <w:rPr>
          <w:spacing w:val="48"/>
        </w:rPr>
        <w:t> </w:t>
      </w:r>
      <w:r>
        <w:rPr/>
        <w:t>get</w:t>
      </w:r>
      <w:r>
        <w:rPr>
          <w:spacing w:val="54"/>
        </w:rPr>
        <w:t> </w:t>
      </w:r>
      <w:r>
        <w:rPr>
          <w:strike/>
        </w:rPr>
        <w:t>N</w:t>
      </w:r>
      <w:r>
        <w:rPr>
          <w:strike w:val="0"/>
        </w:rPr>
        <w:t>476,000</w:t>
      </w:r>
      <w:r>
        <w:rPr>
          <w:strike w:val="0"/>
          <w:spacing w:val="45"/>
        </w:rPr>
        <w:t> </w:t>
      </w:r>
      <w:r>
        <w:rPr>
          <w:strike w:val="0"/>
        </w:rPr>
        <w:t>as</w:t>
      </w:r>
      <w:r>
        <w:rPr>
          <w:strike w:val="0"/>
          <w:spacing w:val="44"/>
        </w:rPr>
        <w:t> </w:t>
      </w:r>
      <w:r>
        <w:rPr>
          <w:strike w:val="0"/>
        </w:rPr>
        <w:t>a</w:t>
      </w:r>
    </w:p>
    <w:p>
      <w:pPr>
        <w:pStyle w:val="BodyText"/>
        <w:rPr>
          <w:sz w:val="16"/>
        </w:rPr>
      </w:pPr>
    </w:p>
    <w:p>
      <w:pPr>
        <w:pStyle w:val="BodyText"/>
        <w:spacing w:line="477" w:lineRule="auto" w:before="90"/>
        <w:ind w:left="700" w:right="1028"/>
      </w:pPr>
      <w:r>
        <w:rPr/>
        <w:t>monthly</w:t>
      </w:r>
      <w:r>
        <w:rPr>
          <w:spacing w:val="32"/>
        </w:rPr>
        <w:t> </w:t>
      </w:r>
      <w:r>
        <w:rPr/>
        <w:t>income.</w:t>
      </w:r>
      <w:r>
        <w:rPr>
          <w:spacing w:val="41"/>
        </w:rPr>
        <w:t> </w:t>
      </w:r>
      <w:r>
        <w:rPr/>
        <w:t>Likewise,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Royal</w:t>
      </w:r>
      <w:r>
        <w:rPr>
          <w:spacing w:val="40"/>
        </w:rPr>
        <w:t> </w:t>
      </w:r>
      <w:r>
        <w:rPr/>
        <w:t>Valley</w:t>
      </w:r>
      <w:r>
        <w:rPr>
          <w:spacing w:val="34"/>
        </w:rPr>
        <w:t> </w:t>
      </w:r>
      <w:r>
        <w:rPr/>
        <w:t>estate,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respondents</w:t>
      </w:r>
      <w:r>
        <w:rPr>
          <w:spacing w:val="40"/>
        </w:rPr>
        <w:t> </w:t>
      </w:r>
      <w:r>
        <w:rPr/>
        <w:t>that</w:t>
      </w:r>
      <w:r>
        <w:rPr>
          <w:spacing w:val="37"/>
        </w:rPr>
        <w:t> </w:t>
      </w:r>
      <w:r>
        <w:rPr/>
        <w:t>lived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two</w:t>
      </w:r>
      <w:r>
        <w:rPr>
          <w:spacing w:val="-57"/>
        </w:rPr>
        <w:t> </w:t>
      </w:r>
      <w:r>
        <w:rPr/>
        <w:t>bedrooms</w:t>
      </w:r>
      <w:r>
        <w:rPr>
          <w:spacing w:val="98"/>
        </w:rPr>
        <w:t> </w:t>
      </w:r>
      <w:r>
        <w:rPr/>
        <w:t>houses</w:t>
      </w:r>
      <w:r>
        <w:rPr>
          <w:spacing w:val="100"/>
        </w:rPr>
        <w:t> </w:t>
      </w:r>
      <w:r>
        <w:rPr/>
        <w:t>earned</w:t>
      </w:r>
      <w:r>
        <w:rPr>
          <w:spacing w:val="98"/>
        </w:rPr>
        <w:t> </w:t>
      </w:r>
      <w:r>
        <w:rPr/>
        <w:t>an</w:t>
      </w:r>
      <w:r>
        <w:rPr>
          <w:spacing w:val="98"/>
        </w:rPr>
        <w:t> </w:t>
      </w:r>
      <w:r>
        <w:rPr/>
        <w:t>average</w:t>
      </w:r>
      <w:r>
        <w:rPr>
          <w:spacing w:val="97"/>
        </w:rPr>
        <w:t> </w:t>
      </w:r>
      <w:r>
        <w:rPr/>
        <w:t>of</w:t>
      </w:r>
      <w:r>
        <w:rPr>
          <w:spacing w:val="103"/>
        </w:rPr>
        <w:t> </w:t>
      </w:r>
      <w:r>
        <w:rPr>
          <w:strike/>
        </w:rPr>
        <w:t>N</w:t>
      </w:r>
      <w:r>
        <w:rPr>
          <w:strike w:val="0"/>
        </w:rPr>
        <w:t>174,500</w:t>
      </w:r>
      <w:r>
        <w:rPr>
          <w:strike w:val="0"/>
          <w:spacing w:val="98"/>
        </w:rPr>
        <w:t> </w:t>
      </w:r>
      <w:r>
        <w:rPr>
          <w:strike w:val="0"/>
        </w:rPr>
        <w:t>on</w:t>
      </w:r>
      <w:r>
        <w:rPr>
          <w:strike w:val="0"/>
          <w:spacing w:val="98"/>
        </w:rPr>
        <w:t> </w:t>
      </w:r>
      <w:r>
        <w:rPr>
          <w:strike w:val="0"/>
        </w:rPr>
        <w:t>monthly</w:t>
      </w:r>
      <w:r>
        <w:rPr>
          <w:strike w:val="0"/>
          <w:spacing w:val="95"/>
        </w:rPr>
        <w:t> </w:t>
      </w:r>
      <w:r>
        <w:rPr>
          <w:strike w:val="0"/>
        </w:rPr>
        <w:t>basis,</w:t>
      </w:r>
      <w:r>
        <w:rPr>
          <w:strike w:val="0"/>
          <w:spacing w:val="98"/>
        </w:rPr>
        <w:t> </w:t>
      </w:r>
      <w:r>
        <w:rPr>
          <w:strike w:val="0"/>
        </w:rPr>
        <w:t>while</w:t>
      </w:r>
      <w:r>
        <w:rPr>
          <w:strike w:val="0"/>
          <w:spacing w:val="97"/>
        </w:rPr>
        <w:t> </w:t>
      </w:r>
      <w:r>
        <w:rPr>
          <w:strike w:val="0"/>
        </w:rPr>
        <w:t>the</w:t>
      </w:r>
    </w:p>
    <w:p>
      <w:pPr>
        <w:pStyle w:val="BodyText"/>
        <w:spacing w:before="1"/>
        <w:ind w:left="700"/>
      </w:pPr>
      <w:r>
        <w:rPr/>
        <w:t>respondents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dwelled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three</w:t>
      </w:r>
      <w:r>
        <w:rPr>
          <w:spacing w:val="12"/>
        </w:rPr>
        <w:t> </w:t>
      </w:r>
      <w:r>
        <w:rPr/>
        <w:t>bedrooms</w:t>
      </w:r>
      <w:r>
        <w:rPr>
          <w:spacing w:val="14"/>
        </w:rPr>
        <w:t> </w:t>
      </w:r>
      <w:r>
        <w:rPr/>
        <w:t>apartment</w:t>
      </w:r>
      <w:r>
        <w:rPr>
          <w:spacing w:val="13"/>
        </w:rPr>
        <w:t> </w:t>
      </w:r>
      <w:r>
        <w:rPr/>
        <w:t>earned</w:t>
      </w:r>
      <w:r>
        <w:rPr>
          <w:spacing w:val="17"/>
        </w:rPr>
        <w:t> </w:t>
      </w:r>
      <w:r>
        <w:rPr>
          <w:strike/>
        </w:rPr>
        <w:t>N</w:t>
      </w:r>
      <w:r>
        <w:rPr>
          <w:strike w:val="0"/>
        </w:rPr>
        <w:t>173,500</w:t>
      </w:r>
      <w:r>
        <w:rPr>
          <w:strike w:val="0"/>
          <w:spacing w:val="14"/>
        </w:rPr>
        <w:t> </w:t>
      </w:r>
      <w:r>
        <w:rPr>
          <w:strike w:val="0"/>
        </w:rPr>
        <w:t>per</w:t>
      </w:r>
      <w:r>
        <w:rPr>
          <w:strike w:val="0"/>
          <w:spacing w:val="12"/>
        </w:rPr>
        <w:t> </w:t>
      </w:r>
      <w:r>
        <w:rPr>
          <w:strike w:val="0"/>
        </w:rPr>
        <w:t>month</w:t>
      </w:r>
      <w:r>
        <w:rPr>
          <w:strike w:val="0"/>
          <w:spacing w:val="13"/>
        </w:rPr>
        <w:t> </w:t>
      </w:r>
      <w:r>
        <w:rPr>
          <w:strike w:val="0"/>
        </w:rPr>
        <w:t>and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700"/>
      </w:pPr>
      <w:r>
        <w:rPr/>
        <w:t>the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that lived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four-bedroom bungalow</w:t>
      </w:r>
      <w:r>
        <w:rPr>
          <w:spacing w:val="-1"/>
        </w:rPr>
        <w:t> </w:t>
      </w:r>
      <w:r>
        <w:rPr/>
        <w:t>received an</w:t>
      </w:r>
      <w:r>
        <w:rPr>
          <w:spacing w:val="-1"/>
        </w:rPr>
        <w:t> </w:t>
      </w:r>
      <w:r>
        <w:rPr/>
        <w:t>average monthly</w:t>
      </w:r>
    </w:p>
    <w:p>
      <w:pPr>
        <w:spacing w:after="0"/>
        <w:sectPr>
          <w:pgSz w:w="11900" w:h="16840"/>
          <w:pgMar w:header="0" w:footer="1068" w:top="1320" w:bottom="1280" w:left="1280" w:right="360"/>
        </w:sectPr>
      </w:pPr>
    </w:p>
    <w:p>
      <w:pPr>
        <w:pStyle w:val="BodyText"/>
        <w:spacing w:before="74"/>
        <w:ind w:left="700"/>
      </w:pPr>
      <w:r>
        <w:rPr/>
        <w:t>income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>
          <w:strike/>
        </w:rPr>
        <w:t>N</w:t>
      </w:r>
      <w:r>
        <w:rPr>
          <w:strike w:val="0"/>
        </w:rPr>
        <w:t>257,500,</w:t>
      </w:r>
      <w:r>
        <w:rPr>
          <w:strike w:val="0"/>
          <w:spacing w:val="22"/>
        </w:rPr>
        <w:t> </w:t>
      </w:r>
      <w:r>
        <w:rPr>
          <w:strike w:val="0"/>
        </w:rPr>
        <w:t>while</w:t>
      </w:r>
      <w:r>
        <w:rPr>
          <w:strike w:val="0"/>
          <w:spacing w:val="22"/>
        </w:rPr>
        <w:t> </w:t>
      </w:r>
      <w:r>
        <w:rPr>
          <w:strike w:val="0"/>
        </w:rPr>
        <w:t>those</w:t>
      </w:r>
      <w:r>
        <w:rPr>
          <w:strike w:val="0"/>
          <w:spacing w:val="22"/>
        </w:rPr>
        <w:t> </w:t>
      </w:r>
      <w:r>
        <w:rPr>
          <w:strike w:val="0"/>
        </w:rPr>
        <w:t>living</w:t>
      </w:r>
      <w:r>
        <w:rPr>
          <w:strike w:val="0"/>
          <w:spacing w:val="21"/>
        </w:rPr>
        <w:t> </w:t>
      </w:r>
      <w:r>
        <w:rPr>
          <w:strike w:val="0"/>
        </w:rPr>
        <w:t>in</w:t>
      </w:r>
      <w:r>
        <w:rPr>
          <w:strike w:val="0"/>
          <w:spacing w:val="23"/>
        </w:rPr>
        <w:t> </w:t>
      </w:r>
      <w:r>
        <w:rPr>
          <w:strike w:val="0"/>
        </w:rPr>
        <w:t>five-bedroom</w:t>
      </w:r>
      <w:r>
        <w:rPr>
          <w:strike w:val="0"/>
          <w:spacing w:val="22"/>
        </w:rPr>
        <w:t> </w:t>
      </w:r>
      <w:r>
        <w:rPr>
          <w:strike w:val="0"/>
        </w:rPr>
        <w:t>apartment</w:t>
      </w:r>
      <w:r>
        <w:rPr>
          <w:strike w:val="0"/>
          <w:spacing w:val="24"/>
        </w:rPr>
        <w:t> </w:t>
      </w:r>
      <w:r>
        <w:rPr>
          <w:strike w:val="0"/>
        </w:rPr>
        <w:t>earned</w:t>
      </w:r>
      <w:r>
        <w:rPr>
          <w:strike w:val="0"/>
          <w:spacing w:val="22"/>
        </w:rPr>
        <w:t> </w:t>
      </w:r>
      <w:r>
        <w:rPr>
          <w:strike w:val="0"/>
        </w:rPr>
        <w:t>an</w:t>
      </w:r>
      <w:r>
        <w:rPr>
          <w:strike w:val="0"/>
          <w:spacing w:val="22"/>
        </w:rPr>
        <w:t> </w:t>
      </w:r>
      <w:r>
        <w:rPr>
          <w:strike w:val="0"/>
        </w:rPr>
        <w:t>average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700"/>
      </w:pPr>
      <w:r>
        <w:rPr/>
        <w:t>of</w:t>
      </w:r>
      <w:r>
        <w:rPr>
          <w:spacing w:val="5"/>
        </w:rPr>
        <w:t> </w:t>
      </w:r>
      <w:r>
        <w:rPr>
          <w:strike/>
        </w:rPr>
        <w:t>N</w:t>
      </w:r>
      <w:r>
        <w:rPr>
          <w:strike w:val="0"/>
        </w:rPr>
        <w:t>449,000</w:t>
      </w:r>
      <w:r>
        <w:rPr>
          <w:strike w:val="0"/>
          <w:spacing w:val="6"/>
        </w:rPr>
        <w:t> </w:t>
      </w:r>
      <w:r>
        <w:rPr>
          <w:strike w:val="0"/>
        </w:rPr>
        <w:t>on</w:t>
      </w:r>
      <w:r>
        <w:rPr>
          <w:strike w:val="0"/>
          <w:spacing w:val="9"/>
        </w:rPr>
        <w:t> </w:t>
      </w:r>
      <w:r>
        <w:rPr>
          <w:strike w:val="0"/>
        </w:rPr>
        <w:t>monthly</w:t>
      </w:r>
      <w:r>
        <w:rPr>
          <w:strike w:val="0"/>
          <w:spacing w:val="4"/>
        </w:rPr>
        <w:t> </w:t>
      </w:r>
      <w:r>
        <w:rPr>
          <w:strike w:val="0"/>
        </w:rPr>
        <w:t>bases.</w:t>
      </w:r>
      <w:r>
        <w:rPr>
          <w:strike w:val="0"/>
          <w:spacing w:val="9"/>
        </w:rPr>
        <w:t> </w:t>
      </w:r>
      <w:r>
        <w:rPr>
          <w:strike w:val="0"/>
        </w:rPr>
        <w:t>This</w:t>
      </w:r>
      <w:r>
        <w:rPr>
          <w:strike w:val="0"/>
          <w:spacing w:val="7"/>
        </w:rPr>
        <w:t> </w:t>
      </w:r>
      <w:r>
        <w:rPr>
          <w:strike w:val="0"/>
        </w:rPr>
        <w:t>shows</w:t>
      </w:r>
      <w:r>
        <w:rPr>
          <w:strike w:val="0"/>
          <w:spacing w:val="6"/>
        </w:rPr>
        <w:t> </w:t>
      </w:r>
      <w:r>
        <w:rPr>
          <w:strike w:val="0"/>
        </w:rPr>
        <w:t>that</w:t>
      </w:r>
      <w:r>
        <w:rPr>
          <w:strike w:val="0"/>
          <w:spacing w:val="9"/>
        </w:rPr>
        <w:t> </w:t>
      </w:r>
      <w:r>
        <w:rPr>
          <w:strike w:val="0"/>
        </w:rPr>
        <w:t>the</w:t>
      </w:r>
      <w:r>
        <w:rPr>
          <w:strike w:val="0"/>
          <w:spacing w:val="6"/>
        </w:rPr>
        <w:t> </w:t>
      </w:r>
      <w:r>
        <w:rPr>
          <w:strike w:val="0"/>
        </w:rPr>
        <w:t>highest</w:t>
      </w:r>
      <w:r>
        <w:rPr>
          <w:strike w:val="0"/>
          <w:spacing w:val="6"/>
        </w:rPr>
        <w:t> </w:t>
      </w:r>
      <w:r>
        <w:rPr>
          <w:strike w:val="0"/>
        </w:rPr>
        <w:t>number</w:t>
      </w:r>
      <w:r>
        <w:rPr>
          <w:strike w:val="0"/>
          <w:spacing w:val="6"/>
        </w:rPr>
        <w:t> </w:t>
      </w:r>
      <w:r>
        <w:rPr>
          <w:strike w:val="0"/>
        </w:rPr>
        <w:t>of</w:t>
      </w:r>
      <w:r>
        <w:rPr>
          <w:strike w:val="0"/>
          <w:spacing w:val="8"/>
        </w:rPr>
        <w:t> </w:t>
      </w:r>
      <w:r>
        <w:rPr>
          <w:strike w:val="0"/>
        </w:rPr>
        <w:t>household</w:t>
      </w:r>
      <w:r>
        <w:rPr>
          <w:strike w:val="0"/>
          <w:spacing w:val="7"/>
        </w:rPr>
        <w:t> </w:t>
      </w:r>
      <w:r>
        <w:rPr>
          <w:strike w:val="0"/>
        </w:rPr>
        <w:t>heads</w:t>
      </w:r>
    </w:p>
    <w:p>
      <w:pPr>
        <w:pStyle w:val="BodyText"/>
        <w:rPr>
          <w:sz w:val="16"/>
        </w:rPr>
      </w:pPr>
    </w:p>
    <w:p>
      <w:pPr>
        <w:pStyle w:val="BodyText"/>
        <w:spacing w:line="475" w:lineRule="auto" w:before="90"/>
        <w:ind w:left="700" w:right="1056"/>
      </w:pP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</w:t>
      </w:r>
      <w:r>
        <w:rPr>
          <w:spacing w:val="24"/>
        </w:rPr>
        <w:t> </w:t>
      </w:r>
      <w:r>
        <w:rPr/>
        <w:t>area</w:t>
      </w:r>
      <w:r>
        <w:rPr>
          <w:spacing w:val="26"/>
        </w:rPr>
        <w:t> </w:t>
      </w:r>
      <w:r>
        <w:rPr/>
        <w:t>were</w:t>
      </w:r>
      <w:r>
        <w:rPr>
          <w:spacing w:val="27"/>
        </w:rPr>
        <w:t> </w:t>
      </w:r>
      <w:r>
        <w:rPr/>
        <w:t>high-income</w:t>
      </w:r>
      <w:r>
        <w:rPr>
          <w:spacing w:val="26"/>
        </w:rPr>
        <w:t> </w:t>
      </w:r>
      <w:r>
        <w:rPr/>
        <w:t>earners.</w:t>
      </w:r>
      <w:r>
        <w:rPr>
          <w:spacing w:val="29"/>
        </w:rPr>
        <w:t> </w:t>
      </w:r>
      <w:r>
        <w:rPr/>
        <w:t>Since</w:t>
      </w:r>
      <w:r>
        <w:rPr>
          <w:spacing w:val="25"/>
        </w:rPr>
        <w:t> </w:t>
      </w:r>
      <w:r>
        <w:rPr/>
        <w:t>their</w:t>
      </w:r>
      <w:r>
        <w:rPr>
          <w:spacing w:val="26"/>
        </w:rPr>
        <w:t> </w:t>
      </w:r>
      <w:r>
        <w:rPr/>
        <w:t>monthly</w:t>
      </w:r>
      <w:r>
        <w:rPr>
          <w:spacing w:val="22"/>
        </w:rPr>
        <w:t> </w:t>
      </w:r>
      <w:r>
        <w:rPr/>
        <w:t>income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far</w:t>
      </w:r>
      <w:r>
        <w:rPr>
          <w:spacing w:val="-57"/>
        </w:rPr>
        <w:t> </w:t>
      </w:r>
      <w:r>
        <w:rPr/>
        <w:t>above</w:t>
      </w:r>
      <w:r>
        <w:rPr>
          <w:strike/>
        </w:rPr>
        <w:t>N</w:t>
      </w:r>
      <w:r>
        <w:rPr>
          <w:strike w:val="0"/>
        </w:rPr>
        <w:t>30,000</w:t>
      </w:r>
      <w:r>
        <w:rPr>
          <w:strike w:val="0"/>
          <w:spacing w:val="70"/>
        </w:rPr>
        <w:t> </w:t>
      </w:r>
      <w:r>
        <w:rPr>
          <w:strike w:val="0"/>
        </w:rPr>
        <w:t>per</w:t>
      </w:r>
      <w:r>
        <w:rPr>
          <w:strike w:val="0"/>
          <w:spacing w:val="73"/>
        </w:rPr>
        <w:t> </w:t>
      </w:r>
      <w:r>
        <w:rPr>
          <w:strike w:val="0"/>
        </w:rPr>
        <w:t>month</w:t>
      </w:r>
      <w:r>
        <w:rPr>
          <w:strike w:val="0"/>
          <w:spacing w:val="70"/>
        </w:rPr>
        <w:t> </w:t>
      </w:r>
      <w:r>
        <w:rPr>
          <w:strike w:val="0"/>
        </w:rPr>
        <w:t>or</w:t>
      </w:r>
      <w:r>
        <w:rPr>
          <w:strike w:val="0"/>
          <w:spacing w:val="73"/>
        </w:rPr>
        <w:t> </w:t>
      </w:r>
      <w:r>
        <w:rPr>
          <w:strike/>
        </w:rPr>
        <w:t>N</w:t>
      </w:r>
      <w:r>
        <w:rPr>
          <w:strike w:val="0"/>
        </w:rPr>
        <w:t>360,000</w:t>
      </w:r>
      <w:r>
        <w:rPr>
          <w:strike w:val="0"/>
          <w:spacing w:val="73"/>
        </w:rPr>
        <w:t> </w:t>
      </w:r>
      <w:r>
        <w:rPr>
          <w:strike w:val="0"/>
        </w:rPr>
        <w:t>per</w:t>
      </w:r>
      <w:r>
        <w:rPr>
          <w:strike w:val="0"/>
          <w:spacing w:val="72"/>
        </w:rPr>
        <w:t> </w:t>
      </w:r>
      <w:r>
        <w:rPr>
          <w:strike w:val="0"/>
        </w:rPr>
        <w:t>annual</w:t>
      </w:r>
      <w:r>
        <w:rPr>
          <w:strike w:val="0"/>
          <w:spacing w:val="72"/>
        </w:rPr>
        <w:t> </w:t>
      </w:r>
      <w:r>
        <w:rPr>
          <w:strike w:val="0"/>
        </w:rPr>
        <w:t>which</w:t>
      </w:r>
      <w:r>
        <w:rPr>
          <w:strike w:val="0"/>
          <w:spacing w:val="71"/>
        </w:rPr>
        <w:t> </w:t>
      </w:r>
      <w:r>
        <w:rPr>
          <w:strike w:val="0"/>
        </w:rPr>
        <w:t>is</w:t>
      </w:r>
      <w:r>
        <w:rPr>
          <w:strike w:val="0"/>
          <w:spacing w:val="71"/>
        </w:rPr>
        <w:t> </w:t>
      </w:r>
      <w:r>
        <w:rPr>
          <w:strike w:val="0"/>
        </w:rPr>
        <w:t>the</w:t>
      </w:r>
      <w:r>
        <w:rPr>
          <w:strike w:val="0"/>
          <w:spacing w:val="70"/>
        </w:rPr>
        <w:t> </w:t>
      </w:r>
      <w:r>
        <w:rPr>
          <w:strike w:val="0"/>
        </w:rPr>
        <w:t>current</w:t>
      </w:r>
      <w:r>
        <w:rPr>
          <w:strike w:val="0"/>
          <w:spacing w:val="71"/>
        </w:rPr>
        <w:t> </w:t>
      </w:r>
      <w:r>
        <w:rPr>
          <w:strike w:val="0"/>
        </w:rPr>
        <w:t>approved</w:t>
      </w:r>
    </w:p>
    <w:p>
      <w:pPr>
        <w:pStyle w:val="BodyText"/>
        <w:spacing w:before="4"/>
        <w:ind w:left="700"/>
      </w:pPr>
      <w:r>
        <w:rPr/>
        <w:t>national</w:t>
      </w:r>
      <w:r>
        <w:rPr>
          <w:spacing w:val="-1"/>
        </w:rPr>
        <w:t> </w:t>
      </w:r>
      <w:r>
        <w:rPr/>
        <w:t>wage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of Nigeria.</w:t>
      </w:r>
    </w:p>
    <w:p>
      <w:pPr>
        <w:pStyle w:val="BodyText"/>
        <w:rPr>
          <w:sz w:val="26"/>
        </w:rPr>
      </w:pPr>
    </w:p>
    <w:p>
      <w:pPr>
        <w:pStyle w:val="BodyText"/>
        <w:spacing w:before="234"/>
        <w:ind w:left="700"/>
      </w:pPr>
      <w:r>
        <w:rPr/>
        <w:t>The</w:t>
      </w:r>
      <w:r>
        <w:rPr>
          <w:spacing w:val="4"/>
        </w:rPr>
        <w:t> </w:t>
      </w:r>
      <w:r>
        <w:rPr/>
        <w:t>implication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that</w:t>
      </w:r>
      <w:r>
        <w:rPr>
          <w:spacing w:val="6"/>
        </w:rPr>
        <w:t> </w:t>
      </w:r>
      <w:r>
        <w:rPr/>
        <w:t>those</w:t>
      </w:r>
      <w:r>
        <w:rPr>
          <w:spacing w:val="6"/>
        </w:rPr>
        <w:t> </w:t>
      </w:r>
      <w:r>
        <w:rPr/>
        <w:t>who</w:t>
      </w:r>
      <w:r>
        <w:rPr>
          <w:spacing w:val="8"/>
        </w:rPr>
        <w:t> </w:t>
      </w:r>
      <w:r>
        <w:rPr/>
        <w:t>earned</w:t>
      </w:r>
      <w:r>
        <w:rPr>
          <w:spacing w:val="5"/>
        </w:rPr>
        <w:t> </w:t>
      </w:r>
      <w:r>
        <w:rPr/>
        <w:t>above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>
          <w:strike/>
        </w:rPr>
        <w:t>N</w:t>
      </w:r>
      <w:r>
        <w:rPr>
          <w:strike w:val="0"/>
        </w:rPr>
        <w:t>30,000</w:t>
      </w:r>
      <w:r>
        <w:rPr>
          <w:strike w:val="0"/>
          <w:spacing w:val="8"/>
        </w:rPr>
        <w:t> </w:t>
      </w:r>
      <w:r>
        <w:rPr>
          <w:strike w:val="0"/>
        </w:rPr>
        <w:t>approved</w:t>
      </w:r>
      <w:r>
        <w:rPr>
          <w:strike w:val="0"/>
          <w:spacing w:val="6"/>
        </w:rPr>
        <w:t> </w:t>
      </w:r>
      <w:r>
        <w:rPr>
          <w:strike w:val="0"/>
        </w:rPr>
        <w:t>minimum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75" w:lineRule="auto" w:before="90"/>
        <w:ind w:left="700" w:right="1056"/>
        <w:jc w:val="both"/>
      </w:pPr>
      <w:r>
        <w:rPr/>
        <w:t>wage or less are not found in a private estate, this means that only those who are high-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earners can be</w:t>
      </w:r>
      <w:r>
        <w:rPr>
          <w:spacing w:val="-1"/>
        </w:rPr>
        <w:t> </w:t>
      </w:r>
      <w:r>
        <w:rPr/>
        <w:t>seen living</w:t>
      </w:r>
      <w:r>
        <w:rPr>
          <w:spacing w:val="-3"/>
        </w:rPr>
        <w:t> </w:t>
      </w:r>
      <w:r>
        <w:rPr/>
        <w:t>in a private</w:t>
      </w:r>
      <w:r>
        <w:rPr>
          <w:spacing w:val="-1"/>
        </w:rPr>
        <w:t> </w:t>
      </w:r>
      <w:r>
        <w:rPr/>
        <w:t>estate.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4.14:</w:t>
      </w:r>
      <w:r>
        <w:rPr>
          <w:spacing w:val="-3"/>
        </w:rPr>
        <w:t> </w:t>
      </w:r>
      <w:r>
        <w:rPr/>
        <w:t>Household</w:t>
      </w:r>
      <w:r>
        <w:rPr>
          <w:spacing w:val="-3"/>
        </w:rPr>
        <w:t> </w:t>
      </w:r>
      <w:r>
        <w:rPr/>
        <w:t>Monthly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Private</w:t>
      </w:r>
      <w:r>
        <w:rPr>
          <w:spacing w:val="-3"/>
        </w:rPr>
        <w:t> </w:t>
      </w:r>
      <w:r>
        <w:rPr/>
        <w:t>Housing</w:t>
      </w:r>
      <w:r>
        <w:rPr>
          <w:spacing w:val="-1"/>
        </w:rPr>
        <w:t> </w:t>
      </w:r>
      <w:r>
        <w:rPr/>
        <w:t>Estates</w:t>
      </w:r>
    </w:p>
    <w:p>
      <w:pPr>
        <w:pStyle w:val="BodyText"/>
        <w:spacing w:before="2"/>
        <w:rPr>
          <w:b/>
          <w:sz w:val="5"/>
        </w:rPr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5"/>
        <w:gridCol w:w="1809"/>
        <w:gridCol w:w="1930"/>
        <w:gridCol w:w="1556"/>
      </w:tblGrid>
      <w:tr>
        <w:trPr>
          <w:trHeight w:val="295" w:hRule="atLeast"/>
        </w:trPr>
        <w:tc>
          <w:tcPr>
            <w:tcW w:w="2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4"/>
              <w:ind w:left="114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Housing</w:t>
            </w:r>
          </w:p>
        </w:tc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2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4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Types</w:t>
            </w:r>
          </w:p>
        </w:tc>
        <w:tc>
          <w:tcPr>
            <w:tcW w:w="1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24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Minimum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24" w:right="59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Maximum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7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Average</w:t>
            </w:r>
          </w:p>
        </w:tc>
      </w:tr>
      <w:tr>
        <w:trPr>
          <w:trHeight w:val="324" w:hRule="atLeast"/>
        </w:trPr>
        <w:tc>
          <w:tcPr>
            <w:tcW w:w="2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203000</w:t>
            </w:r>
          </w:p>
        </w:tc>
        <w:tc>
          <w:tcPr>
            <w:tcW w:w="1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297000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250,000</w:t>
            </w:r>
          </w:p>
        </w:tc>
      </w:tr>
      <w:tr>
        <w:trPr>
          <w:trHeight w:val="314" w:hRule="atLeast"/>
        </w:trPr>
        <w:tc>
          <w:tcPr>
            <w:tcW w:w="2745" w:type="dxa"/>
          </w:tcPr>
          <w:p>
            <w:pPr>
              <w:pStyle w:val="TableParagraph"/>
              <w:spacing w:before="15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5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214000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5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350000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5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282,000</w:t>
            </w:r>
          </w:p>
        </w:tc>
      </w:tr>
      <w:tr>
        <w:trPr>
          <w:trHeight w:val="313" w:hRule="atLeast"/>
        </w:trPr>
        <w:tc>
          <w:tcPr>
            <w:tcW w:w="2745" w:type="dxa"/>
          </w:tcPr>
          <w:p>
            <w:pPr>
              <w:pStyle w:val="TableParagraph"/>
              <w:spacing w:before="13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3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303000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395000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349,000</w:t>
            </w:r>
          </w:p>
        </w:tc>
      </w:tr>
      <w:tr>
        <w:trPr>
          <w:trHeight w:val="361" w:hRule="atLeast"/>
        </w:trPr>
        <w:tc>
          <w:tcPr>
            <w:tcW w:w="2745" w:type="dxa"/>
          </w:tcPr>
          <w:p>
            <w:pPr>
              <w:pStyle w:val="TableParagraph"/>
              <w:spacing w:before="14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452000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4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500000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476,000</w:t>
            </w:r>
          </w:p>
        </w:tc>
      </w:tr>
      <w:tr>
        <w:trPr>
          <w:trHeight w:val="362" w:hRule="atLeast"/>
        </w:trPr>
        <w:tc>
          <w:tcPr>
            <w:tcW w:w="2745" w:type="dxa"/>
          </w:tcPr>
          <w:p>
            <w:pPr>
              <w:pStyle w:val="TableParagraph"/>
              <w:spacing w:before="61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61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152000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61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61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174,500</w:t>
            </w:r>
          </w:p>
        </w:tc>
      </w:tr>
      <w:tr>
        <w:trPr>
          <w:trHeight w:val="315" w:hRule="atLeast"/>
        </w:trPr>
        <w:tc>
          <w:tcPr>
            <w:tcW w:w="2745" w:type="dxa"/>
          </w:tcPr>
          <w:p>
            <w:pPr>
              <w:pStyle w:val="TableParagraph"/>
              <w:spacing w:before="15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5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5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5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173,500</w:t>
            </w:r>
          </w:p>
        </w:tc>
      </w:tr>
      <w:tr>
        <w:trPr>
          <w:trHeight w:val="314" w:hRule="atLeast"/>
        </w:trPr>
        <w:tc>
          <w:tcPr>
            <w:tcW w:w="2745" w:type="dxa"/>
          </w:tcPr>
          <w:p>
            <w:pPr>
              <w:pStyle w:val="TableParagraph"/>
              <w:spacing w:before="14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215000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4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300000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257,500</w:t>
            </w:r>
          </w:p>
        </w:tc>
      </w:tr>
      <w:tr>
        <w:trPr>
          <w:trHeight w:val="306" w:hRule="atLeast"/>
        </w:trPr>
        <w:tc>
          <w:tcPr>
            <w:tcW w:w="2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4"/>
              <w:ind w:left="1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5Bedroom</w:t>
            </w:r>
          </w:p>
        </w:tc>
        <w:tc>
          <w:tcPr>
            <w:tcW w:w="1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410000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4"/>
              <w:ind w:left="224" w:right="5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488000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449,000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Household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monthly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expenditure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mortgage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5"/>
        <w:jc w:val="both"/>
      </w:pPr>
      <w:r>
        <w:rPr/>
        <w:t>The result</w:t>
      </w:r>
      <w:r>
        <w:rPr>
          <w:spacing w:val="1"/>
        </w:rPr>
        <w:t> </w:t>
      </w:r>
      <w:r>
        <w:rPr/>
        <w:t>of the household</w:t>
      </w:r>
      <w:r>
        <w:rPr>
          <w:spacing w:val="1"/>
        </w:rPr>
        <w:t> </w:t>
      </w:r>
      <w:r>
        <w:rPr/>
        <w:t>monthly expenditure on</w:t>
      </w:r>
      <w:r>
        <w:rPr>
          <w:spacing w:val="1"/>
        </w:rPr>
        <w:t> </w:t>
      </w:r>
      <w:r>
        <w:rPr/>
        <w:t>a mortgage in</w:t>
      </w:r>
      <w:r>
        <w:rPr>
          <w:spacing w:val="60"/>
        </w:rPr>
        <w:t> </w:t>
      </w:r>
      <w:r>
        <w:rPr/>
        <w:t>public housing</w:t>
      </w:r>
      <w:r>
        <w:rPr>
          <w:spacing w:val="1"/>
        </w:rPr>
        <w:t> </w:t>
      </w:r>
      <w:r>
        <w:rPr/>
        <w:t>estates revealed that at Harmony estate the respondents that resided in two- bedrooms</w:t>
      </w:r>
      <w:r>
        <w:rPr>
          <w:spacing w:val="1"/>
        </w:rPr>
        <w:t> </w:t>
      </w:r>
      <w:r>
        <w:rPr/>
        <w:t>flat</w:t>
      </w:r>
      <w:r>
        <w:rPr>
          <w:spacing w:val="6"/>
        </w:rPr>
        <w:t> </w:t>
      </w:r>
      <w:r>
        <w:rPr/>
        <w:t>spent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average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>
          <w:strike/>
        </w:rPr>
        <w:t>N</w:t>
      </w:r>
      <w:r>
        <w:rPr>
          <w:strike w:val="0"/>
        </w:rPr>
        <w:t>25,</w:t>
      </w:r>
      <w:r>
        <w:rPr>
          <w:strike w:val="0"/>
          <w:spacing w:val="5"/>
        </w:rPr>
        <w:t> </w:t>
      </w:r>
      <w:r>
        <w:rPr>
          <w:strike w:val="0"/>
        </w:rPr>
        <w:t>000</w:t>
      </w:r>
      <w:r>
        <w:rPr>
          <w:strike w:val="0"/>
          <w:spacing w:val="6"/>
        </w:rPr>
        <w:t> </w:t>
      </w:r>
      <w:r>
        <w:rPr>
          <w:strike w:val="0"/>
        </w:rPr>
        <w:t>out</w:t>
      </w:r>
      <w:r>
        <w:rPr>
          <w:strike w:val="0"/>
          <w:spacing w:val="6"/>
        </w:rPr>
        <w:t> </w:t>
      </w:r>
      <w:r>
        <w:rPr>
          <w:strike w:val="0"/>
        </w:rPr>
        <w:t>of</w:t>
      </w:r>
      <w:r>
        <w:rPr>
          <w:strike w:val="0"/>
          <w:spacing w:val="6"/>
        </w:rPr>
        <w:t> </w:t>
      </w:r>
      <w:r>
        <w:rPr>
          <w:strike w:val="0"/>
        </w:rPr>
        <w:t>their</w:t>
      </w:r>
      <w:r>
        <w:rPr>
          <w:strike w:val="0"/>
          <w:spacing w:val="5"/>
        </w:rPr>
        <w:t> </w:t>
      </w:r>
      <w:r>
        <w:rPr>
          <w:strike w:val="0"/>
        </w:rPr>
        <w:t>monthly</w:t>
      </w:r>
      <w:r>
        <w:rPr>
          <w:strike w:val="0"/>
          <w:spacing w:val="-1"/>
        </w:rPr>
        <w:t> </w:t>
      </w:r>
      <w:r>
        <w:rPr>
          <w:strike w:val="0"/>
        </w:rPr>
        <w:t>income</w:t>
      </w:r>
      <w:r>
        <w:rPr>
          <w:strike w:val="0"/>
          <w:spacing w:val="5"/>
        </w:rPr>
        <w:t> </w:t>
      </w:r>
      <w:r>
        <w:rPr>
          <w:strike w:val="0"/>
        </w:rPr>
        <w:t>on</w:t>
      </w:r>
      <w:r>
        <w:rPr>
          <w:strike w:val="0"/>
          <w:spacing w:val="9"/>
        </w:rPr>
        <w:t> </w:t>
      </w:r>
      <w:r>
        <w:rPr>
          <w:strike w:val="0"/>
        </w:rPr>
        <w:t>housing.</w:t>
      </w:r>
      <w:r>
        <w:rPr>
          <w:strike w:val="0"/>
          <w:spacing w:val="6"/>
        </w:rPr>
        <w:t> </w:t>
      </w:r>
      <w:r>
        <w:rPr>
          <w:strike w:val="0"/>
        </w:rPr>
        <w:t>However</w:t>
      </w:r>
      <w:r>
        <w:rPr>
          <w:strike w:val="0"/>
          <w:spacing w:val="5"/>
        </w:rPr>
        <w:t> </w:t>
      </w:r>
      <w:r>
        <w:rPr>
          <w:strike w:val="0"/>
        </w:rPr>
        <w:t>the</w:t>
      </w:r>
    </w:p>
    <w:p>
      <w:pPr>
        <w:pStyle w:val="BodyText"/>
        <w:spacing w:before="2"/>
        <w:ind w:left="700"/>
      </w:pPr>
      <w:r>
        <w:rPr/>
        <w:t>respondents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resided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three</w:t>
      </w:r>
      <w:r>
        <w:rPr>
          <w:spacing w:val="32"/>
        </w:rPr>
        <w:t> </w:t>
      </w:r>
      <w:r>
        <w:rPr/>
        <w:t>bedroom</w:t>
      </w:r>
      <w:r>
        <w:rPr>
          <w:spacing w:val="32"/>
        </w:rPr>
        <w:t> </w:t>
      </w:r>
      <w:r>
        <w:rPr/>
        <w:t>flat</w:t>
      </w:r>
      <w:r>
        <w:rPr>
          <w:spacing w:val="33"/>
        </w:rPr>
        <w:t> </w:t>
      </w:r>
      <w:r>
        <w:rPr/>
        <w:t>spent</w:t>
      </w:r>
      <w:r>
        <w:rPr>
          <w:spacing w:val="32"/>
        </w:rPr>
        <w:t> </w:t>
      </w:r>
      <w:r>
        <w:rPr/>
        <w:t>an</w:t>
      </w:r>
      <w:r>
        <w:rPr>
          <w:spacing w:val="33"/>
        </w:rPr>
        <w:t> </w:t>
      </w:r>
      <w:r>
        <w:rPr/>
        <w:t>average</w:t>
      </w:r>
      <w:r>
        <w:rPr>
          <w:spacing w:val="37"/>
        </w:rPr>
        <w:t> </w:t>
      </w:r>
      <w:r>
        <w:rPr>
          <w:strike/>
        </w:rPr>
        <w:t>N</w:t>
      </w:r>
      <w:r>
        <w:rPr>
          <w:strike w:val="0"/>
        </w:rPr>
        <w:t>33,333</w:t>
      </w:r>
      <w:r>
        <w:rPr>
          <w:strike w:val="0"/>
          <w:spacing w:val="32"/>
        </w:rPr>
        <w:t> </w:t>
      </w:r>
      <w:r>
        <w:rPr>
          <w:strike w:val="0"/>
        </w:rPr>
        <w:t>out</w:t>
      </w:r>
      <w:r>
        <w:rPr>
          <w:strike w:val="0"/>
          <w:spacing w:val="33"/>
        </w:rPr>
        <w:t> </w:t>
      </w:r>
      <w:r>
        <w:rPr>
          <w:strike w:val="0"/>
        </w:rPr>
        <w:t>of</w:t>
      </w:r>
      <w:r>
        <w:rPr>
          <w:strike w:val="0"/>
          <w:spacing w:val="31"/>
        </w:rPr>
        <w:t> </w:t>
      </w:r>
      <w:r>
        <w:rPr>
          <w:strike w:val="0"/>
        </w:rPr>
        <w:t>their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77" w:lineRule="auto" w:before="90"/>
        <w:ind w:left="700" w:right="1039"/>
      </w:pPr>
      <w:r>
        <w:rPr/>
        <w:t>monthly</w:t>
      </w:r>
      <w:r>
        <w:rPr>
          <w:spacing w:val="-6"/>
        </w:rPr>
        <w:t> </w:t>
      </w:r>
      <w:r>
        <w:rPr/>
        <w:t>income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housing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resided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four</w:t>
      </w:r>
      <w:r>
        <w:rPr>
          <w:spacing w:val="1"/>
        </w:rPr>
        <w:t> </w:t>
      </w:r>
      <w:r>
        <w:rPr/>
        <w:t>bedrooms</w:t>
      </w:r>
      <w:r>
        <w:rPr>
          <w:spacing w:val="2"/>
        </w:rPr>
        <w:t> </w:t>
      </w:r>
      <w:r>
        <w:rPr/>
        <w:t>flat</w:t>
      </w:r>
      <w:r>
        <w:rPr>
          <w:spacing w:val="2"/>
        </w:rPr>
        <w:t> </w:t>
      </w:r>
      <w:r>
        <w:rPr/>
        <w:t>spent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>
          <w:strike/>
        </w:rPr>
        <w:t>N</w:t>
      </w:r>
      <w:r>
        <w:rPr>
          <w:strike w:val="0"/>
        </w:rPr>
        <w:t>37,500 out of their monthly</w:t>
      </w:r>
      <w:r>
        <w:rPr>
          <w:strike w:val="0"/>
          <w:spacing w:val="-5"/>
        </w:rPr>
        <w:t> </w:t>
      </w:r>
      <w:r>
        <w:rPr>
          <w:strike w:val="0"/>
        </w:rPr>
        <w:t>income</w:t>
      </w:r>
      <w:r>
        <w:rPr>
          <w:strike w:val="0"/>
          <w:spacing w:val="1"/>
        </w:rPr>
        <w:t> </w:t>
      </w:r>
      <w:r>
        <w:rPr>
          <w:strike w:val="0"/>
        </w:rPr>
        <w:t>on housing.</w:t>
      </w:r>
    </w:p>
    <w:p>
      <w:pPr>
        <w:spacing w:after="0" w:line="477" w:lineRule="auto"/>
        <w:sectPr>
          <w:pgSz w:w="11900" w:h="16840"/>
          <w:pgMar w:header="0" w:footer="1068" w:top="1320" w:bottom="1280" w:left="1280" w:right="360"/>
        </w:sectPr>
      </w:pPr>
    </w:p>
    <w:p>
      <w:pPr>
        <w:pStyle w:val="BodyText"/>
        <w:spacing w:line="482" w:lineRule="auto" w:before="76"/>
        <w:ind w:left="700" w:right="1035"/>
        <w:jc w:val="both"/>
      </w:pPr>
      <w:r>
        <w:rPr/>
        <w:t>Also at Mandate housing estate, the respondents paid similar on housing with people</w:t>
      </w:r>
      <w:r>
        <w:rPr>
          <w:spacing w:val="1"/>
        </w:rPr>
        <w:t> </w:t>
      </w:r>
      <w:r>
        <w:rPr/>
        <w:t>residing in harmony.</w:t>
      </w:r>
      <w:r>
        <w:rPr>
          <w:spacing w:val="1"/>
        </w:rPr>
        <w:t> </w:t>
      </w:r>
      <w:r>
        <w:rPr/>
        <w:t>The maximum housing expenditure for households</w:t>
      </w:r>
      <w:r>
        <w:rPr>
          <w:spacing w:val="60"/>
        </w:rPr>
        <w:t> </w:t>
      </w:r>
      <w:r>
        <w:rPr/>
        <w:t>as canvassed</w:t>
      </w:r>
      <w:r>
        <w:rPr>
          <w:spacing w:val="1"/>
        </w:rPr>
        <w:t> </w:t>
      </w:r>
      <w:r>
        <w:rPr/>
        <w:t>by the International Labour Organization (ILO) is 1% -30%, which is considered normal</w:t>
      </w:r>
      <w:r>
        <w:rPr>
          <w:spacing w:val="-57"/>
        </w:rPr>
        <w:t> </w:t>
      </w:r>
      <w:r>
        <w:rPr/>
        <w:t>to allow households to meet other obligations for healthy living. Based on this, the 30%</w:t>
      </w:r>
      <w:r>
        <w:rPr>
          <w:spacing w:val="1"/>
        </w:rPr>
        <w:t> </w:t>
      </w:r>
      <w:r>
        <w:rPr/>
        <w:t>of the monthly income of respondents residing at two-bedroom flat at harmony estate is</w:t>
      </w:r>
      <w:r>
        <w:rPr>
          <w:spacing w:val="1"/>
        </w:rPr>
        <w:t> </w:t>
      </w:r>
      <w:r>
        <w:rPr>
          <w:strike/>
        </w:rPr>
        <w:t>N</w:t>
      </w:r>
      <w:r>
        <w:rPr>
          <w:strike w:val="0"/>
        </w:rPr>
        <w:t>37,050</w:t>
      </w:r>
      <w:r>
        <w:rPr>
          <w:strike/>
          <w:spacing w:val="22"/>
        </w:rPr>
        <w:t> </w:t>
      </w:r>
      <w:r>
        <w:rPr>
          <w:strike/>
        </w:rPr>
        <w:t>a</w:t>
      </w:r>
      <w:r>
        <w:rPr>
          <w:strike w:val="0"/>
        </w:rPr>
        <w:t>nd</w:t>
      </w:r>
      <w:r>
        <w:rPr>
          <w:strike w:val="0"/>
          <w:spacing w:val="23"/>
        </w:rPr>
        <w:t> </w:t>
      </w:r>
      <w:r>
        <w:rPr>
          <w:strike w:val="0"/>
        </w:rPr>
        <w:t>they</w:t>
      </w:r>
      <w:r>
        <w:rPr>
          <w:strike w:val="0"/>
          <w:spacing w:val="22"/>
        </w:rPr>
        <w:t> </w:t>
      </w:r>
      <w:r>
        <w:rPr>
          <w:strike w:val="0"/>
        </w:rPr>
        <w:t>spent</w:t>
      </w:r>
      <w:r>
        <w:rPr>
          <w:strike w:val="0"/>
          <w:spacing w:val="26"/>
        </w:rPr>
        <w:t> </w:t>
      </w:r>
      <w:r>
        <w:rPr>
          <w:strike w:val="0"/>
        </w:rPr>
        <w:t>an</w:t>
      </w:r>
      <w:r>
        <w:rPr>
          <w:strike w:val="0"/>
          <w:spacing w:val="23"/>
        </w:rPr>
        <w:t> </w:t>
      </w:r>
      <w:r>
        <w:rPr>
          <w:strike w:val="0"/>
        </w:rPr>
        <w:t>average</w:t>
      </w:r>
      <w:r>
        <w:rPr>
          <w:strike w:val="0"/>
          <w:spacing w:val="26"/>
        </w:rPr>
        <w:t> </w:t>
      </w:r>
      <w:r>
        <w:rPr>
          <w:strike/>
        </w:rPr>
        <w:t>N</w:t>
      </w:r>
      <w:r>
        <w:rPr>
          <w:strike w:val="0"/>
        </w:rPr>
        <w:t>25,000</w:t>
      </w:r>
      <w:r>
        <w:rPr>
          <w:strike/>
          <w:spacing w:val="22"/>
        </w:rPr>
        <w:t> </w:t>
      </w:r>
      <w:r>
        <w:rPr>
          <w:strike/>
        </w:rPr>
        <w:t>o</w:t>
      </w:r>
      <w:r>
        <w:rPr>
          <w:strike w:val="0"/>
        </w:rPr>
        <w:t>ut</w:t>
      </w:r>
      <w:r>
        <w:rPr>
          <w:strike w:val="0"/>
          <w:spacing w:val="28"/>
        </w:rPr>
        <w:t> </w:t>
      </w:r>
      <w:r>
        <w:rPr>
          <w:strike w:val="0"/>
        </w:rPr>
        <w:t>of</w:t>
      </w:r>
      <w:r>
        <w:rPr>
          <w:strike w:val="0"/>
          <w:spacing w:val="24"/>
        </w:rPr>
        <w:t> </w:t>
      </w:r>
      <w:r>
        <w:rPr>
          <w:strike w:val="0"/>
        </w:rPr>
        <w:t>their</w:t>
      </w:r>
      <w:r>
        <w:rPr>
          <w:strike w:val="0"/>
          <w:spacing w:val="23"/>
        </w:rPr>
        <w:t> </w:t>
      </w:r>
      <w:r>
        <w:rPr>
          <w:strike w:val="0"/>
        </w:rPr>
        <w:t>monthly</w:t>
      </w:r>
      <w:r>
        <w:rPr>
          <w:strike w:val="0"/>
          <w:spacing w:val="19"/>
        </w:rPr>
        <w:t> </w:t>
      </w:r>
      <w:r>
        <w:rPr>
          <w:strike w:val="0"/>
        </w:rPr>
        <w:t>income</w:t>
      </w:r>
      <w:r>
        <w:rPr>
          <w:strike w:val="0"/>
          <w:spacing w:val="24"/>
        </w:rPr>
        <w:t> </w:t>
      </w:r>
      <w:r>
        <w:rPr>
          <w:strike w:val="0"/>
        </w:rPr>
        <w:t>on</w:t>
      </w:r>
      <w:r>
        <w:rPr>
          <w:strike w:val="0"/>
          <w:spacing w:val="23"/>
        </w:rPr>
        <w:t> </w:t>
      </w:r>
      <w:r>
        <w:rPr>
          <w:strike w:val="0"/>
        </w:rPr>
        <w:t>housing.</w:t>
      </w:r>
    </w:p>
    <w:p>
      <w:pPr>
        <w:pStyle w:val="BodyText"/>
        <w:spacing w:before="4"/>
        <w:ind w:left="700"/>
      </w:pPr>
      <w:r>
        <w:rPr/>
        <w:t>This</w:t>
      </w:r>
      <w:r>
        <w:rPr>
          <w:spacing w:val="-1"/>
        </w:rPr>
        <w:t> </w:t>
      </w:r>
      <w:r>
        <w:rPr/>
        <w:t>implies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houses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estates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 are affordable.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8"/>
        <w:ind w:left="700" w:right="0" w:firstLine="0"/>
        <w:jc w:val="left"/>
        <w:rPr>
          <w:b/>
          <w:sz w:val="22"/>
        </w:rPr>
      </w:pPr>
      <w:r>
        <w:rPr>
          <w:b/>
          <w:sz w:val="22"/>
        </w:rPr>
        <w:t>Table 4.15: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Household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Monthly Expenditure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Mortgage 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Public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Housing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Estate</w:t>
      </w:r>
    </w:p>
    <w:tbl>
      <w:tblPr>
        <w:tblW w:w="0" w:type="auto"/>
        <w:jc w:val="left"/>
        <w:tblInd w:w="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6"/>
        <w:gridCol w:w="1809"/>
        <w:gridCol w:w="1930"/>
        <w:gridCol w:w="1556"/>
      </w:tblGrid>
      <w:tr>
        <w:trPr>
          <w:trHeight w:val="295" w:hRule="atLeast"/>
        </w:trPr>
        <w:tc>
          <w:tcPr>
            <w:tcW w:w="2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4"/>
              <w:ind w:left="11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Housing</w:t>
            </w:r>
          </w:p>
        </w:tc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2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Types</w:t>
            </w:r>
          </w:p>
        </w:tc>
        <w:tc>
          <w:tcPr>
            <w:tcW w:w="1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24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Minimum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24" w:right="59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Maximum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7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Average</w:t>
            </w:r>
          </w:p>
        </w:tc>
      </w:tr>
      <w:tr>
        <w:trPr>
          <w:trHeight w:val="324" w:hRule="atLeast"/>
        </w:trPr>
        <w:tc>
          <w:tcPr>
            <w:tcW w:w="2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left="1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25,000</w:t>
            </w:r>
          </w:p>
        </w:tc>
        <w:tc>
          <w:tcPr>
            <w:tcW w:w="1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left="224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25,000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25,000</w:t>
            </w:r>
          </w:p>
        </w:tc>
      </w:tr>
      <w:tr>
        <w:trPr>
          <w:trHeight w:val="313" w:hRule="atLeast"/>
        </w:trPr>
        <w:tc>
          <w:tcPr>
            <w:tcW w:w="2736" w:type="dxa"/>
          </w:tcPr>
          <w:p>
            <w:pPr>
              <w:pStyle w:val="TableParagraph"/>
              <w:spacing w:before="14"/>
              <w:ind w:left="1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33,333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4"/>
              <w:ind w:left="224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33,333</w:t>
            </w:r>
          </w:p>
        </w:tc>
        <w:tc>
          <w:tcPr>
            <w:tcW w:w="1556" w:type="dxa"/>
          </w:tcPr>
          <w:p>
            <w:pPr>
              <w:pStyle w:val="TableParagraph"/>
              <w:spacing w:before="1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33,333</w:t>
            </w:r>
          </w:p>
        </w:tc>
      </w:tr>
      <w:tr>
        <w:trPr>
          <w:trHeight w:val="471" w:hRule="atLeast"/>
        </w:trPr>
        <w:tc>
          <w:tcPr>
            <w:tcW w:w="2736" w:type="dxa"/>
          </w:tcPr>
          <w:p>
            <w:pPr>
              <w:pStyle w:val="TableParagraph"/>
              <w:spacing w:before="13"/>
              <w:ind w:left="1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3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37,500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"/>
              <w:ind w:left="224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37,500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37,500</w:t>
            </w:r>
          </w:p>
        </w:tc>
      </w:tr>
      <w:tr>
        <w:trPr>
          <w:trHeight w:val="472" w:hRule="atLeast"/>
        </w:trPr>
        <w:tc>
          <w:tcPr>
            <w:tcW w:w="2736" w:type="dxa"/>
          </w:tcPr>
          <w:p>
            <w:pPr>
              <w:pStyle w:val="TableParagraph"/>
              <w:spacing w:before="172"/>
              <w:ind w:left="1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72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25,000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72"/>
              <w:ind w:left="224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25,000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72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25,000</w:t>
            </w:r>
          </w:p>
        </w:tc>
      </w:tr>
      <w:tr>
        <w:trPr>
          <w:trHeight w:val="314" w:hRule="atLeast"/>
        </w:trPr>
        <w:tc>
          <w:tcPr>
            <w:tcW w:w="2736" w:type="dxa"/>
          </w:tcPr>
          <w:p>
            <w:pPr>
              <w:pStyle w:val="TableParagraph"/>
              <w:spacing w:before="14"/>
              <w:ind w:left="1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</w:tcPr>
          <w:p>
            <w:pPr>
              <w:pStyle w:val="TableParagraph"/>
              <w:spacing w:before="1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33,333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4"/>
              <w:ind w:left="224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33,333</w:t>
            </w:r>
          </w:p>
        </w:tc>
        <w:tc>
          <w:tcPr>
            <w:tcW w:w="1556" w:type="dxa"/>
          </w:tcPr>
          <w:p>
            <w:pPr>
              <w:pStyle w:val="TableParagraph"/>
              <w:spacing w:before="1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33,333</w:t>
            </w:r>
          </w:p>
        </w:tc>
      </w:tr>
      <w:tr>
        <w:trPr>
          <w:trHeight w:val="307" w:hRule="atLeast"/>
        </w:trPr>
        <w:tc>
          <w:tcPr>
            <w:tcW w:w="2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4"/>
              <w:ind w:left="11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4"/>
              <w:ind w:right="2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37,500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4"/>
              <w:ind w:left="224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37,500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4"/>
              <w:ind w:right="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37,500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Household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monthly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expenditure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mortgage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private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8"/>
        <w:jc w:val="both"/>
      </w:pPr>
      <w:r>
        <w:rPr/>
        <w:t>The</w:t>
      </w:r>
      <w:r>
        <w:rPr>
          <w:spacing w:val="4"/>
        </w:rPr>
        <w:t> </w:t>
      </w:r>
      <w:r>
        <w:rPr/>
        <w:t>result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  <w:r>
        <w:rPr>
          <w:spacing w:val="6"/>
        </w:rPr>
        <w:t> </w:t>
      </w:r>
      <w:r>
        <w:rPr/>
        <w:t>4.16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household</w:t>
      </w:r>
      <w:r>
        <w:rPr>
          <w:spacing w:val="6"/>
        </w:rPr>
        <w:t> </w:t>
      </w:r>
      <w:r>
        <w:rPr/>
        <w:t>monthly</w:t>
      </w:r>
      <w:r>
        <w:rPr>
          <w:spacing w:val="2"/>
        </w:rPr>
        <w:t> </w:t>
      </w:r>
      <w:r>
        <w:rPr/>
        <w:t>expenses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mortgage</w:t>
      </w:r>
      <w:r>
        <w:rPr>
          <w:spacing w:val="5"/>
        </w:rPr>
        <w:t> </w:t>
      </w:r>
      <w:r>
        <w:rPr/>
        <w:t>in</w:t>
      </w:r>
      <w:r>
        <w:rPr>
          <w:spacing w:val="-57"/>
        </w:rPr>
        <w:t> </w:t>
      </w:r>
      <w:r>
        <w:rPr/>
        <w:t>a private housing estate, revealed that at evergreen housing estate, those that lived in</w:t>
      </w:r>
      <w:r>
        <w:rPr>
          <w:spacing w:val="1"/>
        </w:rPr>
        <w:t> </w:t>
      </w:r>
      <w:r>
        <w:rPr/>
        <w:t>two-bedrooms</w:t>
      </w:r>
      <w:r>
        <w:rPr>
          <w:spacing w:val="12"/>
        </w:rPr>
        <w:t> </w:t>
      </w:r>
      <w:r>
        <w:rPr/>
        <w:t>apartments</w:t>
      </w:r>
      <w:r>
        <w:rPr>
          <w:spacing w:val="13"/>
        </w:rPr>
        <w:t> </w:t>
      </w:r>
      <w:r>
        <w:rPr/>
        <w:t>paid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average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>
          <w:strike/>
        </w:rPr>
        <w:t>N</w:t>
      </w:r>
      <w:r>
        <w:rPr>
          <w:strike w:val="0"/>
        </w:rPr>
        <w:t>83,333</w:t>
      </w:r>
      <w:r>
        <w:rPr>
          <w:strike w:val="0"/>
          <w:spacing w:val="13"/>
        </w:rPr>
        <w:t> </w:t>
      </w:r>
      <w:r>
        <w:rPr>
          <w:strike w:val="0"/>
        </w:rPr>
        <w:t>monthly</w:t>
      </w:r>
      <w:r>
        <w:rPr>
          <w:strike w:val="0"/>
          <w:spacing w:val="7"/>
        </w:rPr>
        <w:t> </w:t>
      </w:r>
      <w:r>
        <w:rPr>
          <w:strike w:val="0"/>
        </w:rPr>
        <w:t>on</w:t>
      </w:r>
      <w:r>
        <w:rPr>
          <w:strike w:val="0"/>
          <w:spacing w:val="13"/>
        </w:rPr>
        <w:t> </w:t>
      </w:r>
      <w:r>
        <w:rPr>
          <w:strike w:val="0"/>
        </w:rPr>
        <w:t>mortgage</w:t>
      </w:r>
      <w:r>
        <w:rPr>
          <w:strike w:val="0"/>
          <w:spacing w:val="12"/>
        </w:rPr>
        <w:t> </w:t>
      </w:r>
      <w:r>
        <w:rPr>
          <w:strike w:val="0"/>
        </w:rPr>
        <w:t>from</w:t>
      </w:r>
      <w:r>
        <w:rPr>
          <w:strike w:val="0"/>
          <w:spacing w:val="13"/>
        </w:rPr>
        <w:t> </w:t>
      </w:r>
      <w:r>
        <w:rPr>
          <w:strike w:val="0"/>
        </w:rPr>
        <w:t>their</w:t>
      </w:r>
    </w:p>
    <w:p>
      <w:pPr>
        <w:pStyle w:val="BodyText"/>
        <w:spacing w:line="477" w:lineRule="auto" w:before="1"/>
        <w:ind w:left="700" w:right="1035"/>
      </w:pPr>
      <w:r>
        <w:rPr/>
        <w:t>monthly</w:t>
      </w:r>
      <w:r>
        <w:rPr>
          <w:spacing w:val="1"/>
        </w:rPr>
        <w:t> </w:t>
      </w:r>
      <w:r>
        <w:rPr/>
        <w:t>income,</w:t>
      </w:r>
      <w:r>
        <w:rPr>
          <w:spacing w:val="8"/>
        </w:rPr>
        <w:t> </w:t>
      </w:r>
      <w:r>
        <w:rPr/>
        <w:t>while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respondents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lived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three-bedroom</w:t>
      </w:r>
      <w:r>
        <w:rPr>
          <w:spacing w:val="8"/>
        </w:rPr>
        <w:t> </w:t>
      </w:r>
      <w:r>
        <w:rPr/>
        <w:t>flat</w:t>
      </w:r>
      <w:r>
        <w:rPr>
          <w:spacing w:val="9"/>
        </w:rPr>
        <w:t> </w:t>
      </w:r>
      <w:r>
        <w:rPr/>
        <w:t>paid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of</w:t>
      </w:r>
      <w:r>
        <w:rPr>
          <w:spacing w:val="87"/>
        </w:rPr>
        <w:t> </w:t>
      </w:r>
      <w:r>
        <w:rPr>
          <w:strike/>
        </w:rPr>
        <w:t>N</w:t>
      </w:r>
      <w:r>
        <w:rPr>
          <w:strike w:val="0"/>
        </w:rPr>
        <w:t>138,888</w:t>
      </w:r>
      <w:r>
        <w:rPr>
          <w:strike w:val="0"/>
          <w:spacing w:val="88"/>
        </w:rPr>
        <w:t> </w:t>
      </w:r>
      <w:r>
        <w:rPr>
          <w:strike w:val="0"/>
        </w:rPr>
        <w:t>monthly</w:t>
      </w:r>
      <w:r>
        <w:rPr>
          <w:strike w:val="0"/>
          <w:spacing w:val="83"/>
        </w:rPr>
        <w:t> </w:t>
      </w:r>
      <w:r>
        <w:rPr>
          <w:strike w:val="0"/>
        </w:rPr>
        <w:t>on</w:t>
      </w:r>
      <w:r>
        <w:rPr>
          <w:strike w:val="0"/>
          <w:spacing w:val="88"/>
        </w:rPr>
        <w:t> </w:t>
      </w:r>
      <w:r>
        <w:rPr>
          <w:strike w:val="0"/>
        </w:rPr>
        <w:t>mortgage</w:t>
      </w:r>
      <w:r>
        <w:rPr>
          <w:strike w:val="0"/>
          <w:spacing w:val="87"/>
        </w:rPr>
        <w:t> </w:t>
      </w:r>
      <w:r>
        <w:rPr>
          <w:strike w:val="0"/>
        </w:rPr>
        <w:t>out</w:t>
      </w:r>
      <w:r>
        <w:rPr>
          <w:strike w:val="0"/>
          <w:spacing w:val="88"/>
        </w:rPr>
        <w:t> </w:t>
      </w:r>
      <w:r>
        <w:rPr>
          <w:strike w:val="0"/>
        </w:rPr>
        <w:t>of</w:t>
      </w:r>
      <w:r>
        <w:rPr>
          <w:strike w:val="0"/>
          <w:spacing w:val="87"/>
        </w:rPr>
        <w:t> </w:t>
      </w:r>
      <w:r>
        <w:rPr>
          <w:strike w:val="0"/>
        </w:rPr>
        <w:t>their</w:t>
      </w:r>
      <w:r>
        <w:rPr>
          <w:strike w:val="0"/>
          <w:spacing w:val="87"/>
        </w:rPr>
        <w:t> </w:t>
      </w:r>
      <w:r>
        <w:rPr>
          <w:strike w:val="0"/>
        </w:rPr>
        <w:t>monthly</w:t>
      </w:r>
      <w:r>
        <w:rPr>
          <w:strike w:val="0"/>
          <w:spacing w:val="81"/>
        </w:rPr>
        <w:t> </w:t>
      </w:r>
      <w:r>
        <w:rPr>
          <w:strike w:val="0"/>
        </w:rPr>
        <w:t>household</w:t>
      </w:r>
      <w:r>
        <w:rPr>
          <w:strike w:val="0"/>
          <w:spacing w:val="89"/>
        </w:rPr>
        <w:t> </w:t>
      </w:r>
      <w:r>
        <w:rPr>
          <w:strike w:val="0"/>
        </w:rPr>
        <w:t>income,</w:t>
      </w:r>
      <w:r>
        <w:rPr>
          <w:strike w:val="0"/>
          <w:spacing w:val="87"/>
        </w:rPr>
        <w:t> </w:t>
      </w:r>
      <w:r>
        <w:rPr>
          <w:strike w:val="0"/>
        </w:rPr>
        <w:t>the</w:t>
      </w:r>
    </w:p>
    <w:p>
      <w:pPr>
        <w:pStyle w:val="BodyText"/>
        <w:spacing w:before="2"/>
        <w:ind w:left="700"/>
      </w:pPr>
      <w:r>
        <w:rPr/>
        <w:t>respondents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dwelled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four</w:t>
      </w:r>
      <w:r>
        <w:rPr>
          <w:spacing w:val="23"/>
        </w:rPr>
        <w:t> </w:t>
      </w:r>
      <w:r>
        <w:rPr/>
        <w:t>bed-rooms</w:t>
      </w:r>
      <w:r>
        <w:rPr>
          <w:spacing w:val="26"/>
        </w:rPr>
        <w:t> </w:t>
      </w:r>
      <w:r>
        <w:rPr/>
        <w:t>flat</w:t>
      </w:r>
      <w:r>
        <w:rPr>
          <w:spacing w:val="28"/>
        </w:rPr>
        <w:t> </w:t>
      </w:r>
      <w:r>
        <w:rPr/>
        <w:t>spend</w:t>
      </w:r>
      <w:r>
        <w:rPr>
          <w:spacing w:val="26"/>
        </w:rPr>
        <w:t> </w:t>
      </w:r>
      <w:r>
        <w:rPr/>
        <w:t>an</w:t>
      </w:r>
      <w:r>
        <w:rPr>
          <w:spacing w:val="25"/>
        </w:rPr>
        <w:t> </w:t>
      </w:r>
      <w:r>
        <w:rPr/>
        <w:t>average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>
          <w:strike/>
        </w:rPr>
        <w:t>N</w:t>
      </w:r>
      <w:r>
        <w:rPr>
          <w:strike w:val="0"/>
        </w:rPr>
        <w:t>180,555</w:t>
      </w:r>
      <w:r>
        <w:rPr>
          <w:strike w:val="0"/>
          <w:spacing w:val="26"/>
        </w:rPr>
        <w:t> </w:t>
      </w:r>
      <w:r>
        <w:rPr>
          <w:strike w:val="0"/>
        </w:rPr>
        <w:t>out</w:t>
      </w:r>
      <w:r>
        <w:rPr>
          <w:strike w:val="0"/>
          <w:spacing w:val="25"/>
        </w:rPr>
        <w:t> </w:t>
      </w:r>
      <w:r>
        <w:rPr>
          <w:strike w:val="0"/>
        </w:rPr>
        <w:t>of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77" w:lineRule="auto" w:before="90"/>
        <w:ind w:left="700" w:right="1037"/>
      </w:pPr>
      <w:r>
        <w:rPr/>
        <w:t>their</w:t>
      </w:r>
      <w:r>
        <w:rPr>
          <w:spacing w:val="1"/>
        </w:rPr>
        <w:t> </w:t>
      </w:r>
      <w:r>
        <w:rPr/>
        <w:t>monthly income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five-bedroom</w:t>
      </w:r>
      <w:r>
        <w:rPr>
          <w:spacing w:val="60"/>
        </w:rPr>
        <w:t> </w:t>
      </w:r>
      <w:r>
        <w:rPr/>
        <w:t>apartment</w:t>
      </w:r>
      <w:r>
        <w:rPr>
          <w:spacing w:val="-57"/>
        </w:rPr>
        <w:t> </w:t>
      </w:r>
      <w:r>
        <w:rPr/>
        <w:t>spend</w:t>
      </w:r>
      <w:r>
        <w:rPr>
          <w:spacing w:val="25"/>
        </w:rPr>
        <w:t> </w:t>
      </w:r>
      <w:r>
        <w:rPr/>
        <w:t>an</w:t>
      </w:r>
      <w:r>
        <w:rPr>
          <w:spacing w:val="26"/>
        </w:rPr>
        <w:t> </w:t>
      </w:r>
      <w:r>
        <w:rPr/>
        <w:t>average</w:t>
      </w:r>
      <w:r>
        <w:rPr>
          <w:spacing w:val="24"/>
        </w:rPr>
        <w:t> </w:t>
      </w:r>
      <w:r>
        <w:rPr/>
        <w:t>of</w:t>
      </w:r>
      <w:r>
        <w:rPr>
          <w:spacing w:val="30"/>
        </w:rPr>
        <w:t> </w:t>
      </w:r>
      <w:r>
        <w:rPr>
          <w:strike/>
        </w:rPr>
        <w:t>N</w:t>
      </w:r>
      <w:r>
        <w:rPr>
          <w:strike w:val="0"/>
        </w:rPr>
        <w:t>277,778</w:t>
      </w:r>
      <w:r>
        <w:rPr>
          <w:strike w:val="0"/>
          <w:spacing w:val="26"/>
        </w:rPr>
        <w:t> </w:t>
      </w:r>
      <w:r>
        <w:rPr>
          <w:strike w:val="0"/>
        </w:rPr>
        <w:t>on</w:t>
      </w:r>
      <w:r>
        <w:rPr>
          <w:strike w:val="0"/>
          <w:spacing w:val="25"/>
        </w:rPr>
        <w:t> </w:t>
      </w:r>
      <w:r>
        <w:rPr>
          <w:strike w:val="0"/>
        </w:rPr>
        <w:t>mortgage</w:t>
      </w:r>
      <w:r>
        <w:rPr>
          <w:strike w:val="0"/>
          <w:spacing w:val="25"/>
        </w:rPr>
        <w:t> </w:t>
      </w:r>
      <w:r>
        <w:rPr>
          <w:strike w:val="0"/>
        </w:rPr>
        <w:t>out</w:t>
      </w:r>
      <w:r>
        <w:rPr>
          <w:strike w:val="0"/>
          <w:spacing w:val="27"/>
        </w:rPr>
        <w:t> </w:t>
      </w:r>
      <w:r>
        <w:rPr>
          <w:strike w:val="0"/>
        </w:rPr>
        <w:t>of</w:t>
      </w:r>
      <w:r>
        <w:rPr>
          <w:strike w:val="0"/>
          <w:spacing w:val="25"/>
        </w:rPr>
        <w:t> </w:t>
      </w:r>
      <w:r>
        <w:rPr>
          <w:strike w:val="0"/>
        </w:rPr>
        <w:t>their</w:t>
      </w:r>
      <w:r>
        <w:rPr>
          <w:strike w:val="0"/>
          <w:spacing w:val="25"/>
        </w:rPr>
        <w:t> </w:t>
      </w:r>
      <w:r>
        <w:rPr>
          <w:strike w:val="0"/>
        </w:rPr>
        <w:t>monthly</w:t>
      </w:r>
      <w:r>
        <w:rPr>
          <w:strike w:val="0"/>
          <w:spacing w:val="20"/>
        </w:rPr>
        <w:t> </w:t>
      </w:r>
      <w:r>
        <w:rPr>
          <w:strike w:val="0"/>
        </w:rPr>
        <w:t>income.</w:t>
      </w:r>
      <w:r>
        <w:rPr>
          <w:strike w:val="0"/>
          <w:spacing w:val="28"/>
        </w:rPr>
        <w:t> </w:t>
      </w:r>
      <w:r>
        <w:rPr>
          <w:strike w:val="0"/>
        </w:rPr>
        <w:t>In</w:t>
      </w:r>
      <w:r>
        <w:rPr>
          <w:strike w:val="0"/>
          <w:spacing w:val="25"/>
        </w:rPr>
        <w:t> </w:t>
      </w:r>
      <w:r>
        <w:rPr>
          <w:strike w:val="0"/>
        </w:rPr>
        <w:t>addition,</w:t>
      </w:r>
    </w:p>
    <w:p>
      <w:pPr>
        <w:pStyle w:val="BodyText"/>
        <w:ind w:left="700"/>
      </w:pPr>
      <w:r>
        <w:rPr/>
        <w:t>the study</w:t>
      </w:r>
      <w:r>
        <w:rPr>
          <w:spacing w:val="-5"/>
        </w:rPr>
        <w:t> </w:t>
      </w:r>
      <w:r>
        <w:rPr/>
        <w:t>also revealed</w:t>
      </w:r>
      <w:r>
        <w:rPr>
          <w:spacing w:val="1"/>
        </w:rPr>
        <w:t> </w:t>
      </w:r>
      <w:r>
        <w:rPr/>
        <w:t>that at royal valley</w:t>
      </w:r>
      <w:r>
        <w:rPr>
          <w:spacing w:val="-2"/>
        </w:rPr>
        <w:t> </w:t>
      </w:r>
      <w:r>
        <w:rPr/>
        <w:t>estate, those</w:t>
      </w:r>
      <w:r>
        <w:rPr>
          <w:spacing w:val="-1"/>
        </w:rPr>
        <w:t> </w:t>
      </w:r>
      <w:r>
        <w:rPr/>
        <w:t>that lived</w:t>
      </w:r>
      <w:r>
        <w:rPr>
          <w:spacing w:val="1"/>
        </w:rPr>
        <w:t> </w:t>
      </w:r>
      <w:r>
        <w:rPr/>
        <w:t>in two-bedrooms</w:t>
      </w:r>
    </w:p>
    <w:p>
      <w:pPr>
        <w:spacing w:after="0"/>
        <w:sectPr>
          <w:pgSz w:w="11900" w:h="16840"/>
          <w:pgMar w:header="0" w:footer="1068" w:top="1320" w:bottom="1260" w:left="1280" w:right="360"/>
        </w:sectPr>
      </w:pPr>
    </w:p>
    <w:p>
      <w:pPr>
        <w:pStyle w:val="BodyText"/>
        <w:spacing w:before="74"/>
        <w:ind w:left="700"/>
      </w:pPr>
      <w:r>
        <w:rPr/>
        <w:t>apartments</w:t>
      </w:r>
      <w:r>
        <w:rPr>
          <w:spacing w:val="66"/>
        </w:rPr>
        <w:t> </w:t>
      </w:r>
      <w:r>
        <w:rPr/>
        <w:t>paid</w:t>
      </w:r>
      <w:r>
        <w:rPr>
          <w:spacing w:val="67"/>
        </w:rPr>
        <w:t> </w:t>
      </w:r>
      <w:r>
        <w:rPr/>
        <w:t>an</w:t>
      </w:r>
      <w:r>
        <w:rPr>
          <w:spacing w:val="66"/>
        </w:rPr>
        <w:t> </w:t>
      </w:r>
      <w:r>
        <w:rPr/>
        <w:t>average</w:t>
      </w:r>
      <w:r>
        <w:rPr>
          <w:spacing w:val="66"/>
        </w:rPr>
        <w:t> </w:t>
      </w:r>
      <w:r>
        <w:rPr/>
        <w:t>of</w:t>
      </w:r>
      <w:r>
        <w:rPr>
          <w:spacing w:val="69"/>
        </w:rPr>
        <w:t> </w:t>
      </w:r>
      <w:r>
        <w:rPr>
          <w:strike/>
        </w:rPr>
        <w:t>N</w:t>
      </w:r>
      <w:r>
        <w:rPr>
          <w:strike w:val="0"/>
        </w:rPr>
        <w:t>52,083</w:t>
      </w:r>
      <w:r>
        <w:rPr>
          <w:strike w:val="0"/>
          <w:spacing w:val="65"/>
        </w:rPr>
        <w:t> </w:t>
      </w:r>
      <w:r>
        <w:rPr>
          <w:strike w:val="0"/>
        </w:rPr>
        <w:t>monthly</w:t>
      </w:r>
      <w:r>
        <w:rPr>
          <w:strike w:val="0"/>
          <w:spacing w:val="62"/>
        </w:rPr>
        <w:t> </w:t>
      </w:r>
      <w:r>
        <w:rPr>
          <w:strike w:val="0"/>
        </w:rPr>
        <w:t>on</w:t>
      </w:r>
      <w:r>
        <w:rPr>
          <w:strike w:val="0"/>
          <w:spacing w:val="66"/>
        </w:rPr>
        <w:t> </w:t>
      </w:r>
      <w:r>
        <w:rPr>
          <w:strike w:val="0"/>
        </w:rPr>
        <w:t>mortgage</w:t>
      </w:r>
      <w:r>
        <w:rPr>
          <w:strike w:val="0"/>
          <w:spacing w:val="66"/>
        </w:rPr>
        <w:t> </w:t>
      </w:r>
      <w:r>
        <w:rPr>
          <w:strike w:val="0"/>
        </w:rPr>
        <w:t>from</w:t>
      </w:r>
      <w:r>
        <w:rPr>
          <w:strike w:val="0"/>
          <w:spacing w:val="66"/>
        </w:rPr>
        <w:t> </w:t>
      </w:r>
      <w:r>
        <w:rPr>
          <w:strike w:val="0"/>
        </w:rPr>
        <w:t>their</w:t>
      </w:r>
      <w:r>
        <w:rPr>
          <w:strike w:val="0"/>
          <w:spacing w:val="65"/>
        </w:rPr>
        <w:t> </w:t>
      </w:r>
      <w:r>
        <w:rPr>
          <w:strike w:val="0"/>
        </w:rPr>
        <w:t>monthly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0"/>
        <w:ind w:left="700" w:right="1034"/>
      </w:pPr>
      <w:r>
        <w:rPr/>
        <w:t>income,</w:t>
      </w:r>
      <w:r>
        <w:rPr>
          <w:spacing w:val="58"/>
        </w:rPr>
        <w:t> </w:t>
      </w:r>
      <w:r>
        <w:rPr/>
        <w:t>while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respondents  that</w:t>
      </w:r>
      <w:r>
        <w:rPr>
          <w:spacing w:val="58"/>
        </w:rPr>
        <w:t> </w:t>
      </w:r>
      <w:r>
        <w:rPr/>
        <w:t>lived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three-bedroom</w:t>
      </w:r>
      <w:r>
        <w:rPr>
          <w:spacing w:val="59"/>
        </w:rPr>
        <w:t> </w:t>
      </w:r>
      <w:r>
        <w:rPr/>
        <w:t>flat</w:t>
      </w:r>
      <w:r>
        <w:rPr>
          <w:spacing w:val="59"/>
        </w:rPr>
        <w:t> </w:t>
      </w:r>
      <w:r>
        <w:rPr/>
        <w:t>paid</w:t>
      </w:r>
      <w:r>
        <w:rPr>
          <w:spacing w:val="59"/>
        </w:rPr>
        <w:t> </w:t>
      </w:r>
      <w:r>
        <w:rPr/>
        <w:t>an</w:t>
      </w:r>
      <w:r>
        <w:rPr>
          <w:spacing w:val="58"/>
        </w:rPr>
        <w:t> </w:t>
      </w:r>
      <w:r>
        <w:rPr/>
        <w:t>average</w:t>
      </w:r>
      <w:r>
        <w:rPr>
          <w:spacing w:val="58"/>
        </w:rPr>
        <w:t> </w:t>
      </w:r>
      <w:r>
        <w:rPr/>
        <w:t>of</w:t>
      </w:r>
      <w:r>
        <w:rPr>
          <w:spacing w:val="-57"/>
        </w:rPr>
        <w:t> </w:t>
      </w:r>
      <w:r>
        <w:rPr>
          <w:strike/>
        </w:rPr>
        <w:t>N</w:t>
      </w:r>
      <w:r>
        <w:rPr>
          <w:strike w:val="0"/>
        </w:rPr>
        <w:t>72,916</w:t>
      </w:r>
      <w:r>
        <w:rPr>
          <w:strike w:val="0"/>
          <w:spacing w:val="11"/>
        </w:rPr>
        <w:t> </w:t>
      </w:r>
      <w:r>
        <w:rPr>
          <w:strike w:val="0"/>
        </w:rPr>
        <w:t>monthly</w:t>
      </w:r>
      <w:r>
        <w:rPr>
          <w:strike w:val="0"/>
          <w:spacing w:val="7"/>
        </w:rPr>
        <w:t> </w:t>
      </w:r>
      <w:r>
        <w:rPr>
          <w:strike w:val="0"/>
        </w:rPr>
        <w:t>on</w:t>
      </w:r>
      <w:r>
        <w:rPr>
          <w:strike w:val="0"/>
          <w:spacing w:val="13"/>
        </w:rPr>
        <w:t> </w:t>
      </w:r>
      <w:r>
        <w:rPr>
          <w:strike w:val="0"/>
        </w:rPr>
        <w:t>mortgage</w:t>
      </w:r>
      <w:r>
        <w:rPr>
          <w:strike w:val="0"/>
          <w:spacing w:val="11"/>
        </w:rPr>
        <w:t> </w:t>
      </w:r>
      <w:r>
        <w:rPr>
          <w:strike w:val="0"/>
        </w:rPr>
        <w:t>out</w:t>
      </w:r>
      <w:r>
        <w:rPr>
          <w:strike w:val="0"/>
          <w:spacing w:val="13"/>
        </w:rPr>
        <w:t> </w:t>
      </w:r>
      <w:r>
        <w:rPr>
          <w:strike w:val="0"/>
        </w:rPr>
        <w:t>of</w:t>
      </w:r>
      <w:r>
        <w:rPr>
          <w:strike w:val="0"/>
          <w:spacing w:val="11"/>
        </w:rPr>
        <w:t> </w:t>
      </w:r>
      <w:r>
        <w:rPr>
          <w:strike w:val="0"/>
        </w:rPr>
        <w:t>their</w:t>
      </w:r>
      <w:r>
        <w:rPr>
          <w:strike w:val="0"/>
          <w:spacing w:val="14"/>
        </w:rPr>
        <w:t> </w:t>
      </w:r>
      <w:r>
        <w:rPr>
          <w:strike w:val="0"/>
        </w:rPr>
        <w:t>monthly</w:t>
      </w:r>
      <w:r>
        <w:rPr>
          <w:strike w:val="0"/>
          <w:spacing w:val="6"/>
        </w:rPr>
        <w:t> </w:t>
      </w:r>
      <w:r>
        <w:rPr>
          <w:strike w:val="0"/>
        </w:rPr>
        <w:t>household</w:t>
      </w:r>
      <w:r>
        <w:rPr>
          <w:strike w:val="0"/>
          <w:spacing w:val="15"/>
        </w:rPr>
        <w:t> </w:t>
      </w:r>
      <w:r>
        <w:rPr>
          <w:strike w:val="0"/>
        </w:rPr>
        <w:t>income,</w:t>
      </w:r>
      <w:r>
        <w:rPr>
          <w:strike w:val="0"/>
          <w:spacing w:val="12"/>
        </w:rPr>
        <w:t> </w:t>
      </w:r>
      <w:r>
        <w:rPr>
          <w:strike w:val="0"/>
        </w:rPr>
        <w:t>the</w:t>
      </w:r>
      <w:r>
        <w:rPr>
          <w:strike w:val="0"/>
          <w:spacing w:val="13"/>
        </w:rPr>
        <w:t> </w:t>
      </w:r>
      <w:r>
        <w:rPr>
          <w:strike w:val="0"/>
        </w:rPr>
        <w:t>respondents</w:t>
      </w:r>
    </w:p>
    <w:p>
      <w:pPr>
        <w:pStyle w:val="BodyText"/>
        <w:spacing w:line="274" w:lineRule="exact"/>
        <w:ind w:left="700"/>
      </w:pPr>
      <w:r>
        <w:rPr/>
        <w:t>that</w:t>
      </w:r>
      <w:r>
        <w:rPr>
          <w:spacing w:val="13"/>
        </w:rPr>
        <w:t> </w:t>
      </w:r>
      <w:r>
        <w:rPr/>
        <w:t>dwelled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four</w:t>
      </w:r>
      <w:r>
        <w:rPr>
          <w:spacing w:val="11"/>
        </w:rPr>
        <w:t> </w:t>
      </w:r>
      <w:r>
        <w:rPr/>
        <w:t>bed-rooms</w:t>
      </w:r>
      <w:r>
        <w:rPr>
          <w:spacing w:val="14"/>
        </w:rPr>
        <w:t> </w:t>
      </w:r>
      <w:r>
        <w:rPr/>
        <w:t>flat</w:t>
      </w:r>
      <w:r>
        <w:rPr>
          <w:spacing w:val="13"/>
        </w:rPr>
        <w:t> </w:t>
      </w:r>
      <w:r>
        <w:rPr/>
        <w:t>spend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average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>
          <w:strike/>
        </w:rPr>
        <w:t>N</w:t>
      </w:r>
      <w:r>
        <w:rPr>
          <w:strike w:val="0"/>
        </w:rPr>
        <w:t>125,000</w:t>
      </w:r>
      <w:r>
        <w:rPr>
          <w:strike w:val="0"/>
          <w:spacing w:val="14"/>
        </w:rPr>
        <w:t> </w:t>
      </w:r>
      <w:r>
        <w:rPr>
          <w:strike w:val="0"/>
        </w:rPr>
        <w:t>out</w:t>
      </w:r>
      <w:r>
        <w:rPr>
          <w:strike w:val="0"/>
          <w:spacing w:val="13"/>
        </w:rPr>
        <w:t> </w:t>
      </w:r>
      <w:r>
        <w:rPr>
          <w:strike w:val="0"/>
        </w:rPr>
        <w:t>of</w:t>
      </w:r>
      <w:r>
        <w:rPr>
          <w:strike w:val="0"/>
          <w:spacing w:val="13"/>
        </w:rPr>
        <w:t> </w:t>
      </w:r>
      <w:r>
        <w:rPr>
          <w:strike w:val="0"/>
        </w:rPr>
        <w:t>their</w:t>
      </w:r>
      <w:r>
        <w:rPr>
          <w:strike w:val="0"/>
          <w:spacing w:val="12"/>
        </w:rPr>
        <w:t> </w:t>
      </w:r>
      <w:r>
        <w:rPr>
          <w:strike w:val="0"/>
        </w:rPr>
        <w:t>monthly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7" w:lineRule="auto" w:before="90"/>
        <w:ind w:left="700" w:right="1034"/>
      </w:pPr>
      <w:r>
        <w:rPr/>
        <w:t>income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mortgage</w:t>
      </w:r>
      <w:r>
        <w:rPr>
          <w:spacing w:val="22"/>
        </w:rPr>
        <w:t> </w:t>
      </w:r>
      <w:r>
        <w:rPr/>
        <w:t>while</w:t>
      </w:r>
      <w:r>
        <w:rPr>
          <w:spacing w:val="19"/>
        </w:rPr>
        <w:t> </w:t>
      </w:r>
      <w:r>
        <w:rPr/>
        <w:t>those</w:t>
      </w:r>
      <w:r>
        <w:rPr>
          <w:spacing w:val="21"/>
        </w:rPr>
        <w:t> </w:t>
      </w:r>
      <w:r>
        <w:rPr/>
        <w:t>living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five-bedroom</w:t>
      </w:r>
      <w:r>
        <w:rPr>
          <w:spacing w:val="20"/>
        </w:rPr>
        <w:t> </w:t>
      </w:r>
      <w:r>
        <w:rPr/>
        <w:t>apartment</w:t>
      </w:r>
      <w:r>
        <w:rPr>
          <w:spacing w:val="21"/>
        </w:rPr>
        <w:t> </w:t>
      </w:r>
      <w:r>
        <w:rPr/>
        <w:t>spend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of</w:t>
      </w:r>
      <w:r>
        <w:rPr>
          <w:spacing w:val="14"/>
        </w:rPr>
        <w:t> </w:t>
      </w:r>
      <w:r>
        <w:rPr>
          <w:strike/>
        </w:rPr>
        <w:t>N</w:t>
      </w:r>
      <w:r>
        <w:rPr>
          <w:strike w:val="0"/>
        </w:rPr>
        <w:t>145,833</w:t>
      </w:r>
      <w:r>
        <w:rPr>
          <w:strike w:val="0"/>
          <w:spacing w:val="15"/>
        </w:rPr>
        <w:t> </w:t>
      </w:r>
      <w:r>
        <w:rPr>
          <w:strike w:val="0"/>
        </w:rPr>
        <w:t>on</w:t>
      </w:r>
      <w:r>
        <w:rPr>
          <w:strike w:val="0"/>
          <w:spacing w:val="15"/>
        </w:rPr>
        <w:t> </w:t>
      </w:r>
      <w:r>
        <w:rPr>
          <w:strike w:val="0"/>
        </w:rPr>
        <w:t>mortgage</w:t>
      </w:r>
      <w:r>
        <w:rPr>
          <w:strike w:val="0"/>
          <w:spacing w:val="14"/>
        </w:rPr>
        <w:t> </w:t>
      </w:r>
      <w:r>
        <w:rPr>
          <w:strike w:val="0"/>
        </w:rPr>
        <w:t>monthly.</w:t>
      </w:r>
      <w:r>
        <w:rPr>
          <w:strike w:val="0"/>
          <w:spacing w:val="15"/>
        </w:rPr>
        <w:t> </w:t>
      </w:r>
      <w:r>
        <w:rPr>
          <w:strike w:val="0"/>
        </w:rPr>
        <w:t>The</w:t>
      </w:r>
      <w:r>
        <w:rPr>
          <w:strike w:val="0"/>
          <w:spacing w:val="14"/>
        </w:rPr>
        <w:t> </w:t>
      </w:r>
      <w:r>
        <w:rPr>
          <w:strike w:val="0"/>
        </w:rPr>
        <w:t>maximum</w:t>
      </w:r>
      <w:r>
        <w:rPr>
          <w:strike w:val="0"/>
          <w:spacing w:val="16"/>
        </w:rPr>
        <w:t> </w:t>
      </w:r>
      <w:r>
        <w:rPr>
          <w:strike w:val="0"/>
        </w:rPr>
        <w:t>housing</w:t>
      </w:r>
      <w:r>
        <w:rPr>
          <w:strike w:val="0"/>
          <w:spacing w:val="13"/>
        </w:rPr>
        <w:t> </w:t>
      </w:r>
      <w:r>
        <w:rPr>
          <w:strike w:val="0"/>
        </w:rPr>
        <w:t>expenditure</w:t>
      </w:r>
      <w:r>
        <w:rPr>
          <w:strike w:val="0"/>
          <w:spacing w:val="13"/>
        </w:rPr>
        <w:t> </w:t>
      </w:r>
      <w:r>
        <w:rPr>
          <w:strike w:val="0"/>
        </w:rPr>
        <w:t>for</w:t>
      </w:r>
      <w:r>
        <w:rPr>
          <w:strike w:val="0"/>
          <w:spacing w:val="13"/>
        </w:rPr>
        <w:t> </w:t>
      </w:r>
      <w:r>
        <w:rPr>
          <w:strike w:val="0"/>
        </w:rPr>
        <w:t>households</w:t>
      </w:r>
    </w:p>
    <w:p>
      <w:pPr>
        <w:pStyle w:val="BodyText"/>
        <w:spacing w:line="480" w:lineRule="auto" w:before="3"/>
        <w:ind w:left="700" w:right="1032"/>
        <w:jc w:val="both"/>
      </w:pPr>
      <w:r>
        <w:rPr/>
        <w:t>as peddled by the International Labor Organization (ILO) is 1% - 30%, which is viewed</w:t>
      </w:r>
      <w:r>
        <w:rPr>
          <w:spacing w:val="1"/>
        </w:rPr>
        <w:t> </w:t>
      </w:r>
      <w:r>
        <w:rPr/>
        <w:t>as normal to allow families to meet different commitments for good living. Because of</w:t>
      </w:r>
      <w:r>
        <w:rPr>
          <w:spacing w:val="1"/>
        </w:rPr>
        <w:t> </w:t>
      </w:r>
      <w:r>
        <w:rPr/>
        <w:t>this, 30% of the monthly income of respondents living at a two-bedroom flat at the</w:t>
      </w:r>
      <w:r>
        <w:rPr>
          <w:spacing w:val="1"/>
        </w:rPr>
        <w:t> </w:t>
      </w:r>
      <w:r>
        <w:rPr/>
        <w:t>evergreen</w:t>
      </w:r>
      <w:r>
        <w:rPr>
          <w:spacing w:val="8"/>
        </w:rPr>
        <w:t> </w:t>
      </w:r>
      <w:r>
        <w:rPr/>
        <w:t>estate</w:t>
      </w:r>
      <w:r>
        <w:rPr>
          <w:spacing w:val="7"/>
        </w:rPr>
        <w:t> </w:t>
      </w:r>
      <w:r>
        <w:rPr/>
        <w:t>is</w:t>
      </w:r>
      <w:r>
        <w:rPr>
          <w:spacing w:val="11"/>
        </w:rPr>
        <w:t> </w:t>
      </w:r>
      <w:r>
        <w:rPr>
          <w:strike/>
        </w:rPr>
        <w:t>N</w:t>
      </w:r>
      <w:r>
        <w:rPr>
          <w:strike w:val="0"/>
        </w:rPr>
        <w:t>75,000</w:t>
      </w:r>
      <w:r>
        <w:rPr>
          <w:strike w:val="0"/>
          <w:spacing w:val="8"/>
        </w:rPr>
        <w:t> </w:t>
      </w:r>
      <w:r>
        <w:rPr>
          <w:strike w:val="0"/>
        </w:rPr>
        <w:t>and</w:t>
      </w:r>
      <w:r>
        <w:rPr>
          <w:strike w:val="0"/>
          <w:spacing w:val="8"/>
        </w:rPr>
        <w:t> </w:t>
      </w:r>
      <w:r>
        <w:rPr>
          <w:strike w:val="0"/>
        </w:rPr>
        <w:t>they</w:t>
      </w:r>
      <w:r>
        <w:rPr>
          <w:strike w:val="0"/>
          <w:spacing w:val="4"/>
        </w:rPr>
        <w:t> </w:t>
      </w:r>
      <w:r>
        <w:rPr>
          <w:strike w:val="0"/>
        </w:rPr>
        <w:t>spend</w:t>
      </w:r>
      <w:r>
        <w:rPr>
          <w:strike w:val="0"/>
          <w:spacing w:val="8"/>
        </w:rPr>
        <w:t> </w:t>
      </w:r>
      <w:r>
        <w:rPr>
          <w:strike w:val="0"/>
        </w:rPr>
        <w:t>an</w:t>
      </w:r>
      <w:r>
        <w:rPr>
          <w:strike w:val="0"/>
          <w:spacing w:val="8"/>
        </w:rPr>
        <w:t> </w:t>
      </w:r>
      <w:r>
        <w:rPr>
          <w:strike w:val="0"/>
        </w:rPr>
        <w:t>average</w:t>
      </w:r>
      <w:r>
        <w:rPr>
          <w:strike w:val="0"/>
          <w:spacing w:val="8"/>
        </w:rPr>
        <w:t> </w:t>
      </w:r>
      <w:r>
        <w:rPr>
          <w:strike w:val="0"/>
        </w:rPr>
        <w:t>of</w:t>
      </w:r>
      <w:r>
        <w:rPr>
          <w:strike w:val="0"/>
          <w:spacing w:val="10"/>
        </w:rPr>
        <w:t> </w:t>
      </w:r>
      <w:r>
        <w:rPr>
          <w:strike/>
        </w:rPr>
        <w:t>N</w:t>
      </w:r>
      <w:r>
        <w:rPr>
          <w:strike w:val="0"/>
        </w:rPr>
        <w:t>83,333</w:t>
      </w:r>
      <w:r>
        <w:rPr>
          <w:strike w:val="0"/>
          <w:spacing w:val="8"/>
        </w:rPr>
        <w:t> </w:t>
      </w:r>
      <w:r>
        <w:rPr>
          <w:strike w:val="0"/>
        </w:rPr>
        <w:t>out</w:t>
      </w:r>
      <w:r>
        <w:rPr>
          <w:strike w:val="0"/>
          <w:spacing w:val="9"/>
        </w:rPr>
        <w:t> </w:t>
      </w:r>
      <w:r>
        <w:rPr>
          <w:strike w:val="0"/>
        </w:rPr>
        <w:t>of</w:t>
      </w:r>
      <w:r>
        <w:rPr>
          <w:strike w:val="0"/>
          <w:spacing w:val="7"/>
        </w:rPr>
        <w:t> </w:t>
      </w:r>
      <w:r>
        <w:rPr>
          <w:strike w:val="0"/>
        </w:rPr>
        <w:t>their</w:t>
      </w:r>
      <w:r>
        <w:rPr>
          <w:strike w:val="0"/>
          <w:spacing w:val="7"/>
        </w:rPr>
        <w:t> </w:t>
      </w:r>
      <w:r>
        <w:rPr>
          <w:strike w:val="0"/>
        </w:rPr>
        <w:t>monthly</w:t>
      </w:r>
    </w:p>
    <w:p>
      <w:pPr>
        <w:pStyle w:val="BodyText"/>
        <w:spacing w:line="480" w:lineRule="auto"/>
        <w:ind w:left="700" w:right="1034"/>
        <w:jc w:val="both"/>
      </w:pPr>
      <w:r>
        <w:rPr/>
        <w:t>income on housing. This infers that the houses at the private housing estate in the study</w:t>
      </w:r>
      <w:r>
        <w:rPr>
          <w:spacing w:val="1"/>
        </w:rPr>
        <w:t> </w:t>
      </w:r>
      <w:r>
        <w:rPr/>
        <w:t>area are not affordable, thus it can be said that the occupants are paying through their</w:t>
      </w:r>
      <w:r>
        <w:rPr>
          <w:spacing w:val="1"/>
        </w:rPr>
        <w:t> </w:t>
      </w:r>
      <w:r>
        <w:rPr/>
        <w:t>sweat.</w:t>
      </w:r>
    </w:p>
    <w:p>
      <w:pPr>
        <w:spacing w:before="210" w:after="17"/>
        <w:ind w:left="700" w:right="0" w:firstLine="0"/>
        <w:jc w:val="both"/>
        <w:rPr>
          <w:b/>
          <w:sz w:val="23"/>
        </w:rPr>
      </w:pPr>
      <w:r>
        <w:rPr>
          <w:b/>
          <w:sz w:val="23"/>
          <w:u w:val="thick"/>
        </w:rPr>
        <w:t>Table</w:t>
      </w:r>
      <w:r>
        <w:rPr>
          <w:b/>
          <w:spacing w:val="-1"/>
          <w:sz w:val="23"/>
          <w:u w:val="thick"/>
        </w:rPr>
        <w:t> </w:t>
      </w:r>
      <w:r>
        <w:rPr>
          <w:b/>
          <w:sz w:val="23"/>
          <w:u w:val="thick"/>
        </w:rPr>
        <w:t>4.16:</w:t>
      </w:r>
      <w:r>
        <w:rPr>
          <w:b/>
          <w:spacing w:val="-3"/>
          <w:sz w:val="23"/>
          <w:u w:val="thick"/>
        </w:rPr>
        <w:t> </w:t>
      </w:r>
      <w:r>
        <w:rPr>
          <w:b/>
          <w:sz w:val="23"/>
          <w:u w:val="thick"/>
        </w:rPr>
        <w:t>Household</w:t>
      </w:r>
      <w:r>
        <w:rPr>
          <w:b/>
          <w:spacing w:val="-2"/>
          <w:sz w:val="23"/>
          <w:u w:val="thick"/>
        </w:rPr>
        <w:t> </w:t>
      </w:r>
      <w:r>
        <w:rPr>
          <w:b/>
          <w:sz w:val="23"/>
          <w:u w:val="thick"/>
        </w:rPr>
        <w:t>Monthly Expenditure on</w:t>
      </w:r>
      <w:r>
        <w:rPr>
          <w:b/>
          <w:spacing w:val="-5"/>
          <w:sz w:val="23"/>
          <w:u w:val="thick"/>
        </w:rPr>
        <w:t> </w:t>
      </w:r>
      <w:r>
        <w:rPr>
          <w:b/>
          <w:sz w:val="23"/>
          <w:u w:val="thick"/>
        </w:rPr>
        <w:t>Mortgage in</w:t>
      </w:r>
      <w:r>
        <w:rPr>
          <w:b/>
          <w:spacing w:val="-4"/>
          <w:sz w:val="23"/>
          <w:u w:val="thick"/>
        </w:rPr>
        <w:t> </w:t>
      </w:r>
      <w:r>
        <w:rPr>
          <w:b/>
          <w:sz w:val="23"/>
          <w:u w:val="thick"/>
        </w:rPr>
        <w:t>Private</w:t>
      </w:r>
      <w:r>
        <w:rPr>
          <w:b/>
          <w:spacing w:val="-3"/>
          <w:sz w:val="23"/>
          <w:u w:val="thick"/>
        </w:rPr>
        <w:t> </w:t>
      </w:r>
      <w:r>
        <w:rPr>
          <w:b/>
          <w:sz w:val="23"/>
          <w:u w:val="thick"/>
        </w:rPr>
        <w:t>Housing Est</w:t>
      </w:r>
      <w:r>
        <w:rPr>
          <w:b/>
          <w:sz w:val="23"/>
        </w:rPr>
        <w:t>ate</w:t>
      </w:r>
    </w:p>
    <w:tbl>
      <w:tblPr>
        <w:tblW w:w="0" w:type="auto"/>
        <w:jc w:val="left"/>
        <w:tblInd w:w="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7"/>
        <w:gridCol w:w="1708"/>
        <w:gridCol w:w="2088"/>
        <w:gridCol w:w="1647"/>
      </w:tblGrid>
      <w:tr>
        <w:trPr>
          <w:trHeight w:val="270" w:hRule="atLeast"/>
        </w:trPr>
        <w:tc>
          <w:tcPr>
            <w:tcW w:w="8040" w:type="dxa"/>
            <w:gridSpan w:val="4"/>
          </w:tcPr>
          <w:p>
            <w:pPr>
              <w:pStyle w:val="TableParagraph"/>
              <w:spacing w:line="251" w:lineRule="exact"/>
              <w:ind w:left="11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Housing</w:t>
            </w:r>
          </w:p>
        </w:tc>
      </w:tr>
      <w:tr>
        <w:trPr>
          <w:trHeight w:val="275" w:hRule="atLeast"/>
        </w:trPr>
        <w:tc>
          <w:tcPr>
            <w:tcW w:w="2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Types</w:t>
            </w: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9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Minimum</w:t>
            </w:r>
          </w:p>
        </w:tc>
        <w:tc>
          <w:tcPr>
            <w:tcW w:w="2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80" w:right="70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Maximum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7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Average</w:t>
            </w:r>
          </w:p>
        </w:tc>
      </w:tr>
      <w:tr>
        <w:trPr>
          <w:trHeight w:val="326" w:hRule="atLeast"/>
        </w:trPr>
        <w:tc>
          <w:tcPr>
            <w:tcW w:w="2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83,333</w:t>
            </w:r>
          </w:p>
        </w:tc>
        <w:tc>
          <w:tcPr>
            <w:tcW w:w="2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83,333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83,333</w:t>
            </w:r>
          </w:p>
        </w:tc>
      </w:tr>
      <w:tr>
        <w:trPr>
          <w:trHeight w:val="313" w:hRule="atLeast"/>
        </w:trPr>
        <w:tc>
          <w:tcPr>
            <w:tcW w:w="2597" w:type="dxa"/>
          </w:tcPr>
          <w:p>
            <w:pPr>
              <w:pStyle w:val="TableParagraph"/>
              <w:spacing w:before="14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</w:tcPr>
          <w:p>
            <w:pPr>
              <w:pStyle w:val="TableParagraph"/>
              <w:spacing w:before="14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138,888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138,888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138,888</w:t>
            </w:r>
          </w:p>
        </w:tc>
      </w:tr>
      <w:tr>
        <w:trPr>
          <w:trHeight w:val="313" w:hRule="atLeast"/>
        </w:trPr>
        <w:tc>
          <w:tcPr>
            <w:tcW w:w="2597" w:type="dxa"/>
          </w:tcPr>
          <w:p>
            <w:pPr>
              <w:pStyle w:val="TableParagraph"/>
              <w:spacing w:before="13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</w:tcPr>
          <w:p>
            <w:pPr>
              <w:pStyle w:val="TableParagraph"/>
              <w:spacing w:before="13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180,555</w:t>
            </w:r>
          </w:p>
        </w:tc>
        <w:tc>
          <w:tcPr>
            <w:tcW w:w="2088" w:type="dxa"/>
          </w:tcPr>
          <w:p>
            <w:pPr>
              <w:pStyle w:val="TableParagraph"/>
              <w:spacing w:before="13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180,555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180,555</w:t>
            </w:r>
          </w:p>
        </w:tc>
      </w:tr>
      <w:tr>
        <w:trPr>
          <w:trHeight w:val="472" w:hRule="atLeast"/>
        </w:trPr>
        <w:tc>
          <w:tcPr>
            <w:tcW w:w="2597" w:type="dxa"/>
          </w:tcPr>
          <w:p>
            <w:pPr>
              <w:pStyle w:val="TableParagraph"/>
              <w:spacing w:before="14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</w:tcPr>
          <w:p>
            <w:pPr>
              <w:pStyle w:val="TableParagraph"/>
              <w:spacing w:before="14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277,778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277,778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277,778</w:t>
            </w:r>
          </w:p>
        </w:tc>
      </w:tr>
      <w:tr>
        <w:trPr>
          <w:trHeight w:val="472" w:hRule="atLeast"/>
        </w:trPr>
        <w:tc>
          <w:tcPr>
            <w:tcW w:w="2597" w:type="dxa"/>
          </w:tcPr>
          <w:p>
            <w:pPr>
              <w:pStyle w:val="TableParagraph"/>
              <w:spacing w:before="172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</w:tcPr>
          <w:p>
            <w:pPr>
              <w:pStyle w:val="TableParagraph"/>
              <w:spacing w:before="172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52,083</w:t>
            </w:r>
          </w:p>
        </w:tc>
        <w:tc>
          <w:tcPr>
            <w:tcW w:w="2088" w:type="dxa"/>
          </w:tcPr>
          <w:p>
            <w:pPr>
              <w:pStyle w:val="TableParagraph"/>
              <w:spacing w:before="172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52,083</w:t>
            </w:r>
          </w:p>
        </w:tc>
        <w:tc>
          <w:tcPr>
            <w:tcW w:w="1647" w:type="dxa"/>
          </w:tcPr>
          <w:p>
            <w:pPr>
              <w:pStyle w:val="TableParagraph"/>
              <w:spacing w:before="172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52,083</w:t>
            </w:r>
          </w:p>
        </w:tc>
      </w:tr>
      <w:tr>
        <w:trPr>
          <w:trHeight w:val="314" w:hRule="atLeast"/>
        </w:trPr>
        <w:tc>
          <w:tcPr>
            <w:tcW w:w="2597" w:type="dxa"/>
          </w:tcPr>
          <w:p>
            <w:pPr>
              <w:pStyle w:val="TableParagraph"/>
              <w:spacing w:before="14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</w:tcPr>
          <w:p>
            <w:pPr>
              <w:pStyle w:val="TableParagraph"/>
              <w:spacing w:before="14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72,916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72,916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72,916</w:t>
            </w:r>
          </w:p>
        </w:tc>
      </w:tr>
      <w:tr>
        <w:trPr>
          <w:trHeight w:val="315" w:hRule="atLeast"/>
        </w:trPr>
        <w:tc>
          <w:tcPr>
            <w:tcW w:w="2597" w:type="dxa"/>
          </w:tcPr>
          <w:p>
            <w:pPr>
              <w:pStyle w:val="TableParagraph"/>
              <w:spacing w:before="14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Bedroom</w:t>
            </w:r>
          </w:p>
        </w:tc>
        <w:tc>
          <w:tcPr>
            <w:tcW w:w="1708" w:type="dxa"/>
          </w:tcPr>
          <w:p>
            <w:pPr>
              <w:pStyle w:val="TableParagraph"/>
              <w:spacing w:before="14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125,000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125,000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125,000</w:t>
            </w:r>
          </w:p>
        </w:tc>
      </w:tr>
      <w:tr>
        <w:trPr>
          <w:trHeight w:val="306" w:hRule="atLeast"/>
        </w:trPr>
        <w:tc>
          <w:tcPr>
            <w:tcW w:w="2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5Bedroom</w:t>
            </w: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145,833</w:t>
            </w:r>
          </w:p>
        </w:tc>
        <w:tc>
          <w:tcPr>
            <w:tcW w:w="2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280" w:right="5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145,833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145,833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</w:rPr>
      </w:pPr>
    </w:p>
    <w:p>
      <w:pPr>
        <w:pStyle w:val="Heading1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32" w:lineRule="auto" w:before="0" w:after="0"/>
        <w:ind w:left="1420" w:right="1059" w:hanging="720"/>
        <w:jc w:val="left"/>
      </w:pPr>
      <w:r>
        <w:rPr/>
        <w:t>Household</w:t>
      </w:r>
      <w:r>
        <w:rPr>
          <w:spacing w:val="52"/>
        </w:rPr>
        <w:t> </w:t>
      </w:r>
      <w:r>
        <w:rPr/>
        <w:t>monthly</w:t>
      </w:r>
      <w:r>
        <w:rPr>
          <w:spacing w:val="53"/>
        </w:rPr>
        <w:t> </w:t>
      </w:r>
      <w:r>
        <w:rPr/>
        <w:t>expenditure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mortgage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both</w:t>
      </w:r>
      <w:r>
        <w:rPr>
          <w:spacing w:val="50"/>
        </w:rPr>
        <w:t> </w:t>
      </w:r>
      <w:r>
        <w:rPr/>
        <w:t>public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estate</w:t>
      </w:r>
    </w:p>
    <w:p>
      <w:pPr>
        <w:pStyle w:val="BodyText"/>
        <w:spacing w:line="472" w:lineRule="auto" w:before="142"/>
        <w:ind w:left="700" w:right="1041"/>
        <w:jc w:val="both"/>
      </w:pPr>
      <w:r>
        <w:rPr/>
        <w:t>The study assessed further to determined the monthly expenditure of the mortgage in</w:t>
      </w:r>
      <w:r>
        <w:rPr>
          <w:spacing w:val="1"/>
        </w:rPr>
        <w:t> </w:t>
      </w:r>
      <w:r>
        <w:rPr/>
        <w:t>both public and private estate of the study area. The analysis shown in Table 4.17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respondents in two</w:t>
      </w:r>
      <w:r>
        <w:rPr>
          <w:spacing w:val="-1"/>
        </w:rPr>
        <w:t> </w:t>
      </w:r>
      <w:r>
        <w:rPr/>
        <w:t>bedroom flat</w:t>
      </w:r>
      <w:r>
        <w:rPr>
          <w:spacing w:val="1"/>
        </w:rPr>
        <w:t> </w:t>
      </w:r>
      <w:r>
        <w:rPr/>
        <w:t>within harmony</w:t>
      </w:r>
      <w:r>
        <w:rPr>
          <w:spacing w:val="-5"/>
        </w:rPr>
        <w:t> </w:t>
      </w:r>
      <w:r>
        <w:rPr/>
        <w:t>estate,</w:t>
      </w:r>
      <w:r>
        <w:rPr>
          <w:spacing w:val="-1"/>
        </w:rPr>
        <w:t> </w:t>
      </w:r>
      <w:r>
        <w:rPr/>
        <w:t>spent 20% of</w:t>
      </w:r>
    </w:p>
    <w:p>
      <w:pPr>
        <w:spacing w:after="0" w:line="472" w:lineRule="auto"/>
        <w:jc w:val="both"/>
        <w:sectPr>
          <w:pgSz w:w="11900" w:h="16840"/>
          <w:pgMar w:header="0" w:footer="1068" w:top="1320" w:bottom="1300" w:left="1280" w:right="360"/>
        </w:sectPr>
      </w:pPr>
    </w:p>
    <w:p>
      <w:pPr>
        <w:pStyle w:val="BodyText"/>
        <w:spacing w:line="477" w:lineRule="auto" w:before="74"/>
        <w:ind w:left="700" w:right="1057"/>
        <w:jc w:val="both"/>
      </w:pPr>
      <w:r>
        <w:rPr/>
        <w:t>their monthly income on housing, occupants of three bedroom flat spent 27% of their</w:t>
      </w:r>
      <w:r>
        <w:rPr>
          <w:spacing w:val="1"/>
        </w:rPr>
        <w:t> </w:t>
      </w:r>
      <w:r>
        <w:rPr/>
        <w:t>monthly income on housing while the occupants of four bedroom bungalows spent 21%</w:t>
      </w:r>
      <w:r>
        <w:rPr>
          <w:spacing w:val="-57"/>
        </w:rPr>
        <w:t> </w:t>
      </w:r>
      <w:r>
        <w:rPr/>
        <w:t>of their monthly income on housing. This indicates that, the majority of the respondents</w:t>
      </w:r>
      <w:r>
        <w:rPr>
          <w:spacing w:val="1"/>
        </w:rPr>
        <w:t> </w:t>
      </w:r>
      <w:r>
        <w:rPr/>
        <w:t>spend below 30% of their monthly income on housing, which is standard and acceptable</w:t>
      </w:r>
      <w:r>
        <w:rPr>
          <w:spacing w:val="-57"/>
        </w:rPr>
        <w:t> </w:t>
      </w:r>
      <w:r>
        <w:rPr/>
        <w:t>way</w:t>
      </w:r>
      <w:r>
        <w:rPr>
          <w:spacing w:val="-6"/>
        </w:rPr>
        <w:t> </w:t>
      </w:r>
      <w:r>
        <w:rPr/>
        <w:t>of measuring</w:t>
      </w:r>
      <w:r>
        <w:rPr>
          <w:spacing w:val="-4"/>
        </w:rPr>
        <w:t> </w:t>
      </w:r>
      <w:r>
        <w:rPr/>
        <w:t>housing</w:t>
      </w:r>
      <w:r>
        <w:rPr>
          <w:spacing w:val="-3"/>
        </w:rPr>
        <w:t> </w:t>
      </w:r>
      <w:r>
        <w:rPr/>
        <w:t>affordability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 International</w:t>
      </w:r>
      <w:r>
        <w:rPr>
          <w:spacing w:val="2"/>
        </w:rPr>
        <w:t> </w:t>
      </w:r>
      <w:r>
        <w:rPr/>
        <w:t>Labor</w:t>
      </w:r>
      <w:r>
        <w:rPr>
          <w:spacing w:val="-1"/>
        </w:rPr>
        <w:t> </w:t>
      </w:r>
      <w:r>
        <w:rPr/>
        <w:t>Organization (ILO).</w:t>
      </w:r>
    </w:p>
    <w:p>
      <w:pPr>
        <w:pStyle w:val="Heading1"/>
        <w:spacing w:line="232" w:lineRule="auto" w:before="228" w:after="7"/>
        <w:ind w:left="1979" w:right="1701" w:hanging="1275"/>
      </w:pPr>
      <w:r>
        <w:rPr/>
        <w:t>Table 4.17: Household Monthly Income and Percentage Spent on Housing in</w:t>
      </w:r>
      <w:r>
        <w:rPr>
          <w:spacing w:val="-57"/>
        </w:rPr>
        <w:t> </w:t>
      </w:r>
      <w:r>
        <w:rPr/>
        <w:t>Harmony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line="20" w:lineRule="exact"/>
        <w:ind w:left="1045"/>
        <w:rPr>
          <w:sz w:val="2"/>
        </w:rPr>
      </w:pPr>
      <w:r>
        <w:rPr>
          <w:sz w:val="2"/>
        </w:rPr>
        <w:pict>
          <v:group style="width:390.7pt;height:.5pt;mso-position-horizontal-relative:char;mso-position-vertical-relative:line" coordorigin="0,0" coordsize="7814,10">
            <v:line style="position:absolute" from="0,5" to="7814,5" stroked="true" strokeweight=".4799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5"/>
        <w:ind w:left="1161" w:right="0" w:firstLine="0"/>
        <w:jc w:val="left"/>
        <w:rPr>
          <w:b/>
          <w:sz w:val="23"/>
        </w:rPr>
      </w:pPr>
      <w:r>
        <w:rPr/>
        <w:pict>
          <v:shape style="position:absolute;margin-left:199.984375pt;margin-top:52.012306pt;width:14.8pt;height:10.9pt;mso-position-horizontal-relative:page;mso-position-vertical-relative:paragraph;z-index:-27471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Number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Rooms</w:t>
      </w:r>
    </w:p>
    <w:p>
      <w:pPr>
        <w:tabs>
          <w:tab w:pos="2942" w:val="left" w:leader="none"/>
          <w:tab w:pos="4382" w:val="left" w:leader="none"/>
        </w:tabs>
        <w:spacing w:before="8"/>
        <w:ind w:left="116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Monthly</w:t>
        <w:tab/>
        <w:t>Monthly</w:t>
        <w:tab/>
        <w:t>Percentage</w:t>
      </w:r>
    </w:p>
    <w:p>
      <w:pPr>
        <w:tabs>
          <w:tab w:pos="2942" w:val="left" w:leader="none"/>
          <w:tab w:pos="4382" w:val="left" w:leader="none"/>
        </w:tabs>
        <w:spacing w:before="0"/>
        <w:ind w:left="2942" w:right="1783" w:hanging="1782"/>
        <w:jc w:val="left"/>
        <w:rPr>
          <w:b/>
          <w:sz w:val="23"/>
        </w:rPr>
      </w:pPr>
      <w:r>
        <w:rPr>
          <w:b/>
          <w:sz w:val="23"/>
        </w:rPr>
        <w:t>Income</w:t>
        <w:tab/>
        <w:t>Expenditure</w:t>
        <w:tab/>
        <w:t>of income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  <w:tab/>
        <w:t>spent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</w:p>
    <w:p>
      <w:pPr>
        <w:spacing w:before="2"/>
        <w:ind w:left="4382" w:right="0" w:firstLine="0"/>
        <w:jc w:val="left"/>
        <w:rPr>
          <w:b/>
          <w:sz w:val="23"/>
        </w:rPr>
      </w:pPr>
      <w:r>
        <w:rPr>
          <w:b/>
          <w:sz w:val="23"/>
        </w:rPr>
        <w:t>housing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1320" w:bottom="280" w:left="1280" w:right="360"/>
          <w:cols w:num="2" w:equalWidth="0">
            <w:col w:w="3002" w:space="138"/>
            <w:col w:w="7120"/>
          </w:cols>
        </w:sectPr>
      </w:pPr>
    </w:p>
    <w:tbl>
      <w:tblPr>
        <w:tblW w:w="0" w:type="auto"/>
        <w:jc w:val="left"/>
        <w:tblInd w:w="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261"/>
        <w:gridCol w:w="6127"/>
      </w:tblGrid>
      <w:tr>
        <w:trPr>
          <w:trHeight w:val="960" w:hRule="atLeast"/>
        </w:trPr>
        <w:tc>
          <w:tcPr>
            <w:tcW w:w="1433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Two</w:t>
            </w:r>
          </w:p>
        </w:tc>
        <w:tc>
          <w:tcPr>
            <w:tcW w:w="261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01" w:val="left" w:leader="none"/>
                <w:tab w:pos="3641" w:val="left" w:leader="none"/>
              </w:tabs>
              <w:spacing w:line="250" w:lineRule="exact"/>
              <w:ind w:right="49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123,500</w:t>
              <w:tab/>
              <w:t>25,000</w:t>
              <w:tab/>
              <w:t>20%</w:t>
            </w:r>
          </w:p>
        </w:tc>
      </w:tr>
      <w:tr>
        <w:trPr>
          <w:trHeight w:val="1078" w:hRule="atLeast"/>
        </w:trPr>
        <w:tc>
          <w:tcPr>
            <w:tcW w:w="1433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183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Three</w:t>
            </w:r>
          </w:p>
        </w:tc>
        <w:tc>
          <w:tcPr>
            <w:tcW w:w="261" w:type="dxa"/>
            <w:textDirection w:val="btLr"/>
          </w:tcPr>
          <w:p>
            <w:pPr>
              <w:pStyle w:val="TableParagraph"/>
              <w:spacing w:line="241" w:lineRule="exact"/>
              <w:ind w:left="183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</w:tcPr>
          <w:p>
            <w:pPr>
              <w:pStyle w:val="TableParagraph"/>
              <w:tabs>
                <w:tab w:pos="2059" w:val="left" w:leader="none"/>
                <w:tab w:pos="3620" w:val="left" w:leader="none"/>
              </w:tabs>
              <w:spacing w:before="83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3"/>
              </w:rPr>
              <w:t>125,500</w:t>
              <w:tab/>
              <w:t>33,333</w:t>
              <w:tab/>
            </w:r>
            <w:r>
              <w:rPr>
                <w:rFonts w:ascii="Times New Roman"/>
                <w:sz w:val="22"/>
              </w:rPr>
              <w:t>27%</w:t>
            </w:r>
          </w:p>
        </w:tc>
      </w:tr>
      <w:tr>
        <w:trPr>
          <w:trHeight w:val="664" w:hRule="atLeast"/>
        </w:trPr>
        <w:tc>
          <w:tcPr>
            <w:tcW w:w="1433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Four</w:t>
            </w:r>
          </w:p>
        </w:tc>
        <w:tc>
          <w:tcPr>
            <w:tcW w:w="261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</w:t>
            </w:r>
          </w:p>
        </w:tc>
        <w:tc>
          <w:tcPr>
            <w:tcW w:w="612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59" w:val="left" w:leader="none"/>
                <w:tab w:pos="3620" w:val="left" w:leader="none"/>
              </w:tabs>
              <w:spacing w:before="152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3"/>
              </w:rPr>
              <w:t>175,500</w:t>
              <w:tab/>
              <w:t>37,500</w:t>
              <w:tab/>
            </w:r>
            <w:r>
              <w:rPr>
                <w:rFonts w:ascii="Times New Roman"/>
                <w:sz w:val="22"/>
              </w:rPr>
              <w:t>21%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90" w:after="0"/>
        <w:ind w:left="1401" w:right="0" w:hanging="702"/>
        <w:jc w:val="left"/>
        <w:rPr>
          <w:b/>
          <w:sz w:val="23"/>
        </w:rPr>
      </w:pPr>
      <w:r>
        <w:rPr/>
        <w:pict>
          <v:shape style="position:absolute;margin-left:199.984375pt;margin-top:-49.864136pt;width:14.8pt;height:22.75pt;mso-position-horizontal-relative:page;mso-position-vertical-relative:paragraph;z-index:-27472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84375pt;margin-top:-80.130898pt;width:14.8pt;height:10.9pt;mso-position-horizontal-relative:page;mso-position-vertical-relative:paragraph;z-index:-27471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Household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monthly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expenditure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mandate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700" w:right="1038"/>
        <w:jc w:val="both"/>
      </w:pPr>
      <w:r>
        <w:rPr/>
        <w:t>The level of household</w:t>
      </w:r>
      <w:r>
        <w:rPr>
          <w:spacing w:val="1"/>
        </w:rPr>
        <w:t> </w:t>
      </w:r>
      <w:r>
        <w:rPr/>
        <w:t>monthly expenditure on the mortgage</w:t>
      </w:r>
      <w:r>
        <w:rPr>
          <w:spacing w:val="1"/>
        </w:rPr>
        <w:t> </w:t>
      </w:r>
      <w:r>
        <w:rPr/>
        <w:t>in Mandate estate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 in Table 4.18. The study revealed that the respondents in two bedroom flats</w:t>
      </w:r>
      <w:r>
        <w:rPr>
          <w:spacing w:val="1"/>
        </w:rPr>
        <w:t> </w:t>
      </w:r>
      <w:r>
        <w:rPr/>
        <w:t>spent 19% of their monthly income on housing, occupants of three bedroom apartments</w:t>
      </w:r>
      <w:r>
        <w:rPr>
          <w:spacing w:val="1"/>
        </w:rPr>
        <w:t> </w:t>
      </w:r>
      <w:r>
        <w:rPr/>
        <w:t>spent 27% of their monthly income on housing, while those in four bedroom bungalows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21%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monthly income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(ILO),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occupants of Mandate estate spent below 30% of their monthly income on housing</w:t>
      </w:r>
      <w:r>
        <w:rPr>
          <w:spacing w:val="1"/>
        </w:rPr>
        <w:t> </w:t>
      </w:r>
      <w:r>
        <w:rPr/>
        <w:t>which is an appropriate. This is accepted by the International Labor Organization (ILO),</w:t>
      </w:r>
      <w:r>
        <w:rPr>
          <w:spacing w:val="-57"/>
        </w:rPr>
        <w:t> </w:t>
      </w:r>
      <w:r>
        <w:rPr/>
        <w:t>because</w:t>
      </w:r>
      <w:r>
        <w:rPr>
          <w:spacing w:val="-2"/>
        </w:rPr>
        <w:t> </w:t>
      </w:r>
      <w:r>
        <w:rPr/>
        <w:t>it allows other needs of</w:t>
      </w:r>
      <w:r>
        <w:rPr>
          <w:spacing w:val="-1"/>
        </w:rPr>
        <w:t> </w:t>
      </w:r>
      <w:r>
        <w:rPr/>
        <w:t>man to be meet without</w:t>
      </w:r>
      <w:r>
        <w:rPr>
          <w:spacing w:val="-1"/>
        </w:rPr>
        <w:t> </w:t>
      </w:r>
      <w:r>
        <w:rPr/>
        <w:t>suffering.</w:t>
      </w:r>
    </w:p>
    <w:p>
      <w:pPr>
        <w:spacing w:after="0" w:line="480" w:lineRule="auto"/>
        <w:jc w:val="both"/>
        <w:sectPr>
          <w:type w:val="continuous"/>
          <w:pgSz w:w="11900" w:h="16840"/>
          <w:pgMar w:top="1320" w:bottom="280" w:left="1280" w:right="360"/>
        </w:sectPr>
      </w:pPr>
    </w:p>
    <w:p>
      <w:pPr>
        <w:pStyle w:val="Heading1"/>
        <w:spacing w:line="266" w:lineRule="auto" w:before="66"/>
        <w:ind w:left="1979" w:right="1701" w:hanging="1275"/>
      </w:pPr>
      <w:r>
        <w:rPr/>
        <w:pict>
          <v:line style="position:absolute;mso-position-horizontal-relative:page;mso-position-vertical-relative:paragraph;z-index:15737344" from="116.5pt,34.813107pt" to="507.2pt,34.813107pt" stroked="true" strokeweight=".47992pt" strokecolor="#000000">
            <v:stroke dashstyle="solid"/>
            <w10:wrap type="none"/>
          </v:line>
        </w:pict>
      </w:r>
      <w:r>
        <w:rPr/>
        <w:t>Table 4.18: Household Monthly Income and Percentage Spent on Housing in</w:t>
      </w:r>
      <w:r>
        <w:rPr>
          <w:spacing w:val="-58"/>
        </w:rPr>
        <w:t> </w:t>
      </w:r>
      <w:r>
        <w:rPr/>
        <w:t>Mandate</w:t>
      </w:r>
      <w:r>
        <w:rPr>
          <w:spacing w:val="-3"/>
        </w:rPr>
        <w:t> </w:t>
      </w:r>
      <w:r>
        <w:rPr/>
        <w:t>Estate</w:t>
      </w:r>
    </w:p>
    <w:p>
      <w:pPr>
        <w:spacing w:after="0" w:line="266" w:lineRule="auto"/>
        <w:sectPr>
          <w:pgSz w:w="11900" w:h="16840"/>
          <w:pgMar w:header="0" w:footer="1068" w:top="1340" w:bottom="1300" w:left="1280" w:right="3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161" w:right="0" w:firstLine="0"/>
        <w:jc w:val="left"/>
        <w:rPr>
          <w:b/>
          <w:sz w:val="23"/>
        </w:rPr>
      </w:pPr>
      <w:r>
        <w:rPr>
          <w:b/>
          <w:sz w:val="23"/>
        </w:rPr>
        <w:t>Number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Rooms</w:t>
      </w:r>
    </w:p>
    <w:p>
      <w:pPr>
        <w:tabs>
          <w:tab w:pos="2942" w:val="left" w:leader="none"/>
          <w:tab w:pos="4382" w:val="left" w:leader="none"/>
        </w:tabs>
        <w:spacing w:before="40"/>
        <w:ind w:left="116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Monthly</w:t>
        <w:tab/>
        <w:t>Monthly</w:t>
        <w:tab/>
        <w:t>Percentage</w:t>
      </w:r>
    </w:p>
    <w:p>
      <w:pPr>
        <w:tabs>
          <w:tab w:pos="2942" w:val="left" w:leader="none"/>
          <w:tab w:pos="4382" w:val="left" w:leader="none"/>
        </w:tabs>
        <w:spacing w:before="2"/>
        <w:ind w:left="2942" w:right="1783" w:hanging="1782"/>
        <w:jc w:val="left"/>
        <w:rPr>
          <w:b/>
          <w:sz w:val="23"/>
        </w:rPr>
      </w:pPr>
      <w:r>
        <w:rPr>
          <w:b/>
          <w:sz w:val="23"/>
        </w:rPr>
        <w:t>Income</w:t>
        <w:tab/>
        <w:t>Expenditure</w:t>
        <w:tab/>
        <w:t>of income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  <w:tab/>
        <w:t>spent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</w:p>
    <w:p>
      <w:pPr>
        <w:spacing w:before="2"/>
        <w:ind w:left="4382" w:right="0" w:firstLine="0"/>
        <w:jc w:val="left"/>
        <w:rPr>
          <w:b/>
          <w:sz w:val="23"/>
        </w:rPr>
      </w:pPr>
      <w:r>
        <w:rPr/>
        <w:pict>
          <v:shape style="position:absolute;margin-left:199.984375pt;margin-top:41.74234pt;width:14.8pt;height:10.9pt;mso-position-horizontal-relative:page;mso-position-vertical-relative:paragraph;z-index:-27469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housing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1320" w:bottom="280" w:left="1280" w:right="360"/>
          <w:cols w:num="2" w:equalWidth="0">
            <w:col w:w="3002" w:space="138"/>
            <w:col w:w="7120"/>
          </w:cols>
        </w:sectPr>
      </w:pPr>
    </w:p>
    <w:tbl>
      <w:tblPr>
        <w:tblW w:w="0" w:type="auto"/>
        <w:jc w:val="left"/>
        <w:tblInd w:w="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261"/>
        <w:gridCol w:w="6127"/>
      </w:tblGrid>
      <w:tr>
        <w:trPr>
          <w:trHeight w:val="959" w:hRule="atLeast"/>
        </w:trPr>
        <w:tc>
          <w:tcPr>
            <w:tcW w:w="1433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Two</w:t>
            </w:r>
          </w:p>
        </w:tc>
        <w:tc>
          <w:tcPr>
            <w:tcW w:w="261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01" w:val="left" w:leader="none"/>
                <w:tab w:pos="3641" w:val="left" w:leader="none"/>
              </w:tabs>
              <w:spacing w:line="251" w:lineRule="exact"/>
              <w:ind w:right="49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129,000</w:t>
              <w:tab/>
              <w:t>25,000</w:t>
              <w:tab/>
              <w:t>19%</w:t>
            </w:r>
          </w:p>
        </w:tc>
      </w:tr>
      <w:tr>
        <w:trPr>
          <w:trHeight w:val="1075" w:hRule="atLeast"/>
        </w:trPr>
        <w:tc>
          <w:tcPr>
            <w:tcW w:w="1433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17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Three</w:t>
            </w:r>
          </w:p>
        </w:tc>
        <w:tc>
          <w:tcPr>
            <w:tcW w:w="261" w:type="dxa"/>
            <w:textDirection w:val="btLr"/>
          </w:tcPr>
          <w:p>
            <w:pPr>
              <w:pStyle w:val="TableParagraph"/>
              <w:spacing w:line="241" w:lineRule="exact"/>
              <w:ind w:left="17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</w:tcPr>
          <w:p>
            <w:pPr>
              <w:pStyle w:val="TableParagraph"/>
              <w:tabs>
                <w:tab w:pos="2059" w:val="left" w:leader="none"/>
                <w:tab w:pos="3620" w:val="left" w:leader="none"/>
              </w:tabs>
              <w:spacing w:before="85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3"/>
              </w:rPr>
              <w:t>125,500</w:t>
              <w:tab/>
              <w:t>33,333</w:t>
              <w:tab/>
            </w:r>
            <w:r>
              <w:rPr>
                <w:rFonts w:ascii="Times New Roman"/>
                <w:sz w:val="22"/>
              </w:rPr>
              <w:t>27%</w:t>
            </w:r>
          </w:p>
        </w:tc>
      </w:tr>
      <w:tr>
        <w:trPr>
          <w:trHeight w:val="671" w:hRule="atLeast"/>
        </w:trPr>
        <w:tc>
          <w:tcPr>
            <w:tcW w:w="1433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Four</w:t>
            </w:r>
          </w:p>
        </w:tc>
        <w:tc>
          <w:tcPr>
            <w:tcW w:w="261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</w:t>
            </w:r>
          </w:p>
        </w:tc>
        <w:tc>
          <w:tcPr>
            <w:tcW w:w="612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59" w:val="left" w:leader="none"/>
                <w:tab w:pos="3620" w:val="left" w:leader="none"/>
              </w:tabs>
              <w:spacing w:before="158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3"/>
              </w:rPr>
              <w:t>175,500</w:t>
              <w:tab/>
              <w:t>37,500</w:t>
              <w:tab/>
            </w:r>
            <w:r>
              <w:rPr>
                <w:rFonts w:ascii="Times New Roman"/>
                <w:sz w:val="22"/>
              </w:rPr>
              <w:t>21%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90" w:after="0"/>
        <w:ind w:left="1401" w:right="0" w:hanging="702"/>
        <w:jc w:val="left"/>
        <w:rPr>
          <w:b/>
          <w:sz w:val="23"/>
        </w:rPr>
      </w:pPr>
      <w:r>
        <w:rPr/>
        <w:pict>
          <v:shape style="position:absolute;margin-left:199.984375pt;margin-top:-49.724117pt;width:14.8pt;height:22.75pt;mso-position-horizontal-relative:page;mso-position-vertical-relative:paragraph;z-index:-27470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84375pt;margin-top:-80.140877pt;width:14.8pt;height:10.9pt;mso-position-horizontal-relative:page;mso-position-vertical-relative:paragraph;z-index:-27469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Household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Monthly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Expenditure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Royal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valley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700" w:right="1056"/>
        <w:jc w:val="both"/>
      </w:pPr>
      <w:r>
        <w:rPr/>
        <w:t>The result as shown in Table 4.19, on the household monthly expenses on a mortgage in</w:t>
      </w:r>
      <w:r>
        <w:rPr>
          <w:spacing w:val="-57"/>
        </w:rPr>
        <w:t> </w:t>
      </w:r>
      <w:r>
        <w:rPr/>
        <w:t>a private housing estate, revealed that at Royal Valley Estate, residents of two bedroom</w:t>
      </w:r>
      <w:r>
        <w:rPr>
          <w:spacing w:val="1"/>
        </w:rPr>
        <w:t> </w:t>
      </w:r>
      <w:r>
        <w:rPr/>
        <w:t>apartments spent 30% of their monthly income on the remuneration of a mortgage,</w:t>
      </w:r>
      <w:r>
        <w:rPr>
          <w:spacing w:val="1"/>
        </w:rPr>
        <w:t> </w:t>
      </w:r>
      <w:r>
        <w:rPr/>
        <w:t>occupants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bedrooms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42%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respondents in four bedroom flat spent 49% of their monthly income on housing while</w:t>
      </w:r>
      <w:r>
        <w:rPr>
          <w:spacing w:val="1"/>
        </w:rPr>
        <w:t> </w:t>
      </w:r>
      <w:r>
        <w:rPr/>
        <w:t>the occupants of five bedroom flat spent 32% of their monthly income on housing.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canvassed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Labor Organization (ILO) is not more than 30%, which is considered</w:t>
      </w:r>
      <w:r>
        <w:rPr>
          <w:spacing w:val="1"/>
        </w:rPr>
        <w:t> </w:t>
      </w:r>
      <w:r>
        <w:rPr/>
        <w:t>normal to allow households to meet other obligations for healthy living. Based on this,</w:t>
      </w:r>
      <w:r>
        <w:rPr>
          <w:spacing w:val="1"/>
        </w:rPr>
        <w:t> </w:t>
      </w:r>
      <w:r>
        <w:rPr/>
        <w:t>the majority of respondents residing at Royal Valley Estate spent more than 30% of the</w:t>
      </w:r>
      <w:r>
        <w:rPr>
          <w:spacing w:val="1"/>
        </w:rPr>
        <w:t> </w:t>
      </w:r>
      <w:r>
        <w:rPr/>
        <w:t>monthly</w:t>
      </w:r>
      <w:r>
        <w:rPr>
          <w:spacing w:val="-8"/>
        </w:rPr>
        <w:t> </w:t>
      </w:r>
      <w:r>
        <w:rPr/>
        <w:t>income on housing.</w:t>
      </w:r>
    </w:p>
    <w:p>
      <w:pPr>
        <w:spacing w:after="0" w:line="480" w:lineRule="auto"/>
        <w:jc w:val="both"/>
        <w:sectPr>
          <w:type w:val="continuous"/>
          <w:pgSz w:w="11900" w:h="16840"/>
          <w:pgMar w:top="1320" w:bottom="280" w:left="1280" w:right="360"/>
        </w:sectPr>
      </w:pPr>
    </w:p>
    <w:p>
      <w:pPr>
        <w:pStyle w:val="Heading1"/>
        <w:spacing w:line="266" w:lineRule="auto" w:before="66"/>
        <w:ind w:left="1979" w:right="1041" w:hanging="1275"/>
      </w:pPr>
      <w:r>
        <w:rPr/>
        <w:pict>
          <v:line style="position:absolute;mso-position-horizontal-relative:page;mso-position-vertical-relative:paragraph;z-index:15739392" from="116.5pt,34.813107pt" to="507.2pt,34.813107pt" stroked="true" strokeweight=".47992pt" strokecolor="#000000">
            <v:stroke dashstyle="solid"/>
            <w10:wrap type="none"/>
          </v:line>
        </w:pict>
      </w:r>
      <w:r>
        <w:rPr/>
        <w:t>Table 4.19: Household Monthly Income and Percentage Spent on Housing in Royal</w:t>
      </w:r>
      <w:r>
        <w:rPr>
          <w:spacing w:val="-57"/>
        </w:rPr>
        <w:t> </w:t>
      </w:r>
      <w:r>
        <w:rPr/>
        <w:t>valley</w:t>
      </w:r>
      <w:r>
        <w:rPr>
          <w:spacing w:val="-1"/>
        </w:rPr>
        <w:t> </w:t>
      </w:r>
      <w:r>
        <w:rPr/>
        <w:t>Estate</w:t>
      </w:r>
    </w:p>
    <w:p>
      <w:pPr>
        <w:spacing w:after="0" w:line="266" w:lineRule="auto"/>
        <w:sectPr>
          <w:pgSz w:w="11900" w:h="16840"/>
          <w:pgMar w:header="0" w:footer="1068" w:top="1340" w:bottom="1300" w:left="1280" w:right="3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161" w:right="0" w:firstLine="0"/>
        <w:jc w:val="left"/>
        <w:rPr>
          <w:b/>
          <w:sz w:val="23"/>
        </w:rPr>
      </w:pPr>
      <w:r>
        <w:rPr>
          <w:b/>
          <w:sz w:val="23"/>
        </w:rPr>
        <w:t>Number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Rooms</w:t>
      </w:r>
    </w:p>
    <w:p>
      <w:pPr>
        <w:tabs>
          <w:tab w:pos="2942" w:val="left" w:leader="none"/>
          <w:tab w:pos="4382" w:val="left" w:leader="none"/>
        </w:tabs>
        <w:spacing w:before="40"/>
        <w:ind w:left="116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Monthly</w:t>
        <w:tab/>
        <w:t>Monthly</w:t>
        <w:tab/>
        <w:t>Percentage</w:t>
      </w:r>
    </w:p>
    <w:p>
      <w:pPr>
        <w:tabs>
          <w:tab w:pos="2942" w:val="left" w:leader="none"/>
          <w:tab w:pos="4382" w:val="left" w:leader="none"/>
        </w:tabs>
        <w:spacing w:before="2"/>
        <w:ind w:left="2942" w:right="1783" w:hanging="1782"/>
        <w:jc w:val="left"/>
        <w:rPr>
          <w:b/>
          <w:sz w:val="23"/>
        </w:rPr>
      </w:pPr>
      <w:r>
        <w:rPr>
          <w:b/>
          <w:sz w:val="23"/>
        </w:rPr>
        <w:t>Income</w:t>
        <w:tab/>
        <w:t>Expenditure</w:t>
        <w:tab/>
        <w:t>of income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  <w:tab/>
        <w:t>spent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</w:p>
    <w:p>
      <w:pPr>
        <w:spacing w:before="2"/>
        <w:ind w:left="4382" w:right="0" w:firstLine="0"/>
        <w:jc w:val="left"/>
        <w:rPr>
          <w:b/>
          <w:sz w:val="23"/>
        </w:rPr>
      </w:pPr>
      <w:r>
        <w:rPr/>
        <w:pict>
          <v:shape style="position:absolute;margin-left:199.984375pt;margin-top:96.822342pt;width:14.8pt;height:10.9pt;mso-position-horizontal-relative:page;mso-position-vertical-relative:paragraph;z-index:-27467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84375pt;margin-top:41.74234pt;width:14.8pt;height:10.9pt;mso-position-horizontal-relative:page;mso-position-vertical-relative:paragraph;z-index:-27467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housing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1320" w:bottom="280" w:left="1280" w:right="360"/>
          <w:cols w:num="2" w:equalWidth="0">
            <w:col w:w="3002" w:space="138"/>
            <w:col w:w="7120"/>
          </w:cols>
        </w:sectPr>
      </w:pPr>
    </w:p>
    <w:tbl>
      <w:tblPr>
        <w:tblW w:w="0" w:type="auto"/>
        <w:jc w:val="left"/>
        <w:tblInd w:w="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261"/>
        <w:gridCol w:w="6127"/>
      </w:tblGrid>
      <w:tr>
        <w:trPr>
          <w:trHeight w:val="959" w:hRule="atLeast"/>
        </w:trPr>
        <w:tc>
          <w:tcPr>
            <w:tcW w:w="1433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Two</w:t>
            </w:r>
          </w:p>
        </w:tc>
        <w:tc>
          <w:tcPr>
            <w:tcW w:w="261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01" w:val="left" w:leader="none"/>
                <w:tab w:pos="3641" w:val="left" w:leader="none"/>
              </w:tabs>
              <w:spacing w:line="251" w:lineRule="exact"/>
              <w:ind w:right="49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174,500</w:t>
              <w:tab/>
              <w:t>52,083</w:t>
              <w:tab/>
              <w:t>30%</w:t>
            </w:r>
          </w:p>
        </w:tc>
      </w:tr>
      <w:tr>
        <w:trPr>
          <w:trHeight w:val="1090" w:hRule="atLeast"/>
        </w:trPr>
        <w:tc>
          <w:tcPr>
            <w:tcW w:w="1433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19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Three</w:t>
            </w:r>
          </w:p>
        </w:tc>
        <w:tc>
          <w:tcPr>
            <w:tcW w:w="261" w:type="dxa"/>
            <w:textDirection w:val="btLr"/>
          </w:tcPr>
          <w:p>
            <w:pPr>
              <w:pStyle w:val="TableParagraph"/>
              <w:spacing w:line="241" w:lineRule="exact"/>
              <w:ind w:left="19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</w:tcPr>
          <w:p>
            <w:pPr>
              <w:pStyle w:val="TableParagraph"/>
              <w:tabs>
                <w:tab w:pos="2059" w:val="left" w:leader="none"/>
                <w:tab w:pos="3620" w:val="left" w:leader="none"/>
              </w:tabs>
              <w:spacing w:before="85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3"/>
              </w:rPr>
              <w:t>173,500</w:t>
              <w:tab/>
              <w:t>72,916</w:t>
              <w:tab/>
            </w:r>
            <w:r>
              <w:rPr>
                <w:rFonts w:ascii="Times New Roman"/>
                <w:sz w:val="22"/>
              </w:rPr>
              <w:t>42%</w:t>
            </w:r>
          </w:p>
        </w:tc>
      </w:tr>
      <w:tr>
        <w:trPr>
          <w:trHeight w:val="937" w:hRule="atLeast"/>
        </w:trPr>
        <w:tc>
          <w:tcPr>
            <w:tcW w:w="1433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2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Four</w:t>
            </w:r>
          </w:p>
        </w:tc>
        <w:tc>
          <w:tcPr>
            <w:tcW w:w="261" w:type="dxa"/>
            <w:textDirection w:val="btLr"/>
          </w:tcPr>
          <w:p>
            <w:pPr>
              <w:pStyle w:val="TableParagraph"/>
              <w:spacing w:line="241" w:lineRule="exact"/>
              <w:ind w:left="2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</w:tcPr>
          <w:p>
            <w:pPr>
              <w:pStyle w:val="TableParagraph"/>
              <w:tabs>
                <w:tab w:pos="2004" w:val="left" w:leader="none"/>
                <w:tab w:pos="3514" w:val="left" w:leader="none"/>
              </w:tabs>
              <w:spacing w:before="143"/>
              <w:ind w:right="48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257,500</w:t>
              <w:tab/>
              <w:t>125,000</w:t>
              <w:tab/>
              <w:t>49%</w:t>
            </w:r>
          </w:p>
        </w:tc>
      </w:tr>
      <w:tr>
        <w:trPr>
          <w:trHeight w:val="510" w:hRule="atLeast"/>
        </w:trPr>
        <w:tc>
          <w:tcPr>
            <w:tcW w:w="1433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Five</w:t>
            </w:r>
          </w:p>
        </w:tc>
        <w:tc>
          <w:tcPr>
            <w:tcW w:w="261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</w:t>
            </w:r>
          </w:p>
        </w:tc>
        <w:tc>
          <w:tcPr>
            <w:tcW w:w="612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04" w:val="left" w:leader="none"/>
                <w:tab w:pos="3514" w:val="left" w:leader="none"/>
              </w:tabs>
              <w:spacing w:line="264" w:lineRule="exact"/>
              <w:ind w:right="48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449,000</w:t>
              <w:tab/>
              <w:t>145,833</w:t>
              <w:tab/>
              <w:t>32%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90" w:after="0"/>
        <w:ind w:left="1401" w:right="0" w:hanging="702"/>
        <w:jc w:val="left"/>
        <w:rPr>
          <w:b/>
          <w:sz w:val="23"/>
        </w:rPr>
      </w:pPr>
      <w:r>
        <w:rPr/>
        <w:pict>
          <v:shape style="position:absolute;margin-left:199.984375pt;margin-top:-62.813038pt;width:14.8pt;height:38pt;mso-position-horizontal-relative:page;mso-position-vertical-relative:paragraph;z-index:-2746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oom</w:t>
                  </w:r>
                  <w:r>
                    <w:rPr>
                      <w:b/>
                      <w:spacing w:val="49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Household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monthly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expenditure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evergreen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estate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700" w:right="1056"/>
        <w:jc w:val="both"/>
      </w:pPr>
      <w:r>
        <w:rPr/>
        <w:t>The study analysis as depicted in Table 4.20 demonstrated that, 33% of monthly income</w:t>
      </w:r>
      <w:r>
        <w:rPr>
          <w:spacing w:val="-57"/>
        </w:rPr>
        <w:t> </w:t>
      </w:r>
      <w:r>
        <w:rPr/>
        <w:t>is spent on housing by the occupants of the two bedroom flat, respondents in three</w:t>
      </w:r>
      <w:r>
        <w:rPr>
          <w:spacing w:val="1"/>
        </w:rPr>
        <w:t> </w:t>
      </w:r>
      <w:r>
        <w:rPr/>
        <w:t>bedroom bungalows spent 49% of their total monthly income on housing, the occupants</w:t>
      </w:r>
      <w:r>
        <w:rPr>
          <w:spacing w:val="-57"/>
        </w:rPr>
        <w:t> </w:t>
      </w:r>
      <w:r>
        <w:rPr/>
        <w:t>of four bedroom flat spent 52% of their monthly income on housing while 58% of the</w:t>
      </w:r>
      <w:r>
        <w:rPr>
          <w:spacing w:val="1"/>
        </w:rPr>
        <w:t> </w:t>
      </w:r>
      <w:r>
        <w:rPr/>
        <w:t>total income is spent on housing by the occupants of five bedrooms in evergreen estate.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campaigned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labour organization (ILO) is that, it should not be more than 30% of the</w:t>
      </w:r>
      <w:r>
        <w:rPr>
          <w:spacing w:val="1"/>
        </w:rPr>
        <w:t> </w:t>
      </w:r>
      <w:r>
        <w:rPr/>
        <w:t>monthly household income, which is viewed as ordinary to permit families to meet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commitments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living.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respondent's</w:t>
      </w:r>
      <w:r>
        <w:rPr>
          <w:spacing w:val="1"/>
        </w:rPr>
        <w:t> </w:t>
      </w:r>
      <w:r>
        <w:rPr/>
        <w:t>dwelling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evergreen</w:t>
      </w:r>
      <w:r>
        <w:rPr>
          <w:spacing w:val="19"/>
        </w:rPr>
        <w:t> </w:t>
      </w:r>
      <w:r>
        <w:rPr/>
        <w:t>estate</w:t>
      </w:r>
      <w:r>
        <w:rPr>
          <w:spacing w:val="18"/>
        </w:rPr>
        <w:t> </w:t>
      </w:r>
      <w:r>
        <w:rPr/>
        <w:t>spent</w:t>
      </w:r>
      <w:r>
        <w:rPr>
          <w:spacing w:val="20"/>
        </w:rPr>
        <w:t> </w:t>
      </w:r>
      <w:r>
        <w:rPr/>
        <w:t>over</w:t>
      </w:r>
      <w:r>
        <w:rPr>
          <w:spacing w:val="18"/>
        </w:rPr>
        <w:t> </w:t>
      </w:r>
      <w:r>
        <w:rPr/>
        <w:t>30%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monthly</w:t>
      </w:r>
      <w:r>
        <w:rPr>
          <w:spacing w:val="14"/>
        </w:rPr>
        <w:t> </w:t>
      </w:r>
      <w:r>
        <w:rPr/>
        <w:t>income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remuneration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mortgage.</w:t>
      </w:r>
    </w:p>
    <w:p>
      <w:pPr>
        <w:spacing w:after="0" w:line="480" w:lineRule="auto"/>
        <w:jc w:val="both"/>
        <w:sectPr>
          <w:type w:val="continuous"/>
          <w:pgSz w:w="11900" w:h="16840"/>
          <w:pgMar w:top="1320" w:bottom="280" w:left="1280" w:right="360"/>
        </w:sectPr>
      </w:pPr>
    </w:p>
    <w:p>
      <w:pPr>
        <w:pStyle w:val="Heading1"/>
        <w:spacing w:line="266" w:lineRule="auto" w:before="66"/>
        <w:ind w:left="1979" w:right="1701" w:hanging="1275"/>
      </w:pPr>
      <w:r>
        <w:rPr/>
        <w:pict>
          <v:line style="position:absolute;mso-position-horizontal-relative:page;mso-position-vertical-relative:paragraph;z-index:15741440" from="116.5pt,34.813107pt" to="507.2pt,34.813107pt" stroked="true" strokeweight=".47992pt" strokecolor="#000000">
            <v:stroke dashstyle="solid"/>
            <w10:wrap type="none"/>
          </v:line>
        </w:pict>
      </w:r>
      <w:r>
        <w:rPr/>
        <w:t>Table 4.20: Household Monthly Income and Percentage Spent on Housing in</w:t>
      </w:r>
      <w:r>
        <w:rPr>
          <w:spacing w:val="-58"/>
        </w:rPr>
        <w:t> </w:t>
      </w:r>
      <w:r>
        <w:rPr/>
        <w:t>Evergreen</w:t>
      </w:r>
      <w:r>
        <w:rPr>
          <w:spacing w:val="-1"/>
        </w:rPr>
        <w:t> </w:t>
      </w:r>
      <w:r>
        <w:rPr/>
        <w:t>Estate</w:t>
      </w:r>
    </w:p>
    <w:p>
      <w:pPr>
        <w:spacing w:after="0" w:line="266" w:lineRule="auto"/>
        <w:sectPr>
          <w:pgSz w:w="11900" w:h="16840"/>
          <w:pgMar w:header="0" w:footer="1068" w:top="1340" w:bottom="1300" w:left="1280" w:right="3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161" w:right="0" w:firstLine="0"/>
        <w:jc w:val="left"/>
        <w:rPr>
          <w:b/>
          <w:sz w:val="23"/>
        </w:rPr>
      </w:pPr>
      <w:r>
        <w:rPr>
          <w:b/>
          <w:sz w:val="23"/>
        </w:rPr>
        <w:t>Number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Rooms</w:t>
      </w:r>
    </w:p>
    <w:p>
      <w:pPr>
        <w:tabs>
          <w:tab w:pos="2942" w:val="left" w:leader="none"/>
          <w:tab w:pos="4382" w:val="left" w:leader="none"/>
        </w:tabs>
        <w:spacing w:before="40"/>
        <w:ind w:left="116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Monthly</w:t>
        <w:tab/>
        <w:t>Monthly</w:t>
        <w:tab/>
        <w:t>Percentage</w:t>
      </w:r>
    </w:p>
    <w:p>
      <w:pPr>
        <w:tabs>
          <w:tab w:pos="2942" w:val="left" w:leader="none"/>
          <w:tab w:pos="4382" w:val="left" w:leader="none"/>
        </w:tabs>
        <w:spacing w:before="2"/>
        <w:ind w:left="2942" w:right="1783" w:hanging="1782"/>
        <w:jc w:val="left"/>
        <w:rPr>
          <w:b/>
          <w:sz w:val="23"/>
        </w:rPr>
      </w:pPr>
      <w:r>
        <w:rPr>
          <w:b/>
          <w:sz w:val="23"/>
        </w:rPr>
        <w:t>Income</w:t>
        <w:tab/>
        <w:t>Expenditure</w:t>
        <w:tab/>
        <w:t>of income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  <w:tab/>
        <w:t>spent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</w:p>
    <w:p>
      <w:pPr>
        <w:spacing w:before="2"/>
        <w:ind w:left="4382" w:right="0" w:firstLine="0"/>
        <w:jc w:val="left"/>
        <w:rPr>
          <w:b/>
          <w:sz w:val="23"/>
        </w:rPr>
      </w:pPr>
      <w:r>
        <w:rPr/>
        <w:pict>
          <v:shape style="position:absolute;margin-left:199.984375pt;margin-top:96.822342pt;width:14.8pt;height:10.9pt;mso-position-horizontal-relative:page;mso-position-vertical-relative:paragraph;z-index:-27465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84375pt;margin-top:41.74234pt;width:14.8pt;height:10.9pt;mso-position-horizontal-relative:page;mso-position-vertical-relative:paragraph;z-index:-2746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92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housing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1320" w:bottom="280" w:left="1280" w:right="360"/>
          <w:cols w:num="2" w:equalWidth="0">
            <w:col w:w="3002" w:space="138"/>
            <w:col w:w="7120"/>
          </w:cols>
        </w:sectPr>
      </w:pPr>
    </w:p>
    <w:tbl>
      <w:tblPr>
        <w:tblW w:w="0" w:type="auto"/>
        <w:jc w:val="left"/>
        <w:tblInd w:w="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261"/>
        <w:gridCol w:w="6127"/>
      </w:tblGrid>
      <w:tr>
        <w:trPr>
          <w:trHeight w:val="959" w:hRule="atLeast"/>
        </w:trPr>
        <w:tc>
          <w:tcPr>
            <w:tcW w:w="1433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Two</w:t>
            </w:r>
          </w:p>
        </w:tc>
        <w:tc>
          <w:tcPr>
            <w:tcW w:w="261" w:type="dxa"/>
            <w:tcBorders>
              <w:top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20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01" w:val="left" w:leader="none"/>
                <w:tab w:pos="3641" w:val="left" w:leader="none"/>
              </w:tabs>
              <w:spacing w:line="251" w:lineRule="exact"/>
              <w:ind w:right="49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250,000</w:t>
              <w:tab/>
              <w:t>83,333</w:t>
              <w:tab/>
              <w:t>33%</w:t>
            </w:r>
          </w:p>
        </w:tc>
      </w:tr>
      <w:tr>
        <w:trPr>
          <w:trHeight w:val="1090" w:hRule="atLeast"/>
        </w:trPr>
        <w:tc>
          <w:tcPr>
            <w:tcW w:w="1433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19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Three</w:t>
            </w:r>
          </w:p>
        </w:tc>
        <w:tc>
          <w:tcPr>
            <w:tcW w:w="261" w:type="dxa"/>
            <w:textDirection w:val="btLr"/>
          </w:tcPr>
          <w:p>
            <w:pPr>
              <w:pStyle w:val="TableParagraph"/>
              <w:spacing w:line="241" w:lineRule="exact"/>
              <w:ind w:left="19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</w:tcPr>
          <w:p>
            <w:pPr>
              <w:pStyle w:val="TableParagraph"/>
              <w:tabs>
                <w:tab w:pos="1999" w:val="left" w:leader="none"/>
                <w:tab w:pos="3620" w:val="left" w:leader="none"/>
              </w:tabs>
              <w:spacing w:before="85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3"/>
              </w:rPr>
              <w:t>282,000</w:t>
              <w:tab/>
              <w:t>138,888</w:t>
              <w:tab/>
            </w:r>
            <w:r>
              <w:rPr>
                <w:rFonts w:ascii="Times New Roman"/>
                <w:sz w:val="22"/>
              </w:rPr>
              <w:t>49%</w:t>
            </w:r>
          </w:p>
        </w:tc>
      </w:tr>
      <w:tr>
        <w:trPr>
          <w:trHeight w:val="937" w:hRule="atLeast"/>
        </w:trPr>
        <w:tc>
          <w:tcPr>
            <w:tcW w:w="1433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2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Four</w:t>
            </w:r>
          </w:p>
        </w:tc>
        <w:tc>
          <w:tcPr>
            <w:tcW w:w="261" w:type="dxa"/>
            <w:textDirection w:val="btLr"/>
          </w:tcPr>
          <w:p>
            <w:pPr>
              <w:pStyle w:val="TableParagraph"/>
              <w:spacing w:line="241" w:lineRule="exact"/>
              <w:ind w:left="2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Bedroo</w:t>
            </w:r>
          </w:p>
        </w:tc>
        <w:tc>
          <w:tcPr>
            <w:tcW w:w="6127" w:type="dxa"/>
          </w:tcPr>
          <w:p>
            <w:pPr>
              <w:pStyle w:val="TableParagraph"/>
              <w:tabs>
                <w:tab w:pos="2004" w:val="left" w:leader="none"/>
                <w:tab w:pos="3514" w:val="left" w:leader="none"/>
              </w:tabs>
              <w:spacing w:before="143"/>
              <w:ind w:right="48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349,000</w:t>
              <w:tab/>
              <w:t>180,555</w:t>
              <w:tab/>
              <w:t>52%</w:t>
            </w:r>
          </w:p>
        </w:tc>
      </w:tr>
      <w:tr>
        <w:trPr>
          <w:trHeight w:val="510" w:hRule="atLeast"/>
        </w:trPr>
        <w:tc>
          <w:tcPr>
            <w:tcW w:w="1433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48" w:lineRule="exact"/>
              <w:ind w:left="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Five</w:t>
            </w:r>
          </w:p>
        </w:tc>
        <w:tc>
          <w:tcPr>
            <w:tcW w:w="261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line="241" w:lineRule="exact"/>
              <w:ind w:left="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Bedr</w:t>
            </w:r>
          </w:p>
        </w:tc>
        <w:tc>
          <w:tcPr>
            <w:tcW w:w="612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04" w:val="left" w:leader="none"/>
                <w:tab w:pos="3514" w:val="left" w:leader="none"/>
              </w:tabs>
              <w:spacing w:line="264" w:lineRule="exact"/>
              <w:ind w:right="48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476,000</w:t>
              <w:tab/>
              <w:t>277,778</w:t>
              <w:tab/>
              <w:t>58%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1"/>
          <w:numId w:val="8"/>
        </w:numPr>
        <w:tabs>
          <w:tab w:pos="1401" w:val="left" w:leader="none"/>
          <w:tab w:pos="1402" w:val="left" w:leader="none"/>
        </w:tabs>
        <w:spacing w:line="240" w:lineRule="auto" w:before="90" w:after="0"/>
        <w:ind w:left="1401" w:right="0" w:hanging="702"/>
        <w:jc w:val="left"/>
        <w:rPr>
          <w:b/>
          <w:sz w:val="23"/>
        </w:rPr>
      </w:pPr>
      <w:r>
        <w:rPr/>
        <w:pict>
          <v:shape style="position:absolute;margin-left:199.984375pt;margin-top:-69.773033pt;width:14.8pt;height:38pt;mso-position-horizontal-relative:page;mso-position-vertical-relative:paragraph;z-index:-27466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oom</w:t>
                  </w:r>
                  <w:r>
                    <w:rPr>
                      <w:b/>
                      <w:spacing w:val="49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Level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Livability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Public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Private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Estates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Level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of 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livability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harmony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The level of housing livability in the public and private housing estates occupied by the</w:t>
      </w:r>
      <w:r>
        <w:rPr>
          <w:spacing w:val="1"/>
        </w:rPr>
        <w:t> </w:t>
      </w:r>
      <w:r>
        <w:rPr/>
        <w:t>respondents was assessed through the use of Mean Weight Value (MWV).Livability</w:t>
      </w:r>
      <w:r>
        <w:rPr>
          <w:spacing w:val="1"/>
        </w:rPr>
        <w:t> </w:t>
      </w:r>
      <w:r>
        <w:rPr/>
        <w:t>Index</w:t>
      </w:r>
      <w:r>
        <w:rPr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also</w:t>
      </w:r>
      <w:r>
        <w:rPr>
          <w:spacing w:val="10"/>
        </w:rPr>
        <w:t> </w:t>
      </w:r>
      <w:r>
        <w:rPr/>
        <w:t>calculatedusing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likert</w:t>
      </w:r>
      <w:r>
        <w:rPr>
          <w:spacing w:val="8"/>
        </w:rPr>
        <w:t> </w:t>
      </w:r>
      <w:r>
        <w:rPr/>
        <w:t>scale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0-1.49</w:t>
      </w:r>
      <w:r>
        <w:rPr>
          <w:spacing w:val="9"/>
        </w:rPr>
        <w:t> </w:t>
      </w:r>
      <w:r>
        <w:rPr/>
        <w:t>Very</w:t>
      </w:r>
      <w:r>
        <w:rPr>
          <w:spacing w:val="8"/>
        </w:rPr>
        <w:t> </w:t>
      </w:r>
      <w:r>
        <w:rPr/>
        <w:t>Low,</w:t>
      </w:r>
      <w:r>
        <w:rPr>
          <w:spacing w:val="7"/>
        </w:rPr>
        <w:t> </w:t>
      </w:r>
      <w:r>
        <w:rPr/>
        <w:t>1.50-2.49</w:t>
      </w:r>
      <w:r>
        <w:rPr>
          <w:spacing w:val="11"/>
        </w:rPr>
        <w:t> </w:t>
      </w:r>
      <w:r>
        <w:rPr/>
        <w:t>Low,</w:t>
      </w:r>
      <w:r>
        <w:rPr>
          <w:spacing w:val="10"/>
        </w:rPr>
        <w:t> </w:t>
      </w:r>
      <w:r>
        <w:rPr/>
        <w:t>2.50-</w:t>
      </w:r>
    </w:p>
    <w:p>
      <w:pPr>
        <w:pStyle w:val="BodyText"/>
        <w:spacing w:before="2"/>
        <w:ind w:left="700"/>
        <w:jc w:val="both"/>
      </w:pPr>
      <w:r>
        <w:rPr/>
        <w:t>3.49</w:t>
      </w:r>
      <w:r>
        <w:rPr>
          <w:spacing w:val="-1"/>
        </w:rPr>
        <w:t> </w:t>
      </w:r>
      <w:r>
        <w:rPr/>
        <w:t>Moderate,</w:t>
      </w:r>
      <w:r>
        <w:rPr>
          <w:spacing w:val="-1"/>
        </w:rPr>
        <w:t> </w:t>
      </w:r>
      <w:r>
        <w:rPr/>
        <w:t>3.50-4.49 High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4.50-5.00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high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future reference.</w:t>
      </w:r>
      <w:r>
        <w:rPr>
          <w:spacing w:val="-1"/>
        </w:rPr>
        <w:t> </w:t>
      </w:r>
      <w:r>
        <w:rPr/>
        <w:t>Ten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7" w:lineRule="auto" w:before="1"/>
        <w:ind w:left="700" w:right="1041"/>
        <w:jc w:val="both"/>
      </w:pPr>
      <w:r>
        <w:rPr/>
        <w:t>(10) indicators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 extant literature review were used, The indicators are</w:t>
      </w:r>
      <w:r>
        <w:rPr>
          <w:spacing w:val="1"/>
        </w:rPr>
        <w:t> </w:t>
      </w:r>
      <w:r>
        <w:rPr/>
        <w:t>location (access to other part of the town), health (access to primary healthcare facility),</w:t>
      </w:r>
      <w:r>
        <w:rPr>
          <w:spacing w:val="1"/>
        </w:rPr>
        <w:t> </w:t>
      </w:r>
      <w:r>
        <w:rPr/>
        <w:t>housing quality, economic opportunity, safety of lives and properties, neighborhood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civic/social</w:t>
      </w:r>
      <w:r>
        <w:rPr>
          <w:spacing w:val="1"/>
        </w:rPr>
        <w:t> </w:t>
      </w:r>
      <w:r>
        <w:rPr/>
        <w:t>engagement,</w:t>
      </w:r>
      <w:r>
        <w:rPr>
          <w:spacing w:val="1"/>
        </w:rPr>
        <w:t> </w:t>
      </w:r>
      <w:r>
        <w:rPr/>
        <w:t>and access to communication/internet</w:t>
      </w:r>
      <w:r>
        <w:rPr>
          <w:spacing w:val="-1"/>
        </w:rPr>
        <w:t> </w:t>
      </w:r>
      <w:r>
        <w:rPr/>
        <w:t>facility.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0" w:lineRule="auto"/>
        <w:ind w:left="700" w:right="1063"/>
        <w:jc w:val="both"/>
      </w:pPr>
      <w:r>
        <w:rPr/>
        <w:t>The findings from the Harmony estate were presented in Table 4.2. it revealed that</w:t>
      </w:r>
      <w:r>
        <w:rPr>
          <w:spacing w:val="1"/>
        </w:rPr>
        <w:t> </w:t>
      </w:r>
      <w:r>
        <w:rPr/>
        <w:t>accessibility</w:t>
      </w:r>
      <w:r>
        <w:rPr>
          <w:spacing w:val="-9"/>
        </w:rPr>
        <w:t> </w:t>
      </w:r>
      <w:r>
        <w:rPr/>
        <w:t>of the</w:t>
      </w:r>
      <w:r>
        <w:rPr>
          <w:spacing w:val="-2"/>
        </w:rPr>
        <w:t> </w:t>
      </w:r>
      <w:r>
        <w:rPr/>
        <w:t>estate</w:t>
      </w:r>
      <w:r>
        <w:rPr>
          <w:spacing w:val="1"/>
        </w:rPr>
        <w:t> </w:t>
      </w:r>
      <w:r>
        <w:rPr/>
        <w:t>to other parts of</w:t>
      </w:r>
      <w:r>
        <w:rPr>
          <w:spacing w:val="-2"/>
        </w:rPr>
        <w:t> </w:t>
      </w:r>
      <w:r>
        <w:rPr/>
        <w:t>the town and access to civic/ social</w:t>
      </w:r>
    </w:p>
    <w:p>
      <w:pPr>
        <w:spacing w:after="0" w:line="470" w:lineRule="auto"/>
        <w:jc w:val="both"/>
        <w:sectPr>
          <w:type w:val="continuous"/>
          <w:pgSz w:w="11900" w:h="16840"/>
          <w:pgMar w:top="1320" w:bottom="280" w:left="1280" w:right="360"/>
        </w:sectPr>
      </w:pPr>
    </w:p>
    <w:p>
      <w:pPr>
        <w:pStyle w:val="BodyText"/>
        <w:spacing w:line="470" w:lineRule="auto" w:before="74"/>
        <w:ind w:left="700" w:right="1056"/>
        <w:jc w:val="both"/>
      </w:pPr>
      <w:r>
        <w:rPr/>
        <w:t>engagement were ranked high with a MWV= 368 and 294 and livability index of 4.49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3.59 respectively.</w:t>
      </w:r>
    </w:p>
    <w:p>
      <w:pPr>
        <w:pStyle w:val="BodyText"/>
        <w:spacing w:line="477" w:lineRule="auto" w:before="224"/>
        <w:ind w:left="700" w:right="1060"/>
        <w:jc w:val="both"/>
      </w:pPr>
      <w:r>
        <w:rPr/>
        <w:t>Accessibility to health care facility =MWV of 286 and livability index of 3.49, access to</w:t>
      </w:r>
      <w:r>
        <w:rPr>
          <w:spacing w:val="-5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=MWV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2777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3.38,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estate=</w:t>
      </w:r>
      <w:r>
        <w:rPr>
          <w:spacing w:val="1"/>
        </w:rPr>
        <w:t> </w:t>
      </w:r>
      <w:r>
        <w:rPr/>
        <w:t>MWV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2.51,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education=MWV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2.55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communication/internet facility= MWV of 286 and livability index of 3.49 which are all</w:t>
      </w:r>
      <w:r>
        <w:rPr>
          <w:spacing w:val="-57"/>
        </w:rPr>
        <w:t> </w:t>
      </w:r>
      <w:r>
        <w:rPr/>
        <w:t>ranked</w:t>
      </w:r>
      <w:r>
        <w:rPr>
          <w:spacing w:val="-1"/>
        </w:rPr>
        <w:t> </w:t>
      </w:r>
      <w:r>
        <w:rPr/>
        <w:t>moderate.</w:t>
      </w:r>
    </w:p>
    <w:p>
      <w:pPr>
        <w:pStyle w:val="BodyText"/>
        <w:spacing w:line="477" w:lineRule="auto" w:before="214"/>
        <w:ind w:left="700" w:right="1060"/>
        <w:jc w:val="both"/>
      </w:pPr>
      <w:r>
        <w:rPr/>
        <w:t>The neighborhood quality, quality of the housing and access to water were the least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indicators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MWV= 201,</w:t>
      </w:r>
      <w:r>
        <w:rPr>
          <w:spacing w:val="2"/>
        </w:rPr>
        <w:t> </w:t>
      </w:r>
      <w:r>
        <w:rPr/>
        <w:t>203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147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livability</w:t>
      </w:r>
      <w:r>
        <w:rPr>
          <w:spacing w:val="-3"/>
        </w:rPr>
        <w:t> </w:t>
      </w:r>
      <w:r>
        <w:rPr/>
        <w:t>index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2.45,</w:t>
      </w:r>
      <w:r>
        <w:rPr>
          <w:spacing w:val="2"/>
        </w:rPr>
        <w:t> </w:t>
      </w:r>
      <w:r>
        <w:rPr/>
        <w:t>2.48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477" w:lineRule="auto"/>
        <w:ind w:left="700" w:right="1066"/>
        <w:jc w:val="both"/>
      </w:pPr>
      <w:r>
        <w:rPr/>
        <w:t>1.79 respectively. The overall level of livability was however still within the moderate</w:t>
      </w:r>
      <w:r>
        <w:rPr>
          <w:spacing w:val="1"/>
        </w:rPr>
        <w:t> </w:t>
      </w:r>
      <w:r>
        <w:rPr/>
        <w:t>livability</w:t>
      </w:r>
      <w:r>
        <w:rPr>
          <w:spacing w:val="-9"/>
        </w:rPr>
        <w:t> </w:t>
      </w:r>
      <w:r>
        <w:rPr/>
        <w:t>index</w:t>
      </w:r>
      <w:r>
        <w:rPr>
          <w:spacing w:val="1"/>
        </w:rPr>
        <w:t> </w:t>
      </w:r>
      <w:r>
        <w:rPr/>
        <w:t>range, based on the average</w:t>
      </w:r>
      <w:r>
        <w:rPr>
          <w:spacing w:val="2"/>
        </w:rPr>
        <w:t> </w:t>
      </w:r>
      <w:r>
        <w:rPr/>
        <w:t>of 3.02.</w:t>
      </w:r>
    </w:p>
    <w:p>
      <w:pPr>
        <w:pStyle w:val="Heading1"/>
        <w:spacing w:before="213" w:after="28"/>
        <w:jc w:val="both"/>
      </w:pPr>
      <w:r>
        <w:rPr/>
        <w:t>Table</w:t>
      </w:r>
      <w:r>
        <w:rPr>
          <w:spacing w:val="-2"/>
        </w:rPr>
        <w:t> </w:t>
      </w:r>
      <w:r>
        <w:rPr/>
        <w:t>4.21:</w:t>
      </w:r>
      <w:r>
        <w:rPr>
          <w:spacing w:val="-3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of Harmony</w:t>
      </w:r>
      <w:r>
        <w:rPr>
          <w:spacing w:val="-1"/>
        </w:rPr>
        <w:t> </w:t>
      </w:r>
      <w:r>
        <w:rPr/>
        <w:t>Estate</w:t>
      </w: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1"/>
        <w:gridCol w:w="925"/>
        <w:gridCol w:w="1272"/>
        <w:gridCol w:w="1234"/>
      </w:tblGrid>
      <w:tr>
        <w:trPr>
          <w:trHeight w:val="284" w:hRule="atLeast"/>
        </w:trPr>
        <w:tc>
          <w:tcPr>
            <w:tcW w:w="46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 w:before="1"/>
              <w:ind w:left="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MWV</w:t>
            </w:r>
          </w:p>
        </w:tc>
        <w:tc>
          <w:tcPr>
            <w:tcW w:w="12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 w:before="1"/>
              <w:ind w:left="1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Livability</w:t>
            </w:r>
          </w:p>
        </w:tc>
        <w:tc>
          <w:tcPr>
            <w:tcW w:w="12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Remark</w:t>
            </w:r>
          </w:p>
        </w:tc>
      </w:tr>
      <w:tr>
        <w:trPr>
          <w:trHeight w:val="276" w:hRule="atLeast"/>
        </w:trPr>
        <w:tc>
          <w:tcPr>
            <w:tcW w:w="4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Indicators</w:t>
            </w:r>
          </w:p>
        </w:tc>
        <w:tc>
          <w:tcPr>
            <w:tcW w:w="9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Index</w:t>
            </w:r>
          </w:p>
        </w:tc>
        <w:tc>
          <w:tcPr>
            <w:tcW w:w="12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4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other parts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9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368</w:t>
            </w:r>
          </w:p>
        </w:tc>
        <w:tc>
          <w:tcPr>
            <w:tcW w:w="12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4.49</w:t>
            </w:r>
          </w:p>
        </w:tc>
        <w:tc>
          <w:tcPr>
            <w:tcW w:w="12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4" w:hRule="atLeast"/>
        </w:trPr>
        <w:tc>
          <w:tcPr>
            <w:tcW w:w="4661" w:type="dxa"/>
          </w:tcPr>
          <w:p>
            <w:pPr>
              <w:pStyle w:val="TableParagraph"/>
              <w:spacing w:before="11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town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4661" w:type="dxa"/>
          </w:tcPr>
          <w:p>
            <w:pPr>
              <w:pStyle w:val="TableParagraph"/>
              <w:spacing w:before="16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health care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925" w:type="dxa"/>
          </w:tcPr>
          <w:p>
            <w:pPr>
              <w:pStyle w:val="TableParagraph"/>
              <w:spacing w:before="16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286</w:t>
            </w:r>
          </w:p>
        </w:tc>
        <w:tc>
          <w:tcPr>
            <w:tcW w:w="1272" w:type="dxa"/>
          </w:tcPr>
          <w:p>
            <w:pPr>
              <w:pStyle w:val="TableParagraph"/>
              <w:spacing w:before="16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3.49</w:t>
            </w:r>
          </w:p>
        </w:tc>
        <w:tc>
          <w:tcPr>
            <w:tcW w:w="1234" w:type="dxa"/>
          </w:tcPr>
          <w:p>
            <w:pPr>
              <w:pStyle w:val="TableParagraph"/>
              <w:spacing w:before="16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16" w:hRule="atLeast"/>
        </w:trPr>
        <w:tc>
          <w:tcPr>
            <w:tcW w:w="4661" w:type="dxa"/>
          </w:tcPr>
          <w:p>
            <w:pPr>
              <w:pStyle w:val="TableParagraph"/>
              <w:spacing w:before="15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925" w:type="dxa"/>
          </w:tcPr>
          <w:p>
            <w:pPr>
              <w:pStyle w:val="TableParagraph"/>
              <w:spacing w:before="15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203</w:t>
            </w:r>
          </w:p>
        </w:tc>
        <w:tc>
          <w:tcPr>
            <w:tcW w:w="1272" w:type="dxa"/>
          </w:tcPr>
          <w:p>
            <w:pPr>
              <w:pStyle w:val="TableParagraph"/>
              <w:spacing w:before="1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2.48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</w:p>
        </w:tc>
      </w:tr>
      <w:tr>
        <w:trPr>
          <w:trHeight w:val="316" w:hRule="atLeast"/>
        </w:trPr>
        <w:tc>
          <w:tcPr>
            <w:tcW w:w="4661" w:type="dxa"/>
          </w:tcPr>
          <w:p>
            <w:pPr>
              <w:pStyle w:val="TableParagraph"/>
              <w:spacing w:before="15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economic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opportunity</w:t>
            </w:r>
          </w:p>
        </w:tc>
        <w:tc>
          <w:tcPr>
            <w:tcW w:w="925" w:type="dxa"/>
          </w:tcPr>
          <w:p>
            <w:pPr>
              <w:pStyle w:val="TableParagraph"/>
              <w:spacing w:before="15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3.38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17" w:hRule="atLeast"/>
        </w:trPr>
        <w:tc>
          <w:tcPr>
            <w:tcW w:w="4661" w:type="dxa"/>
          </w:tcPr>
          <w:p>
            <w:pPr>
              <w:pStyle w:val="TableParagraph"/>
              <w:spacing w:before="15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925" w:type="dxa"/>
          </w:tcPr>
          <w:p>
            <w:pPr>
              <w:pStyle w:val="TableParagraph"/>
              <w:spacing w:before="15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206</w:t>
            </w:r>
          </w:p>
        </w:tc>
        <w:tc>
          <w:tcPr>
            <w:tcW w:w="1272" w:type="dxa"/>
          </w:tcPr>
          <w:p>
            <w:pPr>
              <w:pStyle w:val="TableParagraph"/>
              <w:spacing w:before="1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2.51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18" w:hRule="atLeast"/>
        </w:trPr>
        <w:tc>
          <w:tcPr>
            <w:tcW w:w="4661" w:type="dxa"/>
          </w:tcPr>
          <w:p>
            <w:pPr>
              <w:pStyle w:val="TableParagraph"/>
              <w:spacing w:before="16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neighborhood</w:t>
            </w:r>
          </w:p>
        </w:tc>
        <w:tc>
          <w:tcPr>
            <w:tcW w:w="925" w:type="dxa"/>
          </w:tcPr>
          <w:p>
            <w:pPr>
              <w:pStyle w:val="TableParagraph"/>
              <w:spacing w:before="16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</w:t>
            </w:r>
          </w:p>
        </w:tc>
        <w:tc>
          <w:tcPr>
            <w:tcW w:w="1272" w:type="dxa"/>
          </w:tcPr>
          <w:p>
            <w:pPr>
              <w:pStyle w:val="TableParagraph"/>
              <w:spacing w:before="16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2.45</w:t>
            </w:r>
          </w:p>
        </w:tc>
        <w:tc>
          <w:tcPr>
            <w:tcW w:w="1234" w:type="dxa"/>
          </w:tcPr>
          <w:p>
            <w:pPr>
              <w:pStyle w:val="TableParagraph"/>
              <w:spacing w:before="16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</w:p>
        </w:tc>
      </w:tr>
      <w:tr>
        <w:trPr>
          <w:trHeight w:val="316" w:hRule="atLeast"/>
        </w:trPr>
        <w:tc>
          <w:tcPr>
            <w:tcW w:w="4661" w:type="dxa"/>
          </w:tcPr>
          <w:p>
            <w:pPr>
              <w:pStyle w:val="TableParagraph"/>
              <w:spacing w:before="15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basic education</w:t>
            </w:r>
          </w:p>
        </w:tc>
        <w:tc>
          <w:tcPr>
            <w:tcW w:w="925" w:type="dxa"/>
          </w:tcPr>
          <w:p>
            <w:pPr>
              <w:pStyle w:val="TableParagraph"/>
              <w:spacing w:before="15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17" w:hRule="atLeast"/>
        </w:trPr>
        <w:tc>
          <w:tcPr>
            <w:tcW w:w="4661" w:type="dxa"/>
          </w:tcPr>
          <w:p>
            <w:pPr>
              <w:pStyle w:val="TableParagraph"/>
              <w:spacing w:before="15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925" w:type="dxa"/>
          </w:tcPr>
          <w:p>
            <w:pPr>
              <w:pStyle w:val="TableParagraph"/>
              <w:spacing w:before="15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147</w:t>
            </w:r>
          </w:p>
        </w:tc>
        <w:tc>
          <w:tcPr>
            <w:tcW w:w="1272" w:type="dxa"/>
          </w:tcPr>
          <w:p>
            <w:pPr>
              <w:pStyle w:val="TableParagraph"/>
              <w:spacing w:before="1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1.79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</w:p>
        </w:tc>
      </w:tr>
      <w:tr>
        <w:trPr>
          <w:trHeight w:val="319" w:hRule="atLeast"/>
        </w:trPr>
        <w:tc>
          <w:tcPr>
            <w:tcW w:w="4661" w:type="dxa"/>
          </w:tcPr>
          <w:p>
            <w:pPr>
              <w:pStyle w:val="TableParagraph"/>
              <w:spacing w:before="15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civic/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engagement</w:t>
            </w:r>
          </w:p>
        </w:tc>
        <w:tc>
          <w:tcPr>
            <w:tcW w:w="925" w:type="dxa"/>
          </w:tcPr>
          <w:p>
            <w:pPr>
              <w:pStyle w:val="TableParagraph"/>
              <w:spacing w:before="15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294</w:t>
            </w:r>
          </w:p>
        </w:tc>
        <w:tc>
          <w:tcPr>
            <w:tcW w:w="1272" w:type="dxa"/>
          </w:tcPr>
          <w:p>
            <w:pPr>
              <w:pStyle w:val="TableParagraph"/>
              <w:spacing w:before="15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3.59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24" w:hRule="atLeast"/>
        </w:trPr>
        <w:tc>
          <w:tcPr>
            <w:tcW w:w="4661" w:type="dxa"/>
          </w:tcPr>
          <w:p>
            <w:pPr>
              <w:pStyle w:val="TableParagraph"/>
              <w:spacing w:before="17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communication/internet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925" w:type="dxa"/>
          </w:tcPr>
          <w:p>
            <w:pPr>
              <w:pStyle w:val="TableParagraph"/>
              <w:spacing w:before="17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286</w:t>
            </w:r>
          </w:p>
        </w:tc>
        <w:tc>
          <w:tcPr>
            <w:tcW w:w="1272" w:type="dxa"/>
          </w:tcPr>
          <w:p>
            <w:pPr>
              <w:pStyle w:val="TableParagraph"/>
              <w:spacing w:before="17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3.49</w:t>
            </w:r>
          </w:p>
        </w:tc>
        <w:tc>
          <w:tcPr>
            <w:tcW w:w="1234" w:type="dxa"/>
          </w:tcPr>
          <w:p>
            <w:pPr>
              <w:pStyle w:val="TableParagraph"/>
              <w:spacing w:before="17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39" w:hRule="atLeast"/>
        </w:trPr>
        <w:tc>
          <w:tcPr>
            <w:tcW w:w="4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Average</w:t>
            </w: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3.02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Moderate</w:t>
            </w:r>
          </w:p>
        </w:tc>
      </w:tr>
    </w:tbl>
    <w:p>
      <w:pPr>
        <w:spacing w:before="0"/>
        <w:ind w:left="700" w:right="0" w:firstLine="0"/>
        <w:jc w:val="both"/>
        <w:rPr>
          <w:b/>
          <w:sz w:val="24"/>
        </w:rPr>
      </w:pPr>
      <w:r>
        <w:rPr>
          <w:b/>
          <w:sz w:val="24"/>
        </w:rPr>
        <w:t>MWV=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weighted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</w:p>
    <w:p>
      <w:pPr>
        <w:spacing w:after="0"/>
        <w:jc w:val="both"/>
        <w:rPr>
          <w:sz w:val="24"/>
        </w:rPr>
        <w:sectPr>
          <w:pgSz w:w="11900" w:h="16840"/>
          <w:pgMar w:header="0" w:footer="1068" w:top="1320" w:bottom="1320" w:left="1280" w:right="360"/>
        </w:sect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Level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of 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livability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mandate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39"/>
        <w:jc w:val="both"/>
      </w:pPr>
      <w:r>
        <w:rPr/>
        <w:t>Field</w:t>
      </w:r>
      <w:r>
        <w:rPr>
          <w:spacing w:val="1"/>
        </w:rPr>
        <w:t> </w:t>
      </w:r>
      <w:r>
        <w:rPr/>
        <w:t>survey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 estate was</w:t>
      </w:r>
      <w:r>
        <w:rPr>
          <w:spacing w:val="1"/>
        </w:rPr>
        <w:t> </w:t>
      </w:r>
      <w:r>
        <w:rPr/>
        <w:t>analyze 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4.22,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revealed that the accessibility of the estate to other parts of the town and access to</w:t>
      </w:r>
      <w:r>
        <w:rPr>
          <w:spacing w:val="1"/>
        </w:rPr>
        <w:t> </w:t>
      </w:r>
      <w:r>
        <w:rPr/>
        <w:t>economic opportunity were ranked high with a MWV= 534, 528 and livability index of</w:t>
      </w:r>
      <w:r>
        <w:rPr>
          <w:spacing w:val="1"/>
        </w:rPr>
        <w:t> </w:t>
      </w:r>
      <w:r>
        <w:rPr/>
        <w:t>3.56, 3.52 respectively; access to communication/internet facility= MWV of 522 and</w:t>
      </w:r>
      <w:r>
        <w:rPr>
          <w:spacing w:val="1"/>
        </w:rPr>
        <w:t> </w:t>
      </w:r>
      <w:r>
        <w:rPr/>
        <w:t>livability index of 3.48, access to civic/ social engagement=MWV of 524 and livability</w:t>
      </w:r>
      <w:r>
        <w:rPr>
          <w:spacing w:val="1"/>
        </w:rPr>
        <w:t> </w:t>
      </w:r>
      <w:r>
        <w:rPr/>
        <w:t>index of 3.49, access to</w:t>
      </w:r>
      <w:r>
        <w:rPr>
          <w:spacing w:val="1"/>
        </w:rPr>
        <w:t> </w:t>
      </w:r>
      <w:r>
        <w:rPr/>
        <w:t>water=</w:t>
      </w:r>
      <w:r>
        <w:rPr>
          <w:spacing w:val="-1"/>
        </w:rPr>
        <w:t> </w:t>
      </w:r>
      <w:r>
        <w:rPr/>
        <w:t>MWV of</w:t>
      </w:r>
      <w:r>
        <w:rPr>
          <w:spacing w:val="-2"/>
        </w:rPr>
        <w:t> </w:t>
      </w:r>
      <w:r>
        <w:rPr/>
        <w:t>302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-8"/>
        </w:rPr>
        <w:t> </w:t>
      </w:r>
      <w:r>
        <w:rPr/>
        <w:t>index</w:t>
      </w:r>
      <w:r>
        <w:rPr>
          <w:spacing w:val="1"/>
        </w:rPr>
        <w:t> </w:t>
      </w:r>
      <w:r>
        <w:rPr/>
        <w:t>of 2.01.</w:t>
      </w:r>
    </w:p>
    <w:p>
      <w:pPr>
        <w:pStyle w:val="BodyText"/>
        <w:rPr>
          <w:sz w:val="26"/>
        </w:rPr>
      </w:pPr>
    </w:p>
    <w:p>
      <w:pPr>
        <w:pStyle w:val="BodyText"/>
        <w:spacing w:line="475" w:lineRule="auto"/>
        <w:ind w:left="700" w:right="1037"/>
        <w:jc w:val="both"/>
      </w:pPr>
      <w:r>
        <w:rPr/>
        <w:t>Accessibility to basic education =MWV of 382 and livability index of 2.55, quality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neighborhood=MWV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377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2.51,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housing=MWV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376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2.51,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facility=MWV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380 and livability</w:t>
      </w:r>
      <w:r>
        <w:rPr>
          <w:spacing w:val="-8"/>
        </w:rPr>
        <w:t> </w:t>
      </w:r>
      <w:r>
        <w:rPr/>
        <w:t>index</w:t>
      </w:r>
      <w:r>
        <w:rPr>
          <w:spacing w:val="1"/>
        </w:rPr>
        <w:t> </w:t>
      </w:r>
      <w:r>
        <w:rPr/>
        <w:t>of 2.53are</w:t>
      </w:r>
      <w:r>
        <w:rPr>
          <w:spacing w:val="-2"/>
        </w:rPr>
        <w:t> </w:t>
      </w:r>
      <w:r>
        <w:rPr/>
        <w:t>all ranked moderate.</w:t>
      </w:r>
    </w:p>
    <w:p>
      <w:pPr>
        <w:pStyle w:val="BodyText"/>
        <w:spacing w:line="472" w:lineRule="auto" w:before="22"/>
        <w:ind w:left="700" w:right="1062"/>
        <w:jc w:val="both"/>
      </w:pPr>
      <w:r>
        <w:rPr/>
        <w:t>It was also discovered that safety of the housing estate was ranked low and the least in</w:t>
      </w:r>
      <w:r>
        <w:rPr>
          <w:spacing w:val="1"/>
        </w:rPr>
        <w:t> </w:t>
      </w:r>
      <w:r>
        <w:rPr/>
        <w:t>the table with MWV of 371 and livability index of 2.47. The average livability index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estate</w:t>
      </w:r>
      <w:r>
        <w:rPr>
          <w:spacing w:val="-1"/>
        </w:rPr>
        <w:t> </w:t>
      </w:r>
      <w:r>
        <w:rPr/>
        <w:t>is 2.86 which is said to be moderate.</w:t>
      </w:r>
    </w:p>
    <w:p>
      <w:pPr>
        <w:pStyle w:val="BodyText"/>
        <w:rPr>
          <w:sz w:val="26"/>
        </w:rPr>
      </w:pPr>
    </w:p>
    <w:p>
      <w:pPr>
        <w:pStyle w:val="Heading1"/>
        <w:spacing w:after="28"/>
        <w:jc w:val="both"/>
      </w:pPr>
      <w:r>
        <w:rPr/>
        <w:t>Table</w:t>
      </w:r>
      <w:r>
        <w:rPr>
          <w:spacing w:val="-1"/>
        </w:rPr>
        <w:t> </w:t>
      </w:r>
      <w:r>
        <w:rPr/>
        <w:t>4.22:</w:t>
      </w:r>
      <w:r>
        <w:rPr>
          <w:spacing w:val="-3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of Mandate</w:t>
      </w:r>
      <w:r>
        <w:rPr>
          <w:spacing w:val="-3"/>
        </w:rPr>
        <w:t> </w:t>
      </w:r>
      <w:r>
        <w:rPr/>
        <w:t>Estate</w:t>
      </w:r>
    </w:p>
    <w:tbl>
      <w:tblPr>
        <w:tblW w:w="0" w:type="auto"/>
        <w:jc w:val="left"/>
        <w:tblInd w:w="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0"/>
        <w:gridCol w:w="1046"/>
        <w:gridCol w:w="1273"/>
        <w:gridCol w:w="1221"/>
      </w:tblGrid>
      <w:tr>
        <w:trPr>
          <w:trHeight w:val="283" w:hRule="atLeast"/>
        </w:trPr>
        <w:tc>
          <w:tcPr>
            <w:tcW w:w="47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2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MWV</w:t>
            </w:r>
          </w:p>
        </w:tc>
        <w:tc>
          <w:tcPr>
            <w:tcW w:w="12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1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Livability</w:t>
            </w:r>
          </w:p>
        </w:tc>
        <w:tc>
          <w:tcPr>
            <w:tcW w:w="12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 w:before="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Remark</w:t>
            </w:r>
          </w:p>
        </w:tc>
      </w:tr>
      <w:tr>
        <w:trPr>
          <w:trHeight w:val="274" w:hRule="atLeast"/>
        </w:trPr>
        <w:tc>
          <w:tcPr>
            <w:tcW w:w="4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Indicators</w:t>
            </w:r>
          </w:p>
        </w:tc>
        <w:tc>
          <w:tcPr>
            <w:tcW w:w="10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Index</w:t>
            </w:r>
          </w:p>
        </w:tc>
        <w:tc>
          <w:tcPr>
            <w:tcW w:w="122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9" w:hRule="atLeast"/>
        </w:trPr>
        <w:tc>
          <w:tcPr>
            <w:tcW w:w="47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other parts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1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534</w:t>
            </w:r>
          </w:p>
        </w:tc>
        <w:tc>
          <w:tcPr>
            <w:tcW w:w="12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3.56</w:t>
            </w:r>
          </w:p>
        </w:tc>
        <w:tc>
          <w:tcPr>
            <w:tcW w:w="12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284" w:hRule="atLeast"/>
        </w:trPr>
        <w:tc>
          <w:tcPr>
            <w:tcW w:w="4780" w:type="dxa"/>
          </w:tcPr>
          <w:p>
            <w:pPr>
              <w:pStyle w:val="TableParagraph"/>
              <w:spacing w:line="264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town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health care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380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2.53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376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2.51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economic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opportunity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528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3.52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371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2.47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neighborhood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377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2.51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basic education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382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302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2.01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00" w:hRule="atLeast"/>
        </w:trPr>
        <w:tc>
          <w:tcPr>
            <w:tcW w:w="4780" w:type="dxa"/>
          </w:tcPr>
          <w:p>
            <w:pPr>
              <w:pStyle w:val="TableParagraph"/>
              <w:spacing w:line="273" w:lineRule="exact"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civic/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engagement</w:t>
            </w:r>
          </w:p>
        </w:tc>
        <w:tc>
          <w:tcPr>
            <w:tcW w:w="1046" w:type="dxa"/>
          </w:tcPr>
          <w:p>
            <w:pPr>
              <w:pStyle w:val="TableParagraph"/>
              <w:spacing w:line="273" w:lineRule="exact"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524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3.49</w:t>
            </w:r>
          </w:p>
        </w:tc>
        <w:tc>
          <w:tcPr>
            <w:tcW w:w="1221" w:type="dxa"/>
          </w:tcPr>
          <w:p>
            <w:pPr>
              <w:pStyle w:val="TableParagraph"/>
              <w:spacing w:line="273" w:lineRule="exact"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04" w:hRule="atLeast"/>
        </w:trPr>
        <w:tc>
          <w:tcPr>
            <w:tcW w:w="4780" w:type="dxa"/>
          </w:tcPr>
          <w:p>
            <w:pPr>
              <w:pStyle w:val="TableParagraph"/>
              <w:spacing w:before="7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communication/internet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1046" w:type="dxa"/>
          </w:tcPr>
          <w:p>
            <w:pPr>
              <w:pStyle w:val="TableParagraph"/>
              <w:spacing w:before="7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522</w:t>
            </w:r>
          </w:p>
        </w:tc>
        <w:tc>
          <w:tcPr>
            <w:tcW w:w="1273" w:type="dxa"/>
          </w:tcPr>
          <w:p>
            <w:pPr>
              <w:pStyle w:val="TableParagraph"/>
              <w:spacing w:before="7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3.48</w:t>
            </w:r>
          </w:p>
        </w:tc>
        <w:tc>
          <w:tcPr>
            <w:tcW w:w="1221" w:type="dxa"/>
          </w:tcPr>
          <w:p>
            <w:pPr>
              <w:pStyle w:val="TableParagraph"/>
              <w:spacing w:before="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293" w:hRule="atLeast"/>
        </w:trPr>
        <w:tc>
          <w:tcPr>
            <w:tcW w:w="4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11"/>
              <w:ind w:left="1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Average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11"/>
              <w:ind w:left="1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2.86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11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Moderate</w:t>
            </w:r>
          </w:p>
        </w:tc>
      </w:tr>
    </w:tbl>
    <w:p>
      <w:pPr>
        <w:spacing w:before="5"/>
        <w:ind w:left="700" w:right="0" w:firstLine="0"/>
        <w:jc w:val="both"/>
        <w:rPr>
          <w:b/>
          <w:sz w:val="24"/>
        </w:rPr>
      </w:pPr>
      <w:r>
        <w:rPr>
          <w:b/>
          <w:sz w:val="24"/>
        </w:rPr>
        <w:t>MWV=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weighted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</w:p>
    <w:p>
      <w:pPr>
        <w:spacing w:after="0"/>
        <w:jc w:val="both"/>
        <w:rPr>
          <w:sz w:val="24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Level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of housing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livability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evergreen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estates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700" w:right="1036"/>
        <w:jc w:val="both"/>
      </w:pPr>
      <w:r>
        <w:rPr/>
        <w:t>The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evergreen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4.23.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table</w:t>
      </w:r>
      <w:r>
        <w:rPr>
          <w:spacing w:val="1"/>
        </w:rPr>
        <w:t> </w:t>
      </w:r>
      <w:r>
        <w:rPr/>
        <w:t>indicated that safety of the housing estate recorded MWV of 372 with livability index of</w:t>
      </w:r>
      <w:r>
        <w:rPr>
          <w:spacing w:val="-57"/>
        </w:rPr>
        <w:t> </w:t>
      </w:r>
      <w:r>
        <w:rPr/>
        <w:t>4.54, Accessibility to basic education has MWV of 373 with livability index of 4.55,</w:t>
      </w:r>
      <w:r>
        <w:rPr>
          <w:spacing w:val="1"/>
        </w:rPr>
        <w:t> </w:t>
      </w:r>
      <w:r>
        <w:rPr/>
        <w:t>access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water</w:t>
      </w:r>
      <w:r>
        <w:rPr>
          <w:spacing w:val="27"/>
        </w:rPr>
        <w:t> </w:t>
      </w:r>
      <w:r>
        <w:rPr/>
        <w:t>recorded</w:t>
      </w:r>
      <w:r>
        <w:rPr>
          <w:spacing w:val="29"/>
        </w:rPr>
        <w:t> </w:t>
      </w:r>
      <w:r>
        <w:rPr/>
        <w:t>MWV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372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index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4.54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rated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very</w:t>
      </w:r>
      <w:r>
        <w:rPr>
          <w:spacing w:val="20"/>
        </w:rPr>
        <w:t> </w:t>
      </w:r>
      <w:r>
        <w:rPr/>
        <w:t>high.</w:t>
      </w:r>
      <w:r>
        <w:rPr>
          <w:spacing w:val="-57"/>
        </w:rPr>
        <w:t> </w:t>
      </w:r>
      <w:r>
        <w:rPr/>
        <w:t>This implies that (safety of the estate, access to water, access to basic education) are in</w:t>
      </w:r>
      <w:r>
        <w:rPr>
          <w:spacing w:val="1"/>
        </w:rPr>
        <w:t> </w:t>
      </w:r>
      <w:r>
        <w:rPr/>
        <w:t>good condition. Furthermore in evergreen estate, access of the estate to other parts of the</w:t>
      </w:r>
      <w:r>
        <w:rPr>
          <w:spacing w:val="-57"/>
        </w:rPr>
        <w:t> </w:t>
      </w:r>
      <w:r>
        <w:rPr/>
        <w:t>town recorded an MWV of 295 with livability index of 3.60, access to health care</w:t>
      </w:r>
      <w:r>
        <w:rPr>
          <w:spacing w:val="1"/>
        </w:rPr>
        <w:t> </w:t>
      </w:r>
      <w:r>
        <w:rPr/>
        <w:t>facility has an MWV of 368 with an index of 4.49, access to economic opportunity has</w:t>
      </w:r>
      <w:r>
        <w:rPr>
          <w:spacing w:val="1"/>
        </w:rPr>
        <w:t> </w:t>
      </w:r>
      <w:r>
        <w:rPr/>
        <w:t>an MWV of 287 with index of 3.50, quality of housing recorded MWV of 368 with an</w:t>
      </w:r>
      <w:r>
        <w:rPr>
          <w:spacing w:val="1"/>
        </w:rPr>
        <w:t> </w:t>
      </w:r>
      <w:r>
        <w:rPr/>
        <w:t>index of 4.49, access to communication/internet facility has an MWV of 362 and index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4.41, were</w:t>
      </w:r>
      <w:r>
        <w:rPr>
          <w:spacing w:val="-1"/>
        </w:rPr>
        <w:t> </w:t>
      </w:r>
      <w:r>
        <w:rPr/>
        <w:t>all ranked</w:t>
      </w:r>
      <w:r>
        <w:rPr>
          <w:spacing w:val="2"/>
        </w:rPr>
        <w:t> </w:t>
      </w:r>
      <w:r>
        <w:rPr/>
        <w:t>high.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700" w:right="1061"/>
        <w:jc w:val="both"/>
      </w:pPr>
      <w:r>
        <w:rPr/>
        <w:t>The least ranking in evergreen estate is access to social and civic engagement which has</w:t>
      </w:r>
      <w:r>
        <w:rPr>
          <w:spacing w:val="-57"/>
        </w:rPr>
        <w:t> </w:t>
      </w:r>
      <w:r>
        <w:rPr/>
        <w:t>MWV of 283 and index of 3.45 were moderate. On the average, the livability index of</w:t>
      </w:r>
      <w:r>
        <w:rPr>
          <w:spacing w:val="1"/>
        </w:rPr>
        <w:t> </w:t>
      </w:r>
      <w:r>
        <w:rPr/>
        <w:t>the evergreen estate is 4.20, and this implies that general livability index of evergreen</w:t>
      </w:r>
      <w:r>
        <w:rPr>
          <w:spacing w:val="1"/>
        </w:rPr>
        <w:t> </w:t>
      </w:r>
      <w:r>
        <w:rPr/>
        <w:t>estate</w:t>
      </w:r>
      <w:r>
        <w:rPr>
          <w:spacing w:val="-2"/>
        </w:rPr>
        <w:t> </w:t>
      </w:r>
      <w:r>
        <w:rPr/>
        <w:t>is high.</w:t>
      </w:r>
    </w:p>
    <w:p>
      <w:pPr>
        <w:pStyle w:val="Heading1"/>
        <w:spacing w:before="172" w:after="28"/>
        <w:jc w:val="both"/>
      </w:pPr>
      <w:r>
        <w:rPr/>
        <w:t>Table</w:t>
      </w:r>
      <w:r>
        <w:rPr>
          <w:spacing w:val="-2"/>
        </w:rPr>
        <w:t> </w:t>
      </w:r>
      <w:r>
        <w:rPr/>
        <w:t>4.23:</w:t>
      </w:r>
      <w:r>
        <w:rPr>
          <w:spacing w:val="-4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index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Evergreen</w:t>
      </w:r>
      <w:r>
        <w:rPr>
          <w:spacing w:val="-1"/>
        </w:rPr>
        <w:t> </w:t>
      </w:r>
      <w:r>
        <w:rPr/>
        <w:t>Estate</w:t>
      </w: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1"/>
        <w:gridCol w:w="1236"/>
        <w:gridCol w:w="1189"/>
        <w:gridCol w:w="1495"/>
      </w:tblGrid>
      <w:tr>
        <w:trPr>
          <w:trHeight w:val="251" w:hRule="atLeast"/>
        </w:trPr>
        <w:tc>
          <w:tcPr>
            <w:tcW w:w="47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6" w:lineRule="exact" w:before="5"/>
              <w:ind w:left="158" w:right="11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Livability</w:t>
            </w:r>
          </w:p>
        </w:tc>
        <w:tc>
          <w:tcPr>
            <w:tcW w:w="149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4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0" w:lineRule="exact"/>
              <w:ind w:left="11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Indicators</w:t>
            </w:r>
          </w:p>
        </w:tc>
        <w:tc>
          <w:tcPr>
            <w:tcW w:w="12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0" w:lineRule="exact"/>
              <w:ind w:left="293" w:right="343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MWV</w:t>
            </w:r>
          </w:p>
        </w:tc>
        <w:tc>
          <w:tcPr>
            <w:tcW w:w="11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0" w:lineRule="exact"/>
              <w:ind w:left="153" w:right="11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Index</w:t>
            </w:r>
          </w:p>
        </w:tc>
        <w:tc>
          <w:tcPr>
            <w:tcW w:w="14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0" w:lineRule="exact"/>
              <w:ind w:left="487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Remark</w:t>
            </w:r>
          </w:p>
        </w:tc>
      </w:tr>
      <w:tr>
        <w:trPr>
          <w:trHeight w:val="336" w:hRule="atLeast"/>
        </w:trPr>
        <w:tc>
          <w:tcPr>
            <w:tcW w:w="4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Accessibility</w:t>
            </w:r>
            <w:r>
              <w:rPr>
                <w:rFonts w:ascii="Times New Roman"/>
                <w:spacing w:val="-6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the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estate to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other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parts of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the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town</w:t>
            </w:r>
          </w:p>
        </w:tc>
        <w:tc>
          <w:tcPr>
            <w:tcW w:w="12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295</w:t>
            </w:r>
          </w:p>
        </w:tc>
        <w:tc>
          <w:tcPr>
            <w:tcW w:w="11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3.60</w:t>
            </w:r>
          </w:p>
        </w:tc>
        <w:tc>
          <w:tcPr>
            <w:tcW w:w="14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6" w:hRule="atLeast"/>
        </w:trPr>
        <w:tc>
          <w:tcPr>
            <w:tcW w:w="4761" w:type="dxa"/>
          </w:tcPr>
          <w:p>
            <w:pPr>
              <w:pStyle w:val="TableParagraph"/>
              <w:spacing w:before="3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Accessibility</w:t>
            </w:r>
            <w:r>
              <w:rPr>
                <w:rFonts w:ascii="Times New Roman"/>
                <w:spacing w:val="-7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health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care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facility</w:t>
            </w:r>
          </w:p>
        </w:tc>
        <w:tc>
          <w:tcPr>
            <w:tcW w:w="1236" w:type="dxa"/>
          </w:tcPr>
          <w:p>
            <w:pPr>
              <w:pStyle w:val="TableParagraph"/>
              <w:spacing w:before="3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368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4.49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7" w:hRule="atLeast"/>
        </w:trPr>
        <w:tc>
          <w:tcPr>
            <w:tcW w:w="4761" w:type="dxa"/>
          </w:tcPr>
          <w:p>
            <w:pPr>
              <w:pStyle w:val="TableParagraph"/>
              <w:spacing w:before="3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Quality</w:t>
            </w:r>
            <w:r>
              <w:rPr>
                <w:rFonts w:ascii="Times New Roman"/>
                <w:spacing w:val="-6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the housing</w:t>
            </w:r>
          </w:p>
        </w:tc>
        <w:tc>
          <w:tcPr>
            <w:tcW w:w="1236" w:type="dxa"/>
          </w:tcPr>
          <w:p>
            <w:pPr>
              <w:pStyle w:val="TableParagraph"/>
              <w:spacing w:before="3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368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4.49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7" w:hRule="atLeast"/>
        </w:trPr>
        <w:tc>
          <w:tcPr>
            <w:tcW w:w="4761" w:type="dxa"/>
          </w:tcPr>
          <w:p>
            <w:pPr>
              <w:pStyle w:val="TableParagraph"/>
              <w:spacing w:before="34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</w:t>
            </w:r>
            <w:r>
              <w:rPr>
                <w:rFonts w:ascii="Times New Roman"/>
                <w:spacing w:val="-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economic opportunity</w:t>
            </w:r>
          </w:p>
        </w:tc>
        <w:tc>
          <w:tcPr>
            <w:tcW w:w="1236" w:type="dxa"/>
          </w:tcPr>
          <w:p>
            <w:pPr>
              <w:pStyle w:val="TableParagraph"/>
              <w:spacing w:before="34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287</w:t>
            </w:r>
          </w:p>
        </w:tc>
        <w:tc>
          <w:tcPr>
            <w:tcW w:w="1189" w:type="dxa"/>
          </w:tcPr>
          <w:p>
            <w:pPr>
              <w:pStyle w:val="TableParagraph"/>
              <w:spacing w:before="34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3.50</w:t>
            </w:r>
          </w:p>
        </w:tc>
        <w:tc>
          <w:tcPr>
            <w:tcW w:w="1495" w:type="dxa"/>
          </w:tcPr>
          <w:p>
            <w:pPr>
              <w:pStyle w:val="TableParagraph"/>
              <w:spacing w:before="34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6" w:hRule="atLeast"/>
        </w:trPr>
        <w:tc>
          <w:tcPr>
            <w:tcW w:w="4761" w:type="dxa"/>
          </w:tcPr>
          <w:p>
            <w:pPr>
              <w:pStyle w:val="TableParagraph"/>
              <w:spacing w:before="3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Safety</w:t>
            </w:r>
            <w:r>
              <w:rPr>
                <w:rFonts w:ascii="Times New Roman"/>
                <w:spacing w:val="-5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the housing estate</w:t>
            </w:r>
          </w:p>
        </w:tc>
        <w:tc>
          <w:tcPr>
            <w:tcW w:w="1236" w:type="dxa"/>
          </w:tcPr>
          <w:p>
            <w:pPr>
              <w:pStyle w:val="TableParagraph"/>
              <w:spacing w:before="3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372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4.54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Very</w:t>
            </w:r>
            <w:r>
              <w:rPr>
                <w:rFonts w:ascii="Times New Roman"/>
                <w:spacing w:val="-5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6" w:hRule="atLeast"/>
        </w:trPr>
        <w:tc>
          <w:tcPr>
            <w:tcW w:w="4761" w:type="dxa"/>
          </w:tcPr>
          <w:p>
            <w:pPr>
              <w:pStyle w:val="TableParagraph"/>
              <w:spacing w:before="3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Quality</w:t>
            </w:r>
            <w:r>
              <w:rPr>
                <w:rFonts w:ascii="Times New Roman"/>
                <w:spacing w:val="-5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the</w:t>
            </w:r>
            <w:r>
              <w:rPr>
                <w:rFonts w:ascii="Times New Roman"/>
                <w:spacing w:val="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neighborhood</w:t>
            </w:r>
          </w:p>
        </w:tc>
        <w:tc>
          <w:tcPr>
            <w:tcW w:w="1236" w:type="dxa"/>
          </w:tcPr>
          <w:p>
            <w:pPr>
              <w:pStyle w:val="TableParagraph"/>
              <w:spacing w:before="3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364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4.44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6" w:hRule="atLeast"/>
        </w:trPr>
        <w:tc>
          <w:tcPr>
            <w:tcW w:w="4761" w:type="dxa"/>
          </w:tcPr>
          <w:p>
            <w:pPr>
              <w:pStyle w:val="TableParagraph"/>
              <w:spacing w:before="3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Accessibility</w:t>
            </w:r>
            <w:r>
              <w:rPr>
                <w:rFonts w:ascii="Times New Roman"/>
                <w:spacing w:val="-7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basic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education</w:t>
            </w:r>
          </w:p>
        </w:tc>
        <w:tc>
          <w:tcPr>
            <w:tcW w:w="1236" w:type="dxa"/>
          </w:tcPr>
          <w:p>
            <w:pPr>
              <w:pStyle w:val="TableParagraph"/>
              <w:spacing w:before="3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373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4.55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Very</w:t>
            </w:r>
            <w:r>
              <w:rPr>
                <w:rFonts w:ascii="Times New Roman"/>
                <w:spacing w:val="-5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317" w:hRule="atLeast"/>
        </w:trPr>
        <w:tc>
          <w:tcPr>
            <w:tcW w:w="4761" w:type="dxa"/>
          </w:tcPr>
          <w:p>
            <w:pPr>
              <w:pStyle w:val="TableParagraph"/>
              <w:spacing w:before="33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 water</w:t>
            </w:r>
          </w:p>
        </w:tc>
        <w:tc>
          <w:tcPr>
            <w:tcW w:w="1236" w:type="dxa"/>
          </w:tcPr>
          <w:p>
            <w:pPr>
              <w:pStyle w:val="TableParagraph"/>
              <w:spacing w:before="33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372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4.54</w:t>
            </w:r>
          </w:p>
        </w:tc>
        <w:tc>
          <w:tcPr>
            <w:tcW w:w="1495" w:type="dxa"/>
          </w:tcPr>
          <w:p>
            <w:pPr>
              <w:pStyle w:val="TableParagraph"/>
              <w:spacing w:before="33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Very</w:t>
            </w:r>
            <w:r>
              <w:rPr>
                <w:rFonts w:ascii="Times New Roman"/>
                <w:spacing w:val="-5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281" w:hRule="atLeast"/>
        </w:trPr>
        <w:tc>
          <w:tcPr>
            <w:tcW w:w="4761" w:type="dxa"/>
          </w:tcPr>
          <w:p>
            <w:pPr>
              <w:pStyle w:val="TableParagraph"/>
              <w:spacing w:line="227" w:lineRule="exact" w:before="35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</w:t>
            </w:r>
            <w:r>
              <w:rPr>
                <w:rFonts w:ascii="Times New Roman"/>
                <w:spacing w:val="-3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civic/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social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engagement</w:t>
            </w:r>
          </w:p>
        </w:tc>
        <w:tc>
          <w:tcPr>
            <w:tcW w:w="1236" w:type="dxa"/>
          </w:tcPr>
          <w:p>
            <w:pPr>
              <w:pStyle w:val="TableParagraph"/>
              <w:spacing w:line="227" w:lineRule="exact" w:before="35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283</w:t>
            </w:r>
          </w:p>
        </w:tc>
        <w:tc>
          <w:tcPr>
            <w:tcW w:w="1189" w:type="dxa"/>
          </w:tcPr>
          <w:p>
            <w:pPr>
              <w:pStyle w:val="TableParagraph"/>
              <w:spacing w:line="227" w:lineRule="exact" w:before="35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3.45</w:t>
            </w:r>
          </w:p>
        </w:tc>
        <w:tc>
          <w:tcPr>
            <w:tcW w:w="1495" w:type="dxa"/>
          </w:tcPr>
          <w:p>
            <w:pPr>
              <w:pStyle w:val="TableParagraph"/>
              <w:spacing w:line="227" w:lineRule="exact" w:before="35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761" w:type="dxa"/>
          </w:tcPr>
          <w:p>
            <w:pPr>
              <w:pStyle w:val="TableParagraph"/>
              <w:spacing w:line="233" w:lineRule="exact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Access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to</w:t>
            </w:r>
            <w:r>
              <w:rPr>
                <w:rFonts w:ascii="Times New Roman"/>
                <w:spacing w:val="-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communication/internet</w:t>
            </w:r>
            <w:r>
              <w:rPr>
                <w:rFonts w:ascii="Times New Roman"/>
                <w:spacing w:val="-3"/>
                <w:sz w:val="21"/>
              </w:rPr>
              <w:t> </w:t>
            </w:r>
            <w:r>
              <w:rPr>
                <w:rFonts w:ascii="Times New Roman"/>
                <w:sz w:val="21"/>
              </w:rPr>
              <w:t>facility</w:t>
            </w:r>
          </w:p>
        </w:tc>
        <w:tc>
          <w:tcPr>
            <w:tcW w:w="1236" w:type="dxa"/>
          </w:tcPr>
          <w:p>
            <w:pPr>
              <w:pStyle w:val="TableParagraph"/>
              <w:spacing w:line="233" w:lineRule="exact"/>
              <w:ind w:left="293" w:right="3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362</w:t>
            </w:r>
          </w:p>
        </w:tc>
        <w:tc>
          <w:tcPr>
            <w:tcW w:w="1189" w:type="dxa"/>
          </w:tcPr>
          <w:p>
            <w:pPr>
              <w:pStyle w:val="TableParagraph"/>
              <w:spacing w:line="233" w:lineRule="exact"/>
              <w:ind w:left="158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4.41</w:t>
            </w:r>
          </w:p>
        </w:tc>
        <w:tc>
          <w:tcPr>
            <w:tcW w:w="1495" w:type="dxa"/>
          </w:tcPr>
          <w:p>
            <w:pPr>
              <w:pStyle w:val="TableParagraph"/>
              <w:spacing w:line="233" w:lineRule="exact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High</w:t>
            </w:r>
          </w:p>
        </w:tc>
      </w:tr>
      <w:tr>
        <w:trPr>
          <w:trHeight w:val="250" w:hRule="atLeast"/>
        </w:trPr>
        <w:tc>
          <w:tcPr>
            <w:tcW w:w="4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6"/>
              <w:ind w:left="11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Average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6"/>
              <w:ind w:left="158" w:right="113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4.20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6"/>
              <w:ind w:left="328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High</w:t>
            </w:r>
          </w:p>
        </w:tc>
      </w:tr>
    </w:tbl>
    <w:p>
      <w:pPr>
        <w:spacing w:before="5"/>
        <w:ind w:left="700" w:right="0" w:firstLine="0"/>
        <w:jc w:val="both"/>
        <w:rPr>
          <w:b/>
          <w:sz w:val="24"/>
        </w:rPr>
      </w:pPr>
      <w:r>
        <w:rPr>
          <w:b/>
          <w:sz w:val="24"/>
        </w:rPr>
        <w:t>MWV=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weighted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</w:p>
    <w:p>
      <w:pPr>
        <w:spacing w:after="0"/>
        <w:jc w:val="both"/>
        <w:rPr>
          <w:sz w:val="24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ListParagraph"/>
        <w:numPr>
          <w:ilvl w:val="2"/>
          <w:numId w:val="8"/>
        </w:numPr>
        <w:tabs>
          <w:tab w:pos="1401" w:val="left" w:leader="none"/>
          <w:tab w:pos="1402" w:val="left" w:leader="none"/>
        </w:tabs>
        <w:spacing w:line="240" w:lineRule="auto" w:before="72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Level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livability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Royal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Valley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estates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53"/>
        <w:jc w:val="both"/>
      </w:pPr>
      <w:r>
        <w:rPr/>
        <w:t>Analysis rating of housing livability in royal valley housing estate were carried out and</w:t>
      </w:r>
      <w:r>
        <w:rPr>
          <w:spacing w:val="1"/>
        </w:rPr>
        <w:t> </w:t>
      </w:r>
      <w:r>
        <w:rPr/>
        <w:t>the result is indicated in table 4.24, it was established that quality of neighborhood</w:t>
      </w:r>
      <w:r>
        <w:rPr>
          <w:spacing w:val="1"/>
        </w:rPr>
        <w:t> </w:t>
      </w:r>
      <w:r>
        <w:rPr/>
        <w:t>recorded 4.55 of livability index, accessibility to basic education has 4.54 of livability</w:t>
      </w:r>
      <w:r>
        <w:rPr>
          <w:spacing w:val="1"/>
        </w:rPr>
        <w:t> </w:t>
      </w:r>
      <w:r>
        <w:rPr/>
        <w:t>index, access to water recorded 4.62 of livability index; this shows that, the livability</w:t>
      </w:r>
      <w:r>
        <w:rPr>
          <w:spacing w:val="1"/>
        </w:rPr>
        <w:t> </w:t>
      </w:r>
      <w:r>
        <w:rPr/>
        <w:t>index of the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mention indicators were</w:t>
      </w:r>
      <w:r>
        <w:rPr>
          <w:spacing w:val="-1"/>
        </w:rPr>
        <w:t> </w:t>
      </w:r>
      <w:r>
        <w:rPr/>
        <w:t>rated</w:t>
      </w:r>
      <w:r>
        <w:rPr>
          <w:spacing w:val="2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Furthermore, access to health care facility has a livability index of 4.36, quality of</w:t>
      </w:r>
      <w:r>
        <w:rPr>
          <w:spacing w:val="1"/>
        </w:rPr>
        <w:t> </w:t>
      </w:r>
      <w:r>
        <w:rPr/>
        <w:t>housing recorded 4.38 of index, safety of the estate is 4.49 livability index, access to</w:t>
      </w:r>
      <w:r>
        <w:rPr>
          <w:spacing w:val="1"/>
        </w:rPr>
        <w:t> </w:t>
      </w:r>
      <w:r>
        <w:rPr/>
        <w:t>communication/internet facility has 4.49; this implies that (access to health care facility,</w:t>
      </w:r>
      <w:r>
        <w:rPr>
          <w:spacing w:val="-57"/>
        </w:rPr>
        <w:t> </w:t>
      </w:r>
      <w:r>
        <w:rPr/>
        <w:t>quality of housing, safety of the estate, access to communication/internet facility) are</w:t>
      </w:r>
      <w:r>
        <w:rPr>
          <w:spacing w:val="1"/>
        </w:rPr>
        <w:t> </w:t>
      </w:r>
      <w:r>
        <w:rPr/>
        <w:t>high in rating</w:t>
      </w:r>
      <w:r>
        <w:rPr>
          <w:spacing w:val="-3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 livability</w:t>
      </w:r>
      <w:r>
        <w:rPr>
          <w:spacing w:val="-8"/>
        </w:rPr>
        <w:t> </w:t>
      </w:r>
      <w:r>
        <w:rPr/>
        <w:t>index.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7" w:lineRule="auto"/>
        <w:ind w:left="700" w:right="1057"/>
        <w:jc w:val="both"/>
      </w:pPr>
      <w:r>
        <w:rPr/>
        <w:t>Similarly, accessibility of the estate to the other part of the town recorded 3.09 index,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3.49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social/civic</w:t>
      </w:r>
      <w:r>
        <w:rPr>
          <w:spacing w:val="60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produced 2.55 index which were moderate. The overall level of general living condition</w:t>
      </w:r>
      <w:r>
        <w:rPr>
          <w:spacing w:val="-57"/>
        </w:rPr>
        <w:t> </w:t>
      </w:r>
      <w:r>
        <w:rPr/>
        <w:t>of royal valley estate was high livability index</w:t>
      </w:r>
      <w:r>
        <w:rPr>
          <w:spacing w:val="60"/>
        </w:rPr>
        <w:t> </w:t>
      </w:r>
      <w:r>
        <w:rPr/>
        <w:t>range; this is based on the average of</w:t>
      </w:r>
      <w:r>
        <w:rPr>
          <w:spacing w:val="1"/>
        </w:rPr>
        <w:t> </w:t>
      </w:r>
      <w:r>
        <w:rPr/>
        <w:t>4.06</w:t>
      </w:r>
    </w:p>
    <w:p>
      <w:pPr>
        <w:spacing w:after="0" w:line="477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Heading1"/>
        <w:spacing w:before="72" w:after="3"/>
        <w:jc w:val="both"/>
      </w:pPr>
      <w:r>
        <w:rPr/>
        <w:t>Table</w:t>
      </w:r>
      <w:r>
        <w:rPr>
          <w:spacing w:val="-2"/>
        </w:rPr>
        <w:t> </w:t>
      </w:r>
      <w:r>
        <w:rPr/>
        <w:t>4.24:</w:t>
      </w:r>
      <w:r>
        <w:rPr>
          <w:spacing w:val="-3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index</w:t>
      </w:r>
      <w:r>
        <w:rPr>
          <w:spacing w:val="-2"/>
        </w:rPr>
        <w:t> </w:t>
      </w:r>
      <w:r>
        <w:rPr/>
        <w:t>of Royal</w:t>
      </w:r>
      <w:r>
        <w:rPr>
          <w:spacing w:val="-1"/>
        </w:rPr>
        <w:t> </w:t>
      </w:r>
      <w:r>
        <w:rPr/>
        <w:t>valley Estate</w:t>
      </w:r>
    </w:p>
    <w:tbl>
      <w:tblPr>
        <w:tblW w:w="0" w:type="auto"/>
        <w:jc w:val="left"/>
        <w:tblInd w:w="6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0"/>
        <w:gridCol w:w="1361"/>
        <w:gridCol w:w="1122"/>
        <w:gridCol w:w="1625"/>
      </w:tblGrid>
      <w:tr>
        <w:trPr>
          <w:trHeight w:val="269" w:hRule="atLeast"/>
        </w:trPr>
        <w:tc>
          <w:tcPr>
            <w:tcW w:w="457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6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Livability</w:t>
            </w:r>
          </w:p>
        </w:tc>
        <w:tc>
          <w:tcPr>
            <w:tcW w:w="16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45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Indicators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407" w:right="2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MWV</w:t>
            </w:r>
          </w:p>
        </w:tc>
        <w:tc>
          <w:tcPr>
            <w:tcW w:w="11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5" w:righ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Index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4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Remark</w:t>
            </w:r>
          </w:p>
        </w:tc>
      </w:tr>
      <w:tr>
        <w:trPr>
          <w:trHeight w:val="283" w:hRule="atLeast"/>
        </w:trPr>
        <w:tc>
          <w:tcPr>
            <w:tcW w:w="45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other parts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13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4570" w:type="dxa"/>
          </w:tcPr>
          <w:p>
            <w:pPr>
              <w:pStyle w:val="TableParagraph"/>
              <w:spacing w:before="10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town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213</w:t>
            </w:r>
          </w:p>
        </w:tc>
        <w:tc>
          <w:tcPr>
            <w:tcW w:w="1122" w:type="dxa"/>
          </w:tcPr>
          <w:p>
            <w:pPr>
              <w:pStyle w:val="TableParagraph"/>
              <w:spacing w:before="10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3.09</w:t>
            </w:r>
          </w:p>
        </w:tc>
        <w:tc>
          <w:tcPr>
            <w:tcW w:w="1625" w:type="dxa"/>
          </w:tcPr>
          <w:p>
            <w:pPr>
              <w:pStyle w:val="TableParagraph"/>
              <w:spacing w:before="10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17" w:hRule="atLeast"/>
        </w:trPr>
        <w:tc>
          <w:tcPr>
            <w:tcW w:w="4570" w:type="dxa"/>
          </w:tcPr>
          <w:p>
            <w:pPr>
              <w:pStyle w:val="TableParagraph"/>
              <w:spacing w:before="16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health care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1361" w:type="dxa"/>
          </w:tcPr>
          <w:p>
            <w:pPr>
              <w:pStyle w:val="TableParagraph"/>
              <w:spacing w:before="16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301</w:t>
            </w:r>
          </w:p>
        </w:tc>
        <w:tc>
          <w:tcPr>
            <w:tcW w:w="1122" w:type="dxa"/>
          </w:tcPr>
          <w:p>
            <w:pPr>
              <w:pStyle w:val="TableParagraph"/>
              <w:spacing w:before="16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4.36</w:t>
            </w:r>
          </w:p>
        </w:tc>
        <w:tc>
          <w:tcPr>
            <w:tcW w:w="1625" w:type="dxa"/>
          </w:tcPr>
          <w:p>
            <w:pPr>
              <w:pStyle w:val="TableParagraph"/>
              <w:spacing w:before="16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6" w:hRule="atLeast"/>
        </w:trPr>
        <w:tc>
          <w:tcPr>
            <w:tcW w:w="4570" w:type="dxa"/>
          </w:tcPr>
          <w:p>
            <w:pPr>
              <w:pStyle w:val="TableParagraph"/>
              <w:spacing w:before="15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1361" w:type="dxa"/>
          </w:tcPr>
          <w:p>
            <w:pPr>
              <w:pStyle w:val="TableParagraph"/>
              <w:spacing w:before="15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302</w:t>
            </w:r>
          </w:p>
        </w:tc>
        <w:tc>
          <w:tcPr>
            <w:tcW w:w="1122" w:type="dxa"/>
          </w:tcPr>
          <w:p>
            <w:pPr>
              <w:pStyle w:val="TableParagraph"/>
              <w:spacing w:before="15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4.38</w:t>
            </w:r>
          </w:p>
        </w:tc>
        <w:tc>
          <w:tcPr>
            <w:tcW w:w="1625" w:type="dxa"/>
          </w:tcPr>
          <w:p>
            <w:pPr>
              <w:pStyle w:val="TableParagraph"/>
              <w:spacing w:before="15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7" w:hRule="atLeast"/>
        </w:trPr>
        <w:tc>
          <w:tcPr>
            <w:tcW w:w="4570" w:type="dxa"/>
          </w:tcPr>
          <w:p>
            <w:pPr>
              <w:pStyle w:val="TableParagraph"/>
              <w:spacing w:before="15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economic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opportunity</w:t>
            </w:r>
          </w:p>
        </w:tc>
        <w:tc>
          <w:tcPr>
            <w:tcW w:w="1361" w:type="dxa"/>
          </w:tcPr>
          <w:p>
            <w:pPr>
              <w:pStyle w:val="TableParagraph"/>
              <w:spacing w:before="15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241</w:t>
            </w:r>
          </w:p>
        </w:tc>
        <w:tc>
          <w:tcPr>
            <w:tcW w:w="1122" w:type="dxa"/>
          </w:tcPr>
          <w:p>
            <w:pPr>
              <w:pStyle w:val="TableParagraph"/>
              <w:spacing w:before="15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3.49</w:t>
            </w:r>
          </w:p>
        </w:tc>
        <w:tc>
          <w:tcPr>
            <w:tcW w:w="1625" w:type="dxa"/>
          </w:tcPr>
          <w:p>
            <w:pPr>
              <w:pStyle w:val="TableParagraph"/>
              <w:spacing w:before="15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18" w:hRule="atLeast"/>
        </w:trPr>
        <w:tc>
          <w:tcPr>
            <w:tcW w:w="4570" w:type="dxa"/>
          </w:tcPr>
          <w:p>
            <w:pPr>
              <w:pStyle w:val="TableParagraph"/>
              <w:spacing w:before="16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361" w:type="dxa"/>
          </w:tcPr>
          <w:p>
            <w:pPr>
              <w:pStyle w:val="TableParagraph"/>
              <w:spacing w:before="16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310</w:t>
            </w:r>
          </w:p>
        </w:tc>
        <w:tc>
          <w:tcPr>
            <w:tcW w:w="1122" w:type="dxa"/>
          </w:tcPr>
          <w:p>
            <w:pPr>
              <w:pStyle w:val="TableParagraph"/>
              <w:spacing w:before="16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4.49</w:t>
            </w:r>
          </w:p>
        </w:tc>
        <w:tc>
          <w:tcPr>
            <w:tcW w:w="1625" w:type="dxa"/>
          </w:tcPr>
          <w:p>
            <w:pPr>
              <w:pStyle w:val="TableParagraph"/>
              <w:spacing w:before="16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7" w:hRule="atLeast"/>
        </w:trPr>
        <w:tc>
          <w:tcPr>
            <w:tcW w:w="4570" w:type="dxa"/>
          </w:tcPr>
          <w:p>
            <w:pPr>
              <w:pStyle w:val="TableParagraph"/>
              <w:spacing w:before="15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neighborhood</w:t>
            </w:r>
          </w:p>
        </w:tc>
        <w:tc>
          <w:tcPr>
            <w:tcW w:w="1361" w:type="dxa"/>
          </w:tcPr>
          <w:p>
            <w:pPr>
              <w:pStyle w:val="TableParagraph"/>
              <w:spacing w:before="15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314</w:t>
            </w:r>
          </w:p>
        </w:tc>
        <w:tc>
          <w:tcPr>
            <w:tcW w:w="1122" w:type="dxa"/>
          </w:tcPr>
          <w:p>
            <w:pPr>
              <w:pStyle w:val="TableParagraph"/>
              <w:spacing w:before="15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4.55</w:t>
            </w:r>
          </w:p>
        </w:tc>
        <w:tc>
          <w:tcPr>
            <w:tcW w:w="1625" w:type="dxa"/>
          </w:tcPr>
          <w:p>
            <w:pPr>
              <w:pStyle w:val="TableParagraph"/>
              <w:spacing w:before="15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8" w:hRule="atLeast"/>
        </w:trPr>
        <w:tc>
          <w:tcPr>
            <w:tcW w:w="4570" w:type="dxa"/>
          </w:tcPr>
          <w:p>
            <w:pPr>
              <w:pStyle w:val="TableParagraph"/>
              <w:spacing w:before="16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basic education</w:t>
            </w:r>
          </w:p>
        </w:tc>
        <w:tc>
          <w:tcPr>
            <w:tcW w:w="1361" w:type="dxa"/>
          </w:tcPr>
          <w:p>
            <w:pPr>
              <w:pStyle w:val="TableParagraph"/>
              <w:spacing w:before="16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313</w:t>
            </w:r>
          </w:p>
        </w:tc>
        <w:tc>
          <w:tcPr>
            <w:tcW w:w="1122" w:type="dxa"/>
          </w:tcPr>
          <w:p>
            <w:pPr>
              <w:pStyle w:val="TableParagraph"/>
              <w:spacing w:before="16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4.54</w:t>
            </w:r>
          </w:p>
        </w:tc>
        <w:tc>
          <w:tcPr>
            <w:tcW w:w="1625" w:type="dxa"/>
          </w:tcPr>
          <w:p>
            <w:pPr>
              <w:pStyle w:val="TableParagraph"/>
              <w:spacing w:before="16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6" w:hRule="atLeast"/>
        </w:trPr>
        <w:tc>
          <w:tcPr>
            <w:tcW w:w="4570" w:type="dxa"/>
          </w:tcPr>
          <w:p>
            <w:pPr>
              <w:pStyle w:val="TableParagraph"/>
              <w:spacing w:before="15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1361" w:type="dxa"/>
          </w:tcPr>
          <w:p>
            <w:pPr>
              <w:pStyle w:val="TableParagraph"/>
              <w:spacing w:before="15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319</w:t>
            </w:r>
          </w:p>
        </w:tc>
        <w:tc>
          <w:tcPr>
            <w:tcW w:w="1122" w:type="dxa"/>
          </w:tcPr>
          <w:p>
            <w:pPr>
              <w:pStyle w:val="TableParagraph"/>
              <w:spacing w:before="15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4.62</w:t>
            </w:r>
          </w:p>
        </w:tc>
        <w:tc>
          <w:tcPr>
            <w:tcW w:w="1625" w:type="dxa"/>
          </w:tcPr>
          <w:p>
            <w:pPr>
              <w:pStyle w:val="TableParagraph"/>
              <w:spacing w:before="15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18" w:hRule="atLeast"/>
        </w:trPr>
        <w:tc>
          <w:tcPr>
            <w:tcW w:w="4570" w:type="dxa"/>
          </w:tcPr>
          <w:p>
            <w:pPr>
              <w:pStyle w:val="TableParagraph"/>
              <w:spacing w:before="15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civic/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engagement</w:t>
            </w:r>
          </w:p>
        </w:tc>
        <w:tc>
          <w:tcPr>
            <w:tcW w:w="1361" w:type="dxa"/>
          </w:tcPr>
          <w:p>
            <w:pPr>
              <w:pStyle w:val="TableParagraph"/>
              <w:spacing w:before="15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1122" w:type="dxa"/>
          </w:tcPr>
          <w:p>
            <w:pPr>
              <w:pStyle w:val="TableParagraph"/>
              <w:spacing w:before="15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1625" w:type="dxa"/>
          </w:tcPr>
          <w:p>
            <w:pPr>
              <w:pStyle w:val="TableParagraph"/>
              <w:spacing w:before="15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</w:tr>
      <w:tr>
        <w:trPr>
          <w:trHeight w:val="323" w:hRule="atLeast"/>
        </w:trPr>
        <w:tc>
          <w:tcPr>
            <w:tcW w:w="4570" w:type="dxa"/>
          </w:tcPr>
          <w:p>
            <w:pPr>
              <w:pStyle w:val="TableParagraph"/>
              <w:spacing w:before="17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communication/internet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"/>
              <w:ind w:left="407" w:right="2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310</w:t>
            </w:r>
          </w:p>
        </w:tc>
        <w:tc>
          <w:tcPr>
            <w:tcW w:w="1122" w:type="dxa"/>
          </w:tcPr>
          <w:p>
            <w:pPr>
              <w:pStyle w:val="TableParagraph"/>
              <w:spacing w:before="17"/>
              <w:ind w:left="63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4.49</w:t>
            </w:r>
          </w:p>
        </w:tc>
        <w:tc>
          <w:tcPr>
            <w:tcW w:w="1625" w:type="dxa"/>
          </w:tcPr>
          <w:p>
            <w:pPr>
              <w:pStyle w:val="TableParagraph"/>
              <w:spacing w:before="17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</w:p>
        </w:tc>
      </w:tr>
      <w:tr>
        <w:trPr>
          <w:trHeight w:val="342" w:hRule="atLeast"/>
        </w:trPr>
        <w:tc>
          <w:tcPr>
            <w:tcW w:w="45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Aggregate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63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4.06</w:t>
            </w: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2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High</w:t>
            </w:r>
          </w:p>
        </w:tc>
      </w:tr>
      <w:tr>
        <w:trPr>
          <w:trHeight w:val="262" w:hRule="atLeast"/>
        </w:trPr>
        <w:tc>
          <w:tcPr>
            <w:tcW w:w="45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3" w:lineRule="exact"/>
              <w:ind w:left="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MWV=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weighted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value</w:t>
            </w:r>
          </w:p>
        </w:tc>
        <w:tc>
          <w:tcPr>
            <w:tcW w:w="13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b/>
          <w:sz w:val="37"/>
        </w:rPr>
      </w:pPr>
    </w:p>
    <w:p>
      <w:pPr>
        <w:pStyle w:val="ListParagraph"/>
        <w:numPr>
          <w:ilvl w:val="1"/>
          <w:numId w:val="9"/>
        </w:numPr>
        <w:tabs>
          <w:tab w:pos="1401" w:val="left" w:leader="none"/>
          <w:tab w:pos="1402" w:val="left" w:leader="none"/>
        </w:tabs>
        <w:spacing w:line="232" w:lineRule="auto" w:before="0" w:after="0"/>
        <w:ind w:left="1420" w:right="1210" w:hanging="720"/>
        <w:jc w:val="left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Affordability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Livability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across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Estates</w:t>
      </w:r>
    </w:p>
    <w:p>
      <w:pPr>
        <w:pStyle w:val="BodyText"/>
        <w:spacing w:line="475" w:lineRule="auto" w:before="226"/>
        <w:ind w:left="700" w:right="1057"/>
        <w:jc w:val="both"/>
      </w:pPr>
      <w:r>
        <w:rPr/>
        <w:t>The result on housing affordability and livability index</w:t>
      </w:r>
      <w:r>
        <w:rPr>
          <w:spacing w:val="1"/>
        </w:rPr>
        <w:t> </w:t>
      </w:r>
      <w:r>
        <w:rPr/>
        <w:t>serve as a basis for further</w:t>
      </w:r>
      <w:r>
        <w:rPr>
          <w:spacing w:val="1"/>
        </w:rPr>
        <w:t> </w:t>
      </w:r>
      <w:r>
        <w:rPr/>
        <w:t>analysis on the relationship in housing affordability and livability across the four (4)</w:t>
      </w:r>
      <w:r>
        <w:rPr>
          <w:spacing w:val="1"/>
        </w:rPr>
        <w:t> </w:t>
      </w:r>
      <w:r>
        <w:rPr/>
        <w:t>estates</w:t>
      </w:r>
      <w:r>
        <w:rPr>
          <w:spacing w:val="-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estate in the study</w:t>
      </w:r>
      <w:r>
        <w:rPr>
          <w:spacing w:val="-5"/>
        </w:rPr>
        <w:t> </w:t>
      </w:r>
      <w:r>
        <w:rPr/>
        <w:t>area.</w:t>
      </w:r>
    </w:p>
    <w:p>
      <w:pPr>
        <w:pStyle w:val="Heading1"/>
        <w:numPr>
          <w:ilvl w:val="2"/>
          <w:numId w:val="9"/>
        </w:numPr>
        <w:tabs>
          <w:tab w:pos="1401" w:val="left" w:leader="none"/>
          <w:tab w:pos="1402" w:val="left" w:leader="none"/>
        </w:tabs>
        <w:spacing w:line="232" w:lineRule="auto" w:before="230" w:after="0"/>
        <w:ind w:left="1420" w:right="1720" w:hanging="720"/>
        <w:jc w:val="left"/>
      </w:pPr>
      <w:r>
        <w:rPr/>
        <w:t>Relationship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housing</w:t>
      </w:r>
      <w:r>
        <w:rPr>
          <w:spacing w:val="-6"/>
        </w:rPr>
        <w:t> </w:t>
      </w:r>
      <w:r>
        <w:rPr/>
        <w:t>affordability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Mandate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Harmony</w:t>
      </w:r>
      <w:r>
        <w:rPr>
          <w:spacing w:val="-57"/>
        </w:rPr>
        <w:t> </w:t>
      </w:r>
      <w:r>
        <w:rPr/>
        <w:t>estate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4"/>
        <w:jc w:val="both"/>
      </w:pPr>
      <w:r>
        <w:rPr/>
        <w:t>Table</w:t>
      </w:r>
      <w:r>
        <w:rPr>
          <w:spacing w:val="1"/>
        </w:rPr>
        <w:t> </w:t>
      </w:r>
      <w:r>
        <w:rPr/>
        <w:t>4.25shows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Harmony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affordability. Analysis of variance (ANOVA) was used in getting the result. F value was</w:t>
      </w:r>
      <w:r>
        <w:rPr>
          <w:spacing w:val="-57"/>
        </w:rPr>
        <w:t> </w:t>
      </w:r>
      <w:r>
        <w:rPr/>
        <w:t>recorded as 1.067 and P value (significance) figures were recorded as 0.341, which</w:t>
      </w:r>
      <w:r>
        <w:rPr>
          <w:spacing w:val="1"/>
        </w:rPr>
        <w:t> </w:t>
      </w:r>
      <w:r>
        <w:rPr/>
        <w:t>shows that there no statistically significance difference of housing affordability between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harmony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(&gt;)</w:t>
      </w:r>
      <w:r>
        <w:rPr>
          <w:spacing w:val="1"/>
        </w:rPr>
        <w:t> </w:t>
      </w:r>
      <w:r>
        <w:rPr/>
        <w:t>0.05</w:t>
      </w:r>
      <w:r>
        <w:rPr>
          <w:spacing w:val="-57"/>
        </w:rPr>
        <w:t> </w:t>
      </w:r>
      <w:r>
        <w:rPr/>
        <w:t>confidence level. This implies that the level of affordability of houses in the two public</w:t>
      </w:r>
      <w:r>
        <w:rPr>
          <w:spacing w:val="1"/>
        </w:rPr>
        <w:t> </w:t>
      </w:r>
      <w:r>
        <w:rPr/>
        <w:t>estates</w:t>
      </w:r>
      <w:r>
        <w:rPr>
          <w:spacing w:val="-1"/>
        </w:rPr>
        <w:t> </w:t>
      </w:r>
      <w:r>
        <w:rPr/>
        <w:t>is similar.</w:t>
      </w:r>
    </w:p>
    <w:p>
      <w:pPr>
        <w:spacing w:after="0" w:line="477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Heading1"/>
        <w:spacing w:line="235" w:lineRule="auto" w:before="66" w:after="5"/>
        <w:ind w:left="1900" w:right="2214" w:hanging="1200"/>
      </w:pPr>
      <w:r>
        <w:rPr/>
        <w:t>Table</w:t>
      </w:r>
      <w:r>
        <w:rPr>
          <w:spacing w:val="-3"/>
        </w:rPr>
        <w:t> </w:t>
      </w:r>
      <w:r>
        <w:rPr/>
        <w:t>4.25:</w:t>
      </w:r>
      <w:r>
        <w:rPr>
          <w:spacing w:val="-4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affordability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Mandate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Harmony</w:t>
      </w:r>
      <w:r>
        <w:rPr>
          <w:spacing w:val="-1"/>
        </w:rPr>
        <w:t> </w:t>
      </w:r>
      <w:r>
        <w:rPr/>
        <w:t>Estate</w:t>
      </w:r>
    </w:p>
    <w:tbl>
      <w:tblPr>
        <w:tblW w:w="0" w:type="auto"/>
        <w:jc w:val="left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4"/>
        <w:gridCol w:w="1815"/>
        <w:gridCol w:w="927"/>
        <w:gridCol w:w="1817"/>
        <w:gridCol w:w="1095"/>
        <w:gridCol w:w="861"/>
      </w:tblGrid>
      <w:tr>
        <w:trPr>
          <w:trHeight w:val="391" w:hRule="atLeast"/>
        </w:trPr>
        <w:tc>
          <w:tcPr>
            <w:tcW w:w="2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0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96"/>
              <w:ind w:left="4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6" w:hRule="atLeast"/>
        </w:trPr>
        <w:tc>
          <w:tcPr>
            <w:tcW w:w="210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21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3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9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4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right="34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</w:tr>
      <w:tr>
        <w:trPr>
          <w:trHeight w:val="504" w:hRule="atLeast"/>
        </w:trPr>
        <w:tc>
          <w:tcPr>
            <w:tcW w:w="2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8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9"/>
              <w:ind w:right="24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66.125</w:t>
            </w:r>
          </w:p>
        </w:tc>
        <w:tc>
          <w:tcPr>
            <w:tcW w:w="9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9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9"/>
              <w:ind w:right="2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66.125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1.067</w:t>
            </w: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9"/>
              <w:ind w:left="4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.341</w:t>
            </w:r>
          </w:p>
        </w:tc>
      </w:tr>
      <w:tr>
        <w:trPr>
          <w:trHeight w:val="447" w:hRule="atLeast"/>
        </w:trPr>
        <w:tc>
          <w:tcPr>
            <w:tcW w:w="2104" w:type="dxa"/>
          </w:tcPr>
          <w:p>
            <w:pPr>
              <w:pStyle w:val="TableParagraph"/>
              <w:spacing w:before="109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right="24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371.750</w:t>
            </w:r>
          </w:p>
        </w:tc>
        <w:tc>
          <w:tcPr>
            <w:tcW w:w="927" w:type="dxa"/>
          </w:tcPr>
          <w:p>
            <w:pPr>
              <w:pStyle w:val="TableParagraph"/>
              <w:spacing w:before="109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17" w:type="dxa"/>
          </w:tcPr>
          <w:p>
            <w:pPr>
              <w:pStyle w:val="TableParagraph"/>
              <w:spacing w:before="109"/>
              <w:ind w:right="2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61.958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5" w:hRule="atLeast"/>
        </w:trPr>
        <w:tc>
          <w:tcPr>
            <w:tcW w:w="2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right="24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437.875</w:t>
            </w:r>
          </w:p>
        </w:tc>
        <w:tc>
          <w:tcPr>
            <w:tcW w:w="9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9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8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401" w:val="left" w:leader="none"/>
          <w:tab w:pos="1402" w:val="left" w:leader="none"/>
        </w:tabs>
        <w:spacing w:line="232" w:lineRule="auto" w:before="0" w:after="0"/>
        <w:ind w:left="1420" w:right="1248" w:hanging="720"/>
        <w:jc w:val="left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affordability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Royal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Valley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Evergreen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line="477" w:lineRule="auto" w:before="142"/>
        <w:ind w:left="700" w:right="1050"/>
        <w:jc w:val="both"/>
      </w:pPr>
      <w:r>
        <w:rPr/>
        <w:t>The relationship in the level of housing affordability between royal and evergreen estate</w:t>
      </w:r>
      <w:r>
        <w:rPr>
          <w:spacing w:val="-57"/>
        </w:rPr>
        <w:t> </w:t>
      </w:r>
      <w:r>
        <w:rPr/>
        <w:t>is presented in table 4.26. The result of the ANOVA test shows an F statistics value of</w:t>
      </w:r>
      <w:r>
        <w:rPr>
          <w:spacing w:val="1"/>
        </w:rPr>
        <w:t> </w:t>
      </w:r>
      <w:r>
        <w:rPr/>
        <w:t>0.826 and a p value (significant) 0.399 was recorded. The p value recorded is greater</w:t>
      </w:r>
      <w:r>
        <w:rPr>
          <w:spacing w:val="1"/>
        </w:rPr>
        <w:t> </w:t>
      </w:r>
      <w:r>
        <w:rPr/>
        <w:t>than 0.05(95% confidence level). Therefore, this implies that there is no statistically</w:t>
      </w:r>
      <w:r>
        <w:rPr>
          <w:spacing w:val="1"/>
        </w:rPr>
        <w:t> </w:t>
      </w:r>
      <w:r>
        <w:rPr/>
        <w:t>significant variation in the level of housing affordability between royal and evergreen</w:t>
      </w:r>
      <w:r>
        <w:rPr>
          <w:spacing w:val="1"/>
        </w:rPr>
        <w:t> </w:t>
      </w:r>
      <w:r>
        <w:rPr/>
        <w:t>estate.</w:t>
      </w:r>
      <w:r>
        <w:rPr>
          <w:spacing w:val="-1"/>
        </w:rPr>
        <w:t> </w:t>
      </w:r>
      <w:r>
        <w:rPr/>
        <w:t>That is,</w:t>
      </w:r>
      <w:r>
        <w:rPr>
          <w:spacing w:val="-1"/>
        </w:rPr>
        <w:t> </w:t>
      </w:r>
      <w:r>
        <w:rPr/>
        <w:t>the level</w:t>
      </w:r>
      <w:r>
        <w:rPr>
          <w:spacing w:val="-1"/>
        </w:rPr>
        <w:t> </w:t>
      </w:r>
      <w:r>
        <w:rPr/>
        <w:t>of affordability</w:t>
      </w:r>
      <w:r>
        <w:rPr>
          <w:spacing w:val="-6"/>
        </w:rPr>
        <w:t> </w:t>
      </w:r>
      <w:r>
        <w:rPr/>
        <w:t>of houses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estates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same.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spacing w:line="235" w:lineRule="auto" w:after="5"/>
        <w:ind w:left="1900" w:right="2346" w:hanging="1200"/>
      </w:pPr>
      <w:r>
        <w:rPr/>
        <w:t>Table 4.26: Relationship in housing affordability between Royal valley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Evergreen estate</w:t>
      </w:r>
    </w:p>
    <w:tbl>
      <w:tblPr>
        <w:tblW w:w="0" w:type="auto"/>
        <w:jc w:val="left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3"/>
        <w:gridCol w:w="1685"/>
        <w:gridCol w:w="927"/>
        <w:gridCol w:w="1817"/>
        <w:gridCol w:w="1095"/>
        <w:gridCol w:w="861"/>
      </w:tblGrid>
      <w:tr>
        <w:trPr>
          <w:trHeight w:val="390" w:hRule="atLeast"/>
        </w:trPr>
        <w:tc>
          <w:tcPr>
            <w:tcW w:w="2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09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Valley and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96"/>
              <w:ind w:left="4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6" w:hRule="atLeast"/>
        </w:trPr>
        <w:tc>
          <w:tcPr>
            <w:tcW w:w="2233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223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4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9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right="34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</w:tr>
      <w:tr>
        <w:trPr>
          <w:trHeight w:val="445" w:hRule="atLeast"/>
        </w:trPr>
        <w:tc>
          <w:tcPr>
            <w:tcW w:w="22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6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right="2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128.000</w:t>
            </w:r>
          </w:p>
        </w:tc>
        <w:tc>
          <w:tcPr>
            <w:tcW w:w="9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right="26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128.000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left="4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.826</w:t>
            </w: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0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.399</w:t>
            </w:r>
          </w:p>
        </w:tc>
      </w:tr>
      <w:tr>
        <w:trPr>
          <w:trHeight w:val="511" w:hRule="atLeast"/>
        </w:trPr>
        <w:tc>
          <w:tcPr>
            <w:tcW w:w="2233" w:type="dxa"/>
          </w:tcPr>
          <w:p>
            <w:pPr>
              <w:pStyle w:val="TableParagraph"/>
              <w:spacing w:before="69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685" w:type="dxa"/>
          </w:tcPr>
          <w:p>
            <w:pPr>
              <w:pStyle w:val="TableParagraph"/>
              <w:spacing w:before="155"/>
              <w:ind w:right="2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930.000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55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5"/>
              <w:ind w:right="26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155.000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1" w:hRule="atLeast"/>
        </w:trPr>
        <w:tc>
          <w:tcPr>
            <w:tcW w:w="22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6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8"/>
              <w:ind w:right="2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1058.000</w:t>
            </w:r>
          </w:p>
        </w:tc>
        <w:tc>
          <w:tcPr>
            <w:tcW w:w="9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8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8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402" w:val="left" w:leader="none"/>
        </w:tabs>
        <w:spacing w:line="240" w:lineRule="auto" w:before="0" w:after="0"/>
        <w:ind w:left="1401" w:right="0" w:hanging="702"/>
        <w:jc w:val="both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affordability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Private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line="475" w:lineRule="auto" w:before="202"/>
        <w:ind w:left="700" w:right="1034"/>
        <w:jc w:val="both"/>
      </w:pPr>
      <w:r>
        <w:rPr/>
        <w:t>Further analysis was conducted to determine the relationship in housing affordability</w:t>
      </w:r>
      <w:r>
        <w:rPr>
          <w:spacing w:val="1"/>
        </w:rPr>
        <w:t> </w:t>
      </w:r>
      <w:r>
        <w:rPr/>
        <w:t>between public and private estate. Result was shown in Table 4.27, which was gotten by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(ANOVA),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185.468and</w:t>
      </w:r>
      <w:r>
        <w:rPr>
          <w:spacing w:val="-1"/>
        </w:rPr>
        <w:t> </w:t>
      </w:r>
      <w:r>
        <w:rPr/>
        <w:t>P-</w:t>
      </w:r>
      <w:r>
        <w:rPr>
          <w:spacing w:val="-2"/>
        </w:rPr>
        <w:t> </w:t>
      </w:r>
      <w:r>
        <w:rPr/>
        <w:t>value (significance)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recorded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0.000,</w:t>
      </w:r>
      <w:r>
        <w:rPr>
          <w:spacing w:val="-1"/>
        </w:rPr>
        <w:t> </w:t>
      </w:r>
      <w:r>
        <w:rPr/>
        <w:t>This implies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</w:p>
    <w:p>
      <w:pPr>
        <w:spacing w:after="0" w:line="475" w:lineRule="auto"/>
        <w:jc w:val="both"/>
        <w:sectPr>
          <w:pgSz w:w="11900" w:h="16840"/>
          <w:pgMar w:header="0" w:footer="1068" w:top="1340" w:bottom="1300" w:left="1280" w:right="360"/>
        </w:sectPr>
      </w:pPr>
    </w:p>
    <w:p>
      <w:pPr>
        <w:pStyle w:val="BodyText"/>
        <w:spacing w:line="475" w:lineRule="auto" w:before="76"/>
        <w:ind w:left="700" w:right="1058"/>
        <w:jc w:val="both"/>
      </w:pPr>
      <w:r>
        <w:rPr/>
        <w:t>statistically significance relationship in the level of housing affordability between public</w:t>
      </w:r>
      <w:r>
        <w:rPr>
          <w:spacing w:val="-57"/>
        </w:rPr>
        <w:t> </w:t>
      </w:r>
      <w:r>
        <w:rPr/>
        <w:t>and private estate since the significance figure is less than (&lt;) 0.05 confidence level. In</w:t>
      </w:r>
      <w:r>
        <w:rPr>
          <w:spacing w:val="1"/>
        </w:rPr>
        <w:t> </w:t>
      </w:r>
      <w:r>
        <w:rPr/>
        <w:t>view of this, it can be said that the houses in public housing estates are more affordable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houses in private</w:t>
      </w:r>
      <w:r>
        <w:rPr>
          <w:spacing w:val="1"/>
        </w:rPr>
        <w:t> </w:t>
      </w:r>
      <w:r>
        <w:rPr/>
        <w:t>estates.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spacing w:after="3"/>
        <w:jc w:val="both"/>
      </w:pPr>
      <w:r>
        <w:rPr/>
        <w:t>Table</w:t>
      </w:r>
      <w:r>
        <w:rPr>
          <w:spacing w:val="-3"/>
        </w:rPr>
        <w:t> </w:t>
      </w:r>
      <w:r>
        <w:rPr/>
        <w:t>4.27: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affordability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Private</w:t>
      </w:r>
      <w:r>
        <w:rPr>
          <w:spacing w:val="-4"/>
        </w:rPr>
        <w:t> </w:t>
      </w:r>
      <w:r>
        <w:rPr/>
        <w:t>Estate</w:t>
      </w: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826"/>
        <w:gridCol w:w="988"/>
        <w:gridCol w:w="1690"/>
        <w:gridCol w:w="1232"/>
        <w:gridCol w:w="920"/>
      </w:tblGrid>
      <w:tr>
        <w:trPr>
          <w:trHeight w:val="269" w:hRule="atLeast"/>
        </w:trPr>
        <w:tc>
          <w:tcPr>
            <w:tcW w:w="2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4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2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right="1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2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right="23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2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</w:tr>
      <w:tr>
        <w:trPr>
          <w:trHeight w:val="366" w:hRule="atLeast"/>
        </w:trPr>
        <w:tc>
          <w:tcPr>
            <w:tcW w:w="21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7" w:hRule="atLeast"/>
        </w:trPr>
        <w:tc>
          <w:tcPr>
            <w:tcW w:w="2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right="2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15708.781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right="1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right="1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15708.781</w:t>
            </w:r>
          </w:p>
        </w:tc>
        <w:tc>
          <w:tcPr>
            <w:tcW w:w="12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185.468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4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</w:tr>
      <w:tr>
        <w:trPr>
          <w:trHeight w:val="543" w:hRule="atLeast"/>
        </w:trPr>
        <w:tc>
          <w:tcPr>
            <w:tcW w:w="2105" w:type="dxa"/>
          </w:tcPr>
          <w:p>
            <w:pPr>
              <w:pStyle w:val="TableParagraph"/>
              <w:spacing w:before="159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826" w:type="dxa"/>
          </w:tcPr>
          <w:p>
            <w:pPr>
              <w:pStyle w:val="TableParagraph"/>
              <w:spacing w:before="159"/>
              <w:ind w:right="2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508.188</w:t>
            </w:r>
          </w:p>
        </w:tc>
        <w:tc>
          <w:tcPr>
            <w:tcW w:w="988" w:type="dxa"/>
          </w:tcPr>
          <w:p>
            <w:pPr>
              <w:pStyle w:val="TableParagraph"/>
              <w:spacing w:before="159"/>
              <w:ind w:right="1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9"/>
              <w:ind w:right="1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84.698</w:t>
            </w:r>
          </w:p>
        </w:tc>
        <w:tc>
          <w:tcPr>
            <w:tcW w:w="1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1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right="2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16216.969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right="1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9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402" w:val="left" w:leader="none"/>
        </w:tabs>
        <w:spacing w:line="240" w:lineRule="auto" w:before="1" w:after="0"/>
        <w:ind w:left="1401" w:right="0" w:hanging="702"/>
        <w:jc w:val="both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livability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Mandate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Harmony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line="477" w:lineRule="auto" w:before="139"/>
        <w:ind w:left="700" w:right="1053"/>
        <w:jc w:val="both"/>
      </w:pPr>
      <w:r>
        <w:rPr/>
        <w:t>The relationship in the level of housing livability between mandate and harmony estate</w:t>
      </w:r>
      <w:r>
        <w:rPr>
          <w:spacing w:val="1"/>
        </w:rPr>
        <w:t> </w:t>
      </w:r>
      <w:r>
        <w:rPr/>
        <w:t>is</w:t>
      </w:r>
      <w:r>
        <w:rPr>
          <w:spacing w:val="9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  <w:r>
        <w:rPr>
          <w:spacing w:val="7"/>
        </w:rPr>
        <w:t> </w:t>
      </w:r>
      <w:r>
        <w:rPr/>
        <w:t>4.28.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ANOVA</w:t>
      </w:r>
      <w:r>
        <w:rPr>
          <w:spacing w:val="7"/>
        </w:rPr>
        <w:t> </w:t>
      </w:r>
      <w:r>
        <w:rPr/>
        <w:t>test</w:t>
      </w:r>
      <w:r>
        <w:rPr>
          <w:spacing w:val="8"/>
        </w:rPr>
        <w:t> </w:t>
      </w:r>
      <w:r>
        <w:rPr/>
        <w:t>shows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F</w:t>
      </w:r>
      <w:r>
        <w:rPr>
          <w:spacing w:val="7"/>
        </w:rPr>
        <w:t> </w:t>
      </w:r>
      <w:r>
        <w:rPr/>
        <w:t>statistics</w:t>
      </w:r>
      <w:r>
        <w:rPr>
          <w:spacing w:val="8"/>
        </w:rPr>
        <w:t> </w:t>
      </w:r>
      <w:r>
        <w:rPr/>
        <w:t>value</w:t>
      </w:r>
      <w:r>
        <w:rPr>
          <w:spacing w:val="14"/>
        </w:rPr>
        <w:t> </w:t>
      </w:r>
      <w:r>
        <w:rPr/>
        <w:t>of</w:t>
      </w:r>
    </w:p>
    <w:p>
      <w:pPr>
        <w:pStyle w:val="BodyText"/>
        <w:spacing w:line="477" w:lineRule="auto" w:before="1"/>
        <w:ind w:left="700" w:right="1056"/>
        <w:jc w:val="both"/>
      </w:pPr>
      <w:r>
        <w:rPr/>
        <w:t>0.262 and a p value (significant) 0.615. The p value recorded is greater than 0.05(95%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level).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in the level of housing livability between Mandate and Harmony estate.</w:t>
      </w:r>
      <w:r>
        <w:rPr>
          <w:spacing w:val="1"/>
        </w:rPr>
        <w:t> </w:t>
      </w:r>
      <w:r>
        <w:rPr/>
        <w:t>That is, the level of livability in the estate is not significant different; the houses in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estates are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in terms of facilities and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estates.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line="264" w:lineRule="auto" w:before="1" w:after="15"/>
        <w:ind w:left="1960" w:right="2647" w:hanging="1260"/>
        <w:jc w:val="both"/>
      </w:pPr>
      <w:r>
        <w:rPr/>
        <w:t>Table</w:t>
      </w:r>
      <w:r>
        <w:rPr>
          <w:spacing w:val="-2"/>
        </w:rPr>
        <w:t> </w:t>
      </w:r>
      <w:r>
        <w:rPr/>
        <w:t>4.28:</w:t>
      </w:r>
      <w:r>
        <w:rPr>
          <w:spacing w:val="-4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housing</w:t>
      </w:r>
      <w:r>
        <w:rPr>
          <w:spacing w:val="-5"/>
        </w:rPr>
        <w:t> </w:t>
      </w:r>
      <w:r>
        <w:rPr/>
        <w:t>livability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Mandate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Harmony</w:t>
      </w:r>
      <w:r>
        <w:rPr>
          <w:spacing w:val="1"/>
        </w:rPr>
        <w:t> </w:t>
      </w:r>
      <w:r>
        <w:rPr/>
        <w:t>estate</w:t>
      </w: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1724"/>
        <w:gridCol w:w="906"/>
        <w:gridCol w:w="1838"/>
        <w:gridCol w:w="1104"/>
        <w:gridCol w:w="796"/>
      </w:tblGrid>
      <w:tr>
        <w:trPr>
          <w:trHeight w:val="371" w:hRule="atLeast"/>
        </w:trPr>
        <w:tc>
          <w:tcPr>
            <w:tcW w:w="2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90"/>
              <w:ind w:left="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Mandate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</w:p>
        </w:tc>
        <w:tc>
          <w:tcPr>
            <w:tcW w:w="172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57"/>
              <w:ind w:left="44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" w:hRule="atLeast"/>
        </w:trPr>
        <w:tc>
          <w:tcPr>
            <w:tcW w:w="211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Harmony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211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38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9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3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7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</w:tr>
      <w:tr>
        <w:trPr>
          <w:trHeight w:val="524" w:hRule="atLeast"/>
        </w:trPr>
        <w:tc>
          <w:tcPr>
            <w:tcW w:w="21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.126</w:t>
            </w:r>
          </w:p>
        </w:tc>
        <w:tc>
          <w:tcPr>
            <w:tcW w:w="9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right="27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.126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left="4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.262</w:t>
            </w:r>
          </w:p>
        </w:tc>
        <w:tc>
          <w:tcPr>
            <w:tcW w:w="7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left="382" w:right="-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.615</w:t>
            </w:r>
          </w:p>
        </w:tc>
      </w:tr>
      <w:tr>
        <w:trPr>
          <w:trHeight w:val="451" w:hRule="atLeast"/>
        </w:trPr>
        <w:tc>
          <w:tcPr>
            <w:tcW w:w="2117" w:type="dxa"/>
          </w:tcPr>
          <w:p>
            <w:pPr>
              <w:pStyle w:val="TableParagraph"/>
              <w:spacing w:before="107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724" w:type="dxa"/>
          </w:tcPr>
          <w:p>
            <w:pPr>
              <w:pStyle w:val="TableParagraph"/>
              <w:spacing w:before="107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8.699</w:t>
            </w:r>
          </w:p>
        </w:tc>
        <w:tc>
          <w:tcPr>
            <w:tcW w:w="906" w:type="dxa"/>
          </w:tcPr>
          <w:p>
            <w:pPr>
              <w:pStyle w:val="TableParagraph"/>
              <w:spacing w:before="107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838" w:type="dxa"/>
          </w:tcPr>
          <w:p>
            <w:pPr>
              <w:pStyle w:val="TableParagraph"/>
              <w:spacing w:before="107"/>
              <w:ind w:right="27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.483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21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7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7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7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8.825</w:t>
            </w:r>
          </w:p>
        </w:tc>
        <w:tc>
          <w:tcPr>
            <w:tcW w:w="9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7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00" w:h="16840"/>
          <w:pgMar w:header="0" w:footer="1068" w:top="1320" w:bottom="1300" w:left="1280" w:right="360"/>
        </w:sectPr>
      </w:pPr>
    </w:p>
    <w:p>
      <w:pPr>
        <w:pStyle w:val="ListParagraph"/>
        <w:numPr>
          <w:ilvl w:val="2"/>
          <w:numId w:val="9"/>
        </w:numPr>
        <w:tabs>
          <w:tab w:pos="1401" w:val="left" w:leader="none"/>
          <w:tab w:pos="1402" w:val="left" w:leader="none"/>
        </w:tabs>
        <w:spacing w:line="235" w:lineRule="auto" w:before="66" w:after="0"/>
        <w:ind w:left="1420" w:right="1684" w:hanging="720"/>
        <w:jc w:val="left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livability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Royal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valley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Evergreen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700" w:right="1036"/>
        <w:jc w:val="both"/>
      </w:pPr>
      <w:r>
        <w:rPr/>
        <w:t>The relationship in the degree of livability between the Royal valley and Evergreen</w:t>
      </w:r>
      <w:r>
        <w:rPr>
          <w:spacing w:val="1"/>
        </w:rPr>
        <w:t> </w:t>
      </w:r>
      <w:r>
        <w:rPr/>
        <w:t>estate is presented in Table 4.29. The consequence of the ANOVA test shows an F</w:t>
      </w:r>
      <w:r>
        <w:rPr>
          <w:spacing w:val="1"/>
        </w:rPr>
        <w:t> </w:t>
      </w:r>
      <w:r>
        <w:rPr/>
        <w:t>statistics value of 0.273</w:t>
      </w:r>
      <w:r>
        <w:rPr>
          <w:spacing w:val="60"/>
        </w:rPr>
        <w:t> </w:t>
      </w:r>
      <w:r>
        <w:rPr/>
        <w:t>and a p value (significant) 0.608. The p value recorded is</w:t>
      </w:r>
      <w:r>
        <w:rPr>
          <w:spacing w:val="1"/>
        </w:rPr>
        <w:t> </w:t>
      </w:r>
      <w:r>
        <w:rPr/>
        <w:t>greater than 0.05(95% confidence level). Consequently; this suggests that there is 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Evergreen</w:t>
      </w:r>
      <w:r>
        <w:rPr>
          <w:spacing w:val="1"/>
        </w:rPr>
        <w:t> </w:t>
      </w:r>
      <w:r>
        <w:rPr/>
        <w:t>estate.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 degree of livability of the two</w:t>
      </w:r>
      <w:r>
        <w:rPr>
          <w:spacing w:val="1"/>
        </w:rPr>
        <w:t> </w:t>
      </w:r>
      <w:r>
        <w:rPr/>
        <w:t>private estates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difference. In addition, the houses in the two private estates are the same in</w:t>
      </w:r>
      <w:r>
        <w:rPr>
          <w:spacing w:val="-57"/>
        </w:rPr>
        <w:t> </w:t>
      </w:r>
      <w:r>
        <w:rPr/>
        <w:t>terms</w:t>
      </w:r>
      <w:r>
        <w:rPr>
          <w:spacing w:val="-1"/>
        </w:rPr>
        <w:t> </w:t>
      </w:r>
      <w:r>
        <w:rPr/>
        <w:t>of facilities and quality</w:t>
      </w:r>
      <w:r>
        <w:rPr>
          <w:spacing w:val="-5"/>
        </w:rPr>
        <w:t> </w:t>
      </w:r>
      <w:r>
        <w:rPr/>
        <w:t>of the estates.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after="45"/>
        <w:jc w:val="both"/>
      </w:pPr>
      <w:r>
        <w:rPr/>
        <w:t>Table</w:t>
      </w:r>
      <w:r>
        <w:rPr>
          <w:spacing w:val="-2"/>
        </w:rPr>
        <w:t> </w:t>
      </w:r>
      <w:r>
        <w:rPr/>
        <w:t>4.29: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in housing</w:t>
      </w:r>
      <w:r>
        <w:rPr>
          <w:spacing w:val="-4"/>
        </w:rPr>
        <w:t> </w:t>
      </w:r>
      <w:r>
        <w:rPr/>
        <w:t>livability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Royal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Evergreen</w:t>
      </w:r>
      <w:r>
        <w:rPr>
          <w:spacing w:val="-1"/>
        </w:rPr>
        <w:t> </w:t>
      </w:r>
      <w:r>
        <w:rPr/>
        <w:t>Estate</w:t>
      </w: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2138"/>
        <w:gridCol w:w="808"/>
        <w:gridCol w:w="1797"/>
        <w:gridCol w:w="934"/>
        <w:gridCol w:w="737"/>
      </w:tblGrid>
      <w:tr>
        <w:trPr>
          <w:trHeight w:val="387" w:hRule="atLeast"/>
        </w:trPr>
        <w:tc>
          <w:tcPr>
            <w:tcW w:w="2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06"/>
              <w:ind w:left="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Royal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</w:p>
        </w:tc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91" w:hRule="atLeast"/>
        </w:trPr>
        <w:tc>
          <w:tcPr>
            <w:tcW w:w="2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Evergreen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2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9"/>
              <w:ind w:right="26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Squares</w:t>
            </w:r>
          </w:p>
        </w:tc>
        <w:tc>
          <w:tcPr>
            <w:tcW w:w="8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2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7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8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9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2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17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</w:tr>
      <w:tr>
        <w:trPr>
          <w:trHeight w:val="652" w:hRule="atLeast"/>
        </w:trPr>
        <w:tc>
          <w:tcPr>
            <w:tcW w:w="20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2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4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.105</w:t>
            </w:r>
          </w:p>
        </w:tc>
        <w:tc>
          <w:tcPr>
            <w:tcW w:w="8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4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4"/>
              <w:ind w:right="22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.105</w:t>
            </w:r>
          </w:p>
        </w:tc>
        <w:tc>
          <w:tcPr>
            <w:tcW w:w="9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4"/>
              <w:ind w:left="3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.273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4"/>
              <w:ind w:left="318" w:right="-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.608</w:t>
            </w:r>
          </w:p>
        </w:tc>
      </w:tr>
      <w:tr>
        <w:trPr>
          <w:trHeight w:val="502" w:hRule="atLeast"/>
        </w:trPr>
        <w:tc>
          <w:tcPr>
            <w:tcW w:w="2074" w:type="dxa"/>
          </w:tcPr>
          <w:p>
            <w:pPr>
              <w:pStyle w:val="TableParagraph"/>
              <w:spacing w:before="151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2138" w:type="dxa"/>
          </w:tcPr>
          <w:p>
            <w:pPr>
              <w:pStyle w:val="TableParagraph"/>
              <w:spacing w:before="151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6.928</w:t>
            </w:r>
          </w:p>
        </w:tc>
        <w:tc>
          <w:tcPr>
            <w:tcW w:w="808" w:type="dxa"/>
          </w:tcPr>
          <w:p>
            <w:pPr>
              <w:pStyle w:val="TableParagraph"/>
              <w:spacing w:before="151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97" w:type="dxa"/>
          </w:tcPr>
          <w:p>
            <w:pPr>
              <w:pStyle w:val="TableParagraph"/>
              <w:spacing w:before="151"/>
              <w:ind w:right="22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.385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0" w:hRule="atLeast"/>
        </w:trPr>
        <w:tc>
          <w:tcPr>
            <w:tcW w:w="2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7.033</w:t>
            </w:r>
          </w:p>
        </w:tc>
        <w:tc>
          <w:tcPr>
            <w:tcW w:w="8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7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livability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Private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Estate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35"/>
        <w:jc w:val="both"/>
      </w:pPr>
      <w:r>
        <w:rPr/>
        <w:t>Table 4.30 shows that the relationship in housing livability between public and private</w:t>
      </w:r>
      <w:r>
        <w:rPr>
          <w:spacing w:val="1"/>
        </w:rPr>
        <w:t> </w:t>
      </w:r>
      <w:r>
        <w:rPr/>
        <w:t>estate. The result was deduced through the use of analysis of variance (ANOVA), F</w:t>
      </w:r>
      <w:r>
        <w:rPr>
          <w:spacing w:val="1"/>
        </w:rPr>
        <w:t> </w:t>
      </w:r>
      <w:r>
        <w:rPr/>
        <w:t>statistics value recorded as 17.685 and P- value (significance) recorded as 0.001, this</w:t>
      </w:r>
      <w:r>
        <w:rPr>
          <w:spacing w:val="1"/>
        </w:rPr>
        <w:t> </w:t>
      </w:r>
      <w:r>
        <w:rPr/>
        <w:t>implies that there is statistically significance relationship in housing livability between</w:t>
      </w:r>
      <w:r>
        <w:rPr>
          <w:spacing w:val="1"/>
        </w:rPr>
        <w:t> </w:t>
      </w:r>
      <w:r>
        <w:rPr/>
        <w:t>public and private estate since the significance figure is less than (&lt;) 0.05 confidence</w:t>
      </w:r>
      <w:r>
        <w:rPr>
          <w:spacing w:val="1"/>
        </w:rPr>
        <w:t> </w:t>
      </w:r>
      <w:r>
        <w:rPr/>
        <w:t>level. This means that there were better houses with good facilities in private housing</w:t>
      </w:r>
      <w:r>
        <w:rPr>
          <w:spacing w:val="1"/>
        </w:rPr>
        <w:t> </w:t>
      </w:r>
      <w:r>
        <w:rPr/>
        <w:t>estate than public housing estate, which makes private estate more livable than public</w:t>
      </w:r>
      <w:r>
        <w:rPr>
          <w:spacing w:val="1"/>
        </w:rPr>
        <w:t> </w:t>
      </w:r>
      <w:r>
        <w:rPr/>
        <w:t>estate.</w:t>
      </w:r>
    </w:p>
    <w:p>
      <w:pPr>
        <w:spacing w:after="0" w:line="477" w:lineRule="auto"/>
        <w:jc w:val="both"/>
        <w:sectPr>
          <w:pgSz w:w="11900" w:h="16840"/>
          <w:pgMar w:header="0" w:footer="1068" w:top="1340" w:bottom="1300" w:left="1280" w:right="360"/>
        </w:sectPr>
      </w:pPr>
    </w:p>
    <w:p>
      <w:pPr>
        <w:spacing w:before="72"/>
        <w:ind w:left="700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4.30: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Relationship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housing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livability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between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Public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and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Private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Estate      </w:t>
      </w:r>
      <w:r>
        <w:rPr>
          <w:b/>
          <w:spacing w:val="-29"/>
          <w:sz w:val="24"/>
          <w:u w:val="single"/>
        </w:rPr>
        <w:t> 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1856"/>
        <w:gridCol w:w="937"/>
        <w:gridCol w:w="1781"/>
        <w:gridCol w:w="1121"/>
        <w:gridCol w:w="861"/>
      </w:tblGrid>
      <w:tr>
        <w:trPr>
          <w:trHeight w:val="270" w:hRule="atLeast"/>
        </w:trPr>
        <w:tc>
          <w:tcPr>
            <w:tcW w:w="2054" w:type="dxa"/>
          </w:tcPr>
          <w:p>
            <w:pPr>
              <w:pStyle w:val="TableParagraph"/>
              <w:spacing w:line="251" w:lineRule="exact"/>
              <w:ind w:left="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Public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</w:p>
        </w:tc>
        <w:tc>
          <w:tcPr>
            <w:tcW w:w="1856" w:type="dxa"/>
            <w:vMerge w:val="restart"/>
          </w:tcPr>
          <w:p>
            <w:pPr>
              <w:pStyle w:val="TableParagraph"/>
              <w:spacing w:line="251" w:lineRule="exact" w:before="64"/>
              <w:ind w:left="4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</w:tc>
        <w:tc>
          <w:tcPr>
            <w:tcW w:w="9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" w:hRule="atLeast"/>
        </w:trPr>
        <w:tc>
          <w:tcPr>
            <w:tcW w:w="205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private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Estate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205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4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4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right="30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1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</w:tr>
      <w:tr>
        <w:trPr>
          <w:trHeight w:val="507" w:hRule="atLeast"/>
        </w:trPr>
        <w:tc>
          <w:tcPr>
            <w:tcW w:w="2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right="24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7.033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right="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right="24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7.033</w:t>
            </w:r>
          </w:p>
        </w:tc>
        <w:tc>
          <w:tcPr>
            <w:tcW w:w="11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left="2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17.685</w:t>
            </w: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0"/>
              <w:ind w:left="4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.001</w:t>
            </w:r>
          </w:p>
        </w:tc>
      </w:tr>
      <w:tr>
        <w:trPr>
          <w:trHeight w:val="402" w:hRule="atLeast"/>
        </w:trPr>
        <w:tc>
          <w:tcPr>
            <w:tcW w:w="2054" w:type="dxa"/>
          </w:tcPr>
          <w:p>
            <w:pPr>
              <w:pStyle w:val="TableParagraph"/>
              <w:spacing w:before="91"/>
              <w:ind w:lef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856" w:type="dxa"/>
          </w:tcPr>
          <w:p>
            <w:pPr>
              <w:pStyle w:val="TableParagraph"/>
              <w:spacing w:before="91"/>
              <w:ind w:right="24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7.158</w:t>
            </w:r>
          </w:p>
        </w:tc>
        <w:tc>
          <w:tcPr>
            <w:tcW w:w="937" w:type="dxa"/>
          </w:tcPr>
          <w:p>
            <w:pPr>
              <w:pStyle w:val="TableParagraph"/>
              <w:spacing w:before="91"/>
              <w:ind w:right="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81" w:type="dxa"/>
          </w:tcPr>
          <w:p>
            <w:pPr>
              <w:pStyle w:val="TableParagraph"/>
              <w:spacing w:before="91"/>
              <w:ind w:right="24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.398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4" w:hRule="atLeast"/>
        </w:trPr>
        <w:tc>
          <w:tcPr>
            <w:tcW w:w="20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24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14.191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7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Findings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0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Social-economic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characteristics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 w:before="1"/>
        <w:ind w:left="700" w:right="1055"/>
        <w:jc w:val="both"/>
      </w:pPr>
      <w:r>
        <w:rPr/>
        <w:t>The greater percentages of the respondents in both public and private estate were male</w:t>
      </w:r>
      <w:r>
        <w:rPr>
          <w:spacing w:val="1"/>
        </w:rPr>
        <w:t> </w:t>
      </w:r>
      <w:r>
        <w:rPr/>
        <w:t>with an overall proportion of 82.5% male and 17.5% females. The highest occupation in</w:t>
      </w:r>
      <w:r>
        <w:rPr>
          <w:spacing w:val="-57"/>
        </w:rPr>
        <w:t> </w:t>
      </w:r>
      <w:r>
        <w:rPr/>
        <w:t>the study area is those that are self-employed which account for 39.7% followed by</w:t>
      </w:r>
      <w:r>
        <w:rPr>
          <w:spacing w:val="1"/>
        </w:rPr>
        <w:t> </w:t>
      </w:r>
      <w:r>
        <w:rPr/>
        <w:t>business which is 34.2% and civil servant with the least percentage which is 26.1%.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tertiary</w:t>
      </w:r>
      <w:r>
        <w:rPr>
          <w:spacing w:val="1"/>
        </w:rPr>
        <w:t> </w:t>
      </w:r>
      <w:r>
        <w:rPr/>
        <w:t>education which is 62.2%, Secondary education has 35% and primary education has</w:t>
      </w:r>
      <w:r>
        <w:rPr>
          <w:spacing w:val="1"/>
        </w:rPr>
        <w:t> </w:t>
      </w:r>
      <w:r>
        <w:rPr/>
        <w:t>2.3%.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2"/>
          <w:numId w:val="10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Housing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700" w:right="1060"/>
        <w:jc w:val="both"/>
      </w:pPr>
      <w:r>
        <w:rPr/>
        <w:t>The study found out that the majority of the houses in both public and private estate</w:t>
      </w:r>
      <w:r>
        <w:rPr>
          <w:spacing w:val="1"/>
        </w:rPr>
        <w:t> </w:t>
      </w:r>
      <w:r>
        <w:rPr/>
        <w:t>(65.8%)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bungalows.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bedroom,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bedroom,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bedroom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bedroom.</w:t>
      </w:r>
      <w:r>
        <w:rPr>
          <w:spacing w:val="1"/>
        </w:rPr>
        <w:t> </w:t>
      </w:r>
      <w:r>
        <w:rPr/>
        <w:t>Floor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revealed that the majority of the houses have their floors intact (50.4%). It was also</w:t>
      </w:r>
      <w:r>
        <w:rPr>
          <w:spacing w:val="1"/>
        </w:rPr>
        <w:t> </w:t>
      </w:r>
      <w:r>
        <w:rPr/>
        <w:t>discovered that the highest percentage of roofs in study area were rusted (53%). Study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found out that 87% of</w:t>
      </w:r>
      <w:r>
        <w:rPr>
          <w:spacing w:val="-2"/>
        </w:rPr>
        <w:t> </w:t>
      </w:r>
      <w:r>
        <w:rPr/>
        <w:t>the doors and windows were</w:t>
      </w:r>
      <w:r>
        <w:rPr>
          <w:spacing w:val="-3"/>
        </w:rPr>
        <w:t> </w:t>
      </w:r>
      <w:r>
        <w:rPr/>
        <w:t>intact within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70" w:lineRule="auto"/>
        <w:ind w:left="700" w:right="1063"/>
        <w:jc w:val="both"/>
      </w:pPr>
      <w:r>
        <w:rPr/>
        <w:t>In summary, harmony estate has 46% of dwelling units that were in good condition,</w:t>
      </w:r>
      <w:r>
        <w:rPr>
          <w:spacing w:val="1"/>
        </w:rPr>
        <w:t> </w:t>
      </w:r>
      <w:r>
        <w:rPr/>
        <w:t>55%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houses in mandate</w:t>
      </w:r>
      <w:r>
        <w:rPr>
          <w:spacing w:val="-1"/>
        </w:rPr>
        <w:t> </w:t>
      </w:r>
      <w:r>
        <w:rPr/>
        <w:t>estate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good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in private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estate, 90%</w:t>
      </w:r>
      <w:r>
        <w:rPr>
          <w:spacing w:val="-2"/>
        </w:rPr>
        <w:t> </w:t>
      </w:r>
      <w:r>
        <w:rPr/>
        <w:t>of</w:t>
      </w:r>
    </w:p>
    <w:p>
      <w:pPr>
        <w:spacing w:after="0" w:line="470" w:lineRule="auto"/>
        <w:jc w:val="both"/>
        <w:sectPr>
          <w:pgSz w:w="11900" w:h="16840"/>
          <w:pgMar w:header="0" w:footer="1068" w:top="1320" w:bottom="1300" w:left="1280" w:right="360"/>
        </w:sectPr>
      </w:pPr>
    </w:p>
    <w:p>
      <w:pPr>
        <w:pStyle w:val="BodyText"/>
        <w:spacing w:line="468" w:lineRule="auto" w:before="74"/>
        <w:ind w:left="700" w:right="1053"/>
      </w:pPr>
      <w:r>
        <w:rPr/>
        <w:t>the</w:t>
      </w:r>
      <w:r>
        <w:rPr>
          <w:spacing w:val="5"/>
        </w:rPr>
        <w:t> </w:t>
      </w:r>
      <w:r>
        <w:rPr/>
        <w:t>houses</w:t>
      </w:r>
      <w:r>
        <w:rPr>
          <w:spacing w:val="6"/>
        </w:rPr>
        <w:t> </w:t>
      </w:r>
      <w:r>
        <w:rPr/>
        <w:t>were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good</w:t>
      </w:r>
      <w:r>
        <w:rPr>
          <w:spacing w:val="5"/>
        </w:rPr>
        <w:t> </w:t>
      </w:r>
      <w:r>
        <w:rPr/>
        <w:t>state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royal</w:t>
      </w:r>
      <w:r>
        <w:rPr>
          <w:spacing w:val="6"/>
        </w:rPr>
        <w:t> </w:t>
      </w:r>
      <w:r>
        <w:rPr/>
        <w:t>valley,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89%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houses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evergreen</w:t>
      </w:r>
      <w:r>
        <w:rPr>
          <w:spacing w:val="5"/>
        </w:rPr>
        <w:t> </w:t>
      </w:r>
      <w:r>
        <w:rPr/>
        <w:t>estate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good.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Housing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affordability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area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00" w:right="1034"/>
      </w:pPr>
      <w:r>
        <w:rPr/>
        <w:t>The</w:t>
      </w:r>
      <w:r>
        <w:rPr>
          <w:spacing w:val="45"/>
        </w:rPr>
        <w:t> </w:t>
      </w:r>
      <w:r>
        <w:rPr/>
        <w:t>greater</w:t>
      </w:r>
      <w:r>
        <w:rPr>
          <w:spacing w:val="43"/>
        </w:rPr>
        <w:t> </w:t>
      </w:r>
      <w:r>
        <w:rPr/>
        <w:t>percentage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sample</w:t>
      </w:r>
      <w:r>
        <w:rPr>
          <w:spacing w:val="44"/>
        </w:rPr>
        <w:t> </w:t>
      </w:r>
      <w:r>
        <w:rPr/>
        <w:t>population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public</w:t>
      </w:r>
      <w:r>
        <w:rPr>
          <w:spacing w:val="44"/>
        </w:rPr>
        <w:t> </w:t>
      </w:r>
      <w:r>
        <w:rPr/>
        <w:t>estates</w:t>
      </w:r>
      <w:r>
        <w:rPr>
          <w:spacing w:val="44"/>
        </w:rPr>
        <w:t> </w:t>
      </w:r>
      <w:r>
        <w:rPr/>
        <w:t>earned</w:t>
      </w:r>
      <w:r>
        <w:rPr>
          <w:spacing w:val="44"/>
        </w:rPr>
        <w:t> </w:t>
      </w:r>
      <w:r>
        <w:rPr/>
        <w:t>between</w:t>
      </w:r>
      <w:r>
        <w:rPr>
          <w:spacing w:val="45"/>
        </w:rPr>
        <w:t> </w:t>
      </w:r>
      <w:r>
        <w:rPr/>
        <w:t>a</w:t>
      </w:r>
      <w:r>
        <w:rPr>
          <w:spacing w:val="-57"/>
        </w:rPr>
        <w:t> </w:t>
      </w:r>
      <w:r>
        <w:rPr/>
        <w:t>minimum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>
          <w:strike/>
        </w:rPr>
        <w:t>N</w:t>
      </w:r>
      <w:r>
        <w:rPr>
          <w:strike w:val="0"/>
          <w:spacing w:val="30"/>
        </w:rPr>
        <w:t> </w:t>
      </w:r>
      <w:r>
        <w:rPr>
          <w:strike w:val="0"/>
        </w:rPr>
        <w:t>123,500</w:t>
      </w:r>
      <w:r>
        <w:rPr>
          <w:strike w:val="0"/>
          <w:spacing w:val="33"/>
        </w:rPr>
        <w:t> </w:t>
      </w:r>
      <w:r>
        <w:rPr>
          <w:strike w:val="0"/>
        </w:rPr>
        <w:t>monthly</w:t>
      </w:r>
      <w:r>
        <w:rPr>
          <w:strike w:val="0"/>
          <w:spacing w:val="27"/>
        </w:rPr>
        <w:t> </w:t>
      </w:r>
      <w:r>
        <w:rPr>
          <w:strike w:val="0"/>
        </w:rPr>
        <w:t>–</w:t>
      </w:r>
      <w:r>
        <w:rPr>
          <w:strike w:val="0"/>
          <w:spacing w:val="31"/>
        </w:rPr>
        <w:t> </w:t>
      </w:r>
      <w:r>
        <w:rPr>
          <w:strike w:val="0"/>
        </w:rPr>
        <w:t>a</w:t>
      </w:r>
      <w:r>
        <w:rPr>
          <w:strike w:val="0"/>
          <w:spacing w:val="32"/>
        </w:rPr>
        <w:t> </w:t>
      </w:r>
      <w:r>
        <w:rPr>
          <w:strike w:val="0"/>
        </w:rPr>
        <w:t>maximum</w:t>
      </w:r>
      <w:r>
        <w:rPr>
          <w:strike w:val="0"/>
          <w:spacing w:val="29"/>
        </w:rPr>
        <w:t> </w:t>
      </w:r>
      <w:r>
        <w:rPr>
          <w:strike w:val="0"/>
        </w:rPr>
        <w:t>of</w:t>
      </w:r>
      <w:r>
        <w:rPr>
          <w:strike w:val="0"/>
          <w:spacing w:val="32"/>
        </w:rPr>
        <w:t> </w:t>
      </w:r>
      <w:r>
        <w:rPr>
          <w:strike/>
        </w:rPr>
        <w:t>N</w:t>
      </w:r>
      <w:r>
        <w:rPr>
          <w:strike w:val="0"/>
        </w:rPr>
        <w:t>177,500</w:t>
      </w:r>
      <w:r>
        <w:rPr>
          <w:strike w:val="0"/>
          <w:spacing w:val="30"/>
        </w:rPr>
        <w:t> </w:t>
      </w:r>
      <w:r>
        <w:rPr>
          <w:strike w:val="0"/>
        </w:rPr>
        <w:t>monthly,</w:t>
      </w:r>
      <w:r>
        <w:rPr>
          <w:strike w:val="0"/>
          <w:spacing w:val="35"/>
        </w:rPr>
        <w:t> </w:t>
      </w:r>
      <w:r>
        <w:rPr>
          <w:strike w:val="0"/>
        </w:rPr>
        <w:t>while</w:t>
      </w:r>
      <w:r>
        <w:rPr>
          <w:strike w:val="0"/>
          <w:spacing w:val="30"/>
        </w:rPr>
        <w:t> </w:t>
      </w:r>
      <w:r>
        <w:rPr>
          <w:strike w:val="0"/>
        </w:rPr>
        <w:t>those</w:t>
      </w:r>
      <w:r>
        <w:rPr>
          <w:strike w:val="0"/>
          <w:spacing w:val="29"/>
        </w:rPr>
        <w:t> </w:t>
      </w:r>
      <w:r>
        <w:rPr>
          <w:strike w:val="0"/>
        </w:rPr>
        <w:t>in</w:t>
      </w:r>
    </w:p>
    <w:p>
      <w:pPr>
        <w:pStyle w:val="BodyText"/>
        <w:spacing w:line="274" w:lineRule="exact"/>
        <w:ind w:left="700"/>
      </w:pPr>
      <w:r>
        <w:rPr/>
        <w:t>private</w:t>
      </w:r>
      <w:r>
        <w:rPr>
          <w:spacing w:val="48"/>
        </w:rPr>
        <w:t> </w:t>
      </w:r>
      <w:r>
        <w:rPr/>
        <w:t>estate</w:t>
      </w:r>
      <w:r>
        <w:rPr>
          <w:spacing w:val="48"/>
        </w:rPr>
        <w:t> </w:t>
      </w:r>
      <w:r>
        <w:rPr/>
        <w:t>earned</w:t>
      </w:r>
      <w:r>
        <w:rPr>
          <w:spacing w:val="49"/>
        </w:rPr>
        <w:t> </w:t>
      </w:r>
      <w:r>
        <w:rPr/>
        <w:t>between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minimum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>
          <w:strike/>
        </w:rPr>
        <w:t>N</w:t>
      </w:r>
      <w:r>
        <w:rPr>
          <w:strike w:val="0"/>
        </w:rPr>
        <w:t>250,000</w:t>
      </w:r>
      <w:r>
        <w:rPr>
          <w:strike w:val="0"/>
          <w:spacing w:val="50"/>
        </w:rPr>
        <w:t> </w:t>
      </w:r>
      <w:r>
        <w:rPr>
          <w:strike w:val="0"/>
        </w:rPr>
        <w:t>–a</w:t>
      </w:r>
      <w:r>
        <w:rPr>
          <w:strike w:val="0"/>
          <w:spacing w:val="48"/>
        </w:rPr>
        <w:t> </w:t>
      </w:r>
      <w:r>
        <w:rPr>
          <w:strike w:val="0"/>
        </w:rPr>
        <w:t>maximum</w:t>
      </w:r>
      <w:r>
        <w:rPr>
          <w:strike w:val="0"/>
          <w:spacing w:val="47"/>
        </w:rPr>
        <w:t> </w:t>
      </w:r>
      <w:r>
        <w:rPr>
          <w:strike w:val="0"/>
        </w:rPr>
        <w:t>of</w:t>
      </w:r>
      <w:r>
        <w:rPr>
          <w:strike w:val="0"/>
          <w:spacing w:val="50"/>
        </w:rPr>
        <w:t> </w:t>
      </w:r>
      <w:r>
        <w:rPr>
          <w:strike/>
        </w:rPr>
        <w:t>N</w:t>
      </w:r>
      <w:r>
        <w:rPr>
          <w:strike w:val="0"/>
        </w:rPr>
        <w:t>449,000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00" w:right="1035"/>
        <w:jc w:val="both"/>
      </w:pPr>
      <w:r>
        <w:rPr/>
        <w:t>monthly. This is an indication that the majority of the respondents are high income</w:t>
      </w:r>
      <w:r>
        <w:rPr>
          <w:spacing w:val="1"/>
        </w:rPr>
        <w:t> </w:t>
      </w:r>
      <w:r>
        <w:rPr/>
        <w:t>earners and medium income earners in the study area. The monthly expenditure of the</w:t>
      </w:r>
      <w:r>
        <w:rPr>
          <w:spacing w:val="1"/>
        </w:rPr>
        <w:t> </w:t>
      </w:r>
      <w:r>
        <w:rPr/>
        <w:t>occupants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public</w:t>
      </w:r>
      <w:r>
        <w:rPr>
          <w:spacing w:val="38"/>
        </w:rPr>
        <w:t> </w:t>
      </w:r>
      <w:r>
        <w:rPr/>
        <w:t>estates</w:t>
      </w:r>
      <w:r>
        <w:rPr>
          <w:spacing w:val="40"/>
        </w:rPr>
        <w:t> </w:t>
      </w:r>
      <w:r>
        <w:rPr/>
        <w:t>were,</w:t>
      </w:r>
      <w:r>
        <w:rPr>
          <w:spacing w:val="39"/>
        </w:rPr>
        <w:t> </w:t>
      </w:r>
      <w:r>
        <w:rPr/>
        <w:t>minimum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>
          <w:strike/>
        </w:rPr>
        <w:t>N</w:t>
      </w:r>
      <w:r>
        <w:rPr>
          <w:strike w:val="0"/>
        </w:rPr>
        <w:t>25,000</w:t>
      </w:r>
      <w:r>
        <w:rPr>
          <w:strike w:val="0"/>
          <w:spacing w:val="39"/>
        </w:rPr>
        <w:t> </w:t>
      </w:r>
      <w:r>
        <w:rPr>
          <w:strike w:val="0"/>
        </w:rPr>
        <w:t>monthly</w:t>
      </w:r>
      <w:r>
        <w:rPr>
          <w:strike w:val="0"/>
          <w:spacing w:val="32"/>
        </w:rPr>
        <w:t> </w:t>
      </w:r>
      <w:r>
        <w:rPr>
          <w:strike w:val="0"/>
        </w:rPr>
        <w:t>and</w:t>
      </w:r>
      <w:r>
        <w:rPr>
          <w:strike w:val="0"/>
          <w:spacing w:val="42"/>
        </w:rPr>
        <w:t> </w:t>
      </w:r>
      <w:r>
        <w:rPr>
          <w:strike w:val="0"/>
        </w:rPr>
        <w:t>a</w:t>
      </w:r>
      <w:r>
        <w:rPr>
          <w:strike w:val="0"/>
          <w:spacing w:val="40"/>
        </w:rPr>
        <w:t> </w:t>
      </w:r>
      <w:r>
        <w:rPr>
          <w:strike w:val="0"/>
        </w:rPr>
        <w:t>maximum</w:t>
      </w:r>
      <w:r>
        <w:rPr>
          <w:strike w:val="0"/>
          <w:spacing w:val="40"/>
        </w:rPr>
        <w:t> </w:t>
      </w:r>
      <w:r>
        <w:rPr>
          <w:strike w:val="0"/>
        </w:rPr>
        <w:t>of</w:t>
      </w:r>
    </w:p>
    <w:p>
      <w:pPr>
        <w:pStyle w:val="BodyText"/>
        <w:spacing w:line="274" w:lineRule="exact"/>
        <w:ind w:left="700"/>
      </w:pPr>
      <w:r>
        <w:rPr>
          <w:strike/>
        </w:rPr>
        <w:t>N</w:t>
      </w:r>
      <w:r>
        <w:rPr>
          <w:strike w:val="0"/>
        </w:rPr>
        <w:t>37,500</w:t>
      </w:r>
      <w:r>
        <w:rPr>
          <w:strike w:val="0"/>
          <w:spacing w:val="27"/>
        </w:rPr>
        <w:t> </w:t>
      </w:r>
      <w:r>
        <w:rPr>
          <w:strike w:val="0"/>
        </w:rPr>
        <w:t>monthly</w:t>
      </w:r>
      <w:r>
        <w:rPr>
          <w:strike w:val="0"/>
          <w:spacing w:val="20"/>
        </w:rPr>
        <w:t> </w:t>
      </w:r>
      <w:r>
        <w:rPr>
          <w:strike w:val="0"/>
        </w:rPr>
        <w:t>spent</w:t>
      </w:r>
      <w:r>
        <w:rPr>
          <w:strike w:val="0"/>
          <w:spacing w:val="31"/>
        </w:rPr>
        <w:t> </w:t>
      </w:r>
      <w:r>
        <w:rPr>
          <w:strike w:val="0"/>
        </w:rPr>
        <w:t>on</w:t>
      </w:r>
      <w:r>
        <w:rPr>
          <w:strike w:val="0"/>
          <w:spacing w:val="27"/>
        </w:rPr>
        <w:t> </w:t>
      </w:r>
      <w:r>
        <w:rPr>
          <w:strike w:val="0"/>
        </w:rPr>
        <w:t>housing</w:t>
      </w:r>
      <w:r>
        <w:rPr>
          <w:strike w:val="0"/>
          <w:spacing w:val="26"/>
        </w:rPr>
        <w:t> </w:t>
      </w:r>
      <w:r>
        <w:rPr>
          <w:strike w:val="0"/>
        </w:rPr>
        <w:t>while</w:t>
      </w:r>
      <w:r>
        <w:rPr>
          <w:strike w:val="0"/>
          <w:spacing w:val="27"/>
        </w:rPr>
        <w:t> </w:t>
      </w:r>
      <w:r>
        <w:rPr>
          <w:strike w:val="0"/>
        </w:rPr>
        <w:t>their</w:t>
      </w:r>
      <w:r>
        <w:rPr>
          <w:strike w:val="0"/>
          <w:spacing w:val="26"/>
        </w:rPr>
        <w:t> </w:t>
      </w:r>
      <w:r>
        <w:rPr>
          <w:strike w:val="0"/>
        </w:rPr>
        <w:t>counterparts</w:t>
      </w:r>
      <w:r>
        <w:rPr>
          <w:strike w:val="0"/>
          <w:spacing w:val="28"/>
        </w:rPr>
        <w:t> </w:t>
      </w:r>
      <w:r>
        <w:rPr>
          <w:strike w:val="0"/>
        </w:rPr>
        <w:t>in</w:t>
      </w:r>
      <w:r>
        <w:rPr>
          <w:strike w:val="0"/>
          <w:spacing w:val="28"/>
        </w:rPr>
        <w:t> </w:t>
      </w:r>
      <w:r>
        <w:rPr>
          <w:strike w:val="0"/>
        </w:rPr>
        <w:t>private</w:t>
      </w:r>
      <w:r>
        <w:rPr>
          <w:strike w:val="0"/>
          <w:spacing w:val="27"/>
        </w:rPr>
        <w:t> </w:t>
      </w:r>
      <w:r>
        <w:rPr>
          <w:strike w:val="0"/>
        </w:rPr>
        <w:t>estates,</w:t>
      </w:r>
      <w:r>
        <w:rPr>
          <w:strike w:val="0"/>
          <w:spacing w:val="28"/>
        </w:rPr>
        <w:t> </w:t>
      </w:r>
      <w:r>
        <w:rPr>
          <w:strike w:val="0"/>
        </w:rPr>
        <w:t>spent</w:t>
      </w:r>
      <w:r>
        <w:rPr>
          <w:strike w:val="0"/>
          <w:spacing w:val="28"/>
        </w:rPr>
        <w:t> </w:t>
      </w:r>
      <w:r>
        <w:rPr>
          <w:strike w:val="0"/>
        </w:rPr>
        <w:t>a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700"/>
      </w:pPr>
      <w:r>
        <w:rPr/>
        <w:t>minimum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>
          <w:strike/>
        </w:rPr>
        <w:t>N</w:t>
      </w:r>
      <w:r>
        <w:rPr>
          <w:strike w:val="0"/>
        </w:rPr>
        <w:t>83,333</w:t>
      </w:r>
      <w:r>
        <w:rPr>
          <w:strike w:val="0"/>
          <w:spacing w:val="56"/>
        </w:rPr>
        <w:t> </w:t>
      </w:r>
      <w:r>
        <w:rPr>
          <w:strike w:val="0"/>
        </w:rPr>
        <w:t>monthly</w:t>
      </w:r>
      <w:r>
        <w:rPr>
          <w:strike w:val="0"/>
          <w:spacing w:val="54"/>
        </w:rPr>
        <w:t> </w:t>
      </w:r>
      <w:r>
        <w:rPr>
          <w:strike w:val="0"/>
        </w:rPr>
        <w:t>and</w:t>
      </w:r>
      <w:r>
        <w:rPr>
          <w:strike w:val="0"/>
          <w:spacing w:val="58"/>
        </w:rPr>
        <w:t> </w:t>
      </w:r>
      <w:r>
        <w:rPr>
          <w:strike w:val="0"/>
        </w:rPr>
        <w:t>a</w:t>
      </w:r>
      <w:r>
        <w:rPr>
          <w:strike w:val="0"/>
          <w:spacing w:val="57"/>
        </w:rPr>
        <w:t> </w:t>
      </w:r>
      <w:r>
        <w:rPr>
          <w:strike w:val="0"/>
        </w:rPr>
        <w:t>maximum</w:t>
      </w:r>
      <w:r>
        <w:rPr>
          <w:strike w:val="0"/>
          <w:spacing w:val="59"/>
        </w:rPr>
        <w:t> </w:t>
      </w:r>
      <w:r>
        <w:rPr>
          <w:strike w:val="0"/>
        </w:rPr>
        <w:t>of</w:t>
      </w:r>
      <w:r>
        <w:rPr>
          <w:strike w:val="0"/>
          <w:spacing w:val="62"/>
        </w:rPr>
        <w:t> </w:t>
      </w:r>
      <w:r>
        <w:rPr>
          <w:strike/>
        </w:rPr>
        <w:t>N</w:t>
      </w:r>
      <w:r>
        <w:rPr>
          <w:strike w:val="0"/>
        </w:rPr>
        <w:t>145,000</w:t>
      </w:r>
      <w:r>
        <w:rPr>
          <w:strike w:val="0"/>
          <w:spacing w:val="58"/>
        </w:rPr>
        <w:t> </w:t>
      </w:r>
      <w:r>
        <w:rPr>
          <w:strike w:val="0"/>
        </w:rPr>
        <w:t>monthly</w:t>
      </w:r>
      <w:r>
        <w:rPr>
          <w:strike w:val="0"/>
          <w:spacing w:val="56"/>
        </w:rPr>
        <w:t> </w:t>
      </w:r>
      <w:r>
        <w:rPr>
          <w:strike w:val="0"/>
        </w:rPr>
        <w:t>on</w:t>
      </w:r>
      <w:r>
        <w:rPr>
          <w:strike w:val="0"/>
          <w:spacing w:val="58"/>
        </w:rPr>
        <w:t> </w:t>
      </w:r>
      <w:r>
        <w:rPr>
          <w:strike w:val="0"/>
        </w:rPr>
        <w:t>housing.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00" w:right="1040"/>
        <w:jc w:val="both"/>
      </w:pP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estate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 19% to 27% while in private estate, the percentage of monthly income spent on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is between 30%</w:t>
      </w:r>
      <w:r>
        <w:rPr>
          <w:spacing w:val="1"/>
        </w:rPr>
        <w:t> </w:t>
      </w:r>
      <w:r>
        <w:rPr/>
        <w:t>to 58%.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0"/>
        </w:numPr>
        <w:tabs>
          <w:tab w:pos="1401" w:val="left" w:leader="none"/>
          <w:tab w:pos="1402" w:val="left" w:leader="none"/>
        </w:tabs>
        <w:spacing w:line="240" w:lineRule="auto" w:before="1" w:after="0"/>
        <w:ind w:left="1401" w:right="0" w:hanging="702"/>
        <w:jc w:val="left"/>
      </w:pPr>
      <w:r>
        <w:rPr/>
        <w:t>Housing</w:t>
      </w:r>
      <w:r>
        <w:rPr>
          <w:spacing w:val="-1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5" w:lineRule="auto"/>
        <w:ind w:left="700" w:right="1032"/>
        <w:jc w:val="both"/>
      </w:pPr>
      <w:r>
        <w:rPr/>
        <w:t>The study also find out that Harmony and Mandate estates has an average 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 3.02 and 2.86 respectively which are moderate in</w:t>
      </w:r>
      <w:r>
        <w:rPr>
          <w:spacing w:val="1"/>
        </w:rPr>
        <w:t> </w:t>
      </w:r>
      <w:r>
        <w:rPr/>
        <w:t>ranking of</w:t>
      </w:r>
      <w:r>
        <w:rPr>
          <w:spacing w:val="60"/>
        </w:rPr>
        <w:t> </w:t>
      </w:r>
      <w:r>
        <w:rPr/>
        <w:t>the livability</w:t>
      </w:r>
      <w:r>
        <w:rPr>
          <w:spacing w:val="1"/>
        </w:rPr>
        <w:t> </w:t>
      </w:r>
      <w:r>
        <w:rPr/>
        <w:t>index.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recorded that Evergreen</w:t>
      </w:r>
      <w:r>
        <w:rPr>
          <w:spacing w:val="1"/>
        </w:rPr>
        <w:t> </w:t>
      </w:r>
      <w:r>
        <w:rPr/>
        <w:t>estate and Royal</w:t>
      </w:r>
      <w:r>
        <w:rPr>
          <w:spacing w:val="60"/>
        </w:rPr>
        <w:t> </w:t>
      </w:r>
      <w:r>
        <w:rPr/>
        <w:t>valley estates, has an</w:t>
      </w:r>
      <w:r>
        <w:rPr>
          <w:spacing w:val="1"/>
        </w:rPr>
        <w:t> </w:t>
      </w:r>
      <w:r>
        <w:rPr/>
        <w:t>average livability index of 4.20 and 4.06 respectively, this is high in the livability index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  <w:rPr>
          <w:b/>
          <w:sz w:val="23"/>
        </w:rPr>
      </w:pPr>
      <w:r>
        <w:rPr>
          <w:b/>
          <w:sz w:val="23"/>
        </w:rPr>
        <w:t>Relationship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housing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affordability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livability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700" w:right="1056"/>
        <w:jc w:val="both"/>
      </w:pPr>
      <w:r>
        <w:rPr/>
        <w:t>The relationship in the level of housing livability between the two public estates shows</w:t>
      </w:r>
      <w:r>
        <w:rPr>
          <w:spacing w:val="1"/>
        </w:rPr>
        <w:t> </w:t>
      </w:r>
      <w:r>
        <w:rPr/>
        <w:t>that there was no difference between the two estates, also there was</w:t>
      </w:r>
      <w:r>
        <w:rPr>
          <w:spacing w:val="1"/>
        </w:rPr>
        <w:t> </w:t>
      </w:r>
      <w:r>
        <w:rPr/>
        <w:t>no difference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private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estates,</w:t>
      </w:r>
      <w:r>
        <w:rPr>
          <w:spacing w:val="-1"/>
        </w:rPr>
        <w:t> </w:t>
      </w:r>
      <w:r>
        <w:rPr/>
        <w:t>but there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terms of</w:t>
      </w:r>
    </w:p>
    <w:p>
      <w:pPr>
        <w:spacing w:after="0" w:line="472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BodyText"/>
        <w:spacing w:line="477" w:lineRule="auto" w:before="74"/>
        <w:ind w:left="700" w:right="1056"/>
        <w:jc w:val="both"/>
      </w:pPr>
      <w:r>
        <w:rPr/>
        <w:t>livability between public and private estate. However, the variation in</w:t>
      </w:r>
      <w:r>
        <w:rPr>
          <w:spacing w:val="1"/>
        </w:rPr>
        <w:t> </w:t>
      </w:r>
      <w:r>
        <w:rPr/>
        <w:t>the level of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between the two estates, while in private estates, it was recorded that there was no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estates,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affordability</w:t>
      </w:r>
      <w:r>
        <w:rPr>
          <w:spacing w:val="-6"/>
        </w:rPr>
        <w:t> </w:t>
      </w:r>
      <w:r>
        <w:rPr/>
        <w:t>between public</w:t>
      </w:r>
      <w:r>
        <w:rPr>
          <w:spacing w:val="-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estate.</w:t>
      </w:r>
    </w:p>
    <w:p>
      <w:pPr>
        <w:spacing w:after="0" w:line="477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Heading1"/>
        <w:spacing w:before="72"/>
        <w:ind w:left="688" w:right="1019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2121" w:val="left" w:leader="none"/>
          <w:tab w:pos="2122" w:val="left" w:leader="none"/>
        </w:tabs>
        <w:spacing w:line="240" w:lineRule="auto" w:before="0" w:after="0"/>
        <w:ind w:left="2121" w:right="0" w:hanging="1422"/>
        <w:jc w:val="left"/>
        <w:rPr>
          <w:b/>
          <w:sz w:val="23"/>
        </w:rPr>
      </w:pPr>
      <w:r>
        <w:rPr>
          <w:b/>
          <w:sz w:val="23"/>
        </w:rPr>
        <w:t>CONCLUSION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Conclusion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477" w:lineRule="auto"/>
        <w:ind w:left="700" w:right="1052"/>
        <w:jc w:val="both"/>
      </w:pPr>
      <w:r>
        <w:rPr/>
        <w:t>Housing affordability and livability </w:t>
      </w:r>
      <w:r>
        <w:rPr>
          <w:rFonts w:ascii="Calibri"/>
        </w:rPr>
        <w:t>are </w:t>
      </w:r>
      <w:r>
        <w:rPr/>
        <w:t>identified as key prerequisites to the wellbeing</w:t>
      </w:r>
      <w:r>
        <w:rPr>
          <w:spacing w:val="1"/>
        </w:rPr>
        <w:t> </w:t>
      </w:r>
      <w:r>
        <w:rPr/>
        <w:t>of individuals in both private and public estates in developed or developing countries.</w:t>
      </w:r>
      <w:r>
        <w:rPr>
          <w:spacing w:val="1"/>
        </w:rPr>
        <w:t> </w:t>
      </w:r>
      <w:r>
        <w:rPr/>
        <w:t>This is because housing impact on other important areas of life. For the purpose of this</w:t>
      </w:r>
      <w:r>
        <w:rPr>
          <w:spacing w:val="1"/>
        </w:rPr>
        <w:t> </w:t>
      </w:r>
      <w:r>
        <w:rPr/>
        <w:t>study, types and conditions of the houses within the estates were considered. However,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affordability of the houses within the estates in Ilorin. This study particularly focus on</w:t>
      </w:r>
      <w:r>
        <w:rPr>
          <w:spacing w:val="1"/>
        </w:rPr>
        <w:t> </w:t>
      </w:r>
      <w:r>
        <w:rPr/>
        <w:t>Public and Private Estates; taking into consideration average monthly income of the</w:t>
      </w:r>
      <w:r>
        <w:rPr>
          <w:spacing w:val="1"/>
        </w:rPr>
        <w:t> </w:t>
      </w:r>
      <w:r>
        <w:rPr/>
        <w:t>household, average monthly expenditure of the household on housing and the livability</w:t>
      </w:r>
      <w:r>
        <w:rPr>
          <w:spacing w:val="1"/>
        </w:rPr>
        <w:t> </w:t>
      </w:r>
      <w:r>
        <w:rPr/>
        <w:t>of the houses. This study observed that housing affordability is influenced by the major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monthly</w:t>
      </w:r>
      <w:r>
        <w:rPr>
          <w:spacing w:val="60"/>
        </w:rPr>
        <w:t> </w:t>
      </w:r>
      <w:r>
        <w:rPr/>
        <w:t>expenditure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occupants</w:t>
      </w:r>
      <w:r>
        <w:rPr>
          <w:spacing w:val="-1"/>
        </w:rPr>
        <w:t> </w:t>
      </w:r>
      <w:r>
        <w:rPr/>
        <w:t>on housing.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 w:before="1"/>
        <w:ind w:left="700" w:right="1055"/>
        <w:jc w:val="both"/>
      </w:pPr>
      <w:r>
        <w:rPr/>
        <w:t>The study results concluded that the condition of some housing components such as</w:t>
      </w:r>
      <w:r>
        <w:rPr>
          <w:spacing w:val="1"/>
        </w:rPr>
        <w:t> </w:t>
      </w:r>
      <w:r>
        <w:rPr/>
        <w:t>walls, roofs, floor, doors and windows in majority of the houses within the public</w:t>
      </w:r>
      <w:r>
        <w:rPr>
          <w:spacing w:val="1"/>
        </w:rPr>
        <w:t> </w:t>
      </w:r>
      <w:r>
        <w:rPr/>
        <w:t>housing estates were not in good condition while in private estate, the majority of the</w:t>
      </w:r>
      <w:r>
        <w:rPr>
          <w:spacing w:val="1"/>
        </w:rPr>
        <w:t> </w:t>
      </w:r>
      <w:r>
        <w:rPr/>
        <w:t>houses have their walls, roofs, doors, floor, and windows were intact and good. Single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bedroom</w:t>
      </w:r>
      <w:r>
        <w:rPr>
          <w:spacing w:val="1"/>
        </w:rPr>
        <w:t> </w:t>
      </w:r>
      <w:r>
        <w:rPr/>
        <w:t>bungalows,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bedroom</w:t>
      </w:r>
      <w:r>
        <w:rPr>
          <w:spacing w:val="1"/>
        </w:rPr>
        <w:t> </w:t>
      </w:r>
      <w:r>
        <w:rPr/>
        <w:t>bungalows,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bedroom bungalows and</w:t>
      </w:r>
      <w:r>
        <w:rPr>
          <w:spacing w:val="60"/>
        </w:rPr>
        <w:t> </w:t>
      </w:r>
      <w:r>
        <w:rPr/>
        <w:t>a few five bedroom low rise buildings were recorded during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survey.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72" w:lineRule="auto"/>
        <w:ind w:left="700" w:right="1036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affordable. This is because the expenditures on housing in public estate were between</w:t>
      </w:r>
      <w:r>
        <w:rPr>
          <w:spacing w:val="1"/>
        </w:rPr>
        <w:t> </w:t>
      </w:r>
      <w:r>
        <w:rPr/>
        <w:t>19%</w:t>
      </w:r>
      <w:r>
        <w:rPr>
          <w:spacing w:val="-1"/>
        </w:rPr>
        <w:t> </w:t>
      </w:r>
      <w:r>
        <w:rPr/>
        <w:t>to 27%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occupants‟ monthly</w:t>
      </w:r>
      <w:r>
        <w:rPr>
          <w:spacing w:val="-5"/>
        </w:rPr>
        <w:t> </w:t>
      </w:r>
      <w:r>
        <w:rPr/>
        <w:t>income. The study</w:t>
      </w:r>
      <w:r>
        <w:rPr>
          <w:spacing w:val="-3"/>
        </w:rPr>
        <w:t> </w:t>
      </w:r>
      <w:r>
        <w:rPr/>
        <w:t>concluded that the majority</w:t>
      </w:r>
    </w:p>
    <w:p>
      <w:pPr>
        <w:spacing w:after="0" w:line="472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BodyText"/>
        <w:spacing w:line="477" w:lineRule="auto" w:before="76"/>
        <w:ind w:left="700" w:right="1035"/>
      </w:pP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occupants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public</w:t>
      </w:r>
      <w:r>
        <w:rPr>
          <w:spacing w:val="32"/>
        </w:rPr>
        <w:t> </w:t>
      </w:r>
      <w:r>
        <w:rPr/>
        <w:t>housing</w:t>
      </w:r>
      <w:r>
        <w:rPr>
          <w:spacing w:val="29"/>
        </w:rPr>
        <w:t> </w:t>
      </w:r>
      <w:r>
        <w:rPr/>
        <w:t>estate</w:t>
      </w:r>
      <w:r>
        <w:rPr>
          <w:spacing w:val="32"/>
        </w:rPr>
        <w:t> </w:t>
      </w:r>
      <w:r>
        <w:rPr/>
        <w:t>were</w:t>
      </w:r>
      <w:r>
        <w:rPr>
          <w:spacing w:val="31"/>
        </w:rPr>
        <w:t> </w:t>
      </w:r>
      <w:r>
        <w:rPr/>
        <w:t>medium</w:t>
      </w:r>
      <w:r>
        <w:rPr>
          <w:spacing w:val="32"/>
        </w:rPr>
        <w:t> </w:t>
      </w:r>
      <w:r>
        <w:rPr/>
        <w:t>income</w:t>
      </w:r>
      <w:r>
        <w:rPr>
          <w:spacing w:val="32"/>
        </w:rPr>
        <w:t> </w:t>
      </w:r>
      <w:r>
        <w:rPr/>
        <w:t>earners</w:t>
      </w:r>
      <w:r>
        <w:rPr>
          <w:spacing w:val="31"/>
        </w:rPr>
        <w:t> </w:t>
      </w:r>
      <w:r>
        <w:rPr/>
        <w:t>who</w:t>
      </w:r>
      <w:r>
        <w:rPr>
          <w:spacing w:val="31"/>
        </w:rPr>
        <w:t> </w:t>
      </w:r>
      <w:r>
        <w:rPr/>
        <w:t>earn</w:t>
      </w:r>
      <w:r>
        <w:rPr>
          <w:spacing w:val="-57"/>
        </w:rPr>
        <w:t> </w:t>
      </w:r>
      <w:r>
        <w:rPr/>
        <w:t>between</w:t>
      </w:r>
      <w:r>
        <w:rPr>
          <w:spacing w:val="10"/>
        </w:rPr>
        <w:t> </w:t>
      </w:r>
      <w:r>
        <w:rPr>
          <w:strike/>
        </w:rPr>
        <w:t>N</w:t>
      </w:r>
      <w:r>
        <w:rPr>
          <w:strike w:val="0"/>
        </w:rPr>
        <w:t>123,500-</w:t>
      </w:r>
      <w:r>
        <w:rPr>
          <w:strike w:val="0"/>
          <w:spacing w:val="9"/>
        </w:rPr>
        <w:t> </w:t>
      </w:r>
      <w:r>
        <w:rPr>
          <w:strike/>
        </w:rPr>
        <w:t>N</w:t>
      </w:r>
      <w:r>
        <w:rPr>
          <w:strike w:val="0"/>
        </w:rPr>
        <w:t>177,500</w:t>
      </w:r>
      <w:r>
        <w:rPr>
          <w:strike w:val="0"/>
          <w:spacing w:val="9"/>
        </w:rPr>
        <w:t> </w:t>
      </w:r>
      <w:r>
        <w:rPr>
          <w:strike w:val="0"/>
        </w:rPr>
        <w:t>monthly.</w:t>
      </w:r>
      <w:r>
        <w:rPr>
          <w:strike w:val="0"/>
          <w:spacing w:val="12"/>
        </w:rPr>
        <w:t> </w:t>
      </w:r>
      <w:r>
        <w:rPr>
          <w:strike w:val="0"/>
        </w:rPr>
        <w:t>In</w:t>
      </w:r>
      <w:r>
        <w:rPr>
          <w:strike w:val="0"/>
          <w:spacing w:val="9"/>
        </w:rPr>
        <w:t> </w:t>
      </w:r>
      <w:r>
        <w:rPr>
          <w:strike w:val="0"/>
        </w:rPr>
        <w:t>private</w:t>
      </w:r>
      <w:r>
        <w:rPr>
          <w:strike w:val="0"/>
          <w:spacing w:val="9"/>
        </w:rPr>
        <w:t> </w:t>
      </w:r>
      <w:r>
        <w:rPr>
          <w:strike w:val="0"/>
        </w:rPr>
        <w:t>housing</w:t>
      </w:r>
      <w:r>
        <w:rPr>
          <w:strike w:val="0"/>
          <w:spacing w:val="7"/>
        </w:rPr>
        <w:t> </w:t>
      </w:r>
      <w:r>
        <w:rPr>
          <w:strike w:val="0"/>
        </w:rPr>
        <w:t>estate</w:t>
      </w:r>
      <w:r>
        <w:rPr>
          <w:strike w:val="0"/>
          <w:spacing w:val="9"/>
        </w:rPr>
        <w:t> </w:t>
      </w:r>
      <w:r>
        <w:rPr>
          <w:strike w:val="0"/>
        </w:rPr>
        <w:t>however,</w:t>
      </w:r>
      <w:r>
        <w:rPr>
          <w:strike w:val="0"/>
          <w:spacing w:val="9"/>
        </w:rPr>
        <w:t> </w:t>
      </w:r>
      <w:r>
        <w:rPr>
          <w:strike w:val="0"/>
        </w:rPr>
        <w:t>it</w:t>
      </w:r>
      <w:r>
        <w:rPr>
          <w:strike w:val="0"/>
          <w:spacing w:val="10"/>
        </w:rPr>
        <w:t> </w:t>
      </w:r>
      <w:r>
        <w:rPr>
          <w:strike w:val="0"/>
        </w:rPr>
        <w:t>was</w:t>
      </w:r>
    </w:p>
    <w:p>
      <w:pPr>
        <w:pStyle w:val="BodyText"/>
        <w:spacing w:line="477" w:lineRule="auto" w:before="2"/>
        <w:ind w:left="700" w:right="1037"/>
        <w:jc w:val="both"/>
      </w:pPr>
      <w:r>
        <w:rPr/>
        <w:t>concluded that the houses were not affordable due to the level of household monthly</w:t>
      </w:r>
      <w:r>
        <w:rPr>
          <w:spacing w:val="1"/>
        </w:rPr>
        <w:t> </w:t>
      </w:r>
      <w:r>
        <w:rPr/>
        <w:t>income spent on housing. The occupants of private housing estates in the study area,</w:t>
      </w:r>
      <w:r>
        <w:rPr>
          <w:spacing w:val="1"/>
        </w:rPr>
        <w:t> </w:t>
      </w:r>
      <w:r>
        <w:rPr/>
        <w:t>spent between 30% to 58% of their monthly income on housing. This infers that they are</w:t>
      </w:r>
      <w:r>
        <w:rPr>
          <w:spacing w:val="-57"/>
        </w:rPr>
        <w:t> </w:t>
      </w:r>
      <w:r>
        <w:rPr/>
        <w:t>paying the mortgage in</w:t>
      </w:r>
      <w:r>
        <w:rPr>
          <w:spacing w:val="1"/>
        </w:rPr>
        <w:t> </w:t>
      </w:r>
      <w:r>
        <w:rPr/>
        <w:t>pains or allowing some</w:t>
      </w:r>
      <w:r>
        <w:rPr>
          <w:spacing w:val="1"/>
        </w:rPr>
        <w:t> </w:t>
      </w:r>
      <w:r>
        <w:rPr/>
        <w:t>other needs of man to</w:t>
      </w:r>
      <w:r>
        <w:rPr>
          <w:spacing w:val="60"/>
        </w:rPr>
        <w:t> </w:t>
      </w:r>
      <w:r>
        <w:rPr/>
        <w:t>suffer which</w:t>
      </w:r>
      <w:r>
        <w:rPr>
          <w:spacing w:val="1"/>
        </w:rPr>
        <w:t> </w:t>
      </w:r>
      <w:r>
        <w:rPr/>
        <w:t>might affect their quality of life. Going by the standard set by</w:t>
      </w:r>
      <w:r>
        <w:rPr>
          <w:spacing w:val="1"/>
        </w:rPr>
        <w:t> </w:t>
      </w:r>
      <w:r>
        <w:rPr/>
        <w:t>International Labor</w:t>
      </w:r>
      <w:r>
        <w:rPr>
          <w:spacing w:val="1"/>
        </w:rPr>
        <w:t> </w:t>
      </w:r>
      <w:r>
        <w:rPr/>
        <w:t>Organization (ILO), it can be concluded that the houses in private housing estate were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affordable.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2" w:lineRule="auto"/>
        <w:ind w:left="700" w:right="1060"/>
        <w:jc w:val="both"/>
      </w:pPr>
      <w:r>
        <w:rPr/>
        <w:t>From the result of the analysis, it can be concluded that the houses in private housing</w:t>
      </w:r>
      <w:r>
        <w:rPr>
          <w:spacing w:val="1"/>
        </w:rPr>
        <w:t> </w:t>
      </w:r>
      <w:r>
        <w:rPr/>
        <w:t>estate were livable with all the indicators rated good; while in public housing estate,</w:t>
      </w:r>
      <w:r>
        <w:rPr>
          <w:spacing w:val="1"/>
        </w:rPr>
        <w:t> </w:t>
      </w:r>
      <w:r>
        <w:rPr/>
        <w:t>houses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livable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indicators rated</w:t>
      </w:r>
      <w:r>
        <w:rPr>
          <w:spacing w:val="1"/>
        </w:rPr>
        <w:t> </w:t>
      </w:r>
      <w:r>
        <w:rPr/>
        <w:t>fair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poor in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line="477" w:lineRule="auto" w:before="22"/>
        <w:ind w:left="700" w:right="1038"/>
        <w:jc w:val="both"/>
      </w:pPr>
      <w:r>
        <w:rPr/>
        <w:t>Finally, the study concluded that there is a relationship between the affordability and the</w:t>
      </w:r>
      <w:r>
        <w:rPr>
          <w:spacing w:val="-57"/>
        </w:rPr>
        <w:t> </w:t>
      </w:r>
      <w:r>
        <w:rPr/>
        <w:t>livability of the housing.</w:t>
      </w:r>
      <w:r>
        <w:rPr>
          <w:spacing w:val="60"/>
        </w:rPr>
        <w:t> </w:t>
      </w:r>
      <w:r>
        <w:rPr/>
        <w:t>It is therefore concluded that, those in private estates pay</w:t>
      </w:r>
      <w:r>
        <w:rPr>
          <w:spacing w:val="1"/>
        </w:rPr>
        <w:t> </w:t>
      </w:r>
      <w:r>
        <w:rPr/>
        <w:t>higher percentage of their monthly income as mortgage for almost the same type of</w:t>
      </w:r>
      <w:r>
        <w:rPr>
          <w:spacing w:val="1"/>
        </w:rPr>
        <w:t> </w:t>
      </w:r>
      <w:r>
        <w:rPr/>
        <w:t>housing in public estates, but they enjoy better environment and living condition than</w:t>
      </w:r>
      <w:r>
        <w:rPr>
          <w:spacing w:val="1"/>
        </w:rPr>
        <w:t> </w:t>
      </w:r>
      <w:r>
        <w:rPr/>
        <w:t>those in public estates. However, those in public estates pays less for mortgage than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in private estate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the environment is not</w:t>
      </w:r>
      <w:r>
        <w:rPr>
          <w:spacing w:val="-1"/>
        </w:rPr>
        <w:t> </w:t>
      </w:r>
      <w:r>
        <w:rPr/>
        <w:t>as livable as expected.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11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1" w:right="0" w:hanging="702"/>
        <w:jc w:val="left"/>
      </w:pPr>
      <w:r>
        <w:rPr/>
        <w:t>Recommendations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700"/>
        <w:jc w:val="both"/>
      </w:pPr>
      <w:r>
        <w:rPr/>
        <w:t>Base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2" w:lineRule="auto"/>
        <w:ind w:left="700" w:right="1061"/>
        <w:jc w:val="both"/>
      </w:pPr>
      <w:r>
        <w:rPr/>
        <w:t>The research shows that there is serious housing condition problem that needs urgent</w:t>
      </w:r>
      <w:r>
        <w:rPr>
          <w:spacing w:val="1"/>
        </w:rPr>
        <w:t> </w:t>
      </w:r>
      <w:r>
        <w:rPr/>
        <w:t>attention of both public and private developers.</w:t>
      </w:r>
      <w:r>
        <w:rPr>
          <w:spacing w:val="1"/>
        </w:rPr>
        <w:t> </w:t>
      </w:r>
      <w:r>
        <w:rPr/>
        <w:t>Therefore,</w:t>
      </w:r>
      <w:r>
        <w:rPr>
          <w:spacing w:val="60"/>
        </w:rPr>
        <w:t> </w:t>
      </w:r>
      <w:r>
        <w:rPr/>
        <w:t>government on the other</w:t>
      </w:r>
      <w:r>
        <w:rPr>
          <w:spacing w:val="1"/>
        </w:rPr>
        <w:t> </w:t>
      </w:r>
      <w:r>
        <w:rPr/>
        <w:t>hand</w:t>
      </w:r>
      <w:r>
        <w:rPr>
          <w:spacing w:val="-1"/>
        </w:rPr>
        <w:t> </w:t>
      </w:r>
      <w:r>
        <w:rPr/>
        <w:t>is recommended</w:t>
      </w:r>
      <w:r>
        <w:rPr>
          <w:spacing w:val="-1"/>
        </w:rPr>
        <w:t> </w:t>
      </w:r>
      <w:r>
        <w:rPr/>
        <w:t>to come</w:t>
      </w:r>
      <w:r>
        <w:rPr>
          <w:spacing w:val="-2"/>
        </w:rPr>
        <w:t> </w:t>
      </w:r>
      <w:r>
        <w:rPr/>
        <w:t>up with</w:t>
      </w:r>
      <w:r>
        <w:rPr>
          <w:spacing w:val="-1"/>
        </w:rPr>
        <w:t> </w:t>
      </w:r>
      <w:r>
        <w:rPr/>
        <w:t>policies that</w:t>
      </w:r>
      <w:r>
        <w:rPr>
          <w:spacing w:val="-1"/>
        </w:rPr>
        <w:t> </w:t>
      </w:r>
      <w:r>
        <w:rPr/>
        <w:t>will enhance</w:t>
      </w:r>
      <w:r>
        <w:rPr>
          <w:spacing w:val="1"/>
        </w:rPr>
        <w:t> </w:t>
      </w:r>
      <w:r>
        <w:rPr/>
        <w:t>compulsory</w:t>
      </w:r>
      <w:r>
        <w:rPr>
          <w:spacing w:val="-6"/>
        </w:rPr>
        <w:t> </w:t>
      </w:r>
      <w:r>
        <w:rPr/>
        <w:t>periodic</w:t>
      </w:r>
    </w:p>
    <w:p>
      <w:pPr>
        <w:spacing w:after="0" w:line="472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BodyText"/>
        <w:spacing w:line="468" w:lineRule="auto" w:before="74"/>
        <w:ind w:left="700" w:right="1060"/>
        <w:jc w:val="both"/>
      </w:pPr>
      <w:r>
        <w:rPr/>
        <w:t>maintenance of major building elements like walls, floors, roofs, doors and windows in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estates.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77" w:lineRule="auto" w:before="1"/>
        <w:ind w:left="700" w:right="1041"/>
        <w:jc w:val="both"/>
      </w:pPr>
      <w:r>
        <w:rPr/>
        <w:t>There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subsidy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provision. This will allow low income earners to acquire affordable and quality houses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highlights should be put on the use of well processed local building materials such as</w:t>
      </w:r>
      <w:r>
        <w:rPr>
          <w:spacing w:val="1"/>
        </w:rPr>
        <w:t> </w:t>
      </w:r>
      <w:r>
        <w:rPr/>
        <w:t>burnt briks, compressed earth bricks</w:t>
      </w:r>
      <w:r>
        <w:rPr>
          <w:spacing w:val="1"/>
        </w:rPr>
        <w:t> </w:t>
      </w:r>
      <w:r>
        <w:rPr/>
        <w:t>etc. This</w:t>
      </w:r>
      <w:r>
        <w:rPr>
          <w:spacing w:val="1"/>
        </w:rPr>
        <w:t> </w:t>
      </w:r>
      <w:r>
        <w:rPr/>
        <w:t>will help in diminishing the cost of</w:t>
      </w:r>
      <w:r>
        <w:rPr>
          <w:spacing w:val="1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it affordable for</w:t>
      </w:r>
      <w:r>
        <w:rPr>
          <w:spacing w:val="1"/>
        </w:rPr>
        <w:t> </w:t>
      </w:r>
      <w:r>
        <w:rPr/>
        <w:t>all.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77" w:lineRule="auto"/>
        <w:ind w:left="700" w:right="1058"/>
        <w:jc w:val="both"/>
      </w:pPr>
      <w:r>
        <w:rPr/>
        <w:t>The checklist shows that private estate are more livable than public estate, it is therefore</w:t>
      </w:r>
      <w:r>
        <w:rPr>
          <w:spacing w:val="-57"/>
        </w:rPr>
        <w:t> </w:t>
      </w:r>
      <w:r>
        <w:rPr/>
        <w:t>recommended that collective effort should be made by the occupants of public estates to</w:t>
      </w:r>
      <w:r>
        <w:rPr>
          <w:spacing w:val="-57"/>
        </w:rPr>
        <w:t> </w:t>
      </w:r>
      <w:r>
        <w:rPr/>
        <w:t>enhance the efficiency of the facilities and infrastructure provided within the public</w:t>
      </w:r>
      <w:r>
        <w:rPr>
          <w:spacing w:val="1"/>
        </w:rPr>
        <w:t> </w:t>
      </w:r>
      <w:r>
        <w:rPr/>
        <w:t>estates ,such facilities that needed to be improved are portable water, they should also</w:t>
      </w:r>
      <w:r>
        <w:rPr>
          <w:spacing w:val="1"/>
        </w:rPr>
        <w:t> </w:t>
      </w:r>
      <w:r>
        <w:rPr/>
        <w:t>improved the general quality of the neighborhood, the quality of houses needed serious</w:t>
      </w:r>
      <w:r>
        <w:rPr>
          <w:spacing w:val="1"/>
        </w:rPr>
        <w:t> </w:t>
      </w:r>
      <w:r>
        <w:rPr/>
        <w:t>attention, Schools should be well equipped with necessary equipments and lastly the</w:t>
      </w:r>
      <w:r>
        <w:rPr>
          <w:spacing w:val="1"/>
        </w:rPr>
        <w:t> </w:t>
      </w:r>
      <w:r>
        <w:rPr/>
        <w:t>security of the estate should be improved upon by the occupants of the public estate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the</w:t>
      </w:r>
      <w:r>
        <w:rPr>
          <w:spacing w:val="1"/>
        </w:rPr>
        <w:t> </w:t>
      </w:r>
      <w:r>
        <w:rPr/>
        <w:t>government so as 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the estate</w:t>
      </w:r>
      <w:r>
        <w:rPr>
          <w:spacing w:val="-1"/>
        </w:rPr>
        <w:t> </w:t>
      </w:r>
      <w:r>
        <w:rPr/>
        <w:t>livable.</w:t>
      </w:r>
    </w:p>
    <w:p>
      <w:pPr>
        <w:spacing w:after="0" w:line="477" w:lineRule="auto"/>
        <w:jc w:val="both"/>
        <w:sectPr>
          <w:pgSz w:w="11900" w:h="16840"/>
          <w:pgMar w:header="0" w:footer="1068" w:top="1320" w:bottom="1320" w:left="1280" w:right="360"/>
        </w:sectPr>
      </w:pPr>
    </w:p>
    <w:p>
      <w:pPr>
        <w:pStyle w:val="Heading1"/>
        <w:spacing w:before="74"/>
        <w:ind w:left="688" w:right="1048"/>
        <w:jc w:val="center"/>
      </w:pPr>
      <w:r>
        <w:rPr/>
        <w:t>REFERENCES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37" w:lineRule="auto" w:before="0"/>
        <w:ind w:left="1420" w:right="1060" w:hanging="720"/>
        <w:jc w:val="both"/>
        <w:rPr>
          <w:sz w:val="24"/>
        </w:rPr>
      </w:pPr>
      <w:r>
        <w:rPr>
          <w:sz w:val="24"/>
        </w:rPr>
        <w:t>Abdul Samad,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Shaharudin,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Abdul</w:t>
      </w:r>
      <w:r>
        <w:rPr>
          <w:spacing w:val="1"/>
          <w:sz w:val="24"/>
        </w:rPr>
        <w:t> </w:t>
      </w:r>
      <w:r>
        <w:rPr>
          <w:sz w:val="24"/>
        </w:rPr>
        <w:t>Hadi,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Ahmad</w:t>
      </w:r>
      <w:r>
        <w:rPr>
          <w:spacing w:val="1"/>
          <w:sz w:val="24"/>
        </w:rPr>
        <w:t> </w:t>
      </w:r>
      <w:r>
        <w:rPr>
          <w:sz w:val="24"/>
        </w:rPr>
        <w:t>Fariz,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Dayahuni bandar (urban livability). </w:t>
      </w:r>
      <w:r>
        <w:rPr>
          <w:sz w:val="24"/>
        </w:rPr>
        <w:t>Bangi: LESTARI, Universiti Kebangsaan</w:t>
      </w:r>
      <w:r>
        <w:rPr>
          <w:spacing w:val="1"/>
          <w:sz w:val="24"/>
        </w:rPr>
        <w:t> </w:t>
      </w:r>
      <w:r>
        <w:rPr>
          <w:sz w:val="24"/>
        </w:rPr>
        <w:t>Malaysia.</w:t>
      </w:r>
    </w:p>
    <w:p>
      <w:pPr>
        <w:spacing w:before="198"/>
        <w:ind w:left="1420" w:right="1116" w:hanging="720"/>
        <w:jc w:val="both"/>
        <w:rPr>
          <w:sz w:val="24"/>
        </w:rPr>
      </w:pPr>
      <w:r>
        <w:rPr>
          <w:sz w:val="24"/>
        </w:rPr>
        <w:t>Abdulaqadir, B. &amp; István, E. (2017). </w:t>
      </w:r>
      <w:r>
        <w:rPr>
          <w:i/>
          <w:sz w:val="24"/>
        </w:rPr>
        <w:t>Housing conditions in Kano, Nigeria</w:t>
      </w:r>
      <w:r>
        <w:rPr>
          <w:sz w:val="24"/>
        </w:rPr>
        <w:t>: a qualitative</w:t>
      </w:r>
      <w:r>
        <w:rPr>
          <w:spacing w:val="-57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adequacy:</w:t>
      </w:r>
      <w:r>
        <w:rPr>
          <w:spacing w:val="1"/>
          <w:sz w:val="24"/>
        </w:rPr>
        <w:t> </w:t>
      </w:r>
      <w:r>
        <w:rPr>
          <w:sz w:val="24"/>
        </w:rPr>
        <w:t>ISSN 11222211--11227733, E-ISSN.</w:t>
      </w:r>
    </w:p>
    <w:p>
      <w:pPr>
        <w:spacing w:line="237" w:lineRule="auto" w:before="212"/>
        <w:ind w:left="1420" w:right="1053" w:hanging="720"/>
        <w:jc w:val="both"/>
        <w:rPr>
          <w:i/>
          <w:sz w:val="24"/>
        </w:rPr>
      </w:pPr>
      <w:r>
        <w:rPr>
          <w:sz w:val="24"/>
        </w:rPr>
        <w:t>Abimaje,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Akingbohungbe,</w:t>
      </w:r>
      <w:r>
        <w:rPr>
          <w:spacing w:val="1"/>
          <w:sz w:val="24"/>
        </w:rPr>
        <w:t> </w:t>
      </w:r>
      <w:r>
        <w:rPr>
          <w:sz w:val="24"/>
        </w:rPr>
        <w:t>D.O.</w:t>
      </w:r>
      <w:r>
        <w:rPr>
          <w:spacing w:val="1"/>
          <w:sz w:val="24"/>
        </w:rPr>
        <w:t> </w:t>
      </w:r>
      <w:r>
        <w:rPr>
          <w:sz w:val="24"/>
        </w:rPr>
        <w:t>&amp;Baba,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affordability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research training and development. </w:t>
      </w:r>
      <w:r>
        <w:rPr>
          <w:i/>
          <w:sz w:val="24"/>
        </w:rPr>
        <w:t>Uk international journal of civil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</w:t>
      </w:r>
    </w:p>
    <w:p>
      <w:pPr>
        <w:pStyle w:val="BodyText"/>
        <w:spacing w:before="210"/>
        <w:ind w:left="1420" w:right="1055" w:hanging="720"/>
        <w:jc w:val="both"/>
      </w:pPr>
      <w:r>
        <w:rPr/>
        <w:t>Adajumo,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Imminent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revolution?</w:t>
      </w:r>
    </w:p>
    <w:p>
      <w:pPr>
        <w:pStyle w:val="BodyText"/>
        <w:rPr>
          <w:sz w:val="26"/>
        </w:rPr>
      </w:pPr>
    </w:p>
    <w:p>
      <w:pPr>
        <w:spacing w:line="237" w:lineRule="auto" w:before="179"/>
        <w:ind w:left="1420" w:right="1060" w:hanging="720"/>
        <w:jc w:val="both"/>
        <w:rPr>
          <w:sz w:val="24"/>
        </w:rPr>
      </w:pPr>
      <w:r>
        <w:rPr>
          <w:sz w:val="24"/>
        </w:rPr>
        <w:t>Ademiluyi, I. A. (2010). Public Housing Delivery Strategies in Nigeria: A Historical</w:t>
      </w:r>
      <w:r>
        <w:rPr>
          <w:spacing w:val="1"/>
          <w:sz w:val="24"/>
        </w:rPr>
        <w:t> </w:t>
      </w:r>
      <w:r>
        <w:rPr>
          <w:sz w:val="24"/>
        </w:rPr>
        <w:t>Perspective of Policies and Programmes. </w:t>
      </w:r>
      <w:r>
        <w:rPr>
          <w:i/>
          <w:sz w:val="24"/>
        </w:rPr>
        <w:t>Journal of Sustainable Development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Africa,</w:t>
      </w:r>
      <w:r>
        <w:rPr>
          <w:i/>
          <w:spacing w:val="-1"/>
          <w:sz w:val="24"/>
        </w:rPr>
        <w:t> </w:t>
      </w:r>
      <w:r>
        <w:rPr>
          <w:sz w:val="24"/>
        </w:rPr>
        <w:t>12(6), 153-161.</w:t>
      </w:r>
    </w:p>
    <w:p>
      <w:pPr>
        <w:spacing w:line="232" w:lineRule="auto" w:before="210"/>
        <w:ind w:left="1420" w:right="1647" w:hanging="660"/>
        <w:jc w:val="left"/>
        <w:rPr>
          <w:sz w:val="24"/>
        </w:rPr>
      </w:pPr>
      <w:r>
        <w:rPr>
          <w:sz w:val="24"/>
        </w:rPr>
        <w:t>Aderanmo,</w:t>
      </w:r>
      <w:r>
        <w:rPr>
          <w:spacing w:val="-1"/>
          <w:sz w:val="24"/>
        </w:rPr>
        <w:t> </w:t>
      </w:r>
      <w:r>
        <w:rPr>
          <w:sz w:val="24"/>
        </w:rPr>
        <w:t>M. &amp;</w:t>
      </w:r>
      <w:r>
        <w:rPr>
          <w:spacing w:val="-2"/>
          <w:sz w:val="24"/>
        </w:rPr>
        <w:t> </w:t>
      </w:r>
      <w:r>
        <w:rPr>
          <w:sz w:val="24"/>
        </w:rPr>
        <w:t>Ayobolu, I.</w:t>
      </w:r>
      <w:r>
        <w:rPr>
          <w:spacing w:val="1"/>
          <w:sz w:val="24"/>
        </w:rPr>
        <w:t> </w:t>
      </w:r>
      <w:r>
        <w:rPr>
          <w:sz w:val="24"/>
        </w:rPr>
        <w:t>(2010).Spatial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Ilorin,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Research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Sciences,</w:t>
      </w:r>
      <w:r>
        <w:rPr>
          <w:i/>
          <w:spacing w:val="2"/>
          <w:sz w:val="24"/>
        </w:rPr>
        <w:t> </w:t>
      </w:r>
      <w:r>
        <w:rPr>
          <w:sz w:val="24"/>
        </w:rPr>
        <w:t>1(5),</w:t>
      </w:r>
      <w:r>
        <w:rPr>
          <w:spacing w:val="-1"/>
          <w:sz w:val="24"/>
        </w:rPr>
        <w:t> </w:t>
      </w:r>
      <w:r>
        <w:rPr>
          <w:sz w:val="24"/>
        </w:rPr>
        <w:t>12-21</w:t>
      </w:r>
    </w:p>
    <w:p>
      <w:pPr>
        <w:pStyle w:val="BodyText"/>
        <w:spacing w:before="202"/>
        <w:ind w:left="700"/>
      </w:pPr>
      <w:r>
        <w:rPr/>
        <w:t>Adesoji,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(2010).The</w:t>
      </w:r>
      <w:r>
        <w:rPr>
          <w:spacing w:val="-2"/>
        </w:rPr>
        <w:t> </w:t>
      </w:r>
      <w:r>
        <w:rPr/>
        <w:t>correlates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Lagos,</w:t>
      </w:r>
      <w:r>
        <w:rPr>
          <w:spacing w:val="-1"/>
        </w:rPr>
        <w:t> </w:t>
      </w:r>
      <w:r>
        <w:rPr/>
        <w:t>Nigeria:</w:t>
      </w:r>
    </w:p>
    <w:p>
      <w:pPr>
        <w:spacing w:before="2"/>
        <w:ind w:left="142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Geography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Regional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Planning,</w:t>
      </w:r>
      <w:r>
        <w:rPr>
          <w:sz w:val="24"/>
        </w:rPr>
        <w:t>3(2), 017-028</w:t>
      </w:r>
    </w:p>
    <w:p>
      <w:pPr>
        <w:spacing w:line="237" w:lineRule="auto" w:before="211"/>
        <w:ind w:left="1420" w:right="1034" w:hanging="720"/>
        <w:jc w:val="both"/>
        <w:rPr>
          <w:sz w:val="24"/>
        </w:rPr>
      </w:pPr>
      <w:r>
        <w:rPr>
          <w:sz w:val="24"/>
        </w:rPr>
        <w:t>Ahmed,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Environmental Issue. In Jimoh, H.I. and Fabiyi, I.P (ed.) </w:t>
      </w:r>
      <w:r>
        <w:rPr>
          <w:i/>
          <w:sz w:val="24"/>
        </w:rPr>
        <w:t>Contemporary Issues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Studies.</w:t>
      </w:r>
      <w:r>
        <w:rPr>
          <w:i/>
          <w:spacing w:val="1"/>
          <w:sz w:val="24"/>
        </w:rPr>
        <w:t> </w:t>
      </w:r>
      <w:r>
        <w:rPr>
          <w:sz w:val="24"/>
        </w:rPr>
        <w:t>Haytee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5"/>
          <w:sz w:val="24"/>
        </w:rPr>
        <w:t> </w:t>
      </w:r>
      <w:r>
        <w:rPr>
          <w:sz w:val="24"/>
        </w:rPr>
        <w:t>Ilorin.</w:t>
      </w:r>
    </w:p>
    <w:p>
      <w:pPr>
        <w:pStyle w:val="BodyText"/>
        <w:spacing w:line="237" w:lineRule="auto" w:before="208"/>
        <w:ind w:left="1420" w:right="1056" w:hanging="720"/>
        <w:jc w:val="both"/>
      </w:pPr>
      <w:r>
        <w:rPr/>
        <w:t>Ajala, O. A., Lekan, S. &amp; Adeyinka, S. A. (2005). Accessibility to health care facilities: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panacea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Osun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Western,</w:t>
      </w:r>
      <w:r>
        <w:rPr>
          <w:spacing w:val="1"/>
        </w:rPr>
        <w:t> </w:t>
      </w:r>
      <w:r>
        <w:rPr/>
        <w:t>Nigeria: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human</w:t>
      </w:r>
      <w:r>
        <w:rPr>
          <w:i/>
          <w:spacing w:val="-1"/>
        </w:rPr>
        <w:t> </w:t>
      </w:r>
      <w:r>
        <w:rPr>
          <w:i/>
        </w:rPr>
        <w:t>ecology </w:t>
      </w:r>
      <w:r>
        <w:rPr/>
        <w:t>(Delhi,</w:t>
      </w:r>
      <w:r>
        <w:rPr>
          <w:spacing w:val="1"/>
        </w:rPr>
        <w:t> </w:t>
      </w:r>
      <w:r>
        <w:rPr/>
        <w:t>India).</w:t>
      </w:r>
      <w:r>
        <w:rPr>
          <w:spacing w:val="2"/>
        </w:rPr>
        <w:t> </w:t>
      </w:r>
      <w:r>
        <w:rPr/>
        <w:t>October</w:t>
      </w:r>
      <w:r>
        <w:rPr>
          <w:spacing w:val="-2"/>
        </w:rPr>
        <w:t> </w:t>
      </w:r>
      <w:r>
        <w:rPr/>
        <w:t>2005</w:t>
      </w:r>
    </w:p>
    <w:p>
      <w:pPr>
        <w:spacing w:line="237" w:lineRule="auto" w:before="208"/>
        <w:ind w:left="1420" w:right="1058" w:hanging="720"/>
        <w:jc w:val="both"/>
        <w:rPr>
          <w:sz w:val="24"/>
        </w:rPr>
      </w:pPr>
      <w:r>
        <w:rPr>
          <w:sz w:val="24"/>
        </w:rPr>
        <w:t>Ajibade, L. T. &amp;Ojelola, A. O. (2004). Effects of Automobile Mechanics Activities on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Ilorin,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i/>
          <w:sz w:val="24"/>
        </w:rPr>
        <w:t>Geo-Studies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Issues,</w:t>
      </w:r>
      <w:r>
        <w:rPr>
          <w:i/>
          <w:spacing w:val="1"/>
          <w:sz w:val="24"/>
        </w:rPr>
        <w:t> </w:t>
      </w:r>
      <w:r>
        <w:rPr>
          <w:sz w:val="24"/>
        </w:rPr>
        <w:t>2(1), 18-27</w:t>
      </w:r>
    </w:p>
    <w:p>
      <w:pPr>
        <w:spacing w:line="235" w:lineRule="auto" w:before="207"/>
        <w:ind w:left="1420" w:right="1270" w:hanging="720"/>
        <w:jc w:val="left"/>
        <w:rPr>
          <w:sz w:val="24"/>
        </w:rPr>
      </w:pPr>
      <w:r>
        <w:rPr>
          <w:sz w:val="24"/>
        </w:rPr>
        <w:t>Alliance</w:t>
      </w:r>
      <w:r>
        <w:rPr>
          <w:spacing w:val="7"/>
          <w:sz w:val="24"/>
        </w:rPr>
        <w:t> </w:t>
      </w:r>
      <w:r>
        <w:rPr>
          <w:sz w:val="24"/>
        </w:rPr>
        <w:t>DBS</w:t>
      </w:r>
      <w:r>
        <w:rPr>
          <w:spacing w:val="9"/>
          <w:sz w:val="24"/>
        </w:rPr>
        <w:t> </w:t>
      </w:r>
      <w:r>
        <w:rPr>
          <w:sz w:val="24"/>
        </w:rPr>
        <w:t>(2014).</w:t>
      </w:r>
      <w:r>
        <w:rPr>
          <w:spacing w:val="12"/>
          <w:sz w:val="24"/>
        </w:rPr>
        <w:t> </w:t>
      </w:r>
      <w:r>
        <w:rPr>
          <w:i/>
          <w:sz w:val="24"/>
        </w:rPr>
        <w:t>Malaysia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Property.</w:t>
      </w:r>
      <w:r>
        <w:rPr>
          <w:i/>
          <w:spacing w:val="9"/>
          <w:sz w:val="24"/>
        </w:rPr>
        <w:t> </w:t>
      </w:r>
      <w:r>
        <w:rPr>
          <w:sz w:val="24"/>
        </w:rPr>
        <w:t>Alliance</w:t>
      </w:r>
      <w:r>
        <w:rPr>
          <w:spacing w:val="9"/>
          <w:sz w:val="24"/>
        </w:rPr>
        <w:t> </w:t>
      </w:r>
      <w:r>
        <w:rPr>
          <w:sz w:val="24"/>
        </w:rPr>
        <w:t>DBS</w:t>
      </w:r>
      <w:r>
        <w:rPr>
          <w:spacing w:val="9"/>
          <w:sz w:val="24"/>
        </w:rPr>
        <w:t> </w:t>
      </w:r>
      <w:r>
        <w:rPr>
          <w:sz w:val="24"/>
        </w:rPr>
        <w:t>Research</w:t>
      </w:r>
      <w:r>
        <w:rPr>
          <w:spacing w:val="-57"/>
          <w:sz w:val="24"/>
        </w:rPr>
        <w:t> </w:t>
      </w:r>
      <w:r>
        <w:rPr>
          <w:sz w:val="24"/>
        </w:rPr>
        <w:t>SdnBhd</w:t>
      </w:r>
    </w:p>
    <w:p>
      <w:pPr>
        <w:pStyle w:val="BodyText"/>
        <w:spacing w:line="237" w:lineRule="auto" w:before="213"/>
        <w:ind w:left="1420" w:right="1270" w:hanging="720"/>
      </w:pPr>
      <w:r>
        <w:rPr/>
        <w:t>Aminu,</w:t>
      </w:r>
      <w:r>
        <w:rPr>
          <w:spacing w:val="21"/>
        </w:rPr>
        <w:t> </w:t>
      </w:r>
      <w:r>
        <w:rPr/>
        <w:t>G.</w:t>
      </w:r>
      <w:r>
        <w:rPr>
          <w:spacing w:val="30"/>
        </w:rPr>
        <w:t> </w:t>
      </w:r>
      <w:r>
        <w:rPr/>
        <w:t>W.,</w:t>
      </w:r>
      <w:r>
        <w:rPr>
          <w:spacing w:val="30"/>
        </w:rPr>
        <w:t> </w:t>
      </w:r>
      <w:r>
        <w:rPr/>
        <w:t>Nor‟aini</w:t>
      </w:r>
      <w:r>
        <w:rPr>
          <w:spacing w:val="31"/>
        </w:rPr>
        <w:t> </w:t>
      </w:r>
      <w:r>
        <w:rPr/>
        <w:t>Y.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Norazmawati</w:t>
      </w:r>
      <w:r>
        <w:rPr>
          <w:spacing w:val="31"/>
        </w:rPr>
        <w:t> </w:t>
      </w:r>
      <w:r>
        <w:rPr/>
        <w:t>M.</w:t>
      </w:r>
      <w:r>
        <w:rPr>
          <w:spacing w:val="31"/>
        </w:rPr>
        <w:t> </w:t>
      </w:r>
      <w:r>
        <w:rPr/>
        <w:t>A.</w:t>
      </w:r>
      <w:r>
        <w:rPr>
          <w:spacing w:val="30"/>
        </w:rPr>
        <w:t> </w:t>
      </w:r>
      <w:r>
        <w:rPr/>
        <w:t>(2014).</w:t>
      </w:r>
      <w:r>
        <w:rPr>
          <w:spacing w:val="30"/>
        </w:rPr>
        <w:t> </w:t>
      </w:r>
      <w:r>
        <w:rPr/>
        <w:t>Occupants</w:t>
      </w:r>
      <w:r>
        <w:rPr>
          <w:spacing w:val="31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satisfaction:</w:t>
      </w:r>
      <w:r>
        <w:rPr>
          <w:spacing w:val="5"/>
        </w:rPr>
        <w:t> </w:t>
      </w:r>
      <w:r>
        <w:rPr/>
        <w:t>does</w:t>
      </w:r>
      <w:r>
        <w:rPr>
          <w:spacing w:val="5"/>
        </w:rPr>
        <w:t> </w:t>
      </w:r>
      <w:r>
        <w:rPr/>
        <w:t>age</w:t>
      </w:r>
      <w:r>
        <w:rPr>
          <w:spacing w:val="6"/>
        </w:rPr>
        <w:t> </w:t>
      </w:r>
      <w:r>
        <w:rPr/>
        <w:t>really matter?</w:t>
      </w:r>
      <w:r>
        <w:rPr>
          <w:spacing w:val="8"/>
        </w:rPr>
        <w:t> </w:t>
      </w:r>
      <w:r>
        <w:rPr/>
        <w:t>Urban,</w:t>
      </w:r>
      <w:r>
        <w:rPr>
          <w:spacing w:val="5"/>
        </w:rPr>
        <w:t> </w:t>
      </w:r>
      <w:r>
        <w:rPr/>
        <w:t>Planning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Transport</w:t>
      </w:r>
      <w:r>
        <w:rPr>
          <w:spacing w:val="6"/>
        </w:rPr>
        <w:t> </w:t>
      </w:r>
      <w:r>
        <w:rPr/>
        <w:t>Research:</w:t>
      </w:r>
      <w:r>
        <w:rPr>
          <w:spacing w:val="1"/>
        </w:rPr>
        <w:t> </w:t>
      </w:r>
      <w:r>
        <w:rPr>
          <w:i/>
        </w:rPr>
        <w:t>An</w:t>
      </w:r>
      <w:r>
        <w:rPr>
          <w:i/>
          <w:spacing w:val="-1"/>
        </w:rPr>
        <w:t> </w:t>
      </w:r>
      <w:r>
        <w:rPr>
          <w:i/>
        </w:rPr>
        <w:t>Open Access Journal,</w:t>
      </w:r>
      <w:r>
        <w:rPr>
          <w:i/>
          <w:spacing w:val="3"/>
        </w:rPr>
        <w:t> </w:t>
      </w:r>
      <w:r>
        <w:rPr/>
        <w:t>2(1), 341–353,</w:t>
      </w:r>
      <w:r>
        <w:rPr>
          <w:spacing w:val="1"/>
        </w:rPr>
        <w:t> </w:t>
      </w:r>
      <w:hyperlink r:id="rId29">
        <w:r>
          <w:rPr>
            <w:color w:val="0000FF"/>
            <w:u w:val="single" w:color="0000FF"/>
          </w:rPr>
          <w:t>http://dx.doi.org/10.1080/21650020.2014.935467</w:t>
        </w:r>
      </w:hyperlink>
    </w:p>
    <w:p>
      <w:pPr>
        <w:pStyle w:val="BodyText"/>
        <w:spacing w:before="199"/>
        <w:ind w:left="700"/>
        <w:rPr>
          <w:sz w:val="23"/>
        </w:rPr>
      </w:pPr>
      <w:r>
        <w:rPr/>
        <w:t>Andre,</w:t>
      </w:r>
      <w:r>
        <w:rPr>
          <w:spacing w:val="21"/>
        </w:rPr>
        <w:t> </w:t>
      </w:r>
      <w:r>
        <w:rPr/>
        <w:t>C</w:t>
      </w:r>
      <w:r>
        <w:rPr>
          <w:spacing w:val="77"/>
        </w:rPr>
        <w:t> </w:t>
      </w:r>
      <w:r>
        <w:rPr/>
        <w:t>(2010).</w:t>
      </w:r>
      <w:r>
        <w:rPr>
          <w:spacing w:val="102"/>
        </w:rPr>
        <w:t> </w:t>
      </w:r>
      <w:r>
        <w:rPr/>
        <w:t>A</w:t>
      </w:r>
      <w:r>
        <w:rPr>
          <w:spacing w:val="83"/>
        </w:rPr>
        <w:t> </w:t>
      </w:r>
      <w:r>
        <w:rPr/>
        <w:t>bird`s</w:t>
      </w:r>
      <w:r>
        <w:rPr>
          <w:spacing w:val="102"/>
        </w:rPr>
        <w:t> </w:t>
      </w:r>
      <w:r>
        <w:rPr/>
        <w:t>eye</w:t>
      </w:r>
      <w:r>
        <w:rPr>
          <w:spacing w:val="89"/>
        </w:rPr>
        <w:t> </w:t>
      </w:r>
      <w:r>
        <w:rPr/>
        <w:t>view</w:t>
      </w:r>
      <w:r>
        <w:rPr>
          <w:spacing w:val="90"/>
        </w:rPr>
        <w:t> </w:t>
      </w:r>
      <w:r>
        <w:rPr/>
        <w:t>of</w:t>
      </w:r>
      <w:r>
        <w:rPr>
          <w:spacing w:val="80"/>
        </w:rPr>
        <w:t> </w:t>
      </w:r>
      <w:r>
        <w:rPr/>
        <w:t>OECD</w:t>
      </w:r>
      <w:r>
        <w:rPr>
          <w:spacing w:val="105"/>
        </w:rPr>
        <w:t> </w:t>
      </w:r>
      <w:r>
        <w:rPr/>
        <w:t>housing</w:t>
      </w:r>
      <w:r>
        <w:rPr>
          <w:spacing w:val="78"/>
        </w:rPr>
        <w:t> </w:t>
      </w:r>
      <w:r>
        <w:rPr/>
        <w:t>markets.</w:t>
      </w:r>
      <w:r>
        <w:rPr>
          <w:spacing w:val="101"/>
        </w:rPr>
        <w:t> </w:t>
      </w:r>
      <w:r>
        <w:rPr/>
        <w:t>Paris:</w:t>
      </w:r>
      <w:r>
        <w:rPr>
          <w:spacing w:val="92"/>
        </w:rPr>
        <w:t> </w:t>
      </w:r>
      <w:r>
        <w:rPr>
          <w:sz w:val="23"/>
        </w:rPr>
        <w:t>OECD</w:t>
      </w:r>
    </w:p>
    <w:p>
      <w:pPr>
        <w:pStyle w:val="BodyText"/>
        <w:spacing w:before="2"/>
        <w:ind w:left="1420"/>
      </w:pPr>
      <w:r>
        <w:rPr/>
        <w:t>publishing.</w:t>
      </w:r>
      <w:r>
        <w:rPr>
          <w:spacing w:val="-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10.1787/kmlh5qvz1s4-en</w:t>
      </w:r>
    </w:p>
    <w:p>
      <w:pPr>
        <w:spacing w:line="235" w:lineRule="auto" w:before="209"/>
        <w:ind w:left="1420" w:right="1141" w:hanging="720"/>
        <w:jc w:val="left"/>
        <w:rPr>
          <w:sz w:val="24"/>
        </w:rPr>
      </w:pPr>
      <w:r>
        <w:rPr>
          <w:sz w:val="24"/>
        </w:rPr>
        <w:t>Anofojie, A. E., Adeleye O. A. &amp; Kadiri, M. A. (2013). </w:t>
      </w:r>
      <w:r>
        <w:rPr>
          <w:i/>
          <w:sz w:val="24"/>
        </w:rPr>
        <w:t>Housing Quality Assessment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Residential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Estates in Amuwo-Odofin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L.G.A,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Lagos, Nigeria</w:t>
      </w:r>
      <w:r>
        <w:rPr>
          <w:sz w:val="24"/>
        </w:rPr>
        <w:t>.</w:t>
      </w:r>
    </w:p>
    <w:p>
      <w:pPr>
        <w:spacing w:after="0" w:line="235" w:lineRule="auto"/>
        <w:jc w:val="left"/>
        <w:rPr>
          <w:sz w:val="24"/>
        </w:rPr>
        <w:sectPr>
          <w:footerReference w:type="default" r:id="rId28"/>
          <w:pgSz w:w="11900" w:h="16840"/>
          <w:pgMar w:footer="852" w:header="0" w:top="1320" w:bottom="1040" w:left="1280" w:right="360"/>
        </w:sectPr>
      </w:pPr>
    </w:p>
    <w:p>
      <w:pPr>
        <w:spacing w:line="237" w:lineRule="auto" w:before="74"/>
        <w:ind w:left="1420" w:right="1035" w:hanging="720"/>
        <w:jc w:val="both"/>
        <w:rPr>
          <w:sz w:val="24"/>
        </w:rPr>
      </w:pPr>
      <w:r>
        <w:rPr>
          <w:sz w:val="24"/>
        </w:rPr>
        <w:t>Babatude, F. A. (2017). Determining factors for housing affordability in Ibadan Nigeria:</w:t>
      </w:r>
      <w:r>
        <w:rPr>
          <w:spacing w:val="-57"/>
          <w:sz w:val="24"/>
        </w:rPr>
        <w:t> </w:t>
      </w:r>
      <w:r>
        <w:rPr>
          <w:i/>
          <w:sz w:val="24"/>
        </w:rPr>
        <w:t>Ethiopian Journal of Environmental Studies &amp; Management, </w:t>
      </w:r>
      <w:r>
        <w:rPr>
          <w:sz w:val="24"/>
        </w:rPr>
        <w:t>10(5), 642-653,</w:t>
      </w:r>
      <w:r>
        <w:rPr>
          <w:spacing w:val="1"/>
          <w:sz w:val="24"/>
        </w:rPr>
        <w:t> </w:t>
      </w:r>
      <w:r>
        <w:rPr>
          <w:sz w:val="24"/>
        </w:rPr>
        <w:t>2017.doi: </w:t>
      </w:r>
      <w:hyperlink r:id="rId30">
        <w:r>
          <w:rPr>
            <w:sz w:val="24"/>
            <w:u w:val="single"/>
          </w:rPr>
          <w:t>https://dx.doi.org/10.4314/ejesm.v10i5.8</w:t>
        </w:r>
      </w:hyperlink>
    </w:p>
    <w:p>
      <w:pPr>
        <w:spacing w:before="208"/>
        <w:ind w:left="1420" w:right="1038" w:hanging="720"/>
        <w:jc w:val="both"/>
        <w:rPr>
          <w:i/>
          <w:sz w:val="24"/>
        </w:rPr>
      </w:pPr>
      <w:r>
        <w:rPr>
          <w:sz w:val="24"/>
        </w:rPr>
        <w:t>Bako, A.I., Aduloju, O. T. &amp; Abubakar-Kamar, A. T. (2017). </w:t>
      </w:r>
      <w:r>
        <w:rPr>
          <w:i/>
          <w:sz w:val="24"/>
        </w:rPr>
        <w:t>Liveability and wellness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Oloje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Ilorin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Ilorin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32" w:lineRule="auto" w:before="178"/>
        <w:ind w:left="1420" w:right="1057" w:hanging="720"/>
        <w:jc w:val="both"/>
      </w:pPr>
      <w:r>
        <w:rPr/>
        <w:t>Bello, M. O. (2008). The Effects of Infrastructural facilities on the Rental Values of</w:t>
      </w:r>
      <w:r>
        <w:rPr>
          <w:spacing w:val="1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Property.</w:t>
      </w:r>
      <w:r>
        <w:rPr>
          <w:spacing w:val="4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Social Sciences,</w:t>
      </w:r>
      <w:r>
        <w:rPr>
          <w:i/>
          <w:spacing w:val="1"/>
        </w:rPr>
        <w:t> </w:t>
      </w:r>
      <w:r>
        <w:rPr/>
        <w:t>5(4), 332-</w:t>
      </w:r>
      <w:r>
        <w:rPr>
          <w:spacing w:val="-2"/>
        </w:rPr>
        <w:t> </w:t>
      </w:r>
      <w:r>
        <w:rPr/>
        <w:t>334</w:t>
      </w:r>
    </w:p>
    <w:p>
      <w:pPr>
        <w:spacing w:line="232" w:lineRule="auto" w:before="218"/>
        <w:ind w:left="1420" w:right="1037" w:hanging="720"/>
        <w:jc w:val="both"/>
        <w:rPr>
          <w:sz w:val="24"/>
        </w:rPr>
      </w:pPr>
      <w:r>
        <w:rPr>
          <w:sz w:val="24"/>
        </w:rPr>
        <w:t>Bernard Fingleton (2008): </w:t>
      </w:r>
      <w:r>
        <w:rPr>
          <w:i/>
          <w:sz w:val="24"/>
        </w:rPr>
        <w:t>Housing Supply, Housing Demand, and Affordability;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Studies45(8),</w:t>
      </w:r>
      <w:r>
        <w:rPr>
          <w:spacing w:val="-1"/>
          <w:sz w:val="24"/>
        </w:rPr>
        <w:t> </w:t>
      </w:r>
      <w:r>
        <w:rPr>
          <w:sz w:val="24"/>
        </w:rPr>
        <w:t>1545-1563</w:t>
      </w:r>
    </w:p>
    <w:p>
      <w:pPr>
        <w:spacing w:line="237" w:lineRule="auto" w:before="215"/>
        <w:ind w:left="1420" w:right="1054" w:hanging="720"/>
        <w:jc w:val="both"/>
        <w:rPr>
          <w:sz w:val="24"/>
        </w:rPr>
      </w:pPr>
      <w:r>
        <w:rPr>
          <w:sz w:val="24"/>
        </w:rPr>
        <w:t>Bramley, G. (2011). Affordability, poverty and housing need: triangulating measures</w:t>
      </w:r>
      <w:r>
        <w:rPr>
          <w:spacing w:val="1"/>
          <w:sz w:val="24"/>
        </w:rPr>
        <w:t> </w:t>
      </w:r>
      <w:r>
        <w:rPr>
          <w:sz w:val="24"/>
        </w:rPr>
        <w:t>and standards. </w:t>
      </w:r>
      <w:r>
        <w:rPr>
          <w:i/>
          <w:sz w:val="24"/>
        </w:rPr>
        <w:t>Journal of Housing and the Built Environment, </w:t>
      </w:r>
      <w:r>
        <w:rPr>
          <w:sz w:val="24"/>
        </w:rPr>
        <w:t>27(2), 133-151.</w:t>
      </w:r>
      <w:r>
        <w:rPr>
          <w:spacing w:val="1"/>
          <w:sz w:val="24"/>
        </w:rPr>
        <w:t> </w:t>
      </w:r>
      <w:r>
        <w:rPr>
          <w:sz w:val="24"/>
        </w:rPr>
        <w:t>doi:10.1007/s10901-011-9255-4</w:t>
      </w:r>
    </w:p>
    <w:p>
      <w:pPr>
        <w:spacing w:line="235" w:lineRule="auto" w:before="207"/>
        <w:ind w:left="1420" w:right="1059" w:hanging="720"/>
        <w:jc w:val="both"/>
        <w:rPr>
          <w:sz w:val="24"/>
        </w:rPr>
      </w:pPr>
      <w:r>
        <w:rPr>
          <w:sz w:val="24"/>
        </w:rPr>
        <w:t>CAFH (2019).</w:t>
      </w:r>
      <w:r>
        <w:rPr>
          <w:i/>
          <w:sz w:val="24"/>
        </w:rPr>
        <w:t>Housing Finance in Nigeria</w:t>
      </w:r>
      <w:r>
        <w:rPr>
          <w:sz w:val="24"/>
        </w:rPr>
        <w:t>, retrieved from htt//www.housing finance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-2"/>
          <w:sz w:val="24"/>
        </w:rPr>
        <w:t> </w:t>
      </w:r>
      <w:r>
        <w:rPr>
          <w:sz w:val="24"/>
        </w:rPr>
        <w:t>.org/finance/Nigeria.</w:t>
      </w:r>
    </w:p>
    <w:p>
      <w:pPr>
        <w:spacing w:line="232" w:lineRule="auto" w:before="215"/>
        <w:ind w:left="1420" w:right="1057" w:hanging="720"/>
        <w:jc w:val="both"/>
        <w:rPr>
          <w:i/>
          <w:sz w:val="24"/>
        </w:rPr>
      </w:pPr>
      <w:r>
        <w:rPr>
          <w:sz w:val="24"/>
        </w:rPr>
        <w:t>Centre for Liveable Cities (2011). Liveable &amp; Sustainable Cities for the Future: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Summit 2010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Proceedings.</w:t>
      </w:r>
    </w:p>
    <w:p>
      <w:pPr>
        <w:spacing w:line="237" w:lineRule="auto" w:before="214"/>
        <w:ind w:left="1420" w:right="1035" w:hanging="720"/>
        <w:jc w:val="both"/>
        <w:rPr>
          <w:sz w:val="24"/>
        </w:rPr>
      </w:pPr>
      <w:r>
        <w:rPr>
          <w:sz w:val="24"/>
        </w:rPr>
        <w:t>Cindy, L. &amp; Haron, N. (2013).Factors Influencing the Rise of House Price in Klang.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Research in Engineering and Technology, </w:t>
      </w:r>
      <w:r>
        <w:rPr>
          <w:sz w:val="24"/>
        </w:rPr>
        <w:t>2(10), 261–</w:t>
      </w:r>
      <w:r>
        <w:rPr>
          <w:spacing w:val="1"/>
          <w:sz w:val="24"/>
        </w:rPr>
        <w:t> </w:t>
      </w:r>
      <w:r>
        <w:rPr>
          <w:sz w:val="24"/>
        </w:rPr>
        <w:t>272.</w:t>
      </w:r>
    </w:p>
    <w:p>
      <w:pPr>
        <w:pStyle w:val="BodyText"/>
        <w:spacing w:line="237" w:lineRule="auto" w:before="208"/>
        <w:ind w:left="1420" w:right="1061" w:hanging="720"/>
        <w:jc w:val="both"/>
      </w:pPr>
      <w:r>
        <w:rPr/>
        <w:t>Community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(CIH)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gerontological</w:t>
      </w:r>
      <w:r>
        <w:rPr>
          <w:spacing w:val="1"/>
        </w:rPr>
        <w:t> </w:t>
      </w:r>
      <w:r>
        <w:rPr/>
        <w:t>health-care</w:t>
      </w:r>
      <w:r>
        <w:rPr>
          <w:spacing w:val="1"/>
        </w:rPr>
        <w:t> </w:t>
      </w:r>
      <w:r>
        <w:rPr/>
        <w:t>research:</w:t>
      </w:r>
      <w:r>
        <w:rPr>
          <w:spacing w:val="1"/>
        </w:rPr>
        <w:t> </w:t>
      </w:r>
      <w:r>
        <w:rPr/>
        <w:t>Eugenia</w:t>
      </w:r>
      <w:r>
        <w:rPr>
          <w:spacing w:val="1"/>
        </w:rPr>
        <w:t> </w:t>
      </w:r>
      <w:r>
        <w:rPr/>
        <w:t>Hildebrandt: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Illinois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Chicago,</w:t>
      </w:r>
      <w:r>
        <w:rPr>
          <w:spacing w:val="1"/>
        </w:rPr>
        <w:t> </w:t>
      </w:r>
      <w:r>
        <w:rPr>
          <w:i/>
        </w:rPr>
        <w:t>Southern</w:t>
      </w:r>
      <w:r>
        <w:rPr>
          <w:i/>
          <w:spacing w:val="-1"/>
        </w:rPr>
        <w:t> </w:t>
      </w:r>
      <w:r>
        <w:rPr>
          <w:i/>
        </w:rPr>
        <w:t>African Journal</w:t>
      </w:r>
      <w:r>
        <w:rPr>
          <w:i/>
          <w:spacing w:val="-1"/>
        </w:rPr>
        <w:t> </w:t>
      </w:r>
      <w:r>
        <w:rPr>
          <w:i/>
        </w:rPr>
        <w:t>of Gerontology, </w:t>
      </w:r>
      <w:r>
        <w:rPr/>
        <w:t>2(2), 2-9</w:t>
      </w:r>
    </w:p>
    <w:p>
      <w:pPr>
        <w:spacing w:line="235" w:lineRule="auto" w:before="210"/>
        <w:ind w:left="1420" w:right="1055" w:hanging="720"/>
        <w:jc w:val="both"/>
        <w:rPr>
          <w:sz w:val="24"/>
        </w:rPr>
      </w:pPr>
      <w:r>
        <w:rPr>
          <w:sz w:val="24"/>
        </w:rPr>
        <w:t>Copenhagen business school (2013). </w:t>
      </w:r>
      <w:r>
        <w:rPr>
          <w:i/>
          <w:sz w:val="24"/>
        </w:rPr>
        <w:t>Housing Affordability Leverage and Risk: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-1"/>
          <w:sz w:val="24"/>
        </w:rPr>
        <w:t> </w:t>
      </w:r>
      <w:r>
        <w:rPr>
          <w:sz w:val="24"/>
        </w:rPr>
        <w:t>Cand.</w:t>
      </w:r>
      <w:r>
        <w:rPr>
          <w:spacing w:val="-1"/>
          <w:sz w:val="24"/>
        </w:rPr>
        <w:t> </w:t>
      </w:r>
      <w:r>
        <w:rPr>
          <w:sz w:val="24"/>
        </w:rPr>
        <w:t>merc.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spacing w:before="198"/>
        <w:ind w:left="1420" w:right="1054" w:hanging="720"/>
      </w:pPr>
      <w:r>
        <w:rPr/>
        <w:t>Diane,</w:t>
      </w:r>
      <w:r>
        <w:rPr>
          <w:spacing w:val="-2"/>
        </w:rPr>
        <w:t> </w:t>
      </w:r>
      <w:r>
        <w:rPr/>
        <w:t>K. L.,</w:t>
      </w:r>
      <w:r>
        <w:rPr>
          <w:spacing w:val="-1"/>
        </w:rPr>
        <w:t> </w:t>
      </w:r>
      <w:r>
        <w:rPr/>
        <w:t>Jennifer,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&amp;Sandra,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Keeping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Neighborhood</w:t>
      </w:r>
      <w:r>
        <w:rPr>
          <w:spacing w:val="-1"/>
        </w:rPr>
        <w:t> </w:t>
      </w:r>
      <w:r>
        <w:rPr/>
        <w:t>Affordable: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Handbook of Housing Strategies for Gentrifying Areas: The Urban Institute</w:t>
      </w:r>
      <w:r>
        <w:rPr>
          <w:spacing w:val="1"/>
        </w:rPr>
        <w:t> </w:t>
      </w:r>
      <w:r>
        <w:rPr/>
        <w:t>Earners: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Makurdi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Scientific</w:t>
      </w:r>
      <w:r>
        <w:rPr>
          <w:i/>
          <w:spacing w:val="-1"/>
        </w:rPr>
        <w:t> </w:t>
      </w:r>
      <w:r>
        <w:rPr>
          <w:i/>
        </w:rPr>
        <w:t>Journal, </w:t>
      </w:r>
      <w:r>
        <w:rPr/>
        <w:t>8(28),</w:t>
      </w:r>
      <w:r>
        <w:rPr>
          <w:spacing w:val="1"/>
        </w:rPr>
        <w:t> </w:t>
      </w:r>
      <w:r>
        <w:rPr/>
        <w:t>231-246. Effective</w:t>
      </w:r>
      <w:r>
        <w:rPr>
          <w:spacing w:val="-2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in Nigeria:</w:t>
      </w:r>
      <w:r>
        <w:rPr>
          <w:spacing w:val="-1"/>
        </w:rPr>
        <w:t> </w:t>
      </w:r>
      <w:r>
        <w:rPr/>
        <w:t>Aug.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p 4</w:t>
      </w:r>
    </w:p>
    <w:p>
      <w:pPr>
        <w:pStyle w:val="BodyText"/>
        <w:spacing w:line="237" w:lineRule="auto" w:before="211"/>
        <w:ind w:left="1420" w:right="1055" w:hanging="720"/>
        <w:jc w:val="both"/>
      </w:pPr>
      <w:r>
        <w:rPr/>
        <w:t>Duane, K., David, L., Morey, K., John, B., Jerome, A. &amp; Joseph, E. (2006). </w:t>
      </w:r>
      <w:r>
        <w:rPr>
          <w:i/>
        </w:rPr>
        <w:t>Housing for</w:t>
      </w:r>
      <w:r>
        <w:rPr>
          <w:i/>
          <w:spacing w:val="-57"/>
        </w:rPr>
        <w:t> </w:t>
      </w:r>
      <w:r>
        <w:rPr>
          <w:i/>
        </w:rPr>
        <w:t>All</w:t>
      </w:r>
      <w:r>
        <w:rPr/>
        <w:t>: Essential to Economic, Social, and Civic Development: The World Urban</w:t>
      </w:r>
      <w:r>
        <w:rPr>
          <w:spacing w:val="1"/>
        </w:rPr>
        <w:t> </w:t>
      </w:r>
      <w:r>
        <w:rPr/>
        <w:t>Forum</w:t>
      </w:r>
      <w:r>
        <w:rPr>
          <w:spacing w:val="-1"/>
        </w:rPr>
        <w:t> </w:t>
      </w:r>
      <w:r>
        <w:rPr/>
        <w:t>III</w:t>
      </w:r>
      <w:r>
        <w:rPr>
          <w:spacing w:val="-2"/>
        </w:rPr>
        <w:t> </w:t>
      </w:r>
      <w:r>
        <w:rPr/>
        <w:t>Vancouver</w:t>
      </w:r>
      <w:r>
        <w:rPr>
          <w:spacing w:val="-2"/>
        </w:rPr>
        <w:t> </w:t>
      </w:r>
      <w:r>
        <w:rPr/>
        <w:t>in collaboration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Housing</w:t>
      </w:r>
      <w:r>
        <w:rPr>
          <w:spacing w:val="-5"/>
        </w:rPr>
        <w:t> </w:t>
      </w:r>
      <w:r>
        <w:rPr/>
        <w:t>Coalition.</w:t>
      </w:r>
    </w:p>
    <w:p>
      <w:pPr>
        <w:spacing w:line="480" w:lineRule="exact" w:before="41"/>
        <w:ind w:left="700" w:right="1057" w:firstLine="0"/>
        <w:jc w:val="both"/>
        <w:rPr>
          <w:i/>
          <w:sz w:val="24"/>
        </w:rPr>
      </w:pPr>
      <w:r>
        <w:rPr>
          <w:sz w:val="24"/>
        </w:rPr>
        <w:t>Durah, E. (1988). Housing Economics, National Council for Culture and Arts, Kuwai</w:t>
      </w:r>
      <w:r>
        <w:rPr>
          <w:spacing w:val="1"/>
          <w:sz w:val="24"/>
        </w:rPr>
        <w:t> </w:t>
      </w:r>
      <w:r>
        <w:rPr>
          <w:sz w:val="24"/>
        </w:rPr>
        <w:t>Economist</w:t>
      </w:r>
      <w:r>
        <w:rPr>
          <w:spacing w:val="19"/>
          <w:sz w:val="24"/>
        </w:rPr>
        <w:t> </w:t>
      </w:r>
      <w:r>
        <w:rPr>
          <w:sz w:val="24"/>
        </w:rPr>
        <w:t>Intelligence</w:t>
      </w:r>
      <w:r>
        <w:rPr>
          <w:spacing w:val="26"/>
          <w:sz w:val="24"/>
        </w:rPr>
        <w:t> </w:t>
      </w:r>
      <w:r>
        <w:rPr>
          <w:sz w:val="24"/>
        </w:rPr>
        <w:t>Unit,</w:t>
      </w:r>
      <w:r>
        <w:rPr>
          <w:spacing w:val="25"/>
          <w:sz w:val="24"/>
        </w:rPr>
        <w:t> </w:t>
      </w:r>
      <w:r>
        <w:rPr>
          <w:sz w:val="24"/>
        </w:rPr>
        <w:t>(2012).</w:t>
      </w:r>
      <w:r>
        <w:rPr>
          <w:spacing w:val="2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summary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liveabilility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ranking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</w:p>
    <w:p>
      <w:pPr>
        <w:pStyle w:val="BodyText"/>
        <w:spacing w:line="227" w:lineRule="exact"/>
        <w:ind w:left="1420"/>
      </w:pPr>
      <w:r>
        <w:rPr>
          <w:i/>
        </w:rPr>
        <w:t>overview</w:t>
      </w:r>
      <w:r>
        <w:rPr/>
        <w:t>,</w:t>
      </w:r>
      <w:r>
        <w:rPr>
          <w:spacing w:val="-3"/>
        </w:rPr>
        <w:t> </w:t>
      </w:r>
      <w:r>
        <w:rPr/>
        <w:t>Economist</w:t>
      </w:r>
      <w:r>
        <w:rPr>
          <w:spacing w:val="-2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Unit:</w:t>
      </w:r>
      <w:r>
        <w:rPr>
          <w:spacing w:val="-2"/>
        </w:rPr>
        <w:t> </w:t>
      </w:r>
      <w:r>
        <w:rPr/>
        <w:t>London.</w:t>
      </w:r>
    </w:p>
    <w:p>
      <w:pPr>
        <w:spacing w:line="237" w:lineRule="auto" w:before="211"/>
        <w:ind w:left="1420" w:right="1033" w:hanging="720"/>
        <w:jc w:val="both"/>
        <w:rPr>
          <w:sz w:val="24"/>
        </w:rPr>
      </w:pPr>
      <w:r>
        <w:rPr>
          <w:sz w:val="24"/>
        </w:rPr>
        <w:t>Elia, S. A., Ahmad, F. M. &amp; Abdul, S. A. (2017).Housing Affordability Factors for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Liveability: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Study: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Vol 7:Institute Environmental and Development (LESTARI) </w:t>
      </w:r>
      <w:r>
        <w:rPr>
          <w:sz w:val="24"/>
        </w:rPr>
        <w:t>Universiti</w:t>
      </w:r>
      <w:r>
        <w:rPr>
          <w:spacing w:val="1"/>
          <w:sz w:val="24"/>
        </w:rPr>
        <w:t> </w:t>
      </w:r>
      <w:r>
        <w:rPr>
          <w:sz w:val="24"/>
        </w:rPr>
        <w:t>Kebangsaan</w:t>
      </w:r>
      <w:r>
        <w:rPr>
          <w:spacing w:val="-1"/>
          <w:sz w:val="24"/>
        </w:rPr>
        <w:t> </w:t>
      </w:r>
      <w:r>
        <w:rPr>
          <w:sz w:val="24"/>
        </w:rPr>
        <w:t>Malaysia</w:t>
      </w:r>
      <w:r>
        <w:rPr>
          <w:spacing w:val="1"/>
          <w:sz w:val="24"/>
        </w:rPr>
        <w:t> </w:t>
      </w:r>
      <w:r>
        <w:rPr>
          <w:sz w:val="24"/>
        </w:rPr>
        <w:t>(UKM)</w:t>
      </w:r>
    </w:p>
    <w:p>
      <w:pPr>
        <w:spacing w:after="0" w:line="237" w:lineRule="auto"/>
        <w:jc w:val="both"/>
        <w:rPr>
          <w:sz w:val="24"/>
        </w:rPr>
        <w:sectPr>
          <w:pgSz w:w="11900" w:h="16840"/>
          <w:pgMar w:header="0" w:footer="852" w:top="1320" w:bottom="1040" w:left="1280" w:right="360"/>
        </w:sectPr>
      </w:pPr>
    </w:p>
    <w:p>
      <w:pPr>
        <w:pStyle w:val="BodyText"/>
        <w:spacing w:line="237" w:lineRule="auto" w:before="74"/>
        <w:ind w:left="1420" w:right="1060" w:hanging="720"/>
        <w:jc w:val="both"/>
      </w:pPr>
      <w:r>
        <w:rPr/>
        <w:t>Eugene, E. E. (2017). Evaluation of house rent prices and their affordability in Port</w:t>
      </w:r>
      <w:r>
        <w:rPr>
          <w:spacing w:val="1"/>
        </w:rPr>
        <w:t> </w:t>
      </w:r>
      <w:r>
        <w:rPr/>
        <w:t>Moresby,</w:t>
      </w:r>
      <w:r>
        <w:rPr>
          <w:spacing w:val="1"/>
        </w:rPr>
        <w:t> </w:t>
      </w:r>
      <w:r>
        <w:rPr/>
        <w:t>Papua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Guinea: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Institute:</w:t>
      </w:r>
      <w:r>
        <w:rPr>
          <w:spacing w:val="-1"/>
        </w:rPr>
        <w:t> </w:t>
      </w:r>
      <w:r>
        <w:rPr/>
        <w:t>Port Moresby,</w:t>
      </w:r>
      <w:r>
        <w:rPr>
          <w:spacing w:val="-1"/>
        </w:rPr>
        <w:t> </w:t>
      </w:r>
      <w:r>
        <w:rPr/>
        <w:t>Papua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Guinea.</w:t>
      </w:r>
    </w:p>
    <w:p>
      <w:pPr>
        <w:pStyle w:val="BodyText"/>
        <w:spacing w:line="235" w:lineRule="auto" w:before="210"/>
        <w:ind w:left="1420" w:right="1056" w:hanging="720"/>
        <w:jc w:val="both"/>
      </w:pPr>
      <w:r>
        <w:rPr/>
        <w:t>European Commission (2007). Tourism, nightlife and violence: a cross cultural analysis</w:t>
      </w:r>
      <w:r>
        <w:rPr>
          <w:spacing w:val="-57"/>
        </w:rPr>
        <w:t> </w:t>
      </w:r>
      <w:r>
        <w:rPr/>
        <w:t>and</w:t>
      </w:r>
      <w:r>
        <w:rPr>
          <w:spacing w:val="23"/>
        </w:rPr>
        <w:t> </w:t>
      </w:r>
      <w:r>
        <w:rPr/>
        <w:t>preventive</w:t>
      </w:r>
      <w:r>
        <w:rPr>
          <w:spacing w:val="22"/>
        </w:rPr>
        <w:t> </w:t>
      </w:r>
      <w:r>
        <w:rPr/>
        <w:t>recommendations:</w:t>
      </w:r>
      <w:r>
        <w:rPr>
          <w:spacing w:val="23"/>
        </w:rPr>
        <w:t> </w:t>
      </w:r>
      <w:r>
        <w:rPr/>
        <w:t>Print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Layout:</w:t>
      </w:r>
      <w:r>
        <w:rPr>
          <w:spacing w:val="29"/>
        </w:rPr>
        <w:t> </w:t>
      </w:r>
      <w:r>
        <w:rPr/>
        <w:t>MARTÍN</w:t>
      </w:r>
      <w:r>
        <w:rPr>
          <w:spacing w:val="25"/>
        </w:rPr>
        <w:t> </w:t>
      </w:r>
      <w:r>
        <w:rPr/>
        <w:t>IMPRESORES,</w:t>
      </w:r>
    </w:p>
    <w:p>
      <w:pPr>
        <w:pStyle w:val="BodyText"/>
        <w:spacing w:line="275" w:lineRule="exact"/>
        <w:ind w:left="1420"/>
      </w:pPr>
      <w:r>
        <w:rPr/>
        <w:t>S.L.</w:t>
      </w:r>
      <w:r>
        <w:rPr>
          <w:spacing w:val="-2"/>
        </w:rPr>
        <w:t> </w:t>
      </w:r>
      <w:r>
        <w:rPr/>
        <w:t>Pintor</w:t>
      </w:r>
      <w:r>
        <w:rPr>
          <w:spacing w:val="-1"/>
        </w:rPr>
        <w:t> </w:t>
      </w:r>
      <w:r>
        <w:rPr/>
        <w:t>Jover,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·</w:t>
      </w:r>
      <w:r>
        <w:rPr>
          <w:spacing w:val="-3"/>
        </w:rPr>
        <w:t> </w:t>
      </w:r>
      <w:r>
        <w:rPr/>
        <w:t>46013</w:t>
      </w:r>
      <w:r>
        <w:rPr>
          <w:spacing w:val="-1"/>
        </w:rPr>
        <w:t> </w:t>
      </w:r>
      <w:r>
        <w:rPr/>
        <w:t>Valencia</w:t>
      </w:r>
    </w:p>
    <w:p>
      <w:pPr>
        <w:pStyle w:val="BodyText"/>
        <w:spacing w:line="237" w:lineRule="auto" w:before="209"/>
        <w:ind w:left="1420" w:right="1037" w:hanging="720"/>
        <w:jc w:val="both"/>
      </w:pPr>
      <w:r>
        <w:rPr/>
        <w:t>Fauziah, R., Shadiya, M. S. B., Aini, S. A., Muhammad, N. R. &amp; Norhaya, K. (2016).</w:t>
      </w:r>
      <w:r>
        <w:rPr>
          <w:spacing w:val="1"/>
        </w:rPr>
        <w:t> </w:t>
      </w:r>
      <w:r>
        <w:rPr/>
        <w:t>Resident‟s Perception on livability in affordable housing in Malaysia: Faculty of</w:t>
      </w:r>
      <w:r>
        <w:rPr>
          <w:spacing w:val="-57"/>
        </w:rPr>
        <w:t> </w:t>
      </w:r>
      <w:r>
        <w:rPr/>
        <w:t>Geoinformation</w:t>
      </w:r>
      <w:r>
        <w:rPr>
          <w:spacing w:val="-1"/>
        </w:rPr>
        <w:t> </w:t>
      </w:r>
      <w:r>
        <w:rPr/>
        <w:t>and Real Estate, UTM JOHOR BAHRU</w:t>
      </w:r>
    </w:p>
    <w:p>
      <w:pPr>
        <w:pStyle w:val="BodyText"/>
        <w:spacing w:line="235" w:lineRule="auto" w:before="210"/>
        <w:ind w:left="1420" w:right="1064" w:hanging="720"/>
        <w:jc w:val="both"/>
      </w:pPr>
      <w:r>
        <w:rPr/>
        <w:t>Federal</w:t>
      </w:r>
      <w:r>
        <w:rPr>
          <w:spacing w:val="32"/>
        </w:rPr>
        <w:t> </w:t>
      </w:r>
      <w:r>
        <w:rPr/>
        <w:t>Department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Town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Country</w:t>
      </w:r>
      <w:r>
        <w:rPr>
          <w:spacing w:val="28"/>
        </w:rPr>
        <w:t> </w:t>
      </w:r>
      <w:r>
        <w:rPr/>
        <w:t>Planning</w:t>
      </w:r>
      <w:r>
        <w:rPr>
          <w:spacing w:val="30"/>
        </w:rPr>
        <w:t> </w:t>
      </w:r>
      <w:r>
        <w:rPr/>
        <w:t>(2011).</w:t>
      </w:r>
      <w:r>
        <w:rPr>
          <w:spacing w:val="32"/>
        </w:rPr>
        <w:t> </w:t>
      </w:r>
      <w:r>
        <w:rPr/>
        <w:t>Compact</w:t>
      </w:r>
      <w:r>
        <w:rPr>
          <w:spacing w:val="32"/>
        </w:rPr>
        <w:t> </w:t>
      </w:r>
      <w:r>
        <w:rPr/>
        <w:t>city</w:t>
      </w:r>
      <w:r>
        <w:rPr>
          <w:spacing w:val="28"/>
        </w:rPr>
        <w:t> </w:t>
      </w:r>
      <w:r>
        <w:rPr/>
        <w:t>vs</w:t>
      </w:r>
      <w:r>
        <w:rPr>
          <w:spacing w:val="32"/>
        </w:rPr>
        <w:t> </w:t>
      </w:r>
      <w:r>
        <w:rPr/>
        <w:t>Vibrant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Livable Cities. Retrieved December 16,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spacing w:line="232" w:lineRule="auto" w:before="215"/>
        <w:ind w:left="1420" w:right="1062" w:hanging="720"/>
        <w:jc w:val="both"/>
      </w:pPr>
      <w:r>
        <w:rPr/>
        <w:t>Frank, L. D., Schmid, T. L., Sallis, J. F., Chapman, J. &amp; Saelens, B. E. (2005). Linking</w:t>
      </w:r>
      <w:r>
        <w:rPr>
          <w:spacing w:val="1"/>
        </w:rPr>
        <w:t> </w:t>
      </w:r>
      <w:r>
        <w:rPr/>
        <w:t>objectively</w:t>
      </w:r>
      <w:r>
        <w:rPr>
          <w:spacing w:val="-6"/>
        </w:rPr>
        <w:t> </w:t>
      </w:r>
      <w:r>
        <w:rPr/>
        <w:t>measured</w:t>
      </w:r>
      <w:r>
        <w:rPr>
          <w:spacing w:val="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with objectively</w:t>
      </w:r>
      <w:r>
        <w:rPr>
          <w:spacing w:val="-5"/>
        </w:rPr>
        <w:t> </w:t>
      </w:r>
      <w:r>
        <w:rPr/>
        <w:t>measured urban form.</w:t>
      </w:r>
    </w:p>
    <w:p>
      <w:pPr>
        <w:spacing w:line="235" w:lineRule="auto" w:before="12"/>
        <w:ind w:left="1420" w:right="3414" w:firstLine="0"/>
        <w:jc w:val="left"/>
        <w:rPr>
          <w:sz w:val="24"/>
        </w:rPr>
      </w:pPr>
      <w:r>
        <w:rPr>
          <w:i/>
          <w:sz w:val="24"/>
        </w:rPr>
        <w:t>American Journal of Preventive Medicine</w:t>
      </w:r>
      <w:r>
        <w:rPr>
          <w:sz w:val="24"/>
        </w:rPr>
        <w:t>, 28, 117–125.</w:t>
      </w:r>
      <w:r>
        <w:rPr>
          <w:spacing w:val="-57"/>
          <w:sz w:val="24"/>
        </w:rPr>
        <w:t> </w:t>
      </w:r>
      <w:r>
        <w:rPr>
          <w:sz w:val="24"/>
        </w:rPr>
        <w:t>doi:10.1016/j.amepre.2004.11.001</w:t>
      </w:r>
    </w:p>
    <w:p>
      <w:pPr>
        <w:spacing w:line="237" w:lineRule="auto" w:before="210"/>
        <w:ind w:left="1420" w:right="1055" w:hanging="720"/>
        <w:jc w:val="both"/>
        <w:rPr>
          <w:sz w:val="24"/>
        </w:rPr>
      </w:pPr>
      <w:r>
        <w:rPr>
          <w:sz w:val="24"/>
        </w:rPr>
        <w:t>Gabriel, M., Jacobs, K., Arthurson, K., Burke, T. &amp;Yates, J. (2005). </w:t>
      </w:r>
      <w:r>
        <w:rPr>
          <w:i/>
          <w:sz w:val="24"/>
        </w:rPr>
        <w:t>Conceptualising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measuring the housing affordability problem</w:t>
      </w:r>
      <w:r>
        <w:rPr>
          <w:sz w:val="24"/>
        </w:rPr>
        <w:t>, National Research Venture 3: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affordability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Australians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Urban Research</w:t>
      </w:r>
      <w:r>
        <w:rPr>
          <w:spacing w:val="3"/>
          <w:sz w:val="24"/>
        </w:rPr>
        <w:t> </w:t>
      </w:r>
      <w:r>
        <w:rPr>
          <w:sz w:val="24"/>
        </w:rPr>
        <w:t>Institute.</w:t>
      </w:r>
    </w:p>
    <w:p>
      <w:pPr>
        <w:spacing w:line="235" w:lineRule="auto" w:before="213"/>
        <w:ind w:left="1420" w:right="1063" w:hanging="720"/>
        <w:jc w:val="both"/>
        <w:rPr>
          <w:sz w:val="24"/>
        </w:rPr>
      </w:pPr>
      <w:r>
        <w:rPr>
          <w:sz w:val="24"/>
        </w:rPr>
        <w:t>Gan, Q. &amp; Hill, R. J. (2009). Measuring housing affordability: Looking beyond the</w:t>
      </w:r>
      <w:r>
        <w:rPr>
          <w:spacing w:val="1"/>
          <w:sz w:val="24"/>
        </w:rPr>
        <w:t> </w:t>
      </w:r>
      <w:r>
        <w:rPr>
          <w:sz w:val="24"/>
        </w:rPr>
        <w:t>median.</w:t>
      </w:r>
      <w:r>
        <w:rPr>
          <w:spacing w:val="-1"/>
          <w:sz w:val="24"/>
        </w:rPr>
        <w:t> </w:t>
      </w:r>
      <w:r>
        <w:rPr>
          <w:i/>
          <w:sz w:val="24"/>
        </w:rPr>
        <w:t>Journal of Housing Economics, 18</w:t>
      </w:r>
      <w:r>
        <w:rPr>
          <w:sz w:val="24"/>
        </w:rPr>
        <w:t>(2), 115-125.</w:t>
      </w:r>
    </w:p>
    <w:p>
      <w:pPr>
        <w:spacing w:line="237" w:lineRule="auto" w:before="213"/>
        <w:ind w:left="1420" w:right="1032" w:hanging="720"/>
        <w:jc w:val="both"/>
        <w:rPr>
          <w:sz w:val="24"/>
        </w:rPr>
      </w:pPr>
      <w:r>
        <w:rPr>
          <w:sz w:val="24"/>
        </w:rPr>
        <w:t>Heylen, K. (2006). Liveability in social housing: Three case-studies in Flanders. Paper</w:t>
      </w:r>
      <w:r>
        <w:rPr>
          <w:spacing w:val="1"/>
          <w:sz w:val="24"/>
        </w:rPr>
        <w:t> </w:t>
      </w:r>
      <w:r>
        <w:rPr>
          <w:sz w:val="24"/>
        </w:rPr>
        <w:t>presented at the </w:t>
      </w:r>
      <w:r>
        <w:rPr>
          <w:i/>
          <w:sz w:val="24"/>
        </w:rPr>
        <w:t>ENHR conference "Housing in an expanding Europe: Theory,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policy, participation and implementation"</w:t>
      </w:r>
      <w:r>
        <w:rPr>
          <w:sz w:val="24"/>
        </w:rPr>
        <w:t>, Government Malaysia</w:t>
      </w:r>
      <w:r>
        <w:rPr>
          <w:spacing w:val="1"/>
          <w:sz w:val="24"/>
        </w:rPr>
        <w:t> </w:t>
      </w:r>
      <w:r>
        <w:rPr>
          <w:sz w:val="24"/>
        </w:rPr>
        <w:t>(2006) 2–5</w:t>
      </w:r>
      <w:r>
        <w:rPr>
          <w:spacing w:val="1"/>
          <w:sz w:val="24"/>
        </w:rPr>
        <w:t> </w:t>
      </w:r>
      <w:r>
        <w:rPr>
          <w:sz w:val="24"/>
        </w:rPr>
        <w:t>July 2006, Ljubljana, Slovenia. </w:t>
      </w:r>
      <w:hyperlink r:id="rId32">
        <w:r>
          <w:rPr>
            <w:sz w:val="24"/>
          </w:rPr>
          <w:t>http://enhr2006-ljubljana.uirs.si/publish/</w:t>
        </w:r>
      </w:hyperlink>
      <w:r>
        <w:rPr>
          <w:sz w:val="24"/>
        </w:rPr>
        <w:t> W18_</w:t>
      </w:r>
      <w:r>
        <w:rPr>
          <w:spacing w:val="1"/>
          <w:sz w:val="24"/>
        </w:rPr>
        <w:t> </w:t>
      </w:r>
      <w:r>
        <w:rPr>
          <w:sz w:val="24"/>
        </w:rPr>
        <w:t>Heylen.</w:t>
      </w:r>
      <w:r>
        <w:rPr>
          <w:spacing w:val="-1"/>
          <w:sz w:val="24"/>
        </w:rPr>
        <w:t> </w:t>
      </w:r>
      <w:r>
        <w:rPr>
          <w:sz w:val="24"/>
        </w:rPr>
        <w:t>pdf</w:t>
      </w:r>
      <w:r>
        <w:rPr>
          <w:spacing w:val="-1"/>
          <w:sz w:val="24"/>
        </w:rPr>
        <w:t> </w:t>
      </w:r>
      <w:r>
        <w:rPr>
          <w:sz w:val="24"/>
        </w:rPr>
        <w:t>(accessed 12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spacing w:line="237" w:lineRule="auto" w:before="211"/>
        <w:ind w:left="1420" w:right="1061" w:hanging="720"/>
        <w:jc w:val="both"/>
      </w:pPr>
      <w:r>
        <w:rPr/>
        <w:t>Housing affordability and livability agenda advisory committee (HALA) (2015).Seattle</w:t>
      </w:r>
      <w:r>
        <w:rPr>
          <w:spacing w:val="1"/>
        </w:rPr>
        <w:t> </w:t>
      </w:r>
      <w:r>
        <w:rPr/>
        <w:t>housing affordability and livability agenda. Retrieved mei 20, 2016, Websites:</w:t>
      </w:r>
      <w:r>
        <w:rPr>
          <w:spacing w:val="1"/>
        </w:rPr>
        <w:t> </w:t>
      </w:r>
      <w:hyperlink r:id="rId33">
        <w:r>
          <w:rPr>
            <w:u w:val="single"/>
          </w:rPr>
          <w:t>http://murray.seattle.gov/wp-content/uploads/2015/07/HALA_Report_2015.pdf</w:t>
        </w:r>
        <w:r>
          <w:rPr/>
          <w:t>.</w:t>
        </w:r>
      </w:hyperlink>
    </w:p>
    <w:p>
      <w:pPr>
        <w:spacing w:before="201"/>
        <w:ind w:left="700" w:right="0" w:firstLine="0"/>
        <w:jc w:val="left"/>
        <w:rPr>
          <w:sz w:val="24"/>
        </w:rPr>
      </w:pP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1"/>
          <w:sz w:val="24"/>
        </w:rPr>
        <w:t> </w:t>
      </w:r>
      <w:r>
        <w:rPr>
          <w:sz w:val="24"/>
        </w:rPr>
        <w:t>19(3),</w:t>
      </w:r>
      <w:r>
        <w:rPr>
          <w:spacing w:val="-1"/>
          <w:sz w:val="24"/>
        </w:rPr>
        <w:t> </w:t>
      </w:r>
      <w:r>
        <w:rPr>
          <w:sz w:val="24"/>
        </w:rPr>
        <w:t>395-413.</w:t>
      </w:r>
    </w:p>
    <w:p>
      <w:pPr>
        <w:pStyle w:val="BodyText"/>
        <w:spacing w:line="237" w:lineRule="auto" w:before="208"/>
        <w:ind w:left="1420" w:right="1055" w:hanging="720"/>
        <w:jc w:val="both"/>
      </w:pPr>
      <w:r>
        <w:rPr/>
        <w:t>Hunter, R. H., Sykes, K., Lowman, S. G., Duncan, R., Satarian, W. A. &amp; Belza, B.</w:t>
      </w:r>
      <w:r>
        <w:rPr>
          <w:spacing w:val="1"/>
        </w:rPr>
        <w:t> </w:t>
      </w:r>
      <w:r>
        <w:rPr/>
        <w:t>(2011). Environmental and policy change to support healthy aging.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Aging</w:t>
      </w:r>
      <w:r>
        <w:rPr>
          <w:i/>
          <w:spacing w:val="3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Social Policy,</w:t>
      </w:r>
      <w:r>
        <w:rPr>
          <w:i/>
          <w:spacing w:val="1"/>
        </w:rPr>
        <w:t> </w:t>
      </w:r>
      <w:r>
        <w:rPr/>
        <w:t>23, 354–371.</w:t>
      </w:r>
      <w:r>
        <w:rPr>
          <w:spacing w:val="-1"/>
        </w:rPr>
        <w:t> </w:t>
      </w:r>
      <w:r>
        <w:rPr/>
        <w:t>doi:10.1080/08959420.2011.605642</w:t>
      </w:r>
    </w:p>
    <w:p>
      <w:pPr>
        <w:pStyle w:val="BodyText"/>
        <w:spacing w:line="237" w:lineRule="auto" w:before="208"/>
        <w:ind w:left="1420" w:right="1057" w:hanging="720"/>
        <w:jc w:val="both"/>
      </w:pPr>
      <w:r>
        <w:rPr/>
        <w:t>Ibem, O. O.&amp;Aduwo, E. B. (2013), Assessment of Residential Satisfaction in Public</w:t>
      </w:r>
      <w:r>
        <w:rPr>
          <w:spacing w:val="1"/>
        </w:rPr>
        <w:t> </w:t>
      </w:r>
      <w:r>
        <w:rPr/>
        <w:t>Housing in Ogun State, Nigeria. </w:t>
      </w:r>
      <w:r>
        <w:rPr>
          <w:i/>
        </w:rPr>
        <w:t>Habitat International, </w:t>
      </w:r>
      <w:r>
        <w:rPr/>
        <w:t>40, 163 -175.Retrieved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34">
        <w:r>
          <w:rPr/>
          <w:t>www.elsevier.com/locate/habitatint.</w:t>
        </w:r>
      </w:hyperlink>
    </w:p>
    <w:p>
      <w:pPr>
        <w:spacing w:line="235" w:lineRule="auto" w:before="208"/>
        <w:ind w:left="1420" w:right="1054" w:hanging="720"/>
        <w:jc w:val="both"/>
        <w:rPr>
          <w:sz w:val="24"/>
        </w:rPr>
      </w:pPr>
      <w:r>
        <w:rPr>
          <w:sz w:val="24"/>
        </w:rPr>
        <w:t>Ibrahim, R. B., Bako, A.I, Raheem W. M. &amp; Abdulyekeen, A. O. (2014).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 Africa,</w:t>
      </w:r>
      <w:r>
        <w:rPr>
          <w:i/>
          <w:spacing w:val="1"/>
          <w:sz w:val="24"/>
        </w:rPr>
        <w:t> </w:t>
      </w:r>
      <w:r>
        <w:rPr>
          <w:sz w:val="24"/>
        </w:rPr>
        <w:t>16,8</w:t>
      </w:r>
    </w:p>
    <w:p>
      <w:pPr>
        <w:spacing w:line="235" w:lineRule="auto" w:before="212"/>
        <w:ind w:left="1420" w:right="1064" w:hanging="720"/>
        <w:jc w:val="both"/>
        <w:rPr>
          <w:i/>
          <w:sz w:val="24"/>
        </w:rPr>
      </w:pPr>
      <w:r>
        <w:rPr>
          <w:sz w:val="24"/>
        </w:rPr>
        <w:t>Ibrahim, T. A. (2013).</w:t>
      </w:r>
      <w:r>
        <w:rPr>
          <w:spacing w:val="60"/>
          <w:sz w:val="24"/>
        </w:rPr>
        <w:t> </w:t>
      </w:r>
      <w:r>
        <w:rPr>
          <w:sz w:val="24"/>
        </w:rPr>
        <w:t>Impact of location on property value and business 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Ilorin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</w:p>
    <w:p>
      <w:pPr>
        <w:spacing w:after="0" w:line="235" w:lineRule="auto"/>
        <w:jc w:val="both"/>
        <w:rPr>
          <w:sz w:val="24"/>
        </w:rPr>
        <w:sectPr>
          <w:footerReference w:type="default" r:id="rId31"/>
          <w:pgSz w:w="11900" w:h="16840"/>
          <w:pgMar w:footer="1128" w:header="0" w:top="1320" w:bottom="1320" w:left="1280" w:right="360"/>
        </w:sectPr>
      </w:pPr>
    </w:p>
    <w:p>
      <w:pPr>
        <w:pStyle w:val="BodyText"/>
        <w:spacing w:line="242" w:lineRule="auto" w:before="62"/>
        <w:ind w:left="1420" w:right="1153" w:hanging="720"/>
        <w:jc w:val="both"/>
      </w:pPr>
      <w:r>
        <w:rPr/>
        <w:t>Jana,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Rodney,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Shannon,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Brad,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(2018).The</w:t>
      </w:r>
      <w:r>
        <w:rPr>
          <w:spacing w:val="1"/>
        </w:rPr>
        <w:t> </w:t>
      </w:r>
      <w:r>
        <w:rPr/>
        <w:t>livability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2018:</w:t>
      </w:r>
      <w:r>
        <w:rPr>
          <w:spacing w:val="-58"/>
        </w:rPr>
        <w:t> </w:t>
      </w:r>
      <w:r>
        <w:rPr/>
        <w:t>Transforming</w:t>
      </w:r>
      <w:r>
        <w:rPr>
          <w:spacing w:val="-4"/>
        </w:rPr>
        <w:t> </w:t>
      </w:r>
      <w:r>
        <w:rPr/>
        <w:t>communities for</w:t>
      </w:r>
      <w:r>
        <w:rPr>
          <w:spacing w:val="-1"/>
        </w:rPr>
        <w:t> </w:t>
      </w:r>
      <w:r>
        <w:rPr/>
        <w:t>all ages:</w:t>
      </w:r>
      <w:r>
        <w:rPr>
          <w:spacing w:val="-1"/>
        </w:rPr>
        <w:t> </w:t>
      </w:r>
      <w:r>
        <w:rPr/>
        <w:t>AARP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Institute.</w:t>
      </w:r>
    </w:p>
    <w:p>
      <w:pPr>
        <w:spacing w:line="237" w:lineRule="auto" w:before="206"/>
        <w:ind w:left="1420" w:right="1053" w:hanging="720"/>
        <w:jc w:val="both"/>
        <w:rPr>
          <w:sz w:val="24"/>
        </w:rPr>
      </w:pPr>
      <w:r>
        <w:rPr>
          <w:sz w:val="24"/>
        </w:rPr>
        <w:t>Jasmine, L. L. &amp;Ahmed, H. H. (2010). Liveability Dimensions and Attributes: Their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Eyes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Neighborhood</w:t>
      </w:r>
      <w:r>
        <w:rPr>
          <w:spacing w:val="1"/>
          <w:sz w:val="24"/>
        </w:rPr>
        <w:t> </w:t>
      </w:r>
      <w:r>
        <w:rPr>
          <w:sz w:val="24"/>
        </w:rPr>
        <w:t>Residents,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Developing Countries,</w:t>
      </w:r>
      <w:r>
        <w:rPr>
          <w:i/>
          <w:spacing w:val="2"/>
          <w:sz w:val="24"/>
        </w:rPr>
        <w:t> </w:t>
      </w:r>
      <w:r>
        <w:rPr>
          <w:sz w:val="24"/>
        </w:rPr>
        <w:t>15(1), 67–91</w:t>
      </w:r>
    </w:p>
    <w:p>
      <w:pPr>
        <w:spacing w:line="235" w:lineRule="auto" w:before="207"/>
        <w:ind w:left="1420" w:right="1057" w:hanging="720"/>
        <w:jc w:val="both"/>
        <w:rPr>
          <w:sz w:val="24"/>
        </w:rPr>
      </w:pPr>
      <w:r>
        <w:rPr>
          <w:sz w:val="24"/>
        </w:rPr>
        <w:t>Jinadu, A.M. (2007). </w:t>
      </w:r>
      <w:r>
        <w:rPr>
          <w:i/>
          <w:sz w:val="24"/>
        </w:rPr>
        <w:t>Understanding the basics of housing</w:t>
      </w:r>
      <w:r>
        <w:rPr>
          <w:sz w:val="24"/>
        </w:rPr>
        <w:t>: published in Nigeria by Jos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spacing w:line="237" w:lineRule="auto" w:before="213"/>
        <w:ind w:left="1420" w:right="1035" w:hanging="720"/>
        <w:jc w:val="both"/>
        <w:rPr>
          <w:sz w:val="24"/>
        </w:rPr>
      </w:pPr>
      <w:r>
        <w:rPr>
          <w:sz w:val="24"/>
        </w:rPr>
        <w:t>John, M. Q. (2005). The effects of land use regulation on the price of housing: what do</w:t>
      </w:r>
      <w:r>
        <w:rPr>
          <w:spacing w:val="1"/>
          <w:sz w:val="24"/>
        </w:rPr>
        <w:t> </w:t>
      </w:r>
      <w:r>
        <w:rPr>
          <w:sz w:val="24"/>
        </w:rPr>
        <w:t>we know? What can we learn? </w:t>
      </w:r>
      <w:r>
        <w:rPr>
          <w:i/>
          <w:sz w:val="24"/>
        </w:rPr>
        <w:t>A Journal of Policy Development and Research,</w:t>
      </w:r>
      <w:r>
        <w:rPr>
          <w:i/>
          <w:spacing w:val="1"/>
          <w:sz w:val="24"/>
        </w:rPr>
        <w:t> </w:t>
      </w:r>
      <w:r>
        <w:rPr>
          <w:sz w:val="24"/>
        </w:rPr>
        <w:t>8(1),</w:t>
      </w:r>
      <w:r>
        <w:rPr>
          <w:spacing w:val="-1"/>
          <w:sz w:val="24"/>
        </w:rPr>
        <w:t> </w:t>
      </w:r>
      <w:r>
        <w:rPr>
          <w:sz w:val="24"/>
        </w:rPr>
        <w:t>60-72</w:t>
      </w:r>
    </w:p>
    <w:p>
      <w:pPr>
        <w:pStyle w:val="BodyText"/>
        <w:spacing w:line="235" w:lineRule="auto" w:before="210"/>
        <w:ind w:left="1420" w:right="1043" w:hanging="720"/>
        <w:jc w:val="both"/>
      </w:pPr>
      <w:r>
        <w:rPr/>
        <w:t>Kwara State Ministry of Lands and Housing, (2018).Map of Kwara State Showing</w:t>
      </w:r>
      <w:r>
        <w:rPr>
          <w:spacing w:val="1"/>
        </w:rPr>
        <w:t> </w:t>
      </w:r>
      <w:r>
        <w:rPr/>
        <w:t>Ilorin:</w:t>
      </w:r>
      <w:r>
        <w:rPr>
          <w:spacing w:val="-1"/>
        </w:rPr>
        <w:t> </w:t>
      </w:r>
      <w:r>
        <w:rPr/>
        <w:t>cartography</w:t>
      </w:r>
      <w:r>
        <w:rPr>
          <w:spacing w:val="-5"/>
        </w:rPr>
        <w:t> </w:t>
      </w:r>
      <w:r>
        <w:rPr/>
        <w:t>Unit, Ministry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Lands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Ilorin</w:t>
      </w:r>
      <w:r>
        <w:rPr>
          <w:spacing w:val="-1"/>
        </w:rPr>
        <w:t> </w:t>
      </w:r>
      <w:r>
        <w:rPr/>
        <w:t>Kwara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spacing w:line="235" w:lineRule="auto" w:before="209"/>
        <w:ind w:left="1420" w:right="1062" w:hanging="720"/>
        <w:jc w:val="both"/>
      </w:pPr>
      <w:r>
        <w:rPr/>
        <w:t>Kwara State Town planning development Authority, (2019). Ilorin Showing the four</w:t>
      </w:r>
      <w:r>
        <w:rPr>
          <w:spacing w:val="1"/>
        </w:rPr>
        <w:t> </w:t>
      </w:r>
      <w:r>
        <w:rPr/>
        <w:t>estate:</w:t>
      </w:r>
    </w:p>
    <w:p>
      <w:pPr>
        <w:spacing w:before="203"/>
        <w:ind w:left="700" w:right="0" w:firstLine="0"/>
        <w:jc w:val="left"/>
        <w:rPr>
          <w:sz w:val="24"/>
        </w:rPr>
      </w:pP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Act,</w:t>
      </w:r>
      <w:r>
        <w:rPr>
          <w:spacing w:val="-1"/>
          <w:sz w:val="24"/>
        </w:rPr>
        <w:t> </w:t>
      </w:r>
      <w:r>
        <w:rPr>
          <w:sz w:val="24"/>
        </w:rPr>
        <w:t>Cap 202</w:t>
      </w:r>
      <w:r>
        <w:rPr>
          <w:spacing w:val="-1"/>
          <w:sz w:val="24"/>
        </w:rPr>
        <w:t> </w:t>
      </w:r>
      <w:r>
        <w:rPr>
          <w:sz w:val="24"/>
        </w:rPr>
        <w:t>(1990). </w:t>
      </w:r>
      <w:r>
        <w:rPr>
          <w:i/>
          <w:sz w:val="24"/>
        </w:rPr>
        <w:t>Law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</w:t>
      </w:r>
      <w:r>
        <w:rPr>
          <w:sz w:val="24"/>
        </w:rPr>
        <w:t>.</w:t>
      </w:r>
    </w:p>
    <w:p>
      <w:pPr>
        <w:pStyle w:val="BodyText"/>
        <w:spacing w:before="197"/>
        <w:ind w:left="700"/>
      </w:pPr>
      <w:r>
        <w:rPr/>
        <w:t>Lawanson,</w:t>
      </w:r>
      <w:r>
        <w:rPr>
          <w:spacing w:val="-2"/>
        </w:rPr>
        <w:t> </w:t>
      </w:r>
      <w:r>
        <w:rPr/>
        <w:t>T.,</w:t>
      </w:r>
      <w:r>
        <w:rPr>
          <w:spacing w:val="-2"/>
        </w:rPr>
        <w:t> </w:t>
      </w:r>
      <w:r>
        <w:rPr/>
        <w:t>Salau,</w:t>
      </w:r>
      <w:r>
        <w:rPr>
          <w:spacing w:val="-2"/>
        </w:rPr>
        <w:t> </w:t>
      </w:r>
      <w:r>
        <w:rPr/>
        <w:t>T.</w:t>
      </w:r>
      <w:r>
        <w:rPr>
          <w:spacing w:val="1"/>
        </w:rPr>
        <w:t> </w:t>
      </w:r>
      <w:r>
        <w:rPr/>
        <w:t>&amp;Yadua,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(2013).Conceptualizing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Liveable</w:t>
      </w:r>
      <w:r>
        <w:rPr>
          <w:spacing w:val="-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City.</w:t>
      </w:r>
    </w:p>
    <w:p>
      <w:pPr>
        <w:spacing w:before="2"/>
        <w:ind w:left="688" w:right="699" w:firstLine="0"/>
        <w:jc w:val="center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Innovation, </w:t>
      </w:r>
      <w:r>
        <w:rPr>
          <w:sz w:val="24"/>
        </w:rPr>
        <w:t>3(1), 573-588.</w:t>
      </w:r>
    </w:p>
    <w:p>
      <w:pPr>
        <w:pStyle w:val="BodyText"/>
        <w:spacing w:before="197"/>
        <w:ind w:left="1420" w:right="1606" w:hanging="720"/>
      </w:pPr>
      <w:r>
        <w:rPr/>
        <w:t>Lee,</w:t>
      </w:r>
      <w:r>
        <w:rPr>
          <w:spacing w:val="-1"/>
        </w:rPr>
        <w:t> </w:t>
      </w:r>
      <w:r>
        <w:rPr/>
        <w:t>N.J.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Ong,</w:t>
      </w:r>
      <w:r>
        <w:rPr>
          <w:spacing w:val="-1"/>
        </w:rPr>
        <w:t> </w:t>
      </w:r>
      <w:r>
        <w:rPr/>
        <w:t>S.E.</w:t>
      </w:r>
      <w:r>
        <w:rPr>
          <w:spacing w:val="-1"/>
        </w:rPr>
        <w:t> </w:t>
      </w:r>
      <w:r>
        <w:rPr/>
        <w:t>(2005).Upward</w:t>
      </w:r>
      <w:r>
        <w:rPr>
          <w:spacing w:val="-1"/>
        </w:rPr>
        <w:t> </w:t>
      </w:r>
      <w:r>
        <w:rPr/>
        <w:t>mobility,</w:t>
      </w:r>
      <w:r>
        <w:rPr>
          <w:spacing w:val="-1"/>
        </w:rPr>
        <w:t> </w:t>
      </w:r>
      <w:r>
        <w:rPr/>
        <w:t>house</w:t>
      </w:r>
      <w:r>
        <w:rPr>
          <w:spacing w:val="-2"/>
        </w:rPr>
        <w:t> </w:t>
      </w:r>
      <w:r>
        <w:rPr/>
        <w:t>price</w:t>
      </w:r>
      <w:r>
        <w:rPr>
          <w:spacing w:val="-2"/>
        </w:rPr>
        <w:t> </w:t>
      </w:r>
      <w:r>
        <w:rPr/>
        <w:t>volatility,</w:t>
      </w:r>
      <w:r>
        <w:rPr>
          <w:spacing w:val="1"/>
        </w:rPr>
        <w:t> </w:t>
      </w:r>
      <w:r>
        <w:rPr/>
        <w:t>and housing</w:t>
      </w:r>
      <w:r>
        <w:rPr>
          <w:spacing w:val="-57"/>
        </w:rPr>
        <w:t> </w:t>
      </w:r>
      <w:r>
        <w:rPr/>
        <w:t>equity.</w:t>
      </w:r>
      <w:r>
        <w:rPr>
          <w:spacing w:val="-1"/>
        </w:rPr>
        <w:t> </w:t>
      </w:r>
      <w:r>
        <w:rPr>
          <w:i/>
        </w:rPr>
        <w:t>Journal of Housing Economics,</w:t>
      </w:r>
      <w:r>
        <w:rPr>
          <w:i/>
          <w:spacing w:val="1"/>
        </w:rPr>
        <w:t> </w:t>
      </w:r>
      <w:r>
        <w:rPr/>
        <w:t>14(2), 127-146.</w:t>
      </w:r>
      <w:r>
        <w:rPr>
          <w:spacing w:val="1"/>
        </w:rPr>
        <w:t> </w:t>
      </w:r>
      <w:r>
        <w:rPr/>
        <w:t>doi:10.1016/j.jhe.2005.06.004</w:t>
      </w:r>
    </w:p>
    <w:p>
      <w:pPr>
        <w:spacing w:line="235" w:lineRule="auto" w:before="214"/>
        <w:ind w:left="1420" w:right="1033" w:hanging="720"/>
        <w:jc w:val="left"/>
        <w:rPr>
          <w:sz w:val="24"/>
        </w:rPr>
      </w:pPr>
      <w:r>
        <w:rPr>
          <w:sz w:val="24"/>
        </w:rPr>
        <w:t>Linneman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Megbolugbe (1992).</w:t>
      </w:r>
      <w:r>
        <w:rPr>
          <w:spacing w:val="2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affordability: myth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Studies,</w:t>
      </w:r>
      <w:r>
        <w:rPr>
          <w:spacing w:val="-57"/>
          <w:sz w:val="24"/>
        </w:rPr>
        <w:t> </w:t>
      </w:r>
      <w:r>
        <w:rPr>
          <w:sz w:val="24"/>
        </w:rPr>
        <w:t>29(3/4),</w:t>
      </w:r>
      <w:r>
        <w:rPr>
          <w:spacing w:val="-1"/>
          <w:sz w:val="24"/>
        </w:rPr>
        <w:t> </w:t>
      </w:r>
      <w:r>
        <w:rPr>
          <w:sz w:val="24"/>
        </w:rPr>
        <w:t>369-392</w:t>
      </w:r>
    </w:p>
    <w:p>
      <w:pPr>
        <w:pStyle w:val="BodyText"/>
        <w:spacing w:line="235" w:lineRule="auto" w:before="210"/>
        <w:ind w:left="1420" w:right="1030" w:hanging="720"/>
      </w:pPr>
      <w:r>
        <w:rPr/>
        <w:t>Mayor,</w:t>
      </w:r>
      <w:r>
        <w:rPr>
          <w:spacing w:val="5"/>
        </w:rPr>
        <w:t> </w:t>
      </w:r>
      <w:r>
        <w:rPr/>
        <w:t>E.,</w:t>
      </w:r>
      <w:r>
        <w:rPr>
          <w:spacing w:val="6"/>
        </w:rPr>
        <w:t> </w:t>
      </w:r>
      <w:r>
        <w:rPr/>
        <w:t>Murray,</w:t>
      </w:r>
      <w:r>
        <w:rPr>
          <w:spacing w:val="8"/>
        </w:rPr>
        <w:t> </w:t>
      </w:r>
      <w:r>
        <w:rPr/>
        <w:t>B.</w:t>
      </w:r>
      <w:r>
        <w:rPr>
          <w:spacing w:val="9"/>
        </w:rPr>
        <w:t> </w:t>
      </w:r>
      <w:r>
        <w:rPr/>
        <w:t>&amp;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Seattle</w:t>
      </w:r>
      <w:r>
        <w:rPr>
          <w:spacing w:val="6"/>
        </w:rPr>
        <w:t> </w:t>
      </w:r>
      <w:r>
        <w:rPr/>
        <w:t>City</w:t>
      </w:r>
      <w:r>
        <w:rPr>
          <w:spacing w:val="1"/>
        </w:rPr>
        <w:t> </w:t>
      </w:r>
      <w:r>
        <w:rPr/>
        <w:t>Council</w:t>
      </w:r>
      <w:r>
        <w:rPr>
          <w:spacing w:val="7"/>
        </w:rPr>
        <w:t> </w:t>
      </w:r>
      <w:r>
        <w:rPr/>
        <w:t>(2015).</w:t>
      </w:r>
      <w:r>
        <w:rPr>
          <w:spacing w:val="5"/>
        </w:rPr>
        <w:t> </w:t>
      </w:r>
      <w:r>
        <w:rPr/>
        <w:t>Seattle</w:t>
      </w:r>
      <w:r>
        <w:rPr>
          <w:spacing w:val="6"/>
        </w:rPr>
        <w:t> </w:t>
      </w:r>
      <w:r>
        <w:rPr/>
        <w:t>Housing</w:t>
      </w:r>
      <w:r>
        <w:rPr>
          <w:spacing w:val="8"/>
        </w:rPr>
        <w:t> </w:t>
      </w:r>
      <w:r>
        <w:rPr/>
        <w:t>Affordability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Livability</w:t>
      </w:r>
      <w:r>
        <w:rPr>
          <w:spacing w:val="-5"/>
        </w:rPr>
        <w:t> </w:t>
      </w:r>
      <w:r>
        <w:rPr/>
        <w:t>Agenda: Final</w:t>
      </w:r>
      <w:r>
        <w:rPr>
          <w:spacing w:val="-1"/>
        </w:rPr>
        <w:t> </w:t>
      </w:r>
      <w:r>
        <w:rPr/>
        <w:t>Advisory</w:t>
      </w:r>
      <w:r>
        <w:rPr>
          <w:spacing w:val="-5"/>
        </w:rPr>
        <w:t> </w:t>
      </w:r>
      <w:r>
        <w:rPr/>
        <w:t>Committee Recommendations.</w:t>
      </w:r>
    </w:p>
    <w:p>
      <w:pPr>
        <w:pStyle w:val="BodyText"/>
        <w:spacing w:line="274" w:lineRule="exact" w:before="206"/>
        <w:ind w:left="688" w:right="1049"/>
        <w:jc w:val="center"/>
      </w:pPr>
      <w:r>
        <w:rPr/>
        <w:t>Meen,</w:t>
      </w:r>
      <w:r>
        <w:rPr>
          <w:spacing w:val="17"/>
        </w:rPr>
        <w:t> </w:t>
      </w:r>
      <w:r>
        <w:rPr/>
        <w:t>G.</w:t>
      </w:r>
      <w:r>
        <w:rPr>
          <w:spacing w:val="19"/>
        </w:rPr>
        <w:t> </w:t>
      </w:r>
      <w:r>
        <w:rPr/>
        <w:t>(2002).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Time-Series</w:t>
      </w:r>
      <w:r>
        <w:rPr>
          <w:spacing w:val="21"/>
        </w:rPr>
        <w:t> </w:t>
      </w:r>
      <w:r>
        <w:rPr/>
        <w:t>Behavior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House</w:t>
      </w:r>
      <w:r>
        <w:rPr>
          <w:spacing w:val="17"/>
        </w:rPr>
        <w:t> </w:t>
      </w:r>
      <w:r>
        <w:rPr/>
        <w:t>Prices: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Transatlantic</w:t>
      </w:r>
      <w:r>
        <w:rPr>
          <w:spacing w:val="18"/>
        </w:rPr>
        <w:t> </w:t>
      </w:r>
      <w:r>
        <w:rPr/>
        <w:t>Divide?</w:t>
      </w:r>
    </w:p>
    <w:p>
      <w:pPr>
        <w:spacing w:line="274" w:lineRule="exact" w:before="0"/>
        <w:ind w:left="632" w:right="1049" w:firstLine="0"/>
        <w:jc w:val="center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 </w:t>
      </w:r>
      <w:r>
        <w:rPr>
          <w:sz w:val="24"/>
        </w:rPr>
        <w:t>11(1),</w:t>
      </w:r>
      <w:r>
        <w:rPr>
          <w:spacing w:val="-1"/>
          <w:sz w:val="24"/>
        </w:rPr>
        <w:t> </w:t>
      </w:r>
      <w:r>
        <w:rPr>
          <w:sz w:val="24"/>
        </w:rPr>
        <w:t>1-23.</w:t>
      </w:r>
      <w:r>
        <w:rPr>
          <w:spacing w:val="-1"/>
          <w:sz w:val="24"/>
        </w:rPr>
        <w:t> </w:t>
      </w:r>
      <w:r>
        <w:rPr>
          <w:sz w:val="24"/>
        </w:rPr>
        <w:t>doi:10.1006/jhec.2001.0307</w:t>
      </w:r>
    </w:p>
    <w:p>
      <w:pPr>
        <w:spacing w:line="237" w:lineRule="auto" w:before="211"/>
        <w:ind w:left="1420" w:right="1034" w:hanging="720"/>
        <w:jc w:val="both"/>
        <w:rPr>
          <w:sz w:val="24"/>
        </w:rPr>
      </w:pPr>
      <w:r>
        <w:rPr>
          <w:sz w:val="24"/>
        </w:rPr>
        <w:t>Metlife Mature Markets</w:t>
      </w:r>
      <w:r>
        <w:rPr>
          <w:spacing w:val="1"/>
          <w:sz w:val="24"/>
        </w:rPr>
        <w:t> </w:t>
      </w:r>
      <w:r>
        <w:rPr>
          <w:sz w:val="24"/>
        </w:rPr>
        <w:t>Institute and Stanford Center on Longevity.(2013).</w:t>
      </w:r>
      <w:r>
        <w:rPr>
          <w:spacing w:val="1"/>
          <w:sz w:val="24"/>
        </w:rPr>
        <w:t> </w:t>
      </w:r>
      <w:r>
        <w:rPr>
          <w:i/>
          <w:sz w:val="24"/>
        </w:rPr>
        <w:t>Livable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 indicators for sustainable aging in place</w:t>
      </w:r>
      <w:r>
        <w:rPr>
          <w:sz w:val="24"/>
        </w:rPr>
        <w:t>. New York, NY: Author.</w:t>
      </w:r>
      <w:r>
        <w:rPr>
          <w:spacing w:val="1"/>
          <w:sz w:val="24"/>
        </w:rPr>
        <w:t> </w:t>
      </w:r>
      <w:r>
        <w:rPr>
          <w:sz w:val="24"/>
        </w:rPr>
        <w:t>Metropolitan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2100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Street,</w:t>
      </w:r>
      <w:r>
        <w:rPr>
          <w:spacing w:val="1"/>
          <w:sz w:val="24"/>
        </w:rPr>
        <w:t> </w:t>
      </w:r>
      <w:r>
        <w:rPr>
          <w:sz w:val="24"/>
        </w:rPr>
        <w:t>NW</w:t>
      </w:r>
      <w:r>
        <w:rPr>
          <w:spacing w:val="-57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 20037</w:t>
      </w:r>
    </w:p>
    <w:p>
      <w:pPr>
        <w:spacing w:line="237" w:lineRule="auto" w:before="213"/>
        <w:ind w:left="1420" w:right="1057" w:hanging="720"/>
        <w:jc w:val="both"/>
        <w:rPr>
          <w:sz w:val="24"/>
        </w:rPr>
      </w:pPr>
      <w:r>
        <w:rPr>
          <w:sz w:val="24"/>
        </w:rPr>
        <w:t>Milligan, V., Phibbs, P., Fagan, K. &amp; Gurran, N. (2004).</w:t>
      </w:r>
      <w:r>
        <w:rPr>
          <w:i/>
          <w:sz w:val="24"/>
        </w:rPr>
        <w:t>A Practical Framework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Affordable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Australia: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65,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Institute.</w:t>
      </w:r>
    </w:p>
    <w:p>
      <w:pPr>
        <w:spacing w:line="237" w:lineRule="auto" w:before="208"/>
        <w:ind w:left="1420" w:right="1037" w:hanging="720"/>
        <w:jc w:val="both"/>
        <w:rPr>
          <w:sz w:val="24"/>
        </w:rPr>
      </w:pPr>
      <w:r>
        <w:rPr>
          <w:sz w:val="24"/>
        </w:rPr>
        <w:t>Milligan, V., Phibbs, P., Gurran, N. &amp;Fagan, K. (2007).</w:t>
      </w:r>
      <w:r>
        <w:rPr>
          <w:i/>
          <w:sz w:val="24"/>
        </w:rPr>
        <w:t>Approaches to Evaluation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Affordable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Initiatives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Australia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Venture</w:t>
      </w:r>
      <w:r>
        <w:rPr>
          <w:spacing w:val="1"/>
          <w:sz w:val="24"/>
        </w:rPr>
        <w:t> </w:t>
      </w:r>
      <w:r>
        <w:rPr>
          <w:sz w:val="24"/>
        </w:rPr>
        <w:t>3: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affordability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Australians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7,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Urban Research</w:t>
      </w:r>
      <w:r>
        <w:rPr>
          <w:spacing w:val="3"/>
          <w:sz w:val="24"/>
        </w:rPr>
        <w:t> </w:t>
      </w:r>
      <w:r>
        <w:rPr>
          <w:sz w:val="24"/>
        </w:rPr>
        <w:t>Institute.</w:t>
      </w:r>
    </w:p>
    <w:p>
      <w:pPr>
        <w:spacing w:after="0" w:line="237" w:lineRule="auto"/>
        <w:jc w:val="both"/>
        <w:rPr>
          <w:sz w:val="24"/>
        </w:rPr>
        <w:sectPr>
          <w:pgSz w:w="11900" w:h="16840"/>
          <w:pgMar w:header="0" w:footer="1128" w:top="1320" w:bottom="1320" w:left="1280" w:right="360"/>
        </w:sectPr>
      </w:pPr>
    </w:p>
    <w:p>
      <w:pPr>
        <w:spacing w:line="237" w:lineRule="auto" w:before="74"/>
        <w:ind w:left="1420" w:right="2227" w:hanging="720"/>
        <w:jc w:val="left"/>
        <w:rPr>
          <w:sz w:val="24"/>
        </w:rPr>
      </w:pPr>
      <w:r>
        <w:rPr>
          <w:sz w:val="24"/>
        </w:rPr>
        <w:t>Mohamad, K. (2016). </w:t>
      </w:r>
      <w:r>
        <w:rPr>
          <w:i/>
          <w:sz w:val="24"/>
        </w:rPr>
        <w:t>Urban Livability across disciplinary and professional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boundaries: </w:t>
      </w:r>
      <w:r>
        <w:rPr>
          <w:sz w:val="24"/>
        </w:rPr>
        <w:t>Frontiers of Architectural Research</w:t>
      </w:r>
      <w:r>
        <w:rPr>
          <w:spacing w:val="1"/>
          <w:sz w:val="24"/>
        </w:rPr>
        <w:t> </w:t>
      </w:r>
      <w:hyperlink r:id="rId35">
        <w:r>
          <w:rPr>
            <w:sz w:val="24"/>
            <w:u w:val="single"/>
          </w:rPr>
          <w:t>https://doi.org/10.1016/j.foar.2016.03.003</w:t>
        </w:r>
      </w:hyperlink>
    </w:p>
    <w:p>
      <w:pPr>
        <w:spacing w:before="198"/>
        <w:ind w:left="700" w:right="0" w:firstLine="0"/>
        <w:jc w:val="left"/>
        <w:rPr>
          <w:i/>
          <w:sz w:val="24"/>
        </w:rPr>
      </w:pPr>
      <w:r>
        <w:rPr>
          <w:sz w:val="24"/>
        </w:rPr>
        <w:t>Moore,</w:t>
      </w:r>
      <w:r>
        <w:rPr>
          <w:spacing w:val="-1"/>
          <w:sz w:val="24"/>
        </w:rPr>
        <w:t> </w:t>
      </w:r>
      <w:r>
        <w:rPr>
          <w:sz w:val="24"/>
        </w:rPr>
        <w:t>E. &amp;</w:t>
      </w:r>
      <w:r>
        <w:rPr>
          <w:spacing w:val="-3"/>
          <w:sz w:val="24"/>
        </w:rPr>
        <w:t> </w:t>
      </w:r>
      <w:r>
        <w:rPr>
          <w:sz w:val="24"/>
        </w:rPr>
        <w:t>Skaburskis,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Canada's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increasing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affordability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burdens.</w:t>
      </w:r>
    </w:p>
    <w:p>
      <w:pPr>
        <w:pStyle w:val="BodyText"/>
        <w:spacing w:line="237" w:lineRule="auto" w:before="209"/>
        <w:ind w:left="1420" w:right="1055" w:hanging="720"/>
        <w:jc w:val="both"/>
      </w:pPr>
      <w:r>
        <w:rPr/>
        <w:t>Musa, A. R., Tawil N. M., Che-Ani, A. I. &amp; Basri, H. (2013). An analysis of the</w:t>
      </w:r>
      <w:r>
        <w:rPr>
          <w:spacing w:val="1"/>
        </w:rPr>
        <w:t> </w:t>
      </w:r>
      <w:r>
        <w:rPr/>
        <w:t>selection criteria in purchasing a house in Klang Valley towards the quality</w:t>
      </w:r>
      <w:r>
        <w:rPr>
          <w:spacing w:val="1"/>
        </w:rPr>
        <w:t> </w:t>
      </w:r>
      <w:r>
        <w:rPr/>
        <w:t>affordable</w:t>
      </w:r>
      <w:r>
        <w:rPr>
          <w:spacing w:val="-1"/>
        </w:rPr>
        <w:t> </w:t>
      </w:r>
      <w:r>
        <w:rPr/>
        <w:t>housing.</w:t>
      </w:r>
      <w:r>
        <w:rPr>
          <w:spacing w:val="1"/>
        </w:rPr>
        <w:t> </w:t>
      </w:r>
      <w:r>
        <w:rPr>
          <w:i/>
        </w:rPr>
        <w:t>Life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12(3),</w:t>
      </w:r>
      <w:r>
        <w:rPr>
          <w:spacing w:val="-1"/>
        </w:rPr>
        <w:t> </w:t>
      </w:r>
      <w:r>
        <w:rPr/>
        <w:t>51-57.</w:t>
      </w:r>
    </w:p>
    <w:p>
      <w:pPr>
        <w:spacing w:line="232" w:lineRule="auto" w:before="212"/>
        <w:ind w:left="1420" w:right="1038" w:hanging="720"/>
        <w:jc w:val="both"/>
        <w:rPr>
          <w:sz w:val="24"/>
        </w:rPr>
      </w:pPr>
      <w:r>
        <w:rPr>
          <w:sz w:val="24"/>
        </w:rPr>
        <w:t>Nathan,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i/>
          <w:sz w:val="24"/>
        </w:rPr>
        <w:t>Broad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Economics;</w:t>
      </w:r>
      <w:r>
        <w:rPr>
          <w:i/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Chinese</w:t>
      </w:r>
      <w:r>
        <w:rPr>
          <w:spacing w:val="1"/>
          <w:sz w:val="24"/>
        </w:rPr>
        <w:t> </w:t>
      </w:r>
      <w:r>
        <w:rPr>
          <w:sz w:val="24"/>
        </w:rPr>
        <w:t>market:</w:t>
      </w:r>
      <w:r>
        <w:rPr>
          <w:spacing w:val="-1"/>
          <w:sz w:val="24"/>
        </w:rPr>
        <w:t> </w:t>
      </w:r>
      <w:r>
        <w:rPr>
          <w:sz w:val="24"/>
        </w:rPr>
        <w:t>Shanghai University</w:t>
      </w:r>
      <w:r>
        <w:rPr>
          <w:spacing w:val="-8"/>
          <w:sz w:val="24"/>
        </w:rPr>
        <w:t> </w:t>
      </w:r>
      <w:r>
        <w:rPr>
          <w:sz w:val="24"/>
        </w:rPr>
        <w:t>of Finance</w:t>
      </w:r>
      <w:r>
        <w:rPr>
          <w:spacing w:val="1"/>
          <w:sz w:val="24"/>
        </w:rPr>
        <w:t> </w:t>
      </w:r>
      <w:r>
        <w:rPr>
          <w:sz w:val="24"/>
        </w:rPr>
        <w:t>and Economics.</w:t>
      </w:r>
    </w:p>
    <w:p>
      <w:pPr>
        <w:pStyle w:val="BodyText"/>
        <w:spacing w:before="204"/>
        <w:ind w:left="700"/>
      </w:pPr>
      <w:r>
        <w:rPr/>
        <w:t>National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Census</w:t>
      </w:r>
      <w:r>
        <w:rPr>
          <w:spacing w:val="-1"/>
        </w:rPr>
        <w:t> </w:t>
      </w:r>
      <w:r>
        <w:rPr/>
        <w:t>(NPC)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2006: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Commission.</w:t>
      </w:r>
    </w:p>
    <w:p>
      <w:pPr>
        <w:pStyle w:val="BodyText"/>
        <w:spacing w:line="237" w:lineRule="auto" w:before="210"/>
        <w:ind w:left="1420" w:right="1060" w:hanging="720"/>
        <w:jc w:val="both"/>
      </w:pPr>
      <w:r>
        <w:rPr/>
        <w:t>Niger State Ministry of lands and housing Niger State (2018). Map of Nigeria Showing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State:</w:t>
      </w:r>
      <w:r>
        <w:rPr>
          <w:spacing w:val="1"/>
        </w:rPr>
        <w:t> </w:t>
      </w:r>
      <w:r>
        <w:rPr/>
        <w:t>cartography Unit,</w:t>
      </w:r>
      <w:r>
        <w:rPr>
          <w:spacing w:val="1"/>
        </w:rPr>
        <w:t> </w:t>
      </w:r>
      <w:r>
        <w:rPr/>
        <w:t>Ministry of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 Minna</w:t>
      </w:r>
      <w:r>
        <w:rPr>
          <w:spacing w:val="60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State.</w:t>
      </w:r>
    </w:p>
    <w:p>
      <w:pPr>
        <w:spacing w:line="242" w:lineRule="auto" w:before="198"/>
        <w:ind w:left="1420" w:right="1200" w:hanging="720"/>
        <w:jc w:val="left"/>
        <w:rPr>
          <w:sz w:val="24"/>
        </w:rPr>
      </w:pPr>
      <w:r>
        <w:rPr>
          <w:sz w:val="24"/>
        </w:rPr>
        <w:t>Ojenuwah, K.E. (2006), </w:t>
      </w:r>
      <w:r>
        <w:rPr>
          <w:i/>
          <w:sz w:val="24"/>
        </w:rPr>
        <w:t>Sustainable Housing: Building Materials and Components for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: Aug. 2006 p 4</w:t>
      </w:r>
    </w:p>
    <w:p>
      <w:pPr>
        <w:pStyle w:val="BodyText"/>
        <w:spacing w:line="237" w:lineRule="auto" w:before="208"/>
        <w:ind w:left="1420" w:right="1032" w:hanging="720"/>
        <w:jc w:val="both"/>
      </w:pPr>
      <w:r>
        <w:rPr/>
        <w:t>Oktay, D.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>
          <w:i/>
        </w:rPr>
        <w:t>Towards</w:t>
      </w:r>
      <w:r>
        <w:rPr>
          <w:i/>
          <w:spacing w:val="1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Sustainable</w:t>
      </w:r>
      <w:r>
        <w:rPr>
          <w:i/>
          <w:spacing w:val="1"/>
        </w:rPr>
        <w:t> </w:t>
      </w:r>
      <w:r>
        <w:rPr>
          <w:i/>
        </w:rPr>
        <w:t>Urbanism:</w:t>
      </w:r>
      <w:r>
        <w:rPr>
          <w:i/>
          <w:spacing w:val="1"/>
        </w:rPr>
        <w:t> </w:t>
      </w:r>
      <w:r>
        <w:rPr/>
        <w:t>Interrogating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Turkish</w:t>
      </w:r>
      <w:r>
        <w:rPr>
          <w:spacing w:val="1"/>
        </w:rPr>
        <w:t> </w:t>
      </w:r>
      <w:r>
        <w:rPr/>
        <w:t>(Ottoman)</w:t>
      </w:r>
      <w:r>
        <w:rPr>
          <w:spacing w:val="1"/>
        </w:rPr>
        <w:t> </w:t>
      </w:r>
      <w:r>
        <w:rPr/>
        <w:t>City.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Mira,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Dumitru,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Spaces,</w:t>
      </w:r>
      <w:r>
        <w:rPr>
          <w:spacing w:val="1"/>
        </w:rPr>
        <w:t> </w:t>
      </w:r>
      <w:r>
        <w:rPr/>
        <w:t>Vulnerabilities and Opportunities. 6th International Symposium on “Sustainable</w:t>
      </w:r>
      <w:r>
        <w:rPr>
          <w:spacing w:val="1"/>
        </w:rPr>
        <w:t> </w:t>
      </w:r>
      <w:r>
        <w:rPr/>
        <w:t>Environments in a Changing Global Context” at ACoruña, Spain in 25- 28 June</w:t>
      </w:r>
      <w:r>
        <w:rPr>
          <w:spacing w:val="1"/>
        </w:rPr>
        <w:t> </w:t>
      </w:r>
      <w:r>
        <w:rPr/>
        <w:t>2013. pp 33-</w:t>
      </w:r>
      <w:r>
        <w:rPr>
          <w:spacing w:val="-1"/>
        </w:rPr>
        <w:t> </w:t>
      </w:r>
      <w:r>
        <w:rPr/>
        <w:t>48.</w:t>
      </w:r>
    </w:p>
    <w:p>
      <w:pPr>
        <w:pStyle w:val="BodyText"/>
        <w:spacing w:line="237" w:lineRule="auto" w:before="214"/>
        <w:ind w:left="1420" w:right="1058" w:hanging="720"/>
        <w:jc w:val="both"/>
      </w:pPr>
      <w:r>
        <w:rPr/>
        <w:t>Olatubara,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(2007).Fundamentals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Agbola,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Egunjobi,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C.O.</w:t>
      </w:r>
      <w:r>
        <w:rPr>
          <w:spacing w:val="23"/>
        </w:rPr>
        <w:t> </w:t>
      </w:r>
      <w:r>
        <w:rPr/>
        <w:t>Olatubara</w:t>
      </w:r>
      <w:r>
        <w:rPr>
          <w:spacing w:val="23"/>
        </w:rPr>
        <w:t> </w:t>
      </w:r>
      <w:r>
        <w:rPr/>
        <w:t>(Eds.),</w:t>
      </w:r>
      <w:r>
        <w:rPr>
          <w:spacing w:val="26"/>
        </w:rPr>
        <w:t> </w:t>
      </w:r>
      <w:r>
        <w:rPr>
          <w:i/>
        </w:rPr>
        <w:t>Housing</w:t>
      </w:r>
      <w:r>
        <w:rPr>
          <w:i/>
          <w:spacing w:val="24"/>
        </w:rPr>
        <w:t> </w:t>
      </w:r>
      <w:r>
        <w:rPr>
          <w:i/>
        </w:rPr>
        <w:t>Development</w:t>
      </w:r>
      <w:r>
        <w:rPr>
          <w:i/>
          <w:spacing w:val="24"/>
        </w:rPr>
        <w:t> </w:t>
      </w:r>
      <w:r>
        <w:rPr>
          <w:i/>
        </w:rPr>
        <w:t>and</w:t>
      </w:r>
      <w:r>
        <w:rPr>
          <w:i/>
          <w:spacing w:val="25"/>
        </w:rPr>
        <w:t> </w:t>
      </w:r>
      <w:r>
        <w:rPr>
          <w:i/>
        </w:rPr>
        <w:t>Management:</w:t>
      </w:r>
      <w:r>
        <w:rPr>
          <w:i/>
          <w:spacing w:val="-58"/>
        </w:rPr>
        <w:t> </w:t>
      </w:r>
      <w:r>
        <w:rPr>
          <w:i/>
        </w:rPr>
        <w:t>A Book of Readings </w:t>
      </w:r>
      <w:r>
        <w:rPr/>
        <w:t>(pp. 70-106). Nigeria: Department of Urban and Regional</w:t>
      </w:r>
      <w:r>
        <w:rPr>
          <w:spacing w:val="1"/>
        </w:rPr>
        <w:t> </w:t>
      </w:r>
      <w:r>
        <w:rPr/>
        <w:t>Planning, Faculty</w:t>
      </w:r>
      <w:r>
        <w:rPr>
          <w:spacing w:val="-5"/>
        </w:rPr>
        <w:t> </w:t>
      </w:r>
      <w:r>
        <w:rPr/>
        <w:t>of Social Science,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203"/>
        <w:ind w:left="700"/>
      </w:pPr>
      <w:r>
        <w:rPr/>
        <w:t>Onu,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Onu, A.J.C.</w:t>
      </w:r>
      <w:r>
        <w:rPr>
          <w:spacing w:val="-1"/>
        </w:rPr>
        <w:t> </w:t>
      </w:r>
      <w:r>
        <w:rPr/>
        <w:t>(2012).Urban</w:t>
      </w:r>
      <w:r>
        <w:rPr>
          <w:spacing w:val="-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Low-Income</w:t>
      </w:r>
    </w:p>
    <w:p>
      <w:pPr>
        <w:spacing w:line="237" w:lineRule="auto" w:before="209"/>
        <w:ind w:left="1420" w:right="1062" w:hanging="720"/>
        <w:jc w:val="both"/>
        <w:rPr>
          <w:sz w:val="24"/>
        </w:rPr>
      </w:pPr>
      <w:r>
        <w:rPr>
          <w:sz w:val="24"/>
        </w:rPr>
        <w:t>Onyike, J. O. (2007). </w:t>
      </w:r>
      <w:r>
        <w:rPr>
          <w:i/>
          <w:sz w:val="24"/>
        </w:rPr>
        <w:t>An Assessment of Affordability of Housing by Public Servants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Owerri, Imo State.</w:t>
      </w:r>
      <w:r>
        <w:rPr>
          <w:i/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Use and</w:t>
      </w:r>
      <w:r>
        <w:rPr>
          <w:spacing w:val="60"/>
          <w:sz w:val="24"/>
        </w:rPr>
        <w:t> </w:t>
      </w:r>
      <w:r>
        <w:rPr>
          <w:sz w:val="24"/>
        </w:rPr>
        <w:t>Development Studies; A Paper Presented at</w:t>
      </w:r>
      <w:r>
        <w:rPr>
          <w:spacing w:val="1"/>
          <w:sz w:val="24"/>
        </w:rPr>
        <w:t> </w:t>
      </w:r>
      <w:r>
        <w:rPr>
          <w:sz w:val="24"/>
        </w:rPr>
        <w:t>the Annual Conference of the Nigerian Institution Estate Surveyors and Valuers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Emmaus House, Awka</w:t>
      </w:r>
      <w:r>
        <w:rPr>
          <w:spacing w:val="1"/>
          <w:sz w:val="24"/>
        </w:rPr>
        <w:t> </w:t>
      </w:r>
      <w:r>
        <w:rPr>
          <w:sz w:val="24"/>
        </w:rPr>
        <w:t>Anambra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spacing w:line="235" w:lineRule="auto" w:before="210"/>
        <w:ind w:left="1420" w:right="1059" w:hanging="720"/>
        <w:jc w:val="both"/>
        <w:rPr>
          <w:sz w:val="24"/>
        </w:rPr>
      </w:pPr>
      <w:r>
        <w:rPr>
          <w:sz w:val="24"/>
        </w:rPr>
        <w:t>Opaluwa, A.I.(2010). </w:t>
      </w:r>
      <w:r>
        <w:rPr>
          <w:i/>
          <w:sz w:val="24"/>
        </w:rPr>
        <w:t>Housing Affordability in Lokoja</w:t>
      </w:r>
      <w:r>
        <w:rPr>
          <w:sz w:val="24"/>
        </w:rPr>
        <w:t>. A seminar paper presented in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Geography</w:t>
      </w:r>
      <w:r>
        <w:rPr>
          <w:spacing w:val="-4"/>
          <w:sz w:val="24"/>
        </w:rPr>
        <w:t> </w:t>
      </w:r>
      <w:r>
        <w:rPr>
          <w:sz w:val="24"/>
        </w:rPr>
        <w:t>and Planning, Kogi</w:t>
      </w:r>
      <w:r>
        <w:rPr>
          <w:spacing w:val="-1"/>
          <w:sz w:val="24"/>
        </w:rPr>
        <w:t> </w:t>
      </w:r>
      <w:r>
        <w:rPr>
          <w:sz w:val="24"/>
        </w:rPr>
        <w:t>State University.</w:t>
      </w:r>
    </w:p>
    <w:p>
      <w:pPr>
        <w:spacing w:line="237" w:lineRule="auto" w:before="213"/>
        <w:ind w:left="1420" w:right="1058" w:hanging="720"/>
        <w:jc w:val="both"/>
        <w:rPr>
          <w:sz w:val="24"/>
        </w:rPr>
      </w:pPr>
      <w:r>
        <w:rPr>
          <w:sz w:val="24"/>
        </w:rPr>
        <w:t>Parker, C. (2015). </w:t>
      </w:r>
      <w:r>
        <w:rPr>
          <w:i/>
          <w:sz w:val="24"/>
        </w:rPr>
        <w:t>Housing Supply, Choice and Affordability: </w:t>
      </w:r>
      <w:r>
        <w:rPr>
          <w:sz w:val="24"/>
        </w:rPr>
        <w:t>Trends, economic drivers,</w:t>
      </w:r>
      <w:r>
        <w:rPr>
          <w:spacing w:val="-57"/>
          <w:sz w:val="24"/>
        </w:rPr>
        <w:t> </w:t>
      </w:r>
      <w:r>
        <w:rPr>
          <w:sz w:val="24"/>
        </w:rPr>
        <w:t>and possible policy interventions. Auckland Council. Retrieved May 21, 2016,</w:t>
      </w:r>
      <w:r>
        <w:rPr>
          <w:spacing w:val="1"/>
          <w:sz w:val="24"/>
        </w:rPr>
        <w:t> </w:t>
      </w:r>
      <w:r>
        <w:rPr>
          <w:sz w:val="24"/>
        </w:rPr>
        <w:t>Websites:</w:t>
      </w:r>
    </w:p>
    <w:p>
      <w:pPr>
        <w:spacing w:line="237" w:lineRule="auto" w:before="210"/>
        <w:ind w:left="1420" w:right="1057" w:hanging="720"/>
        <w:jc w:val="both"/>
        <w:rPr>
          <w:sz w:val="24"/>
        </w:rPr>
      </w:pPr>
      <w:r>
        <w:rPr>
          <w:sz w:val="24"/>
        </w:rPr>
        <w:t>Peters, D. H., Garg, A., Bloom, G., Walker, D. G., Brieger, W. R. &amp; Rahman, M. H.</w:t>
      </w:r>
      <w:r>
        <w:rPr>
          <w:spacing w:val="1"/>
          <w:sz w:val="24"/>
        </w:rPr>
        <w:t> </w:t>
      </w:r>
      <w:r>
        <w:rPr>
          <w:sz w:val="24"/>
        </w:rPr>
        <w:t>(2008). </w:t>
      </w:r>
      <w:r>
        <w:rPr>
          <w:i/>
          <w:sz w:val="24"/>
        </w:rPr>
        <w:t>Poverty and access to healthcare in developing countries</w:t>
      </w:r>
      <w:r>
        <w:rPr>
          <w:sz w:val="24"/>
        </w:rPr>
        <w:t>. Ann. N Y</w:t>
      </w:r>
      <w:r>
        <w:rPr>
          <w:spacing w:val="1"/>
          <w:sz w:val="24"/>
        </w:rPr>
        <w:t> </w:t>
      </w:r>
      <w:r>
        <w:rPr>
          <w:sz w:val="24"/>
        </w:rPr>
        <w:t>Acad.</w:t>
      </w:r>
      <w:r>
        <w:rPr>
          <w:spacing w:val="-1"/>
          <w:sz w:val="24"/>
        </w:rPr>
        <w:t> </w:t>
      </w:r>
      <w:r>
        <w:rPr>
          <w:sz w:val="24"/>
        </w:rPr>
        <w:t>Sci. 1136:161-171.</w:t>
      </w:r>
    </w:p>
    <w:p>
      <w:pPr>
        <w:spacing w:after="0" w:line="237" w:lineRule="auto"/>
        <w:jc w:val="both"/>
        <w:rPr>
          <w:sz w:val="24"/>
        </w:rPr>
        <w:sectPr>
          <w:pgSz w:w="11900" w:h="16840"/>
          <w:pgMar w:header="0" w:footer="1128" w:top="1320" w:bottom="1320" w:left="1280" w:right="360"/>
        </w:sectPr>
      </w:pPr>
    </w:p>
    <w:p>
      <w:pPr>
        <w:spacing w:line="237" w:lineRule="auto" w:before="74"/>
        <w:ind w:left="1420" w:right="1056" w:hanging="720"/>
        <w:jc w:val="both"/>
        <w:rPr>
          <w:sz w:val="24"/>
        </w:rPr>
      </w:pPr>
      <w:r>
        <w:rPr>
          <w:sz w:val="24"/>
        </w:rPr>
        <w:t>Pivo,G. (2013). </w:t>
      </w:r>
      <w:r>
        <w:rPr>
          <w:i/>
          <w:sz w:val="24"/>
        </w:rPr>
        <w:t>The Definition of Affordable Housing: Concerns and Related Evidence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paper,</w:t>
      </w:r>
      <w:r>
        <w:rPr>
          <w:spacing w:val="1"/>
          <w:sz w:val="24"/>
        </w:rPr>
        <w:t> </w:t>
      </w:r>
      <w:r>
        <w:rPr>
          <w:sz w:val="24"/>
        </w:rPr>
        <w:t>Fannie</w:t>
      </w:r>
      <w:r>
        <w:rPr>
          <w:spacing w:val="1"/>
          <w:sz w:val="24"/>
        </w:rPr>
        <w:t> </w:t>
      </w:r>
      <w:r>
        <w:rPr>
          <w:sz w:val="24"/>
        </w:rPr>
        <w:t>Mae,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hyperlink r:id="rId37">
        <w:r>
          <w:rPr>
            <w:sz w:val="24"/>
          </w:rPr>
          <w:t>www.fanniemae.com/resources/file/fundmarket.</w:t>
        </w:r>
      </w:hyperlink>
    </w:p>
    <w:p>
      <w:pPr>
        <w:pStyle w:val="BodyText"/>
        <w:spacing w:before="198"/>
        <w:ind w:left="700"/>
      </w:pPr>
      <w:r>
        <w:rPr/>
        <w:t>Property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sale</w:t>
      </w:r>
      <w:r>
        <w:rPr>
          <w:spacing w:val="-1"/>
        </w:rPr>
        <w:t> </w:t>
      </w:r>
      <w:r>
        <w:rPr/>
        <w:t>(2019).</w:t>
      </w:r>
      <w:r>
        <w:rPr>
          <w:spacing w:val="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pro.ng</w:t>
      </w:r>
    </w:p>
    <w:p>
      <w:pPr>
        <w:spacing w:line="237" w:lineRule="auto" w:before="209"/>
        <w:ind w:left="1420" w:right="1057" w:hanging="720"/>
        <w:jc w:val="both"/>
        <w:rPr>
          <w:i/>
          <w:sz w:val="24"/>
        </w:rPr>
      </w:pPr>
      <w:r>
        <w:rPr>
          <w:sz w:val="24"/>
        </w:rPr>
        <w:t>Rama, U.P., Yogesh, K. G. &amp; Alka, B. (2013). Understanding qualitative conceptions of</w:t>
      </w:r>
      <w:r>
        <w:rPr>
          <w:spacing w:val="-57"/>
          <w:sz w:val="24"/>
        </w:rPr>
        <w:t> </w:t>
      </w:r>
      <w:r>
        <w:rPr>
          <w:sz w:val="24"/>
        </w:rPr>
        <w:t>livability: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perspective: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</w:p>
    <w:p>
      <w:pPr>
        <w:spacing w:line="237" w:lineRule="auto" w:before="210"/>
        <w:ind w:left="1420" w:right="1059" w:hanging="720"/>
        <w:jc w:val="both"/>
        <w:rPr>
          <w:sz w:val="24"/>
        </w:rPr>
      </w:pPr>
      <w:r>
        <w:rPr>
          <w:sz w:val="24"/>
        </w:rPr>
        <w:t>Robertson, N., Peter, K. &amp; Longfeng, Y. (2011). “</w:t>
      </w:r>
      <w:r>
        <w:rPr>
          <w:i/>
          <w:sz w:val="24"/>
        </w:rPr>
        <w:t>On the Existence of a Middle 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Trap”</w:t>
      </w:r>
      <w:r>
        <w:rPr>
          <w:i/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/Working</w:t>
      </w:r>
      <w:r>
        <w:rPr>
          <w:spacing w:val="1"/>
          <w:sz w:val="24"/>
        </w:rPr>
        <w:t> </w:t>
      </w:r>
      <w:r>
        <w:rPr>
          <w:sz w:val="24"/>
        </w:rPr>
        <w:t>Papers</w:t>
      </w:r>
      <w:r>
        <w:rPr>
          <w:spacing w:val="1"/>
          <w:sz w:val="24"/>
        </w:rPr>
        <w:t> </w:t>
      </w:r>
      <w:r>
        <w:rPr>
          <w:sz w:val="24"/>
        </w:rPr>
        <w:t>13-12,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Australia, Department of Economics.</w:t>
      </w:r>
    </w:p>
    <w:p>
      <w:pPr>
        <w:pStyle w:val="BodyText"/>
        <w:spacing w:line="235" w:lineRule="auto" w:before="210"/>
        <w:ind w:left="1420" w:right="1036" w:hanging="720"/>
        <w:jc w:val="both"/>
      </w:pPr>
      <w:r>
        <w:rPr/>
        <w:t>Rosenthal, L. A. (2009). The role of local government: Land-use controls and aging-</w:t>
      </w:r>
      <w:r>
        <w:rPr>
          <w:spacing w:val="1"/>
        </w:rPr>
        <w:t> </w:t>
      </w:r>
      <w:r>
        <w:rPr/>
        <w:t>friendliness.</w:t>
      </w:r>
      <w:r>
        <w:rPr>
          <w:spacing w:val="-1"/>
        </w:rPr>
        <w:t> </w:t>
      </w:r>
      <w:r>
        <w:rPr/>
        <w:t>Generations, 33(2), 18–25.</w:t>
      </w:r>
    </w:p>
    <w:p>
      <w:pPr>
        <w:pStyle w:val="BodyText"/>
        <w:spacing w:line="235" w:lineRule="auto" w:before="208"/>
        <w:ind w:left="1420" w:right="1063" w:hanging="720"/>
        <w:jc w:val="both"/>
      </w:pPr>
      <w:r>
        <w:rPr/>
        <w:t>Safer, C.S., Koo Lee, B. &amp; Turner, S. (2000). A tale of three greenway trails: user</w:t>
      </w:r>
      <w:r>
        <w:rPr>
          <w:spacing w:val="1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related to 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life.</w:t>
      </w:r>
      <w:r>
        <w:rPr>
          <w:spacing w:val="2"/>
        </w:rPr>
        <w:t> </w:t>
      </w:r>
      <w:r>
        <w:rPr>
          <w:i/>
        </w:rPr>
        <w:t>Landscape</w:t>
      </w:r>
      <w:r>
        <w:rPr>
          <w:i/>
          <w:spacing w:val="1"/>
        </w:rPr>
        <w:t> </w:t>
      </w:r>
      <w:r>
        <w:rPr>
          <w:i/>
        </w:rPr>
        <w:t>Urban</w:t>
      </w:r>
      <w:r>
        <w:rPr>
          <w:i/>
          <w:spacing w:val="-1"/>
        </w:rPr>
        <w:t> </w:t>
      </w:r>
      <w:r>
        <w:rPr>
          <w:i/>
        </w:rPr>
        <w:t>Planning,</w:t>
      </w:r>
      <w:r>
        <w:rPr>
          <w:i/>
          <w:spacing w:val="2"/>
        </w:rPr>
        <w:t> </w:t>
      </w:r>
      <w:r>
        <w:rPr/>
        <w:t>49, 163–178.</w:t>
      </w:r>
    </w:p>
    <w:p>
      <w:pPr>
        <w:pStyle w:val="BodyText"/>
        <w:spacing w:line="274" w:lineRule="exact" w:before="208"/>
        <w:ind w:left="700"/>
      </w:pPr>
      <w:r>
        <w:rPr/>
        <w:t>Salleh,</w:t>
      </w:r>
      <w:r>
        <w:rPr>
          <w:spacing w:val="25"/>
        </w:rPr>
        <w:t> </w:t>
      </w:r>
      <w:r>
        <w:rPr/>
        <w:t>A.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(2008).</w:t>
      </w:r>
      <w:r>
        <w:rPr>
          <w:spacing w:val="25"/>
        </w:rPr>
        <w:t> </w:t>
      </w:r>
      <w:r>
        <w:rPr/>
        <w:t>Neighbourhood</w:t>
      </w:r>
      <w:r>
        <w:rPr>
          <w:spacing w:val="26"/>
        </w:rPr>
        <w:t> </w:t>
      </w:r>
      <w:r>
        <w:rPr/>
        <w:t>factors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private</w:t>
      </w:r>
      <w:r>
        <w:rPr>
          <w:spacing w:val="24"/>
        </w:rPr>
        <w:t> </w:t>
      </w:r>
      <w:r>
        <w:rPr/>
        <w:t>low-cost</w:t>
      </w:r>
      <w:r>
        <w:rPr>
          <w:spacing w:val="25"/>
        </w:rPr>
        <w:t> </w:t>
      </w:r>
      <w:r>
        <w:rPr/>
        <w:t>housing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Malaysia.</w:t>
      </w:r>
    </w:p>
    <w:p>
      <w:pPr>
        <w:spacing w:line="274" w:lineRule="exact" w:before="0"/>
        <w:ind w:left="1420" w:right="0" w:firstLine="0"/>
        <w:jc w:val="left"/>
        <w:rPr>
          <w:sz w:val="24"/>
        </w:rPr>
      </w:pPr>
      <w:r>
        <w:rPr>
          <w:i/>
          <w:sz w:val="24"/>
        </w:rPr>
        <w:t>Habitat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International,</w:t>
      </w:r>
      <w:r>
        <w:rPr>
          <w:sz w:val="24"/>
        </w:rPr>
        <w:t>32:485-493</w:t>
      </w:r>
    </w:p>
    <w:p>
      <w:pPr>
        <w:spacing w:line="237" w:lineRule="auto" w:before="209"/>
        <w:ind w:left="1420" w:right="1057" w:hanging="720"/>
        <w:jc w:val="both"/>
        <w:rPr>
          <w:sz w:val="24"/>
        </w:rPr>
      </w:pPr>
      <w:r>
        <w:rPr>
          <w:sz w:val="24"/>
        </w:rPr>
        <w:t>Şenlier,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Yıldız,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Salihoğlu,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Liveability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settlements: </w:t>
      </w:r>
      <w:r>
        <w:rPr>
          <w:sz w:val="24"/>
        </w:rPr>
        <w:t>Gebze Institute of Technology, Faculty of Architecture, Çayırova,</w:t>
      </w:r>
      <w:r>
        <w:rPr>
          <w:spacing w:val="1"/>
          <w:sz w:val="24"/>
        </w:rPr>
        <w:t> </w:t>
      </w:r>
      <w:r>
        <w:rPr>
          <w:sz w:val="24"/>
        </w:rPr>
        <w:t>No.101,</w:t>
      </w:r>
      <w:r>
        <w:rPr>
          <w:spacing w:val="-1"/>
          <w:sz w:val="24"/>
        </w:rPr>
        <w:t> </w:t>
      </w:r>
      <w:r>
        <w:rPr>
          <w:sz w:val="24"/>
        </w:rPr>
        <w:t>41400, Gebze/Kocaeli, Turkey.</w:t>
      </w:r>
    </w:p>
    <w:p>
      <w:pPr>
        <w:spacing w:line="237" w:lineRule="auto" w:before="208"/>
        <w:ind w:left="1420" w:right="1060" w:hanging="720"/>
        <w:jc w:val="both"/>
        <w:rPr>
          <w:i/>
          <w:sz w:val="24"/>
        </w:rPr>
      </w:pPr>
      <w:r>
        <w:rPr>
          <w:sz w:val="24"/>
        </w:rPr>
        <w:t>Şenlier,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Yıldız,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Salihoğlu,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Liveability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housingsettlements:</w:t>
      </w:r>
      <w:r>
        <w:rPr>
          <w:spacing w:val="1"/>
          <w:sz w:val="24"/>
        </w:rPr>
        <w:t> </w:t>
      </w:r>
      <w:r>
        <w:rPr>
          <w:i/>
          <w:sz w:val="24"/>
        </w:rPr>
        <w:t>Gebze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Çayırova,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No.101, 41400, Gebze/Kocaeli, Turkey</w:t>
      </w:r>
    </w:p>
    <w:p>
      <w:pPr>
        <w:pStyle w:val="BodyText"/>
        <w:spacing w:line="237" w:lineRule="auto" w:before="210"/>
        <w:ind w:left="1420" w:right="1053" w:hanging="720"/>
        <w:jc w:val="both"/>
      </w:pPr>
      <w:hyperlink r:id="rId38">
        <w:r>
          <w:rPr/>
          <w:t>Shaharudin, </w:t>
        </w:r>
      </w:hyperlink>
      <w:r>
        <w:rPr/>
        <w:t>M. R., </w:t>
      </w:r>
      <w:hyperlink r:id="rId39">
        <w:r>
          <w:rPr/>
          <w:t>Jacqueline, J. P, </w:t>
        </w:r>
      </w:hyperlink>
      <w:hyperlink r:id="rId39">
        <w:r>
          <w:rPr/>
          <w:t>Suhardi, W. M. </w:t>
        </w:r>
      </w:hyperlink>
      <w:r>
        <w:rPr/>
        <w:t>&amp; </w:t>
      </w:r>
      <w:hyperlink r:id="rId40">
        <w:r>
          <w:rPr/>
          <w:t>Shamsul, J. E. </w:t>
        </w:r>
      </w:hyperlink>
      <w:r>
        <w:rPr/>
        <w:t>(2010). Factors</w:t>
      </w:r>
      <w:r>
        <w:rPr>
          <w:spacing w:val="1"/>
        </w:rPr>
        <w:t> </w:t>
      </w:r>
      <w:r>
        <w:rPr/>
        <w:t>Affecting Purchase Intention of Organic Food in Malaysia‟s Kedah State: cross-</w:t>
      </w:r>
      <w:r>
        <w:rPr>
          <w:spacing w:val="-57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communication,</w:t>
      </w:r>
      <w:r>
        <w:rPr>
          <w:spacing w:val="2"/>
        </w:rPr>
        <w:t> </w:t>
      </w:r>
      <w:r>
        <w:rPr/>
        <w:t>6(2), 105-116</w:t>
      </w:r>
    </w:p>
    <w:p>
      <w:pPr>
        <w:spacing w:line="237" w:lineRule="auto" w:before="208"/>
        <w:ind w:left="1420" w:right="1037" w:hanging="720"/>
        <w:jc w:val="both"/>
        <w:rPr>
          <w:i/>
          <w:sz w:val="24"/>
        </w:rPr>
      </w:pPr>
      <w:r>
        <w:rPr>
          <w:sz w:val="24"/>
        </w:rPr>
        <w:t>Sheibani, G. &amp; Havard, T. (2005). Housing concept, problem, and policies: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Salford,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Salford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M7 1NU</w:t>
      </w:r>
    </w:p>
    <w:p>
      <w:pPr>
        <w:pStyle w:val="BodyText"/>
        <w:spacing w:line="237" w:lineRule="auto" w:before="210"/>
        <w:ind w:left="1420" w:right="1034" w:hanging="720"/>
        <w:jc w:val="both"/>
      </w:pPr>
      <w:r>
        <w:rPr/>
        <w:t>Shuhana, S., NurRasyiqah, A. H. &amp; Fatimah, I.B. (2012). Walkable environment in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city.</w:t>
      </w:r>
      <w:r>
        <w:rPr>
          <w:spacing w:val="1"/>
        </w:rPr>
        <w:t> </w:t>
      </w:r>
      <w:r>
        <w:rPr/>
        <w:t>ASEAN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Environment-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Studies, Bangkok, Thailand, 16-18 July</w:t>
      </w:r>
      <w:r>
        <w:rPr>
          <w:spacing w:val="-3"/>
        </w:rPr>
        <w:t> </w:t>
      </w:r>
      <w:r>
        <w:rPr/>
        <w:t>2012</w:t>
      </w:r>
    </w:p>
    <w:p>
      <w:pPr>
        <w:spacing w:before="210"/>
        <w:ind w:left="1420" w:right="1053" w:hanging="720"/>
        <w:jc w:val="both"/>
        <w:rPr>
          <w:sz w:val="24"/>
        </w:rPr>
      </w:pPr>
      <w:r>
        <w:rPr>
          <w:sz w:val="24"/>
        </w:rPr>
        <w:t>Singaravello,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Malaysia:</w:t>
      </w:r>
      <w:r>
        <w:rPr>
          <w:spacing w:val="1"/>
          <w:sz w:val="24"/>
        </w:rPr>
        <w:t> </w:t>
      </w:r>
      <w:hyperlink r:id="rId41">
        <w:r>
          <w:rPr>
            <w:i/>
            <w:sz w:val="24"/>
            <w:u w:val="single"/>
          </w:rPr>
          <w:t>Housing</w:t>
        </w:r>
        <w:r>
          <w:rPr>
            <w:i/>
            <w:spacing w:val="1"/>
            <w:sz w:val="24"/>
            <w:u w:val="single"/>
          </w:rPr>
          <w:t> </w:t>
        </w:r>
        <w:r>
          <w:rPr>
            <w:i/>
            <w:sz w:val="24"/>
            <w:u w:val="single"/>
          </w:rPr>
          <w:t>East</w:t>
        </w:r>
      </w:hyperlink>
      <w:r>
        <w:rPr>
          <w:i/>
          <w:spacing w:val="1"/>
          <w:sz w:val="24"/>
        </w:rPr>
        <w:t> </w:t>
      </w:r>
      <w:hyperlink r:id="rId41">
        <w:r>
          <w:rPr>
            <w:i/>
            <w:sz w:val="24"/>
            <w:u w:val="single"/>
          </w:rPr>
          <w:t>Asia,</w:t>
        </w:r>
      </w:hyperlink>
      <w:r>
        <w:rPr>
          <w:sz w:val="24"/>
        </w:rPr>
        <w:t>140-161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35" w:lineRule="auto" w:before="0"/>
        <w:ind w:left="1420" w:right="1053" w:hanging="720"/>
        <w:jc w:val="left"/>
        <w:rPr>
          <w:sz w:val="24"/>
        </w:rPr>
      </w:pPr>
      <w:r>
        <w:rPr>
          <w:sz w:val="24"/>
        </w:rPr>
        <w:t>Skaburskis,</w:t>
      </w:r>
      <w:r>
        <w:rPr>
          <w:spacing w:val="14"/>
          <w:sz w:val="24"/>
        </w:rPr>
        <w:t> </w:t>
      </w:r>
      <w:r>
        <w:rPr>
          <w:sz w:val="24"/>
        </w:rPr>
        <w:t>(2004).</w:t>
      </w:r>
      <w:r>
        <w:rPr>
          <w:spacing w:val="15"/>
          <w:sz w:val="24"/>
        </w:rPr>
        <w:t> </w:t>
      </w:r>
      <w:r>
        <w:rPr>
          <w:i/>
          <w:sz w:val="24"/>
        </w:rPr>
        <w:t>Decomposing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Canada's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growing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affordability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differences matter.</w:t>
      </w:r>
      <w:r>
        <w:rPr>
          <w:i/>
          <w:spacing w:val="1"/>
          <w:sz w:val="24"/>
        </w:rPr>
        <w:t> </w:t>
      </w:r>
      <w:r>
        <w:rPr>
          <w:sz w:val="24"/>
        </w:rPr>
        <w:t>Urban Studies, 41(1), 117-149</w:t>
      </w:r>
    </w:p>
    <w:p>
      <w:pPr>
        <w:spacing w:line="470" w:lineRule="atLeast" w:before="7"/>
        <w:ind w:left="700" w:right="1227" w:firstLine="0"/>
        <w:jc w:val="left"/>
        <w:rPr>
          <w:i/>
          <w:sz w:val="24"/>
        </w:rPr>
      </w:pPr>
      <w:r>
        <w:rPr>
          <w:sz w:val="24"/>
        </w:rPr>
        <w:t>Soliman,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(1996), Housing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countries.</w:t>
      </w:r>
      <w:r>
        <w:rPr>
          <w:spacing w:val="-57"/>
          <w:sz w:val="24"/>
        </w:rPr>
        <w:t> </w:t>
      </w:r>
      <w:r>
        <w:rPr>
          <w:sz w:val="24"/>
        </w:rPr>
        <w:t>Song,</w:t>
      </w:r>
      <w:r>
        <w:rPr>
          <w:spacing w:val="-1"/>
          <w:sz w:val="24"/>
        </w:rPr>
        <w:t> </w:t>
      </w:r>
      <w:r>
        <w:rPr>
          <w:sz w:val="24"/>
        </w:rPr>
        <w:t>Y.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A Livable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Structural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Models.</w:t>
      </w:r>
    </w:p>
    <w:p>
      <w:pPr>
        <w:pStyle w:val="BodyText"/>
        <w:spacing w:before="5"/>
        <w:ind w:left="1420"/>
      </w:pPr>
      <w:r>
        <w:rPr/>
        <w:t>Master</w:t>
      </w:r>
      <w:r>
        <w:rPr>
          <w:spacing w:val="-3"/>
        </w:rPr>
        <w:t> </w:t>
      </w:r>
      <w:r>
        <w:rPr/>
        <w:t>Thesis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Uppsala</w:t>
      </w:r>
      <w:r>
        <w:rPr>
          <w:spacing w:val="-1"/>
        </w:rPr>
        <w:t> </w:t>
      </w:r>
      <w:r>
        <w:rPr/>
        <w:t>University.</w:t>
      </w:r>
    </w:p>
    <w:p>
      <w:pPr>
        <w:spacing w:after="0"/>
        <w:sectPr>
          <w:footerReference w:type="default" r:id="rId36"/>
          <w:pgSz w:w="11900" w:h="16840"/>
          <w:pgMar w:footer="849" w:header="0" w:top="1320" w:bottom="1040" w:left="1280" w:right="360"/>
        </w:sectPr>
      </w:pPr>
    </w:p>
    <w:p>
      <w:pPr>
        <w:spacing w:line="237" w:lineRule="auto" w:before="74"/>
        <w:ind w:left="1420" w:right="1035" w:hanging="720"/>
        <w:jc w:val="both"/>
        <w:rPr>
          <w:sz w:val="24"/>
        </w:rPr>
      </w:pPr>
      <w:r>
        <w:rPr>
          <w:sz w:val="24"/>
        </w:rPr>
        <w:t>Stone, M., Burke, T. &amp; Ralston, L. (2011). </w:t>
      </w:r>
      <w:r>
        <w:rPr>
          <w:i/>
          <w:sz w:val="24"/>
        </w:rPr>
        <w:t>The Residual Income Approach to 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Affordability: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Institute: Community</w:t>
      </w:r>
      <w:r>
        <w:rPr>
          <w:spacing w:val="-9"/>
          <w:sz w:val="24"/>
        </w:rPr>
        <w:t> </w:t>
      </w:r>
      <w:r>
        <w:rPr>
          <w:sz w:val="24"/>
        </w:rPr>
        <w:t>Studies</w:t>
      </w:r>
      <w:r>
        <w:rPr>
          <w:spacing w:val="2"/>
          <w:sz w:val="24"/>
        </w:rPr>
        <w:t> </w:t>
      </w:r>
      <w:r>
        <w:rPr>
          <w:sz w:val="24"/>
        </w:rPr>
        <w:t>Faculty</w:t>
      </w:r>
      <w:r>
        <w:rPr>
          <w:spacing w:val="-6"/>
          <w:sz w:val="24"/>
        </w:rPr>
        <w:t> </w:t>
      </w:r>
      <w:r>
        <w:rPr>
          <w:sz w:val="24"/>
        </w:rPr>
        <w:t>Publication Series.</w:t>
      </w:r>
    </w:p>
    <w:p>
      <w:pPr>
        <w:spacing w:line="237" w:lineRule="auto" w:before="208"/>
        <w:ind w:left="1420" w:right="1055" w:hanging="720"/>
        <w:jc w:val="both"/>
        <w:rPr>
          <w:sz w:val="24"/>
        </w:rPr>
      </w:pPr>
      <w:r>
        <w:rPr>
          <w:sz w:val="24"/>
        </w:rPr>
        <w:t>Stone, M., Burke, T. &amp; Ralston, L. (2011).</w:t>
      </w:r>
      <w:r>
        <w:rPr>
          <w:i/>
          <w:sz w:val="24"/>
        </w:rPr>
        <w:t>The Residual Income Approach to 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Affordability: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Institute: Community</w:t>
      </w:r>
      <w:r>
        <w:rPr>
          <w:spacing w:val="-9"/>
          <w:sz w:val="24"/>
        </w:rPr>
        <w:t> </w:t>
      </w:r>
      <w:r>
        <w:rPr>
          <w:sz w:val="24"/>
        </w:rPr>
        <w:t>Studies</w:t>
      </w:r>
      <w:r>
        <w:rPr>
          <w:spacing w:val="2"/>
          <w:sz w:val="24"/>
        </w:rPr>
        <w:t> </w:t>
      </w:r>
      <w:r>
        <w:rPr>
          <w:sz w:val="24"/>
        </w:rPr>
        <w:t>Faculty</w:t>
      </w:r>
      <w:r>
        <w:rPr>
          <w:spacing w:val="-6"/>
          <w:sz w:val="24"/>
        </w:rPr>
        <w:t> </w:t>
      </w:r>
      <w:r>
        <w:rPr>
          <w:sz w:val="24"/>
        </w:rPr>
        <w:t>Publication Series.</w:t>
      </w:r>
    </w:p>
    <w:p>
      <w:pPr>
        <w:pStyle w:val="BodyText"/>
        <w:spacing w:line="275" w:lineRule="exact" w:before="205"/>
        <w:ind w:left="700"/>
      </w:pPr>
      <w:r>
        <w:rPr/>
        <w:t>Suhaida,</w:t>
      </w:r>
      <w:r>
        <w:rPr>
          <w:spacing w:val="12"/>
        </w:rPr>
        <w:t> </w:t>
      </w:r>
      <w:r>
        <w:rPr/>
        <w:t>M.</w:t>
      </w:r>
      <w:r>
        <w:rPr>
          <w:spacing w:val="14"/>
        </w:rPr>
        <w:t> </w:t>
      </w:r>
      <w:r>
        <w:rPr/>
        <w:t>S.,</w:t>
      </w:r>
      <w:r>
        <w:rPr>
          <w:spacing w:val="13"/>
        </w:rPr>
        <w:t> </w:t>
      </w:r>
      <w:r>
        <w:rPr/>
        <w:t>Tawila,</w:t>
      </w:r>
      <w:r>
        <w:rPr>
          <w:spacing w:val="16"/>
        </w:rPr>
        <w:t> </w:t>
      </w:r>
      <w:r>
        <w:rPr/>
        <w:t>N.</w:t>
      </w:r>
      <w:r>
        <w:rPr>
          <w:spacing w:val="13"/>
        </w:rPr>
        <w:t> </w:t>
      </w:r>
      <w:r>
        <w:rPr/>
        <w:t>M.,</w:t>
      </w:r>
      <w:r>
        <w:rPr>
          <w:spacing w:val="13"/>
        </w:rPr>
        <w:t> </w:t>
      </w:r>
      <w:r>
        <w:rPr/>
        <w:t>Hamzaha,</w:t>
      </w:r>
      <w:r>
        <w:rPr>
          <w:spacing w:val="14"/>
        </w:rPr>
        <w:t> </w:t>
      </w:r>
      <w:r>
        <w:rPr/>
        <w:t>N.,</w:t>
      </w:r>
      <w:r>
        <w:rPr>
          <w:spacing w:val="13"/>
        </w:rPr>
        <w:t> </w:t>
      </w:r>
      <w:r>
        <w:rPr/>
        <w:t>Che-Ania,</w:t>
      </w:r>
      <w:r>
        <w:rPr>
          <w:spacing w:val="15"/>
        </w:rPr>
        <w:t> </w:t>
      </w:r>
      <w:r>
        <w:rPr/>
        <w:t>A,</w:t>
      </w:r>
      <w:r>
        <w:rPr>
          <w:spacing w:val="16"/>
        </w:rPr>
        <w:t> </w:t>
      </w:r>
      <w:r>
        <w:rPr/>
        <w:t>Basria,</w:t>
      </w:r>
      <w:r>
        <w:rPr>
          <w:spacing w:val="16"/>
        </w:rPr>
        <w:t> </w:t>
      </w:r>
      <w:r>
        <w:rPr/>
        <w:t>I.</w:t>
      </w:r>
      <w:r>
        <w:rPr>
          <w:spacing w:val="15"/>
        </w:rPr>
        <w:t> </w:t>
      </w:r>
      <w:r>
        <w:rPr/>
        <w:t>H.</w:t>
      </w:r>
      <w:r>
        <w:rPr>
          <w:spacing w:val="16"/>
        </w:rPr>
        <w:t> </w:t>
      </w:r>
      <w:r>
        <w:rPr/>
        <w:t>&amp;</w:t>
      </w:r>
      <w:r>
        <w:rPr>
          <w:spacing w:val="11"/>
        </w:rPr>
        <w:t> </w:t>
      </w:r>
      <w:r>
        <w:rPr/>
        <w:t>Yuzaineec,</w:t>
      </w:r>
    </w:p>
    <w:p>
      <w:pPr>
        <w:pStyle w:val="BodyText"/>
        <w:spacing w:line="235" w:lineRule="auto" w:before="3"/>
        <w:ind w:left="1420" w:right="1270"/>
      </w:pPr>
      <w:r>
        <w:rPr/>
        <w:t>M.Y.</w:t>
      </w:r>
      <w:r>
        <w:rPr>
          <w:spacing w:val="3"/>
        </w:rPr>
        <w:t> </w:t>
      </w:r>
      <w:r>
        <w:rPr/>
        <w:t>(2011).Housing</w:t>
      </w:r>
      <w:r>
        <w:rPr>
          <w:spacing w:val="2"/>
        </w:rPr>
        <w:t> </w:t>
      </w:r>
      <w:r>
        <w:rPr/>
        <w:t>Affordability: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conceptual</w:t>
      </w:r>
      <w:r>
        <w:rPr>
          <w:spacing w:val="4"/>
        </w:rPr>
        <w:t> </w:t>
      </w:r>
      <w:r>
        <w:rPr/>
        <w:t>overview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house</w:t>
      </w:r>
      <w:r>
        <w:rPr>
          <w:spacing w:val="5"/>
        </w:rPr>
        <w:t> </w:t>
      </w:r>
      <w:r>
        <w:rPr/>
        <w:t>price</w:t>
      </w:r>
      <w:r>
        <w:rPr>
          <w:spacing w:val="-57"/>
        </w:rPr>
        <w:t> </w:t>
      </w:r>
      <w:r>
        <w:rPr/>
        <w:t>index: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2nd</w:t>
      </w:r>
      <w:r>
        <w:rPr>
          <w:spacing w:val="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Control Conference</w:t>
      </w:r>
      <w:r>
        <w:rPr>
          <w:spacing w:val="-2"/>
        </w:rPr>
        <w:t> </w:t>
      </w:r>
      <w:r>
        <w:rPr/>
        <w:t>2011</w:t>
      </w:r>
    </w:p>
    <w:p>
      <w:pPr>
        <w:spacing w:line="237" w:lineRule="auto" w:before="213"/>
        <w:ind w:left="1420" w:right="1033" w:hanging="720"/>
        <w:jc w:val="both"/>
        <w:rPr>
          <w:i/>
          <w:sz w:val="24"/>
        </w:rPr>
      </w:pPr>
      <w:r>
        <w:rPr>
          <w:sz w:val="24"/>
        </w:rPr>
        <w:t>Sule, A. I., Ojetunde, I. &amp; Foluke, O. F. (2017). Evaluating Neighborhoods Livability in</w:t>
      </w:r>
      <w:r>
        <w:rPr>
          <w:spacing w:val="-57"/>
          <w:sz w:val="24"/>
        </w:rPr>
        <w:t> </w:t>
      </w:r>
      <w:r>
        <w:rPr>
          <w:sz w:val="24"/>
        </w:rPr>
        <w:t>Nigeria: A structural equation Modeling (SEM) Approach: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Built Environment and Sustainability.</w:t>
      </w:r>
    </w:p>
    <w:p>
      <w:pPr>
        <w:spacing w:before="209"/>
        <w:ind w:left="1420" w:right="1038" w:hanging="720"/>
        <w:jc w:val="both"/>
        <w:rPr>
          <w:sz w:val="24"/>
        </w:rPr>
      </w:pPr>
      <w:r>
        <w:rPr>
          <w:sz w:val="24"/>
        </w:rPr>
        <w:t>Throsby (2005). </w:t>
      </w:r>
      <w:r>
        <w:rPr>
          <w:i/>
          <w:sz w:val="24"/>
        </w:rPr>
        <w:t>Cultural heritage as financial asset in strategies for urban development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poverty alleviation. </w:t>
      </w:r>
      <w:r>
        <w:rPr>
          <w:sz w:val="24"/>
        </w:rPr>
        <w:t>Paper for International Conference for Integrating Urban</w:t>
      </w:r>
      <w:r>
        <w:rPr>
          <w:spacing w:val="-57"/>
          <w:sz w:val="24"/>
        </w:rPr>
        <w:t> </w:t>
      </w:r>
      <w:r>
        <w:rPr>
          <w:sz w:val="24"/>
        </w:rPr>
        <w:t>Knowledge &amp;</w:t>
      </w:r>
      <w:r>
        <w:rPr>
          <w:spacing w:val="-2"/>
          <w:sz w:val="24"/>
        </w:rPr>
        <w:t> </w:t>
      </w:r>
      <w:r>
        <w:rPr>
          <w:sz w:val="24"/>
        </w:rPr>
        <w:t>Practice,</w:t>
      </w:r>
      <w:r>
        <w:rPr>
          <w:spacing w:val="1"/>
          <w:sz w:val="24"/>
        </w:rPr>
        <w:t> </w:t>
      </w:r>
      <w:r>
        <w:rPr>
          <w:sz w:val="24"/>
        </w:rPr>
        <w:t>Gothenburg, Sweden,</w:t>
      </w:r>
      <w:r>
        <w:rPr>
          <w:spacing w:val="-1"/>
          <w:sz w:val="24"/>
        </w:rPr>
        <w:t> </w:t>
      </w:r>
      <w:r>
        <w:rPr>
          <w:sz w:val="24"/>
        </w:rPr>
        <w:t>29</w:t>
      </w:r>
      <w:r>
        <w:rPr>
          <w:spacing w:val="2"/>
          <w:sz w:val="24"/>
        </w:rPr>
        <w:t> </w:t>
      </w:r>
      <w:r>
        <w:rPr>
          <w:sz w:val="24"/>
        </w:rPr>
        <w:t>May–3 June,</w:t>
      </w:r>
      <w:r>
        <w:rPr>
          <w:spacing w:val="-1"/>
          <w:sz w:val="24"/>
        </w:rPr>
        <w:t> </w:t>
      </w:r>
      <w:r>
        <w:rPr>
          <w:sz w:val="24"/>
        </w:rPr>
        <w:t>2005</w:t>
      </w:r>
    </w:p>
    <w:p>
      <w:pPr>
        <w:pStyle w:val="BodyText"/>
        <w:rPr>
          <w:sz w:val="26"/>
        </w:rPr>
      </w:pPr>
    </w:p>
    <w:p>
      <w:pPr>
        <w:spacing w:line="242" w:lineRule="auto" w:before="164"/>
        <w:ind w:left="1420" w:right="1063" w:hanging="720"/>
        <w:jc w:val="both"/>
        <w:rPr>
          <w:sz w:val="24"/>
        </w:rPr>
      </w:pPr>
      <w:r>
        <w:rPr>
          <w:sz w:val="24"/>
        </w:rPr>
        <w:t>Turner, M. A. &amp; Kingsley, G. T. (2008).</w:t>
      </w:r>
      <w:r>
        <w:rPr>
          <w:i/>
          <w:sz w:val="24"/>
        </w:rPr>
        <w:t>Federal Programs for Addressing Low-Income: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Primer. </w:t>
      </w:r>
      <w:r>
        <w:rPr>
          <w:sz w:val="24"/>
        </w:rPr>
        <w:t>The Urban</w:t>
      </w:r>
      <w:r>
        <w:rPr>
          <w:spacing w:val="2"/>
          <w:sz w:val="24"/>
        </w:rPr>
        <w:t> </w:t>
      </w:r>
      <w:r>
        <w:rPr>
          <w:sz w:val="24"/>
        </w:rPr>
        <w:t>Institute.</w:t>
      </w:r>
    </w:p>
    <w:p>
      <w:pPr>
        <w:spacing w:line="232" w:lineRule="auto" w:before="210"/>
        <w:ind w:left="1420" w:right="1035" w:hanging="720"/>
        <w:jc w:val="both"/>
        <w:rPr>
          <w:sz w:val="24"/>
        </w:rPr>
      </w:pPr>
      <w:r>
        <w:rPr>
          <w:sz w:val="24"/>
        </w:rPr>
        <w:t>Ugochukwu, C. (2016). </w:t>
      </w:r>
      <w:r>
        <w:rPr>
          <w:i/>
          <w:sz w:val="24"/>
        </w:rPr>
        <w:t>The challenge of housing affordability in Nigeria: </w:t>
      </w:r>
      <w:r>
        <w:rPr>
          <w:sz w:val="24"/>
        </w:rPr>
        <w:t>conference of</w:t>
      </w:r>
      <w:r>
        <w:rPr>
          <w:spacing w:val="-57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estate</w:t>
      </w:r>
      <w:r>
        <w:rPr>
          <w:spacing w:val="-1"/>
          <w:sz w:val="24"/>
        </w:rPr>
        <w:t> </w:t>
      </w:r>
      <w:r>
        <w:rPr>
          <w:sz w:val="24"/>
        </w:rPr>
        <w:t>developers association of Nigeria.</w:t>
      </w:r>
    </w:p>
    <w:p>
      <w:pPr>
        <w:pStyle w:val="BodyText"/>
        <w:tabs>
          <w:tab w:pos="1180" w:val="left" w:leader="none"/>
        </w:tabs>
        <w:spacing w:before="214"/>
        <w:ind w:left="1199" w:right="1061" w:hanging="718"/>
      </w:pPr>
      <w:r>
        <w:rPr/>
        <w:t>UN</w:t>
        <w:tab/>
        <w:t>Habitat</w:t>
      </w:r>
      <w:r>
        <w:rPr>
          <w:spacing w:val="31"/>
        </w:rPr>
        <w:t> </w:t>
      </w:r>
      <w:r>
        <w:rPr/>
        <w:t>(2014).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new</w:t>
      </w:r>
      <w:r>
        <w:rPr>
          <w:spacing w:val="32"/>
        </w:rPr>
        <w:t> </w:t>
      </w:r>
      <w:r>
        <w:rPr/>
        <w:t>strategy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sustainable</w:t>
      </w:r>
      <w:r>
        <w:rPr>
          <w:spacing w:val="30"/>
        </w:rPr>
        <w:t> </w:t>
      </w:r>
      <w:r>
        <w:rPr/>
        <w:t>neighborhood</w:t>
      </w:r>
      <w:r>
        <w:rPr>
          <w:spacing w:val="30"/>
        </w:rPr>
        <w:t> </w:t>
      </w:r>
      <w:r>
        <w:rPr/>
        <w:t>planning.</w:t>
      </w:r>
      <w:r>
        <w:rPr>
          <w:spacing w:val="30"/>
        </w:rPr>
        <w:t> </w:t>
      </w:r>
      <w:r>
        <w:rPr/>
        <w:t>Five</w:t>
      </w:r>
      <w:r>
        <w:rPr>
          <w:spacing w:val="-57"/>
        </w:rPr>
        <w:t> </w:t>
      </w:r>
      <w:r>
        <w:rPr/>
        <w:t>Principles,</w:t>
      </w:r>
      <w:r>
        <w:rPr>
          <w:spacing w:val="-2"/>
        </w:rPr>
        <w:t> </w:t>
      </w:r>
      <w:r>
        <w:rPr/>
        <w:t>Nairobi,</w:t>
      </w:r>
      <w:r>
        <w:rPr>
          <w:spacing w:val="-2"/>
        </w:rPr>
        <w:t> </w:t>
      </w:r>
      <w:r>
        <w:rPr/>
        <w:t>Kenya</w:t>
      </w:r>
      <w:r>
        <w:rPr>
          <w:spacing w:val="-3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Nations</w:t>
      </w:r>
      <w:r>
        <w:rPr>
          <w:spacing w:val="-2"/>
        </w:rPr>
        <w:t> </w:t>
      </w:r>
      <w:r>
        <w:rPr/>
        <w:t>Human Settlement</w:t>
      </w:r>
      <w:r>
        <w:rPr>
          <w:spacing w:val="-1"/>
        </w:rPr>
        <w:t> </w:t>
      </w:r>
      <w:r>
        <w:rPr/>
        <w:t>programmes</w:t>
      </w:r>
      <w:r>
        <w:rPr>
          <w:spacing w:val="-2"/>
        </w:rPr>
        <w:t> </w:t>
      </w:r>
      <w:r>
        <w:rPr/>
        <w:t>(2014).</w:t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164"/>
        <w:ind w:left="1420" w:right="1104" w:hanging="660"/>
        <w:jc w:val="both"/>
      </w:pPr>
      <w:r>
        <w:rPr/>
        <w:t>United Nations Human Settlements Programme (UN-HABITAT: A Practical Guide for</w:t>
      </w:r>
      <w:r>
        <w:rPr>
          <w:spacing w:val="-57"/>
        </w:rPr>
        <w:t> </w:t>
      </w:r>
      <w:r>
        <w:rPr/>
        <w:t>Conducting: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Profiles (2010).</w:t>
      </w:r>
    </w:p>
    <w:p>
      <w:pPr>
        <w:pStyle w:val="BodyText"/>
        <w:tabs>
          <w:tab w:pos="1180" w:val="left" w:leader="none"/>
        </w:tabs>
        <w:spacing w:line="237" w:lineRule="auto" w:before="208"/>
        <w:ind w:left="1199" w:right="1118" w:hanging="718"/>
      </w:pPr>
      <w:r>
        <w:rPr/>
        <w:t>US</w:t>
        <w:tab/>
        <w:t>Environmental</w:t>
      </w:r>
      <w:r>
        <w:rPr>
          <w:spacing w:val="14"/>
        </w:rPr>
        <w:t> </w:t>
      </w:r>
      <w:r>
        <w:rPr/>
        <w:t>Protection</w:t>
      </w:r>
      <w:r>
        <w:rPr>
          <w:spacing w:val="14"/>
        </w:rPr>
        <w:t> </w:t>
      </w:r>
      <w:r>
        <w:rPr/>
        <w:t>Agency</w:t>
      </w:r>
      <w:r>
        <w:rPr>
          <w:spacing w:val="9"/>
        </w:rPr>
        <w:t> </w:t>
      </w:r>
      <w:r>
        <w:rPr/>
        <w:t>(2011).</w:t>
      </w:r>
      <w:r>
        <w:rPr>
          <w:spacing w:val="13"/>
        </w:rPr>
        <w:t> </w:t>
      </w:r>
      <w:r>
        <w:rPr/>
        <w:t>HUD-DOT-EPA</w:t>
      </w:r>
      <w:r>
        <w:rPr>
          <w:spacing w:val="13"/>
        </w:rPr>
        <w:t> </w:t>
      </w:r>
      <w:r>
        <w:rPr/>
        <w:t>Partnership</w:t>
      </w:r>
      <w:r>
        <w:rPr>
          <w:spacing w:val="14"/>
        </w:rPr>
        <w:t> </w:t>
      </w:r>
      <w:r>
        <w:rPr/>
        <w:t>for</w:t>
      </w:r>
      <w:r>
        <w:rPr>
          <w:spacing w:val="-57"/>
        </w:rPr>
        <w:t> </w:t>
      </w:r>
      <w:r>
        <w:rPr/>
        <w:t>SustainableCommunities.RetrievedApril11,2014,Website</w:t>
      </w:r>
      <w:hyperlink r:id="rId43">
        <w:r>
          <w:rPr/>
          <w:t>s:http:</w:t>
        </w:r>
      </w:hyperlink>
      <w:r>
        <w:rPr/>
        <w:t>/</w:t>
      </w:r>
      <w:hyperlink r:id="rId43">
        <w:r>
          <w:rPr/>
          <w:t>/www.epa.gov/s</w:t>
        </w:r>
      </w:hyperlink>
      <w:r>
        <w:rPr>
          <w:spacing w:val="1"/>
        </w:rPr>
        <w:t> </w:t>
      </w:r>
      <w:r>
        <w:rPr/>
        <w:t>martgrowth/partnership/#background</w:t>
      </w:r>
    </w:p>
    <w:p>
      <w:pPr>
        <w:pStyle w:val="BodyText"/>
        <w:spacing w:line="237" w:lineRule="auto" w:before="208"/>
        <w:ind w:left="1420" w:right="1060" w:hanging="720"/>
        <w:jc w:val="both"/>
      </w:pPr>
      <w:r>
        <w:rPr/>
        <w:t>Van Dorst, M. J. (2012). Sustainable Urban Environments: An Ecosystem Approach:</w:t>
      </w:r>
      <w:r>
        <w:rPr>
          <w:spacing w:val="1"/>
        </w:rPr>
        <w:t> </w:t>
      </w:r>
      <w:r>
        <w:rPr/>
        <w:t>DOI 10.1007/978-94-007-1294-2_8, © Springer Science+Business Media B.V.</w:t>
      </w:r>
      <w:r>
        <w:rPr>
          <w:spacing w:val="1"/>
        </w:rPr>
        <w:t> </w:t>
      </w:r>
      <w:r>
        <w:rPr/>
        <w:t>2012</w:t>
      </w:r>
    </w:p>
    <w:p>
      <w:pPr>
        <w:spacing w:line="237" w:lineRule="auto" w:before="208"/>
        <w:ind w:left="1420" w:right="1056" w:hanging="720"/>
        <w:jc w:val="both"/>
        <w:rPr>
          <w:sz w:val="24"/>
        </w:rPr>
      </w:pPr>
      <w:r>
        <w:rPr>
          <w:sz w:val="24"/>
        </w:rPr>
        <w:t>Vera Prosper, Ph.D (2011). Creating Livable Communities: </w:t>
      </w:r>
      <w:r>
        <w:rPr>
          <w:i/>
          <w:sz w:val="24"/>
        </w:rPr>
        <w:t>The Dynamics of Aging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Our Communities</w:t>
      </w:r>
      <w:r>
        <w:rPr>
          <w:sz w:val="24"/>
        </w:rPr>
        <w:t>, Issue No. 2,Vol. 5:published by Albany Guardian Society,</w:t>
      </w:r>
      <w:r>
        <w:rPr>
          <w:spacing w:val="1"/>
          <w:sz w:val="24"/>
        </w:rPr>
        <w:t> </w:t>
      </w:r>
      <w:r>
        <w:rPr>
          <w:sz w:val="24"/>
        </w:rPr>
        <w:t>Albany,</w:t>
      </w:r>
      <w:r>
        <w:rPr>
          <w:spacing w:val="1"/>
          <w:sz w:val="24"/>
        </w:rPr>
        <w:t> </w:t>
      </w:r>
      <w:r>
        <w:rPr>
          <w:sz w:val="24"/>
        </w:rPr>
        <w:t>NY.</w:t>
      </w:r>
    </w:p>
    <w:p>
      <w:pPr>
        <w:pStyle w:val="BodyText"/>
        <w:spacing w:line="235" w:lineRule="auto" w:before="212"/>
        <w:ind w:left="1420" w:right="1060" w:hanging="720"/>
        <w:jc w:val="both"/>
      </w:pPr>
      <w:r>
        <w:rPr/>
        <w:t>Victorian Competition and Efficiency Commission. (2008). A state of liveability: An</w:t>
      </w:r>
      <w:r>
        <w:rPr>
          <w:spacing w:val="1"/>
        </w:rPr>
        <w:t> </w:t>
      </w:r>
      <w:r>
        <w:rPr/>
        <w:t>enquiry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Victoria‟s</w:t>
      </w:r>
      <w:r>
        <w:rPr>
          <w:spacing w:val="1"/>
        </w:rPr>
        <w:t> </w:t>
      </w:r>
      <w:r>
        <w:rPr/>
        <w:t>liveability,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Victorian</w:t>
      </w:r>
      <w:r>
        <w:rPr>
          <w:spacing w:val="1"/>
        </w:rPr>
        <w:t> </w:t>
      </w:r>
      <w:r>
        <w:rPr/>
        <w:t>Competition</w:t>
      </w:r>
      <w:r>
        <w:rPr>
          <w:spacing w:val="-1"/>
        </w:rPr>
        <w:t> </w:t>
      </w:r>
      <w:r>
        <w:rPr/>
        <w:t>and Efficiency</w:t>
      </w:r>
      <w:r>
        <w:rPr>
          <w:spacing w:val="-5"/>
        </w:rPr>
        <w:t> </w:t>
      </w:r>
      <w:r>
        <w:rPr/>
        <w:t>Commission: Melbourne, Victoria</w:t>
      </w:r>
    </w:p>
    <w:p>
      <w:pPr>
        <w:pStyle w:val="BodyText"/>
        <w:spacing w:line="235" w:lineRule="auto" w:before="214"/>
        <w:ind w:left="1420" w:right="1061" w:hanging="720"/>
        <w:jc w:val="both"/>
      </w:pPr>
      <w:r>
        <w:rPr/>
        <w:t>Wang, Y.P., Wang, Y.L. &amp; Wu, J. (2010). „Housing for migrant workers in China: a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Chinese</w:t>
      </w:r>
      <w:r>
        <w:rPr>
          <w:spacing w:val="-2"/>
        </w:rPr>
        <w:t> </w:t>
      </w:r>
      <w:r>
        <w:rPr/>
        <w:t>model in Shenzhen‟,</w:t>
      </w:r>
      <w:r>
        <w:rPr>
          <w:spacing w:val="2"/>
        </w:rPr>
        <w:t> </w:t>
      </w:r>
      <w:r>
        <w:rPr>
          <w:i/>
        </w:rPr>
        <w:t>Housing Studies</w:t>
      </w:r>
      <w:r>
        <w:rPr/>
        <w:t>, 25(1), 83-100.</w:t>
      </w:r>
    </w:p>
    <w:p>
      <w:pPr>
        <w:pStyle w:val="BodyText"/>
        <w:spacing w:before="201"/>
        <w:ind w:left="700"/>
      </w:pPr>
      <w:r>
        <w:rPr/>
        <w:t>Webster dictionary</w:t>
      </w:r>
    </w:p>
    <w:p>
      <w:pPr>
        <w:spacing w:after="0"/>
        <w:sectPr>
          <w:footerReference w:type="default" r:id="rId42"/>
          <w:pgSz w:w="11900" w:h="16840"/>
          <w:pgMar w:footer="1128" w:header="0" w:top="1320" w:bottom="1320" w:left="1280" w:right="360"/>
          <w:pgNumType w:start="99"/>
        </w:sectPr>
      </w:pPr>
    </w:p>
    <w:p>
      <w:pPr>
        <w:pStyle w:val="BodyText"/>
        <w:spacing w:line="237" w:lineRule="auto" w:before="74"/>
        <w:ind w:left="1420" w:right="1058" w:hanging="720"/>
        <w:jc w:val="both"/>
      </w:pPr>
      <w:r>
        <w:rPr/>
        <w:t>Weiss, R. L., Maantay, J. A. &amp; Fahs, M. (2010). Promoting active urban aging: A</w:t>
      </w:r>
      <w:r>
        <w:rPr>
          <w:spacing w:val="1"/>
        </w:rPr>
        <w:t> </w:t>
      </w:r>
      <w:r>
        <w:rPr/>
        <w:t>measurement approach to neighborhood walkability for older adults. Cities and</w:t>
      </w:r>
      <w:r>
        <w:rPr>
          <w:spacing w:val="1"/>
        </w:rPr>
        <w:t> </w:t>
      </w:r>
      <w:r>
        <w:rPr/>
        <w:t>the Environment, 3(1), 1–17.</w:t>
      </w:r>
    </w:p>
    <w:p>
      <w:pPr>
        <w:pStyle w:val="BodyText"/>
        <w:spacing w:line="232" w:lineRule="auto" w:before="210"/>
        <w:ind w:left="1420" w:right="1061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substandard</w:t>
      </w:r>
      <w:r>
        <w:rPr>
          <w:spacing w:val="1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agenda</w:t>
      </w:r>
    </w:p>
    <w:p>
      <w:pPr>
        <w:pStyle w:val="BodyText"/>
        <w:spacing w:before="204"/>
        <w:ind w:left="700"/>
      </w:pPr>
      <w:r>
        <w:rPr/>
        <w:t>World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1999 ⁄2000</w:t>
      </w:r>
    </w:p>
    <w:p>
      <w:pPr>
        <w:pStyle w:val="BodyText"/>
        <w:spacing w:line="272" w:lineRule="exact" w:before="207"/>
        <w:ind w:left="700"/>
      </w:pPr>
      <w:r>
        <w:rPr>
          <w:spacing w:val="-1"/>
        </w:rPr>
        <w:t>Zainal,</w:t>
      </w:r>
      <w:r>
        <w:rPr>
          <w:spacing w:val="-31"/>
        </w:rPr>
        <w:t> </w:t>
      </w:r>
      <w:r>
        <w:rPr/>
        <w:t>A.</w:t>
      </w:r>
      <w:r>
        <w:rPr>
          <w:spacing w:val="116"/>
        </w:rPr>
        <w:t> </w:t>
      </w:r>
      <w:r>
        <w:rPr/>
        <w:t>H.</w:t>
      </w:r>
      <w:r>
        <w:rPr>
          <w:spacing w:val="119"/>
        </w:rPr>
        <w:t> </w:t>
      </w:r>
      <w:r>
        <w:rPr/>
        <w:t>(2010).</w:t>
      </w:r>
      <w:r>
        <w:rPr>
          <w:spacing w:val="118"/>
        </w:rPr>
        <w:t> </w:t>
      </w:r>
      <w:r>
        <w:rPr/>
        <w:t>House</w:t>
      </w:r>
      <w:r>
        <w:rPr>
          <w:spacing w:val="118"/>
        </w:rPr>
        <w:t> </w:t>
      </w:r>
      <w:r>
        <w:rPr/>
        <w:t>Price</w:t>
      </w:r>
      <w:r>
        <w:rPr>
          <w:spacing w:val="118"/>
        </w:rPr>
        <w:t> </w:t>
      </w:r>
      <w:r>
        <w:rPr/>
        <w:t>and</w:t>
      </w:r>
      <w:r>
        <w:rPr>
          <w:spacing w:val="119"/>
        </w:rPr>
        <w:t> </w:t>
      </w:r>
      <w:r>
        <w:rPr/>
        <w:t>Affordability</w:t>
      </w:r>
      <w:r>
        <w:rPr>
          <w:spacing w:val="112"/>
        </w:rPr>
        <w:t> </w:t>
      </w:r>
      <w:r>
        <w:rPr/>
        <w:t>in</w:t>
      </w:r>
      <w:r>
        <w:rPr>
          <w:spacing w:val="61"/>
        </w:rPr>
        <w:t> </w:t>
      </w:r>
      <w:r>
        <w:rPr/>
        <w:t>Housing</w:t>
      </w:r>
      <w:r>
        <w:rPr>
          <w:spacing w:val="114"/>
        </w:rPr>
        <w:t> </w:t>
      </w:r>
      <w:r>
        <w:rPr/>
        <w:t>in</w:t>
      </w:r>
      <w:r>
        <w:rPr>
          <w:spacing w:val="117"/>
        </w:rPr>
        <w:t> </w:t>
      </w:r>
      <w:r>
        <w:rPr/>
        <w:t>Malaysia.</w:t>
      </w:r>
    </w:p>
    <w:p>
      <w:pPr>
        <w:pStyle w:val="BodyText"/>
        <w:spacing w:line="272" w:lineRule="exact"/>
        <w:ind w:left="1420"/>
      </w:pPr>
      <w:r>
        <w:rPr/>
        <w:t>Akademika,</w:t>
      </w:r>
      <w:r>
        <w:rPr>
          <w:spacing w:val="-2"/>
        </w:rPr>
        <w:t> </w:t>
      </w:r>
      <w:r>
        <w:rPr/>
        <w:t>78,</w:t>
      </w:r>
      <w:r>
        <w:rPr>
          <w:spacing w:val="-2"/>
        </w:rPr>
        <w:t> </w:t>
      </w:r>
      <w:r>
        <w:rPr/>
        <w:t>37-46</w:t>
      </w:r>
    </w:p>
    <w:p>
      <w:pPr>
        <w:spacing w:after="0" w:line="272" w:lineRule="exact"/>
        <w:sectPr>
          <w:pgSz w:w="11900" w:h="16840"/>
          <w:pgMar w:header="0" w:footer="1128" w:top="1320" w:bottom="1320" w:left="1280" w:right="360"/>
        </w:sectPr>
      </w:pPr>
    </w:p>
    <w:p>
      <w:pPr>
        <w:pStyle w:val="Heading1"/>
        <w:spacing w:before="74"/>
        <w:ind w:left="688" w:right="1030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spacing w:before="2"/>
        <w:rPr>
          <w:b/>
          <w:sz w:val="37"/>
        </w:rPr>
      </w:pPr>
    </w:p>
    <w:p>
      <w:pPr>
        <w:spacing w:line="374" w:lineRule="auto" w:before="0"/>
        <w:ind w:left="722" w:right="1080" w:hanging="2"/>
        <w:jc w:val="center"/>
        <w:rPr>
          <w:b/>
          <w:sz w:val="23"/>
        </w:rPr>
      </w:pPr>
      <w:r>
        <w:rPr>
          <w:b/>
          <w:sz w:val="23"/>
        </w:rPr>
        <w:t>FEDERAL UNIVERSITY OF TECHNOLOGY MINNA SCHOOL OF POST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GRADUATE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STUDIES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DEPARTMENT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URBAN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REGIONAL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PLANNING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1"/>
        <w:ind w:left="688" w:right="1022"/>
        <w:jc w:val="center"/>
      </w:pPr>
      <w:r>
        <w:rPr/>
        <w:t>QUESTIONNAIRE</w:t>
      </w:r>
    </w:p>
    <w:p>
      <w:pPr>
        <w:spacing w:before="137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Dear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Sir/Madam,</w:t>
      </w:r>
    </w:p>
    <w:p>
      <w:pPr>
        <w:pStyle w:val="BodyText"/>
        <w:spacing w:line="352" w:lineRule="auto" w:before="141"/>
        <w:ind w:left="700" w:right="1063"/>
        <w:jc w:val="both"/>
      </w:pPr>
      <w:r>
        <w:rPr/>
        <w:t>This questionnaire is designed specifically for a research in the area of comparative</w:t>
      </w:r>
      <w:r>
        <w:rPr>
          <w:spacing w:val="1"/>
        </w:rPr>
        <w:t> </w:t>
      </w:r>
      <w:r>
        <w:rPr/>
        <w:t>analysis of housing affordability and liveability in public and private housing estates in</w:t>
      </w:r>
      <w:r>
        <w:rPr>
          <w:spacing w:val="1"/>
        </w:rPr>
        <w:t> </w:t>
      </w:r>
      <w:r>
        <w:rPr/>
        <w:t>Ilorin,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50" w:lineRule="auto" w:before="224"/>
        <w:ind w:left="700" w:right="1064"/>
        <w:jc w:val="both"/>
      </w:pPr>
      <w:r>
        <w:rPr/>
        <w:t>All the information that will be given to the researcher will be strictly for academic</w:t>
      </w:r>
      <w:r>
        <w:rPr>
          <w:spacing w:val="1"/>
        </w:rPr>
        <w:t> </w:t>
      </w:r>
      <w:r>
        <w:rPr/>
        <w:t>purposes.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co-operation.</w:t>
      </w:r>
    </w:p>
    <w:p>
      <w:pPr>
        <w:pStyle w:val="Heading1"/>
        <w:spacing w:line="345" w:lineRule="auto" w:before="233"/>
        <w:ind w:right="2445"/>
      </w:pPr>
      <w:r>
        <w:rPr/>
        <w:t>SECTION A: SOCIO- ECONOMIC CHARACTERISTICS OF THE</w:t>
      </w:r>
      <w:r>
        <w:rPr>
          <w:spacing w:val="-57"/>
        </w:rPr>
        <w:t> </w:t>
      </w:r>
      <w:r>
        <w:rPr/>
        <w:t>RESPONDENT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4891"/>
        <w:gridCol w:w="1640"/>
        <w:gridCol w:w="1829"/>
      </w:tblGrid>
      <w:tr>
        <w:trPr>
          <w:trHeight w:val="340" w:hRule="atLeast"/>
        </w:trPr>
        <w:tc>
          <w:tcPr>
            <w:tcW w:w="510" w:type="dxa"/>
          </w:tcPr>
          <w:p>
            <w:pPr>
              <w:pStyle w:val="TableParagraph"/>
              <w:spacing w:line="266" w:lineRule="exact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891" w:type="dxa"/>
          </w:tcPr>
          <w:p>
            <w:pPr>
              <w:pStyle w:val="TableParagraph"/>
              <w:spacing w:line="266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Gender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(B) Female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10" w:type="dxa"/>
          </w:tcPr>
          <w:p>
            <w:pPr>
              <w:pStyle w:val="TableParagraph"/>
              <w:spacing w:before="64"/>
              <w:ind w:right="1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891" w:type="dxa"/>
          </w:tcPr>
          <w:p>
            <w:pPr>
              <w:pStyle w:val="TableParagraph"/>
              <w:spacing w:before="64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Education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Status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(A)Tertiary</w:t>
            </w:r>
            <w:r>
              <w:rPr>
                <w:rFonts w:ascii="Times New Roman"/>
                <w:spacing w:val="1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(B)Secondary</w:t>
            </w:r>
          </w:p>
        </w:tc>
        <w:tc>
          <w:tcPr>
            <w:tcW w:w="1640" w:type="dxa"/>
          </w:tcPr>
          <w:p>
            <w:pPr>
              <w:pStyle w:val="TableParagraph"/>
              <w:spacing w:before="64"/>
              <w:ind w:left="2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(C)Primary</w:t>
            </w:r>
          </w:p>
        </w:tc>
        <w:tc>
          <w:tcPr>
            <w:tcW w:w="1829" w:type="dxa"/>
          </w:tcPr>
          <w:p>
            <w:pPr>
              <w:pStyle w:val="TableParagraph"/>
              <w:spacing w:before="64"/>
              <w:ind w:left="2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(D)No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formal</w:t>
            </w:r>
          </w:p>
        </w:tc>
      </w:tr>
      <w:tr>
        <w:trPr>
          <w:trHeight w:val="339" w:hRule="atLeast"/>
        </w:trPr>
        <w:tc>
          <w:tcPr>
            <w:tcW w:w="5401" w:type="dxa"/>
            <w:gridSpan w:val="2"/>
          </w:tcPr>
          <w:p>
            <w:pPr>
              <w:pStyle w:val="TableParagraph"/>
              <w:spacing w:line="256" w:lineRule="exact" w:before="6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education/Quranic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tabs>
          <w:tab w:pos="1199" w:val="left" w:leader="none"/>
        </w:tabs>
        <w:spacing w:before="139"/>
        <w:ind w:left="705"/>
      </w:pPr>
      <w:r>
        <w:rPr/>
        <w:t>3.</w:t>
        <w:tab/>
        <w:t>Occupation</w:t>
      </w:r>
      <w:r>
        <w:rPr>
          <w:spacing w:val="-1"/>
        </w:rPr>
        <w:t> </w:t>
      </w:r>
      <w:r>
        <w:rPr/>
        <w:t>(A)</w:t>
      </w:r>
      <w:r>
        <w:rPr>
          <w:spacing w:val="-3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servant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Self-employed (C)</w:t>
      </w:r>
      <w:r>
        <w:rPr>
          <w:spacing w:val="-1"/>
        </w:rPr>
        <w:t> </w:t>
      </w:r>
      <w:r>
        <w:rPr/>
        <w:t>Artisans)</w:t>
      </w:r>
      <w:r>
        <w:rPr>
          <w:spacing w:val="57"/>
        </w:rPr>
        <w:t> </w:t>
      </w:r>
      <w:r>
        <w:rPr/>
        <w:t>(D) Farming</w:t>
      </w:r>
      <w:r>
        <w:rPr>
          <w:spacing w:val="-3"/>
        </w:rPr>
        <w:t> </w:t>
      </w:r>
      <w:r>
        <w:rPr/>
        <w:t>(E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1836"/>
        <w:gridCol w:w="1606"/>
        <w:gridCol w:w="2559"/>
        <w:gridCol w:w="1271"/>
        <w:gridCol w:w="959"/>
      </w:tblGrid>
      <w:tr>
        <w:trPr>
          <w:trHeight w:val="339" w:hRule="atLeast"/>
        </w:trPr>
        <w:tc>
          <w:tcPr>
            <w:tcW w:w="8659" w:type="dxa"/>
            <w:gridSpan w:val="6"/>
          </w:tcPr>
          <w:p>
            <w:pPr>
              <w:pStyle w:val="TableParagraph"/>
              <w:spacing w:line="266" w:lineRule="exact"/>
              <w:ind w:left="7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Business/Trading</w:t>
            </w:r>
          </w:p>
        </w:tc>
      </w:tr>
      <w:tr>
        <w:trPr>
          <w:trHeight w:val="414" w:hRule="atLeast"/>
        </w:trPr>
        <w:tc>
          <w:tcPr>
            <w:tcW w:w="428" w:type="dxa"/>
          </w:tcPr>
          <w:p>
            <w:pPr>
              <w:pStyle w:val="TableParagraph"/>
              <w:spacing w:before="63"/>
              <w:ind w:right="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442" w:type="dxa"/>
            <w:gridSpan w:val="2"/>
          </w:tcPr>
          <w:p>
            <w:pPr>
              <w:pStyle w:val="TableParagraph"/>
              <w:spacing w:before="63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household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head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(a) 18-30</w:t>
            </w:r>
          </w:p>
        </w:tc>
        <w:tc>
          <w:tcPr>
            <w:tcW w:w="2559" w:type="dxa"/>
          </w:tcPr>
          <w:p>
            <w:pPr>
              <w:pStyle w:val="TableParagraph"/>
              <w:spacing w:before="63"/>
              <w:ind w:left="5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(b)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31-43</w:t>
            </w:r>
          </w:p>
        </w:tc>
        <w:tc>
          <w:tcPr>
            <w:tcW w:w="1271" w:type="dxa"/>
          </w:tcPr>
          <w:p>
            <w:pPr>
              <w:pStyle w:val="TableParagraph"/>
              <w:spacing w:before="63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44-56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left="2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(d)</w:t>
            </w:r>
          </w:p>
        </w:tc>
      </w:tr>
      <w:tr>
        <w:trPr>
          <w:trHeight w:val="413" w:hRule="atLeast"/>
        </w:trPr>
        <w:tc>
          <w:tcPr>
            <w:tcW w:w="8659" w:type="dxa"/>
            <w:gridSpan w:val="6"/>
          </w:tcPr>
          <w:p>
            <w:pPr>
              <w:pStyle w:val="TableParagraph"/>
              <w:spacing w:before="64"/>
              <w:ind w:left="7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57-69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(e)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above</w:t>
            </w:r>
          </w:p>
        </w:tc>
      </w:tr>
      <w:tr>
        <w:trPr>
          <w:trHeight w:val="339" w:hRule="atLeast"/>
        </w:trPr>
        <w:tc>
          <w:tcPr>
            <w:tcW w:w="428" w:type="dxa"/>
          </w:tcPr>
          <w:p>
            <w:pPr>
              <w:pStyle w:val="TableParagraph"/>
              <w:spacing w:line="256" w:lineRule="exact" w:before="63"/>
              <w:ind w:right="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836" w:type="dxa"/>
          </w:tcPr>
          <w:p>
            <w:pPr>
              <w:pStyle w:val="TableParagraph"/>
              <w:spacing w:line="256" w:lineRule="exact" w:before="63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Marital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Status</w:t>
            </w:r>
          </w:p>
        </w:tc>
        <w:tc>
          <w:tcPr>
            <w:tcW w:w="1606" w:type="dxa"/>
          </w:tcPr>
          <w:p>
            <w:pPr>
              <w:pStyle w:val="TableParagraph"/>
              <w:spacing w:line="256" w:lineRule="exact" w:before="63"/>
              <w:ind w:left="3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Married</w:t>
            </w:r>
          </w:p>
        </w:tc>
        <w:tc>
          <w:tcPr>
            <w:tcW w:w="2559" w:type="dxa"/>
          </w:tcPr>
          <w:p>
            <w:pPr>
              <w:pStyle w:val="TableParagraph"/>
              <w:spacing w:line="256" w:lineRule="exact" w:before="63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(b)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Single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Separated</w:t>
            </w:r>
          </w:p>
        </w:tc>
        <w:tc>
          <w:tcPr>
            <w:tcW w:w="2230" w:type="dxa"/>
            <w:gridSpan w:val="2"/>
          </w:tcPr>
          <w:p>
            <w:pPr>
              <w:pStyle w:val="TableParagraph"/>
              <w:spacing w:line="256" w:lineRule="exact" w:before="63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(d)</w:t>
            </w:r>
            <w:r>
              <w:rPr>
                <w:rFonts w:ascii="Times New Roman"/>
                <w:spacing w:val="23"/>
                <w:w w:val="95"/>
                <w:sz w:val="24"/>
              </w:rPr>
              <w:t> </w:t>
            </w:r>
            <w:r>
              <w:rPr>
                <w:rFonts w:ascii="Times New Roman"/>
                <w:w w:val="95"/>
                <w:sz w:val="24"/>
              </w:rPr>
              <w:t>Widow/Widower</w:t>
            </w:r>
          </w:p>
        </w:tc>
      </w:tr>
    </w:tbl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0"/>
          <w:numId w:val="12"/>
        </w:numPr>
        <w:tabs>
          <w:tab w:pos="982" w:val="left" w:leader="none"/>
        </w:tabs>
        <w:spacing w:line="240" w:lineRule="auto" w:before="0" w:after="0"/>
        <w:ind w:left="981" w:right="0" w:hanging="282"/>
        <w:jc w:val="left"/>
      </w:pPr>
      <w:r>
        <w:rPr/>
        <w:t>HOUSING</w:t>
      </w:r>
      <w:r>
        <w:rPr>
          <w:spacing w:val="-4"/>
        </w:rPr>
        <w:t> </w:t>
      </w:r>
      <w:r>
        <w:rPr/>
        <w:t>TYPES</w:t>
      </w:r>
      <w:r>
        <w:rPr>
          <w:spacing w:val="-2"/>
        </w:rPr>
        <w:t> </w:t>
      </w:r>
      <w:r>
        <w:rPr/>
        <w:t>SURVEY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421" w:val="left" w:leader="none"/>
        </w:tabs>
        <w:spacing w:line="350" w:lineRule="auto" w:before="0" w:after="0"/>
        <w:ind w:left="1420" w:right="1307" w:hanging="356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detached</w:t>
      </w:r>
      <w:r>
        <w:rPr>
          <w:spacing w:val="-1"/>
          <w:sz w:val="24"/>
        </w:rPr>
        <w:t> </w:t>
      </w:r>
      <w:r>
        <w:rPr>
          <w:sz w:val="24"/>
        </w:rPr>
        <w:t>bungalow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detached bungalow</w:t>
      </w:r>
      <w:r>
        <w:rPr>
          <w:spacing w:val="2"/>
          <w:sz w:val="24"/>
        </w:rPr>
        <w:t> </w:t>
      </w:r>
      <w:r>
        <w:rPr>
          <w:sz w:val="24"/>
        </w:rPr>
        <w:t>(c) multiple</w:t>
      </w:r>
      <w:r>
        <w:rPr>
          <w:spacing w:val="-1"/>
          <w:sz w:val="24"/>
        </w:rPr>
        <w:t> </w:t>
      </w:r>
      <w:r>
        <w:rPr>
          <w:sz w:val="24"/>
        </w:rPr>
        <w:t>row</w:t>
      </w:r>
    </w:p>
    <w:p>
      <w:pPr>
        <w:pStyle w:val="ListParagraph"/>
        <w:numPr>
          <w:ilvl w:val="1"/>
          <w:numId w:val="12"/>
        </w:numPr>
        <w:tabs>
          <w:tab w:pos="1421" w:val="left" w:leader="none"/>
        </w:tabs>
        <w:spacing w:line="240" w:lineRule="auto" w:before="11" w:after="0"/>
        <w:ind w:left="1420" w:right="0" w:hanging="356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based on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composition/</w:t>
      </w:r>
      <w:r>
        <w:rPr>
          <w:spacing w:val="-1"/>
          <w:sz w:val="24"/>
        </w:rPr>
        <w:t> </w:t>
      </w:r>
      <w:r>
        <w:rPr>
          <w:sz w:val="24"/>
        </w:rPr>
        <w:t>height</w:t>
      </w:r>
    </w:p>
    <w:p>
      <w:pPr>
        <w:pStyle w:val="ListParagraph"/>
        <w:numPr>
          <w:ilvl w:val="2"/>
          <w:numId w:val="12"/>
        </w:numPr>
        <w:tabs>
          <w:tab w:pos="1781" w:val="left" w:leader="none"/>
        </w:tabs>
        <w:spacing w:line="240" w:lineRule="auto" w:before="139" w:after="0"/>
        <w:ind w:left="1780" w:right="0" w:hanging="356"/>
        <w:jc w:val="left"/>
        <w:rPr>
          <w:sz w:val="24"/>
        </w:rPr>
      </w:pPr>
      <w:r>
        <w:rPr>
          <w:sz w:val="24"/>
        </w:rPr>
        <w:t>Bungalow</w:t>
      </w:r>
      <w:r>
        <w:rPr>
          <w:spacing w:val="-1"/>
          <w:sz w:val="24"/>
        </w:rPr>
        <w:t> </w:t>
      </w:r>
      <w:r>
        <w:rPr>
          <w:sz w:val="24"/>
        </w:rPr>
        <w:t>b) Terrace</w:t>
      </w:r>
      <w:r>
        <w:rPr>
          <w:spacing w:val="-2"/>
          <w:sz w:val="24"/>
        </w:rPr>
        <w:t> </w:t>
      </w:r>
      <w:r>
        <w:rPr>
          <w:sz w:val="24"/>
        </w:rPr>
        <w:t>c)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rise</w:t>
      </w:r>
      <w:r>
        <w:rPr>
          <w:spacing w:val="-1"/>
          <w:sz w:val="24"/>
        </w:rPr>
        <w:t> </w:t>
      </w:r>
      <w:r>
        <w:rPr>
          <w:sz w:val="24"/>
        </w:rPr>
        <w:t>d)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rise</w:t>
      </w:r>
    </w:p>
    <w:p>
      <w:pPr>
        <w:pStyle w:val="ListParagraph"/>
        <w:numPr>
          <w:ilvl w:val="1"/>
          <w:numId w:val="12"/>
        </w:numPr>
        <w:tabs>
          <w:tab w:pos="1421" w:val="left" w:leader="none"/>
        </w:tabs>
        <w:spacing w:line="240" w:lineRule="auto" w:before="134" w:after="0"/>
        <w:ind w:left="1420" w:right="0" w:hanging="356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based on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materials a)</w:t>
      </w:r>
      <w:r>
        <w:rPr>
          <w:spacing w:val="-1"/>
          <w:sz w:val="24"/>
        </w:rPr>
        <w:t> </w:t>
      </w:r>
      <w:r>
        <w:rPr>
          <w:sz w:val="24"/>
        </w:rPr>
        <w:t>Cement</w:t>
      </w:r>
      <w:r>
        <w:rPr>
          <w:spacing w:val="-1"/>
          <w:sz w:val="24"/>
        </w:rPr>
        <w:t> </w:t>
      </w:r>
      <w:r>
        <w:rPr>
          <w:sz w:val="24"/>
        </w:rPr>
        <w:t>b)</w:t>
      </w:r>
      <w:r>
        <w:rPr>
          <w:spacing w:val="-1"/>
          <w:sz w:val="24"/>
        </w:rPr>
        <w:t> </w:t>
      </w:r>
      <w:r>
        <w:rPr>
          <w:sz w:val="24"/>
        </w:rPr>
        <w:t>mud</w:t>
      </w:r>
      <w:r>
        <w:rPr>
          <w:spacing w:val="-1"/>
          <w:sz w:val="24"/>
        </w:rPr>
        <w:t> </w:t>
      </w:r>
      <w:r>
        <w:rPr>
          <w:sz w:val="24"/>
        </w:rPr>
        <w:t>c)</w:t>
      </w:r>
      <w:r>
        <w:rPr>
          <w:spacing w:val="-1"/>
          <w:sz w:val="24"/>
        </w:rPr>
        <w:t> </w:t>
      </w:r>
      <w:r>
        <w:rPr>
          <w:sz w:val="24"/>
        </w:rPr>
        <w:t>Bricks</w:t>
      </w:r>
    </w:p>
    <w:p>
      <w:pPr>
        <w:pStyle w:val="ListParagraph"/>
        <w:numPr>
          <w:ilvl w:val="1"/>
          <w:numId w:val="12"/>
        </w:numPr>
        <w:tabs>
          <w:tab w:pos="1421" w:val="left" w:leader="none"/>
        </w:tabs>
        <w:spacing w:line="240" w:lineRule="auto" w:before="140" w:after="0"/>
        <w:ind w:left="1420" w:right="0" w:hanging="356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rooms.(a)</w:t>
      </w:r>
      <w:r>
        <w:rPr>
          <w:spacing w:val="-1"/>
          <w:sz w:val="24"/>
        </w:rPr>
        <w:t> </w:t>
      </w:r>
      <w:r>
        <w:rPr>
          <w:sz w:val="24"/>
        </w:rPr>
        <w:t>Two (b)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(d) Five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4"/>
          <w:pgSz w:w="11900" w:h="16840"/>
          <w:pgMar w:footer="1543" w:header="0" w:top="1320" w:bottom="1740" w:left="1280" w:right="360"/>
        </w:sectPr>
      </w:pPr>
    </w:p>
    <w:p>
      <w:pPr>
        <w:pStyle w:val="Heading1"/>
        <w:numPr>
          <w:ilvl w:val="0"/>
          <w:numId w:val="12"/>
        </w:numPr>
        <w:tabs>
          <w:tab w:pos="994" w:val="left" w:leader="none"/>
        </w:tabs>
        <w:spacing w:line="240" w:lineRule="auto" w:before="74" w:after="0"/>
        <w:ind w:left="993" w:right="0" w:hanging="294"/>
        <w:jc w:val="left"/>
      </w:pPr>
      <w:r>
        <w:rPr/>
        <w:t>HOUSING</w:t>
      </w:r>
      <w:r>
        <w:rPr>
          <w:spacing w:val="-3"/>
        </w:rPr>
        <w:t> </w:t>
      </w:r>
      <w:r>
        <w:rPr/>
        <w:t>CONDITION SURVEY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380" w:val="left" w:leader="none"/>
        </w:tabs>
        <w:spacing w:line="240" w:lineRule="auto" w:before="0" w:after="0"/>
        <w:ind w:left="1379" w:right="0" w:hanging="248"/>
        <w:jc w:val="left"/>
        <w:rPr>
          <w:sz w:val="24"/>
        </w:rPr>
      </w:pP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(a) Intact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Crack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Broken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Dilapidated</w:t>
      </w:r>
    </w:p>
    <w:p>
      <w:pPr>
        <w:pStyle w:val="ListParagraph"/>
        <w:numPr>
          <w:ilvl w:val="1"/>
          <w:numId w:val="12"/>
        </w:numPr>
        <w:tabs>
          <w:tab w:pos="1380" w:val="left" w:leader="none"/>
        </w:tabs>
        <w:spacing w:line="240" w:lineRule="auto" w:before="135" w:after="0"/>
        <w:ind w:left="1379" w:right="0" w:hanging="248"/>
        <w:jc w:val="left"/>
        <w:rPr>
          <w:sz w:val="24"/>
        </w:rPr>
      </w:pP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roof</w:t>
      </w:r>
      <w:r>
        <w:rPr>
          <w:spacing w:val="-1"/>
          <w:sz w:val="24"/>
        </w:rPr>
        <w:t> </w:t>
      </w:r>
      <w:r>
        <w:rPr>
          <w:sz w:val="24"/>
        </w:rPr>
        <w:t>a) Intact</w:t>
      </w:r>
      <w:r>
        <w:rPr>
          <w:spacing w:val="-1"/>
          <w:sz w:val="24"/>
        </w:rPr>
        <w:t> </w:t>
      </w:r>
      <w:r>
        <w:rPr>
          <w:sz w:val="24"/>
        </w:rPr>
        <w:t>b)</w:t>
      </w:r>
      <w:r>
        <w:rPr>
          <w:spacing w:val="-1"/>
          <w:sz w:val="24"/>
        </w:rPr>
        <w:t> </w:t>
      </w:r>
      <w:r>
        <w:rPr>
          <w:sz w:val="24"/>
        </w:rPr>
        <w:t>Rusted</w:t>
      </w:r>
      <w:r>
        <w:rPr>
          <w:spacing w:val="-1"/>
          <w:sz w:val="24"/>
        </w:rPr>
        <w:t> </w:t>
      </w:r>
      <w:r>
        <w:rPr>
          <w:sz w:val="24"/>
        </w:rPr>
        <w:t>c)</w:t>
      </w:r>
      <w:r>
        <w:rPr>
          <w:spacing w:val="-1"/>
          <w:sz w:val="24"/>
        </w:rPr>
        <w:t> </w:t>
      </w:r>
      <w:r>
        <w:rPr>
          <w:sz w:val="24"/>
        </w:rPr>
        <w:t>part missing</w:t>
      </w:r>
    </w:p>
    <w:p>
      <w:pPr>
        <w:pStyle w:val="ListParagraph"/>
        <w:numPr>
          <w:ilvl w:val="1"/>
          <w:numId w:val="12"/>
        </w:numPr>
        <w:tabs>
          <w:tab w:pos="1380" w:val="left" w:leader="none"/>
        </w:tabs>
        <w:spacing w:line="240" w:lineRule="auto" w:before="139" w:after="0"/>
        <w:ind w:left="1379" w:right="0" w:hanging="248"/>
        <w:jc w:val="left"/>
        <w:rPr>
          <w:sz w:val="24"/>
        </w:rPr>
      </w:pP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2"/>
          <w:sz w:val="24"/>
        </w:rPr>
        <w:t> </w:t>
      </w:r>
      <w:r>
        <w:rPr>
          <w:sz w:val="24"/>
        </w:rPr>
        <w:t>a) Intact</w:t>
      </w:r>
      <w:r>
        <w:rPr>
          <w:spacing w:val="-2"/>
          <w:sz w:val="24"/>
        </w:rPr>
        <w:t> </w:t>
      </w:r>
      <w:r>
        <w:rPr>
          <w:sz w:val="24"/>
        </w:rPr>
        <w:t>b)</w:t>
      </w:r>
      <w:r>
        <w:rPr>
          <w:spacing w:val="-1"/>
          <w:sz w:val="24"/>
        </w:rPr>
        <w:t> </w:t>
      </w:r>
      <w:r>
        <w:rPr>
          <w:sz w:val="24"/>
        </w:rPr>
        <w:t>cracked c)</w:t>
      </w:r>
      <w:r>
        <w:rPr>
          <w:spacing w:val="-2"/>
          <w:sz w:val="24"/>
        </w:rPr>
        <w:t> </w:t>
      </w:r>
      <w:r>
        <w:rPr>
          <w:sz w:val="24"/>
        </w:rPr>
        <w:t>eroded</w:t>
      </w:r>
    </w:p>
    <w:p>
      <w:pPr>
        <w:pStyle w:val="ListParagraph"/>
        <w:numPr>
          <w:ilvl w:val="1"/>
          <w:numId w:val="12"/>
        </w:numPr>
        <w:tabs>
          <w:tab w:pos="1380" w:val="left" w:leader="none"/>
        </w:tabs>
        <w:spacing w:line="240" w:lineRule="auto" w:before="137" w:after="0"/>
        <w:ind w:left="1379" w:right="0" w:hanging="248"/>
        <w:jc w:val="left"/>
        <w:rPr>
          <w:sz w:val="24"/>
        </w:rPr>
      </w:pP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doors</w:t>
      </w:r>
      <w:r>
        <w:rPr>
          <w:spacing w:val="-2"/>
          <w:sz w:val="24"/>
        </w:rPr>
        <w:t> </w:t>
      </w:r>
      <w:r>
        <w:rPr>
          <w:sz w:val="24"/>
        </w:rPr>
        <w:t>a) Intact</w:t>
      </w:r>
      <w:r>
        <w:rPr>
          <w:spacing w:val="-1"/>
          <w:sz w:val="24"/>
        </w:rPr>
        <w:t> </w:t>
      </w:r>
      <w:r>
        <w:rPr>
          <w:sz w:val="24"/>
        </w:rPr>
        <w:t>b)</w:t>
      </w:r>
      <w:r>
        <w:rPr>
          <w:spacing w:val="-1"/>
          <w:sz w:val="24"/>
        </w:rPr>
        <w:t> </w:t>
      </w:r>
      <w:r>
        <w:rPr>
          <w:sz w:val="24"/>
        </w:rPr>
        <w:t>Broken</w:t>
      </w:r>
      <w:r>
        <w:rPr>
          <w:spacing w:val="1"/>
          <w:sz w:val="24"/>
        </w:rPr>
        <w:t> </w:t>
      </w:r>
      <w:r>
        <w:rPr>
          <w:sz w:val="24"/>
        </w:rPr>
        <w:t>c)</w:t>
      </w:r>
      <w:r>
        <w:rPr>
          <w:spacing w:val="-2"/>
          <w:sz w:val="24"/>
        </w:rPr>
        <w:t> </w:t>
      </w:r>
      <w:r>
        <w:rPr>
          <w:sz w:val="24"/>
        </w:rPr>
        <w:t>Removed</w:t>
      </w:r>
    </w:p>
    <w:p>
      <w:pPr>
        <w:pStyle w:val="ListParagraph"/>
        <w:numPr>
          <w:ilvl w:val="1"/>
          <w:numId w:val="12"/>
        </w:numPr>
        <w:tabs>
          <w:tab w:pos="1380" w:val="left" w:leader="none"/>
        </w:tabs>
        <w:spacing w:line="240" w:lineRule="auto" w:before="139" w:after="0"/>
        <w:ind w:left="1379" w:right="0" w:hanging="248"/>
        <w:jc w:val="left"/>
        <w:rPr>
          <w:sz w:val="24"/>
        </w:rPr>
      </w:pP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windows</w:t>
      </w:r>
      <w:r>
        <w:rPr>
          <w:spacing w:val="-1"/>
          <w:sz w:val="24"/>
        </w:rPr>
        <w:t> </w:t>
      </w:r>
      <w:r>
        <w:rPr>
          <w:sz w:val="24"/>
        </w:rPr>
        <w:t>a)</w:t>
      </w:r>
      <w:r>
        <w:rPr>
          <w:spacing w:val="-1"/>
          <w:sz w:val="24"/>
        </w:rPr>
        <w:t> </w:t>
      </w:r>
      <w:r>
        <w:rPr>
          <w:sz w:val="24"/>
        </w:rPr>
        <w:t>Intact</w:t>
      </w:r>
      <w:r>
        <w:rPr>
          <w:spacing w:val="1"/>
          <w:sz w:val="24"/>
        </w:rPr>
        <w:t> </w:t>
      </w:r>
      <w:r>
        <w:rPr>
          <w:sz w:val="24"/>
        </w:rPr>
        <w:t>b)</w:t>
      </w:r>
      <w:r>
        <w:rPr>
          <w:spacing w:val="-1"/>
          <w:sz w:val="24"/>
        </w:rPr>
        <w:t> </w:t>
      </w:r>
      <w:r>
        <w:rPr>
          <w:sz w:val="24"/>
        </w:rPr>
        <w:t>Broken</w:t>
      </w:r>
      <w:r>
        <w:rPr>
          <w:spacing w:val="1"/>
          <w:sz w:val="24"/>
        </w:rPr>
        <w:t> </w:t>
      </w:r>
      <w:r>
        <w:rPr>
          <w:sz w:val="24"/>
        </w:rPr>
        <w:t>c)</w:t>
      </w:r>
      <w:r>
        <w:rPr>
          <w:spacing w:val="-1"/>
          <w:sz w:val="24"/>
        </w:rPr>
        <w:t> </w:t>
      </w:r>
      <w:r>
        <w:rPr>
          <w:sz w:val="24"/>
        </w:rPr>
        <w:t>Removed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12"/>
        </w:numPr>
        <w:tabs>
          <w:tab w:pos="994" w:val="left" w:leader="none"/>
        </w:tabs>
        <w:spacing w:line="240" w:lineRule="auto" w:before="1" w:after="0"/>
        <w:ind w:left="993" w:right="0" w:hanging="294"/>
        <w:jc w:val="left"/>
      </w:pPr>
      <w:r>
        <w:rPr/>
        <w:t>HOUSING</w:t>
      </w:r>
      <w:r>
        <w:rPr>
          <w:spacing w:val="-4"/>
        </w:rPr>
        <w:t> </w:t>
      </w:r>
      <w:r>
        <w:rPr/>
        <w:t>AFFORADABILITY</w:t>
      </w:r>
      <w:r>
        <w:rPr>
          <w:spacing w:val="-1"/>
        </w:rPr>
        <w:t> </w:t>
      </w:r>
      <w:r>
        <w:rPr/>
        <w:t>SURVEY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001" w:val="left" w:leader="none"/>
        </w:tabs>
        <w:spacing w:line="240" w:lineRule="auto" w:before="0" w:after="0"/>
        <w:ind w:left="1000" w:right="0" w:hanging="236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income for</w:t>
      </w:r>
      <w:r>
        <w:rPr>
          <w:spacing w:val="-1"/>
          <w:sz w:val="24"/>
        </w:rPr>
        <w:t> </w:t>
      </w:r>
      <w:r>
        <w:rPr>
          <w:sz w:val="24"/>
        </w:rPr>
        <w:t>2bedroom occupants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48" w:lineRule="auto" w:before="1"/>
        <w:ind w:left="700" w:right="1817" w:firstLine="4"/>
      </w:pPr>
      <w:r>
        <w:rPr/>
        <w:t>(a)</w:t>
      </w:r>
      <w:r>
        <w:rPr>
          <w:spacing w:val="28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100,00-</w:t>
      </w:r>
      <w:r>
        <w:rPr>
          <w:strike/>
        </w:rPr>
        <w:t>N2</w:t>
      </w:r>
      <w:r>
        <w:rPr>
          <w:strike w:val="0"/>
        </w:rPr>
        <w:t>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</w:rPr>
        <w:t>2</w:t>
      </w:r>
      <w:r>
        <w:rPr>
          <w:strike/>
        </w:rPr>
        <w:t>01</w:t>
      </w:r>
      <w:r>
        <w:rPr>
          <w:strike w:val="0"/>
        </w:rPr>
        <w:t>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</w:rPr>
        <w:t>301</w:t>
      </w:r>
      <w:r>
        <w:rPr>
          <w:strike/>
        </w:rPr>
        <w:t>,0</w:t>
      </w:r>
      <w:r>
        <w:rPr>
          <w:strike w:val="0"/>
        </w:rPr>
        <w:t>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income for</w:t>
      </w:r>
      <w:r>
        <w:rPr>
          <w:spacing w:val="-1"/>
          <w:sz w:val="24"/>
        </w:rPr>
        <w:t> </w:t>
      </w:r>
      <w:r>
        <w:rPr>
          <w:sz w:val="24"/>
        </w:rPr>
        <w:t>3bedroom occupants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48" w:lineRule="auto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</w:t>
      </w:r>
      <w:r>
        <w:rPr>
          <w:strike w:val="0"/>
        </w:rPr>
        <w:t>2</w:t>
      </w:r>
      <w:r>
        <w:rPr>
          <w:strike/>
        </w:rPr>
        <w:t>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income for</w:t>
      </w:r>
      <w:r>
        <w:rPr>
          <w:spacing w:val="-1"/>
          <w:sz w:val="24"/>
        </w:rPr>
        <w:t> </w:t>
      </w:r>
      <w:r>
        <w:rPr>
          <w:sz w:val="24"/>
        </w:rPr>
        <w:t>4bedroom occupants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48" w:lineRule="auto" w:before="1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N20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9"/>
        <w:rPr>
          <w:sz w:val="10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income for 5bedroom occupants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350" w:lineRule="auto" w:before="1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N20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2bedroom</w:t>
      </w:r>
      <w:r>
        <w:rPr>
          <w:spacing w:val="1"/>
          <w:sz w:val="24"/>
        </w:rPr>
        <w:t> </w:t>
      </w:r>
      <w:r>
        <w:rPr>
          <w:sz w:val="24"/>
        </w:rPr>
        <w:t>occupants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48" w:lineRule="auto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</w:t>
      </w:r>
      <w:r>
        <w:rPr>
          <w:strike w:val="0"/>
        </w:rPr>
        <w:t>2</w:t>
      </w:r>
      <w:r>
        <w:rPr>
          <w:strike/>
        </w:rPr>
        <w:t>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3bedroom</w:t>
      </w:r>
      <w:r>
        <w:rPr>
          <w:spacing w:val="1"/>
          <w:sz w:val="24"/>
        </w:rPr>
        <w:t> </w:t>
      </w:r>
      <w:r>
        <w:rPr>
          <w:sz w:val="24"/>
        </w:rPr>
        <w:t>occupants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45" w:lineRule="auto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</w:t>
      </w:r>
      <w:r>
        <w:rPr>
          <w:strike w:val="0"/>
        </w:rPr>
        <w:t>2</w:t>
      </w:r>
      <w:r>
        <w:rPr>
          <w:strike/>
        </w:rPr>
        <w:t>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36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4bedroom occupants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5"/>
          <w:pgSz w:w="11900" w:h="16840"/>
          <w:pgMar w:footer="1113" w:header="0" w:top="1320" w:bottom="1300" w:left="1280" w:right="360"/>
          <w:pgNumType w:start="102"/>
        </w:sectPr>
      </w:pPr>
    </w:p>
    <w:p>
      <w:pPr>
        <w:pStyle w:val="BodyText"/>
        <w:spacing w:line="348" w:lineRule="auto" w:before="76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</w:t>
      </w:r>
      <w:r>
        <w:rPr>
          <w:strike w:val="0"/>
        </w:rPr>
        <w:t>2</w:t>
      </w:r>
      <w:r>
        <w:rPr>
          <w:strike/>
        </w:rPr>
        <w:t>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90" w:after="0"/>
        <w:ind w:left="94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5bedroom</w:t>
      </w:r>
      <w:r>
        <w:rPr>
          <w:spacing w:val="1"/>
          <w:sz w:val="24"/>
        </w:rPr>
        <w:t> </w:t>
      </w:r>
      <w:r>
        <w:rPr>
          <w:sz w:val="24"/>
        </w:rPr>
        <w:t>occupants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48" w:lineRule="auto"/>
        <w:ind w:left="700" w:right="1675" w:firstLine="4"/>
      </w:pPr>
      <w:r>
        <w:rPr/>
        <w:t>(a)</w:t>
      </w:r>
      <w:r>
        <w:rPr>
          <w:spacing w:val="50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100,00-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200,000</w:t>
      </w:r>
      <w:r>
        <w:rPr>
          <w:strike w:val="0"/>
          <w:spacing w:val="-1"/>
        </w:rPr>
        <w:t> </w:t>
      </w:r>
      <w:r>
        <w:rPr>
          <w:strike w:val="0"/>
        </w:rPr>
        <w:t>(b)</w:t>
      </w:r>
      <w:r>
        <w:rPr>
          <w:strike w:val="0"/>
          <w:spacing w:val="2"/>
        </w:rPr>
        <w:t> </w:t>
      </w:r>
      <w:r>
        <w:rPr>
          <w:strike/>
        </w:rPr>
        <w:t>N</w:t>
      </w:r>
      <w:r>
        <w:rPr>
          <w:strike w:val="0"/>
        </w:rPr>
        <w:t>2</w:t>
      </w:r>
      <w:r>
        <w:rPr>
          <w:strike/>
        </w:rPr>
        <w:t>0</w:t>
      </w:r>
      <w:r>
        <w:rPr>
          <w:strike w:val="0"/>
        </w:rPr>
        <w:t>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300,000 (c)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301,000-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400,000</w:t>
      </w:r>
      <w:r>
        <w:rPr>
          <w:strike w:val="0"/>
          <w:spacing w:val="-1"/>
        </w:rPr>
        <w:t> </w:t>
      </w:r>
      <w:r>
        <w:rPr>
          <w:strike w:val="0"/>
        </w:rPr>
        <w:t>(d)</w:t>
      </w:r>
      <w:r>
        <w:rPr>
          <w:strike w:val="0"/>
          <w:spacing w:val="1"/>
        </w:rPr>
        <w:t> </w:t>
      </w:r>
      <w:r>
        <w:rPr>
          <w:strike/>
        </w:rPr>
        <w:t>N</w:t>
      </w:r>
      <w:r>
        <w:rPr>
          <w:strike w:val="0"/>
          <w:spacing w:val="-57"/>
        </w:rPr>
        <w:t> </w:t>
      </w:r>
      <w:r>
        <w:rPr>
          <w:strike w:val="0"/>
        </w:rPr>
        <w:t>401,000-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500,000</w:t>
      </w:r>
    </w:p>
    <w:p>
      <w:pPr>
        <w:pStyle w:val="BodyText"/>
        <w:spacing w:before="8"/>
        <w:rPr>
          <w:sz w:val="11"/>
        </w:rPr>
      </w:pPr>
    </w:p>
    <w:p>
      <w:pPr>
        <w:pStyle w:val="Heading1"/>
        <w:spacing w:before="90"/>
        <w:ind w:left="760"/>
      </w:pPr>
      <w:r>
        <w:rPr/>
        <w:t>HOUSING</w:t>
      </w:r>
      <w:r>
        <w:rPr>
          <w:spacing w:val="-3"/>
        </w:rPr>
        <w:t> </w:t>
      </w:r>
      <w:r>
        <w:rPr/>
        <w:t>LIVABILITY</w:t>
      </w:r>
      <w:r>
        <w:rPr>
          <w:spacing w:val="-1"/>
        </w:rPr>
        <w:t> </w:t>
      </w:r>
      <w:r>
        <w:rPr/>
        <w:t>SURVEY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133"/>
        <w:gridCol w:w="1136"/>
        <w:gridCol w:w="946"/>
        <w:gridCol w:w="1066"/>
        <w:gridCol w:w="1485"/>
      </w:tblGrid>
      <w:tr>
        <w:trPr>
          <w:trHeight w:val="415" w:hRule="atLeast"/>
        </w:trPr>
        <w:tc>
          <w:tcPr>
            <w:tcW w:w="36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INDICATORS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3686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other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3686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town</w:t>
            </w:r>
          </w:p>
        </w:tc>
        <w:tc>
          <w:tcPr>
            <w:tcW w:w="113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3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health care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3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economic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opportunity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estate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85" w:hRule="atLeast"/>
        </w:trPr>
        <w:tc>
          <w:tcPr>
            <w:tcW w:w="3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neighborhood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83" w:hRule="atLeast"/>
        </w:trPr>
        <w:tc>
          <w:tcPr>
            <w:tcW w:w="36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Accessibility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basic education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3686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34"/>
              </w:rPr>
            </w:pPr>
          </w:p>
          <w:p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6" w:hRule="atLeast"/>
        </w:trPr>
        <w:tc>
          <w:tcPr>
            <w:tcW w:w="3686" w:type="dxa"/>
          </w:tcPr>
          <w:p>
            <w:pPr>
              <w:pStyle w:val="TableParagraph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civic/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engagement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3686" w:type="dxa"/>
          </w:tcPr>
          <w:p>
            <w:pPr>
              <w:pStyle w:val="TableParagraph"/>
              <w:spacing w:line="270" w:lineRule="atLeast" w:before="120"/>
              <w:ind w:left="110" w:right="2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communication/internet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facility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00" w:h="16840"/>
          <w:pgMar w:header="0" w:footer="1113" w:top="1320" w:bottom="1320" w:left="1280" w:right="360"/>
        </w:sectPr>
      </w:pPr>
    </w:p>
    <w:p>
      <w:pPr>
        <w:spacing w:before="74"/>
        <w:ind w:left="688" w:right="102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4" w:lineRule="auto"/>
        <w:ind w:left="688" w:right="1047"/>
        <w:jc w:val="center"/>
      </w:pPr>
      <w:r>
        <w:rPr/>
        <w:t>MONTHLY INCOME OF TWO BEDROOM OCCUPPANTS AT HARMONY</w:t>
      </w:r>
      <w:r>
        <w:rPr>
          <w:spacing w:val="-58"/>
        </w:rPr>
        <w:t> </w:t>
      </w:r>
      <w:r>
        <w:rPr/>
        <w:t>ESTATE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5"/>
        <w:gridCol w:w="2606"/>
        <w:gridCol w:w="1513"/>
        <w:gridCol w:w="1497"/>
      </w:tblGrid>
      <w:tr>
        <w:trPr>
          <w:trHeight w:val="302" w:hRule="atLeast"/>
        </w:trPr>
        <w:tc>
          <w:tcPr>
            <w:tcW w:w="277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80"/>
              <w:ind w:left="118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Price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of the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building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80"/>
              <w:ind w:left="99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Monthly</w:t>
            </w:r>
            <w:r>
              <w:rPr>
                <w:rFonts w:ascii="Times New Roman"/>
                <w:spacing w:val="-8"/>
                <w:sz w:val="19"/>
              </w:rPr>
              <w:t> </w:t>
            </w:r>
            <w:r>
              <w:rPr>
                <w:rFonts w:ascii="Times New Roman"/>
                <w:sz w:val="19"/>
              </w:rPr>
              <w:t>Expenses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80"/>
              <w:ind w:left="107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Min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Wage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80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Hh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income</w:t>
            </w:r>
          </w:p>
        </w:tc>
      </w:tr>
      <w:tr>
        <w:trPr>
          <w:trHeight w:val="335" w:hRule="atLeast"/>
        </w:trPr>
        <w:tc>
          <w:tcPr>
            <w:tcW w:w="27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147783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131817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147125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100874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143140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140339</w:t>
            </w:r>
          </w:p>
        </w:tc>
      </w:tr>
      <w:tr>
        <w:trPr>
          <w:trHeight w:val="305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137953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122377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107170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118456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133844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107890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124049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147582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129643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142398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136268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104628</w:t>
            </w:r>
          </w:p>
        </w:tc>
      </w:tr>
      <w:tr>
        <w:trPr>
          <w:trHeight w:val="305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118896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121831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147689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134716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147098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146478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129356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121021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104091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126286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132650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105097</w:t>
            </w:r>
          </w:p>
        </w:tc>
      </w:tr>
      <w:tr>
        <w:trPr>
          <w:trHeight w:val="305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134032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100877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121816</w:t>
            </w:r>
          </w:p>
        </w:tc>
      </w:tr>
      <w:tr>
        <w:trPr>
          <w:trHeight w:val="304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121769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119127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7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7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7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102105</w:t>
            </w:r>
          </w:p>
        </w:tc>
      </w:tr>
      <w:tr>
        <w:trPr>
          <w:trHeight w:val="302" w:hRule="atLeast"/>
        </w:trPr>
        <w:tc>
          <w:tcPr>
            <w:tcW w:w="2775" w:type="dxa"/>
          </w:tcPr>
          <w:p>
            <w:pPr>
              <w:pStyle w:val="TableParagraph"/>
              <w:spacing w:before="39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9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9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131497</w:t>
            </w:r>
          </w:p>
        </w:tc>
      </w:tr>
      <w:tr>
        <w:trPr>
          <w:trHeight w:val="303" w:hRule="atLeast"/>
        </w:trPr>
        <w:tc>
          <w:tcPr>
            <w:tcW w:w="2775" w:type="dxa"/>
          </w:tcPr>
          <w:p>
            <w:pPr>
              <w:pStyle w:val="TableParagraph"/>
              <w:spacing w:before="36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36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36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36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144920</w:t>
            </w:r>
          </w:p>
        </w:tc>
      </w:tr>
      <w:tr>
        <w:trPr>
          <w:trHeight w:val="307" w:hRule="atLeast"/>
        </w:trPr>
        <w:tc>
          <w:tcPr>
            <w:tcW w:w="2775" w:type="dxa"/>
          </w:tcPr>
          <w:p>
            <w:pPr>
              <w:pStyle w:val="TableParagraph"/>
              <w:spacing w:before="40"/>
              <w:ind w:right="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</w:tcPr>
          <w:p>
            <w:pPr>
              <w:pStyle w:val="TableParagraph"/>
              <w:spacing w:before="40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</w:tcPr>
          <w:p>
            <w:pPr>
              <w:pStyle w:val="TableParagraph"/>
              <w:spacing w:before="40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40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119039</w:t>
            </w:r>
          </w:p>
        </w:tc>
      </w:tr>
      <w:tr>
        <w:trPr>
          <w:trHeight w:val="262" w:hRule="atLeast"/>
        </w:trPr>
        <w:tc>
          <w:tcPr>
            <w:tcW w:w="27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40"/>
              <w:ind w:right="9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6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40"/>
              <w:ind w:right="10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5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40"/>
              <w:ind w:right="11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4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40"/>
              <w:ind w:right="4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141159</w:t>
            </w:r>
          </w:p>
        </w:tc>
      </w:tr>
    </w:tbl>
    <w:p>
      <w:pPr>
        <w:spacing w:after="0" w:line="203" w:lineRule="exact"/>
        <w:jc w:val="right"/>
        <w:rPr>
          <w:rFonts w:ascii="Times New Roman"/>
          <w:sz w:val="19"/>
        </w:rPr>
        <w:sectPr>
          <w:pgSz w:w="11900" w:h="16840"/>
          <w:pgMar w:header="0" w:footer="1113" w:top="1320" w:bottom="1320" w:left="1280" w:right="360"/>
        </w:sectPr>
      </w:pPr>
    </w:p>
    <w:tbl>
      <w:tblPr>
        <w:tblW w:w="0" w:type="auto"/>
        <w:jc w:val="left"/>
        <w:tblInd w:w="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8"/>
        <w:gridCol w:w="2050"/>
        <w:gridCol w:w="1302"/>
        <w:gridCol w:w="1298"/>
      </w:tblGrid>
      <w:tr>
        <w:trPr>
          <w:trHeight w:val="341" w:hRule="atLeast"/>
        </w:trPr>
        <w:tc>
          <w:tcPr>
            <w:tcW w:w="3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7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7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7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7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136013</w:t>
            </w:r>
          </w:p>
        </w:tc>
      </w:tr>
      <w:tr>
        <w:trPr>
          <w:trHeight w:val="303" w:hRule="atLeast"/>
        </w:trPr>
        <w:tc>
          <w:tcPr>
            <w:tcW w:w="3738" w:type="dxa"/>
          </w:tcPr>
          <w:p>
            <w:pPr>
              <w:pStyle w:val="TableParagraph"/>
              <w:spacing w:before="38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</w:tcPr>
          <w:p>
            <w:pPr>
              <w:pStyle w:val="TableParagraph"/>
              <w:spacing w:before="38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</w:tcPr>
          <w:p>
            <w:pPr>
              <w:pStyle w:val="TableParagraph"/>
              <w:spacing w:before="38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8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116915</w:t>
            </w:r>
          </w:p>
        </w:tc>
      </w:tr>
      <w:tr>
        <w:trPr>
          <w:trHeight w:val="304" w:hRule="atLeast"/>
        </w:trPr>
        <w:tc>
          <w:tcPr>
            <w:tcW w:w="3738" w:type="dxa"/>
          </w:tcPr>
          <w:p>
            <w:pPr>
              <w:pStyle w:val="TableParagraph"/>
              <w:spacing w:before="39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</w:tcPr>
          <w:p>
            <w:pPr>
              <w:pStyle w:val="TableParagraph"/>
              <w:spacing w:before="39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</w:tcPr>
          <w:p>
            <w:pPr>
              <w:pStyle w:val="TableParagraph"/>
              <w:spacing w:before="39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9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139029</w:t>
            </w:r>
          </w:p>
        </w:tc>
      </w:tr>
      <w:tr>
        <w:trPr>
          <w:trHeight w:val="303" w:hRule="atLeast"/>
        </w:trPr>
        <w:tc>
          <w:tcPr>
            <w:tcW w:w="3738" w:type="dxa"/>
          </w:tcPr>
          <w:p>
            <w:pPr>
              <w:pStyle w:val="TableParagraph"/>
              <w:spacing w:before="39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</w:tcPr>
          <w:p>
            <w:pPr>
              <w:pStyle w:val="TableParagraph"/>
              <w:spacing w:before="39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</w:tcPr>
          <w:p>
            <w:pPr>
              <w:pStyle w:val="TableParagraph"/>
              <w:spacing w:before="39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9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102484</w:t>
            </w:r>
          </w:p>
        </w:tc>
      </w:tr>
      <w:tr>
        <w:trPr>
          <w:trHeight w:val="303" w:hRule="atLeast"/>
        </w:trPr>
        <w:tc>
          <w:tcPr>
            <w:tcW w:w="3738" w:type="dxa"/>
          </w:tcPr>
          <w:p>
            <w:pPr>
              <w:pStyle w:val="TableParagraph"/>
              <w:spacing w:before="37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</w:tcPr>
          <w:p>
            <w:pPr>
              <w:pStyle w:val="TableParagraph"/>
              <w:spacing w:before="37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</w:tcPr>
          <w:p>
            <w:pPr>
              <w:pStyle w:val="TableParagraph"/>
              <w:spacing w:before="37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7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137989</w:t>
            </w:r>
          </w:p>
        </w:tc>
      </w:tr>
      <w:tr>
        <w:trPr>
          <w:trHeight w:val="305" w:hRule="atLeast"/>
        </w:trPr>
        <w:tc>
          <w:tcPr>
            <w:tcW w:w="3738" w:type="dxa"/>
          </w:tcPr>
          <w:p>
            <w:pPr>
              <w:pStyle w:val="TableParagraph"/>
              <w:spacing w:before="39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</w:tcPr>
          <w:p>
            <w:pPr>
              <w:pStyle w:val="TableParagraph"/>
              <w:spacing w:before="39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</w:tcPr>
          <w:p>
            <w:pPr>
              <w:pStyle w:val="TableParagraph"/>
              <w:spacing w:before="39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9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108643</w:t>
            </w:r>
          </w:p>
        </w:tc>
      </w:tr>
      <w:tr>
        <w:trPr>
          <w:trHeight w:val="265" w:hRule="atLeast"/>
        </w:trPr>
        <w:tc>
          <w:tcPr>
            <w:tcW w:w="37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40"/>
              <w:ind w:right="106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3000000</w:t>
            </w:r>
          </w:p>
        </w:tc>
        <w:tc>
          <w:tcPr>
            <w:tcW w:w="20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40"/>
              <w:ind w:right="5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25000</w:t>
            </w: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40"/>
              <w:ind w:right="31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30000</w:t>
            </w:r>
          </w:p>
        </w:tc>
        <w:tc>
          <w:tcPr>
            <w:tcW w:w="12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40"/>
              <w:ind w:left="3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115200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64" w:lineRule="auto" w:before="90"/>
        <w:ind w:left="4363" w:right="1449" w:hanging="2240"/>
      </w:pPr>
      <w:r>
        <w:rPr/>
        <w:t>MONTHLY INCOME OF THREE BEDROOM OCCUPPANTS AT</w:t>
      </w:r>
      <w:r>
        <w:rPr>
          <w:spacing w:val="-57"/>
        </w:rPr>
        <w:t> </w:t>
      </w:r>
      <w:r>
        <w:rPr/>
        <w:t>HARMONY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5"/>
        <w:gridCol w:w="1918"/>
        <w:gridCol w:w="1653"/>
        <w:gridCol w:w="1548"/>
      </w:tblGrid>
      <w:tr>
        <w:trPr>
          <w:trHeight w:val="281" w:hRule="atLeast"/>
        </w:trPr>
        <w:tc>
          <w:tcPr>
            <w:tcW w:w="3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786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9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37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786"/>
              <w:rPr>
                <w:sz w:val="22"/>
              </w:rPr>
            </w:pPr>
            <w:r>
              <w:rPr>
                <w:sz w:val="22"/>
              </w:rPr>
              <w:t>building</w:t>
            </w:r>
          </w:p>
        </w:tc>
        <w:tc>
          <w:tcPr>
            <w:tcW w:w="1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1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z w:val="22"/>
              </w:rPr>
              <w:t>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Wage</w:t>
            </w:r>
          </w:p>
        </w:tc>
        <w:tc>
          <w:tcPr>
            <w:tcW w:w="15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Hhincom</w:t>
            </w:r>
          </w:p>
        </w:tc>
      </w:tr>
      <w:tr>
        <w:trPr>
          <w:trHeight w:val="369" w:hRule="atLeast"/>
        </w:trPr>
        <w:tc>
          <w:tcPr>
            <w:tcW w:w="3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105698</w:t>
            </w:r>
          </w:p>
        </w:tc>
      </w:tr>
      <w:tr>
        <w:trPr>
          <w:trHeight w:val="330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116983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0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0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140838</w:t>
            </w:r>
          </w:p>
        </w:tc>
      </w:tr>
      <w:tr>
        <w:trPr>
          <w:trHeight w:val="333" w:hRule="atLeast"/>
        </w:trPr>
        <w:tc>
          <w:tcPr>
            <w:tcW w:w="3765" w:type="dxa"/>
          </w:tcPr>
          <w:p>
            <w:pPr>
              <w:pStyle w:val="TableParagraph"/>
              <w:spacing w:before="1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146428</w:t>
            </w:r>
          </w:p>
        </w:tc>
      </w:tr>
      <w:tr>
        <w:trPr>
          <w:trHeight w:val="330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133982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0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0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0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121297</w:t>
            </w:r>
          </w:p>
        </w:tc>
      </w:tr>
      <w:tr>
        <w:trPr>
          <w:trHeight w:val="333" w:hRule="atLeast"/>
        </w:trPr>
        <w:tc>
          <w:tcPr>
            <w:tcW w:w="3765" w:type="dxa"/>
          </w:tcPr>
          <w:p>
            <w:pPr>
              <w:pStyle w:val="TableParagraph"/>
              <w:spacing w:before="1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110940</w:t>
            </w:r>
          </w:p>
        </w:tc>
      </w:tr>
      <w:tr>
        <w:trPr>
          <w:trHeight w:val="330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122507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0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0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119025</w:t>
            </w:r>
          </w:p>
        </w:tc>
      </w:tr>
      <w:tr>
        <w:trPr>
          <w:trHeight w:val="333" w:hRule="atLeast"/>
        </w:trPr>
        <w:tc>
          <w:tcPr>
            <w:tcW w:w="3765" w:type="dxa"/>
          </w:tcPr>
          <w:p>
            <w:pPr>
              <w:pStyle w:val="TableParagraph"/>
              <w:spacing w:before="1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116288</w:t>
            </w:r>
          </w:p>
        </w:tc>
      </w:tr>
      <w:tr>
        <w:trPr>
          <w:trHeight w:val="331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143901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121097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2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2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2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130110</w:t>
            </w:r>
          </w:p>
        </w:tc>
      </w:tr>
      <w:tr>
        <w:trPr>
          <w:trHeight w:val="331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136892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142173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2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2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2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115055</w:t>
            </w:r>
          </w:p>
        </w:tc>
      </w:tr>
      <w:tr>
        <w:trPr>
          <w:trHeight w:val="331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136541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125990</w:t>
            </w:r>
          </w:p>
        </w:tc>
      </w:tr>
      <w:tr>
        <w:trPr>
          <w:trHeight w:val="332" w:hRule="atLeast"/>
        </w:trPr>
        <w:tc>
          <w:tcPr>
            <w:tcW w:w="3765" w:type="dxa"/>
          </w:tcPr>
          <w:p>
            <w:pPr>
              <w:pStyle w:val="TableParagraph"/>
              <w:spacing w:before="12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2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2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130816</w:t>
            </w:r>
          </w:p>
        </w:tc>
      </w:tr>
      <w:tr>
        <w:trPr>
          <w:trHeight w:val="333" w:hRule="atLeast"/>
        </w:trPr>
        <w:tc>
          <w:tcPr>
            <w:tcW w:w="3765" w:type="dxa"/>
          </w:tcPr>
          <w:p>
            <w:pPr>
              <w:pStyle w:val="TableParagraph"/>
              <w:spacing w:before="11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</w:tcPr>
          <w:p>
            <w:pPr>
              <w:pStyle w:val="TableParagraph"/>
              <w:spacing w:before="11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11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121615</w:t>
            </w:r>
          </w:p>
        </w:tc>
      </w:tr>
      <w:tr>
        <w:trPr>
          <w:trHeight w:val="287" w:hRule="atLeast"/>
        </w:trPr>
        <w:tc>
          <w:tcPr>
            <w:tcW w:w="37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 w:before="1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 w:before="1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33333</w:t>
            </w:r>
          </w:p>
        </w:tc>
        <w:tc>
          <w:tcPr>
            <w:tcW w:w="1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 w:before="1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5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 w:before="13"/>
              <w:ind w:right="3"/>
              <w:jc w:val="right"/>
              <w:rPr>
                <w:sz w:val="22"/>
              </w:rPr>
            </w:pPr>
            <w:r>
              <w:rPr>
                <w:sz w:val="22"/>
              </w:rPr>
              <w:t>113771</w:t>
            </w:r>
          </w:p>
        </w:tc>
      </w:tr>
    </w:tbl>
    <w:p>
      <w:pPr>
        <w:spacing w:after="0" w:line="254" w:lineRule="exact"/>
        <w:jc w:val="right"/>
        <w:rPr>
          <w:sz w:val="22"/>
        </w:rPr>
        <w:sectPr>
          <w:pgSz w:w="11900" w:h="16840"/>
          <w:pgMar w:header="0" w:footer="1113" w:top="1400" w:bottom="1300" w:left="1280" w:right="360"/>
        </w:sectPr>
      </w:pPr>
    </w:p>
    <w:p>
      <w:pPr>
        <w:pStyle w:val="BodyText"/>
        <w:spacing w:line="266" w:lineRule="auto" w:before="76"/>
        <w:ind w:left="4113" w:right="1765" w:hanging="2173"/>
      </w:pPr>
      <w:r>
        <w:rPr/>
        <w:t>MONTHLY INCOME OF FOUR BEDROOM OCCUPPANTS AT</w:t>
      </w:r>
      <w:r>
        <w:rPr>
          <w:spacing w:val="-57"/>
        </w:rPr>
        <w:t> </w:t>
      </w:r>
      <w:r>
        <w:rPr/>
        <w:t>HARMONY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3"/>
        <w:gridCol w:w="2509"/>
        <w:gridCol w:w="2909"/>
        <w:gridCol w:w="1452"/>
        <w:gridCol w:w="1348"/>
      </w:tblGrid>
      <w:tr>
        <w:trPr>
          <w:trHeight w:val="338" w:hRule="atLeast"/>
        </w:trPr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67"/>
              <w:ind w:left="22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90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67"/>
              <w:ind w:left="54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67"/>
              <w:ind w:left="115"/>
              <w:rPr>
                <w:sz w:val="22"/>
              </w:rPr>
            </w:pPr>
            <w:r>
              <w:rPr>
                <w:sz w:val="22"/>
              </w:rPr>
              <w:t>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Wage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67"/>
              <w:ind w:left="118"/>
              <w:rPr>
                <w:sz w:val="22"/>
              </w:rPr>
            </w:pPr>
            <w:r>
              <w:rPr>
                <w:sz w:val="22"/>
              </w:rPr>
              <w:t>Hhincom</w:t>
            </w:r>
          </w:p>
        </w:tc>
      </w:tr>
      <w:tr>
        <w:trPr>
          <w:trHeight w:val="38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183259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156885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164602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190249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199305</w:t>
            </w:r>
          </w:p>
        </w:tc>
      </w:tr>
      <w:tr>
        <w:trPr>
          <w:trHeight w:val="341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152667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197942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158632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167198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176660</w:t>
            </w:r>
          </w:p>
        </w:tc>
      </w:tr>
      <w:tr>
        <w:trPr>
          <w:trHeight w:val="341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151383</w:t>
            </w:r>
          </w:p>
        </w:tc>
      </w:tr>
      <w:tr>
        <w:trPr>
          <w:trHeight w:val="342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7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160695</w:t>
            </w:r>
          </w:p>
        </w:tc>
      </w:tr>
      <w:tr>
        <w:trPr>
          <w:trHeight w:val="344" w:hRule="atLeast"/>
        </w:trPr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6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</w:tcPr>
          <w:p>
            <w:pPr>
              <w:pStyle w:val="TableParagraph"/>
              <w:spacing w:before="1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155414</w:t>
            </w:r>
          </w:p>
        </w:tc>
      </w:tr>
      <w:tr>
        <w:trPr>
          <w:trHeight w:val="291" w:hRule="atLeast"/>
        </w:trPr>
        <w:tc>
          <w:tcPr>
            <w:tcW w:w="146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19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29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19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14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19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1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154630</w:t>
            </w:r>
          </w:p>
        </w:tc>
      </w:tr>
    </w:tbl>
    <w:p>
      <w:pPr>
        <w:spacing w:after="0" w:line="251" w:lineRule="exact"/>
        <w:jc w:val="right"/>
        <w:rPr>
          <w:sz w:val="22"/>
        </w:rPr>
        <w:sectPr>
          <w:pgSz w:w="11900" w:h="16840"/>
          <w:pgMar w:header="0" w:footer="1113" w:top="1320" w:bottom="1320" w:left="1280" w:right="360"/>
        </w:sectPr>
      </w:pPr>
    </w:p>
    <w:p>
      <w:pPr>
        <w:pStyle w:val="Heading1"/>
        <w:spacing w:before="74"/>
        <w:ind w:left="688" w:right="1049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4" w:lineRule="auto"/>
        <w:ind w:left="4788" w:right="1157" w:hanging="2146"/>
      </w:pPr>
      <w:r>
        <w:rPr/>
        <w:t>MONTHLY INCOME OF TWO BEDROOM OCCUPPANTS AT</w:t>
      </w:r>
      <w:r>
        <w:rPr>
          <w:spacing w:val="-57"/>
        </w:rPr>
        <w:t> </w:t>
      </w:r>
      <w:r>
        <w:rPr/>
        <w:t>MANDATE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8"/>
        <w:gridCol w:w="2098"/>
        <w:gridCol w:w="1209"/>
        <w:gridCol w:w="1185"/>
      </w:tblGrid>
      <w:tr>
        <w:trPr>
          <w:trHeight w:val="295" w:hRule="atLeast"/>
        </w:trPr>
        <w:tc>
          <w:tcPr>
            <w:tcW w:w="225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231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09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12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10"/>
              <w:rPr>
                <w:sz w:val="22"/>
              </w:rPr>
            </w:pPr>
            <w:r>
              <w:rPr>
                <w:sz w:val="22"/>
              </w:rPr>
              <w:t>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Wage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99" w:right="84"/>
              <w:jc w:val="center"/>
              <w:rPr>
                <w:sz w:val="22"/>
              </w:rPr>
            </w:pPr>
            <w:r>
              <w:rPr>
                <w:sz w:val="22"/>
              </w:rPr>
              <w:t>Hh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income</w:t>
            </w:r>
          </w:p>
        </w:tc>
      </w:tr>
      <w:tr>
        <w:trPr>
          <w:trHeight w:val="322" w:hRule="atLeast"/>
        </w:trPr>
        <w:tc>
          <w:tcPr>
            <w:tcW w:w="22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136393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113177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138628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103288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125783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127846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117765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5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5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5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5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142657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119109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115812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103160</w:t>
            </w:r>
          </w:p>
        </w:tc>
      </w:tr>
      <w:tr>
        <w:trPr>
          <w:trHeight w:val="299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100854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145349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109712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128184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140856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105642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106841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103100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122862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109527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124197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136395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100993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138630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100736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122703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136913</w:t>
            </w:r>
          </w:p>
        </w:tc>
      </w:tr>
      <w:tr>
        <w:trPr>
          <w:trHeight w:val="299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146132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140691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120861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5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5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5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5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134493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126053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133240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123611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129417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117075</w:t>
            </w:r>
          </w:p>
        </w:tc>
      </w:tr>
      <w:tr>
        <w:trPr>
          <w:trHeight w:val="300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105149</w:t>
            </w:r>
          </w:p>
        </w:tc>
      </w:tr>
      <w:tr>
        <w:trPr>
          <w:trHeight w:val="299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132950</w:t>
            </w:r>
          </w:p>
        </w:tc>
      </w:tr>
      <w:tr>
        <w:trPr>
          <w:trHeight w:val="302" w:hRule="atLeast"/>
        </w:trPr>
        <w:tc>
          <w:tcPr>
            <w:tcW w:w="2258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</w:tcPr>
          <w:p>
            <w:pPr>
              <w:pStyle w:val="TableParagraph"/>
              <w:spacing w:line="264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126260</w:t>
            </w:r>
          </w:p>
        </w:tc>
      </w:tr>
      <w:tr>
        <w:trPr>
          <w:trHeight w:val="269" w:hRule="atLeast"/>
        </w:trPr>
        <w:tc>
          <w:tcPr>
            <w:tcW w:w="22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20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2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89" w:right="84"/>
              <w:jc w:val="center"/>
              <w:rPr>
                <w:sz w:val="22"/>
              </w:rPr>
            </w:pPr>
            <w:r>
              <w:rPr>
                <w:sz w:val="22"/>
              </w:rPr>
              <w:t>147737</w:t>
            </w:r>
          </w:p>
        </w:tc>
      </w:tr>
      <w:tr>
        <w:trPr>
          <w:trHeight w:val="321" w:hRule="atLeast"/>
        </w:trPr>
        <w:tc>
          <w:tcPr>
            <w:tcW w:w="225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0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 w:before="56"/>
              <w:ind w:left="1953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1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46"/>
          <w:pgSz w:w="11900" w:h="16840"/>
          <w:pgMar w:footer="0" w:header="0" w:top="1320" w:bottom="280" w:left="1280" w:right="360"/>
        </w:sectPr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6"/>
        <w:gridCol w:w="1651"/>
        <w:gridCol w:w="1094"/>
        <w:gridCol w:w="1078"/>
      </w:tblGrid>
      <w:tr>
        <w:trPr>
          <w:trHeight w:val="325" w:hRule="atLeast"/>
        </w:trPr>
        <w:tc>
          <w:tcPr>
            <w:tcW w:w="2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131674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146152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110966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143898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125321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130771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117598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129115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143503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120515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103265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105253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139955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5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5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5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5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135873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134148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140426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143070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137312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118594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133065</w:t>
            </w:r>
          </w:p>
        </w:tc>
      </w:tr>
      <w:tr>
        <w:trPr>
          <w:trHeight w:val="300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147440</w:t>
            </w:r>
          </w:p>
        </w:tc>
      </w:tr>
      <w:tr>
        <w:trPr>
          <w:trHeight w:val="302" w:hRule="atLeast"/>
        </w:trPr>
        <w:tc>
          <w:tcPr>
            <w:tcW w:w="2926" w:type="dxa"/>
          </w:tcPr>
          <w:p>
            <w:pPr>
              <w:pStyle w:val="TableParagraph"/>
              <w:spacing w:line="264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64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</w:tcPr>
          <w:p>
            <w:pPr>
              <w:pStyle w:val="TableParagraph"/>
              <w:spacing w:line="264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64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147721</w:t>
            </w:r>
          </w:p>
        </w:tc>
      </w:tr>
      <w:tr>
        <w:trPr>
          <w:trHeight w:val="269" w:hRule="atLeast"/>
        </w:trPr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3000000</w:t>
            </w:r>
          </w:p>
        </w:tc>
        <w:tc>
          <w:tcPr>
            <w:tcW w:w="16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25000</w:t>
            </w:r>
          </w:p>
        </w:tc>
        <w:tc>
          <w:tcPr>
            <w:tcW w:w="10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93" w:right="175"/>
              <w:jc w:val="center"/>
              <w:rPr>
                <w:sz w:val="22"/>
              </w:rPr>
            </w:pPr>
            <w:r>
              <w:rPr>
                <w:sz w:val="22"/>
              </w:rPr>
              <w:t>132263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64" w:lineRule="auto"/>
        <w:ind w:left="4737" w:right="1094" w:hanging="2259"/>
      </w:pPr>
      <w:r>
        <w:rPr/>
        <w:t>MONTHLY INCOME OF THREE BEDROOM OCCUPPANTS AT</w:t>
      </w:r>
      <w:r>
        <w:rPr>
          <w:spacing w:val="-57"/>
        </w:rPr>
        <w:t> </w:t>
      </w:r>
      <w:r>
        <w:rPr/>
        <w:t>MANDATE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201.399994pt;margin-top:11.599218pt;width:220.8pt;height:.1pt;mso-position-horizontal-relative:page;mso-position-vertical-relative:paragraph;z-index:-15713792;mso-wrap-distance-left:0;mso-wrap-distance-right:0" coordorigin="4028,232" coordsize="4416,0" path="m4028,232l8444,232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286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Price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</w:p>
    <w:p>
      <w:pPr>
        <w:tabs>
          <w:tab w:pos="4000" w:val="left" w:leader="none"/>
          <w:tab w:pos="5280" w:val="left" w:leader="none"/>
        </w:tabs>
        <w:spacing w:before="0"/>
        <w:ind w:left="2861" w:right="0" w:firstLine="0"/>
        <w:jc w:val="left"/>
        <w:rPr>
          <w:rFonts w:ascii="Calibri"/>
          <w:sz w:val="21"/>
        </w:rPr>
      </w:pPr>
      <w:r>
        <w:rPr>
          <w:rFonts w:ascii="Calibri"/>
          <w:sz w:val="22"/>
        </w:rPr>
        <w:t>the</w:t>
        <w:tab/>
        <w:t>Monthly</w:t>
        <w:tab/>
      </w:r>
      <w:r>
        <w:rPr>
          <w:rFonts w:ascii="Calibri"/>
          <w:sz w:val="21"/>
        </w:rPr>
        <w:t>Min</w:t>
      </w:r>
    </w:p>
    <w:p>
      <w:pPr>
        <w:tabs>
          <w:tab w:pos="4000" w:val="left" w:leader="none"/>
          <w:tab w:pos="5280" w:val="left" w:leader="none"/>
          <w:tab w:pos="6240" w:val="left" w:leader="none"/>
        </w:tabs>
        <w:spacing w:before="0"/>
        <w:ind w:left="2861" w:right="0" w:firstLine="0"/>
        <w:jc w:val="left"/>
        <w:rPr>
          <w:rFonts w:ascii="Calibri"/>
          <w:sz w:val="21"/>
        </w:rPr>
      </w:pPr>
      <w:r>
        <w:rPr/>
        <w:pict>
          <v:line style="position:absolute;mso-position-horizontal-relative:page;mso-position-vertical-relative:paragraph;z-index:15744000" from="201.399994pt,14.133625pt" to="422.199994pt,14.133625pt" stroked="true" strokeweight=".47992pt" strokecolor="#000000">
            <v:stroke dashstyle="solid"/>
            <w10:wrap type="none"/>
          </v:line>
        </w:pict>
      </w:r>
      <w:r>
        <w:rPr>
          <w:rFonts w:ascii="Calibri"/>
          <w:sz w:val="22"/>
        </w:rPr>
        <w:t>building</w:t>
        <w:tab/>
        <w:t>Expenses</w:t>
        <w:tab/>
        <w:t>Wage</w:t>
        <w:tab/>
      </w:r>
      <w:r>
        <w:rPr>
          <w:rFonts w:ascii="Calibri"/>
          <w:sz w:val="21"/>
        </w:rPr>
        <w:t>Hhincom</w:t>
      </w:r>
    </w:p>
    <w:p>
      <w:pPr>
        <w:tabs>
          <w:tab w:pos="4880" w:val="left" w:leader="none"/>
        </w:tabs>
        <w:spacing w:line="267" w:lineRule="exact" w:before="6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line="267" w:lineRule="exact"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122360</w:t>
      </w:r>
    </w:p>
    <w:p>
      <w:pPr>
        <w:tabs>
          <w:tab w:pos="4880" w:val="left" w:leader="none"/>
        </w:tabs>
        <w:spacing w:before="32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119292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115385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137663</w:t>
      </w:r>
    </w:p>
    <w:p>
      <w:pPr>
        <w:tabs>
          <w:tab w:pos="4880" w:val="left" w:leader="none"/>
        </w:tabs>
        <w:spacing w:before="29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124416</w:t>
      </w:r>
    </w:p>
    <w:p>
      <w:pPr>
        <w:tabs>
          <w:tab w:pos="4880" w:val="left" w:leader="none"/>
        </w:tabs>
        <w:spacing w:before="32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136494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129834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109491</w:t>
      </w:r>
    </w:p>
    <w:p>
      <w:pPr>
        <w:tabs>
          <w:tab w:pos="4880" w:val="left" w:leader="none"/>
        </w:tabs>
        <w:spacing w:before="32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143723</w:t>
      </w:r>
    </w:p>
    <w:p>
      <w:pPr>
        <w:tabs>
          <w:tab w:pos="4880" w:val="left" w:leader="none"/>
        </w:tabs>
        <w:spacing w:before="29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144740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47"/>
          <w:pgSz w:w="11900" w:h="16840"/>
          <w:pgMar w:footer="0" w:header="0" w:top="1400" w:bottom="280" w:left="1280" w:right="360"/>
        </w:sectPr>
      </w:pPr>
    </w:p>
    <w:p>
      <w:pPr>
        <w:tabs>
          <w:tab w:pos="4880" w:val="left" w:leader="none"/>
        </w:tabs>
        <w:spacing w:before="38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118982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142771</w:t>
      </w:r>
    </w:p>
    <w:p>
      <w:pPr>
        <w:tabs>
          <w:tab w:pos="4880" w:val="left" w:leader="none"/>
        </w:tabs>
        <w:spacing w:before="29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142171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1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133213</w:t>
      </w:r>
    </w:p>
    <w:p>
      <w:pPr>
        <w:tabs>
          <w:tab w:pos="4880" w:val="left" w:leader="none"/>
        </w:tabs>
        <w:spacing w:before="31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before="0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116095</w:t>
      </w:r>
    </w:p>
    <w:p>
      <w:pPr>
        <w:tabs>
          <w:tab w:pos="4880" w:val="left" w:leader="none"/>
        </w:tabs>
        <w:spacing w:line="267" w:lineRule="exact" w:before="32"/>
        <w:ind w:left="0" w:right="31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4000000</w:t>
        <w:tab/>
        <w:t>33333.3333</w:t>
      </w:r>
    </w:p>
    <w:p>
      <w:pPr>
        <w:tabs>
          <w:tab w:pos="880" w:val="left" w:leader="none"/>
        </w:tabs>
        <w:spacing w:line="267" w:lineRule="exact" w:before="0" w:after="12"/>
        <w:ind w:left="0" w:right="31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30000</w:t>
        <w:tab/>
        <w:t>107252</w:t>
      </w:r>
    </w:p>
    <w:p>
      <w:pPr>
        <w:pStyle w:val="BodyText"/>
        <w:spacing w:line="20" w:lineRule="exact"/>
        <w:ind w:left="2728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21.55pt;height:.5pt;mso-position-horizontal-relative:char;mso-position-vertical-relative:line" coordorigin="0,0" coordsize="4431,10">
            <v:line style="position:absolute" from="0,5" to="4431,5" stroked="true" strokeweight=".47992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before="153"/>
        <w:ind w:left="688" w:right="100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108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8"/>
          <w:pgSz w:w="11900" w:h="16840"/>
          <w:pgMar w:footer="0" w:header="0" w:top="1380" w:bottom="280" w:left="1280" w:right="360"/>
        </w:sectPr>
      </w:pPr>
    </w:p>
    <w:tbl>
      <w:tblPr>
        <w:tblW w:w="0" w:type="auto"/>
        <w:jc w:val="left"/>
        <w:tblInd w:w="2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1"/>
        <w:gridCol w:w="1358"/>
        <w:gridCol w:w="929"/>
        <w:gridCol w:w="974"/>
      </w:tblGrid>
      <w:tr>
        <w:trPr>
          <w:trHeight w:val="325" w:hRule="atLeast"/>
        </w:trPr>
        <w:tc>
          <w:tcPr>
            <w:tcW w:w="1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110398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126166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136732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3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3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3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117564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118396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110649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140775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102776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145341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3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3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3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149197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135524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108064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141948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5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5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5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5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139016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138411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106595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3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3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3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141982</w:t>
            </w:r>
          </w:p>
        </w:tc>
      </w:tr>
      <w:tr>
        <w:trPr>
          <w:trHeight w:val="299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104514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117984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121773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141712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125222</w:t>
            </w:r>
          </w:p>
        </w:tc>
      </w:tr>
      <w:tr>
        <w:trPr>
          <w:trHeight w:val="298" w:hRule="atLeast"/>
        </w:trPr>
        <w:tc>
          <w:tcPr>
            <w:tcW w:w="1161" w:type="dxa"/>
          </w:tcPr>
          <w:p>
            <w:pPr>
              <w:pStyle w:val="TableParagraph"/>
              <w:spacing w:line="263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3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3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108426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105793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118203</w:t>
            </w:r>
          </w:p>
        </w:tc>
      </w:tr>
      <w:tr>
        <w:trPr>
          <w:trHeight w:val="300" w:hRule="atLeast"/>
        </w:trPr>
        <w:tc>
          <w:tcPr>
            <w:tcW w:w="1161" w:type="dxa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</w:tcPr>
          <w:p>
            <w:pPr>
              <w:pStyle w:val="TableParagraph"/>
              <w:spacing w:line="26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</w:tcPr>
          <w:p>
            <w:pPr>
              <w:pStyle w:val="TableParagraph"/>
              <w:spacing w:line="26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</w:tcPr>
          <w:p>
            <w:pPr>
              <w:pStyle w:val="TableParagraph"/>
              <w:spacing w:line="26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141150</w:t>
            </w:r>
          </w:p>
        </w:tc>
      </w:tr>
      <w:tr>
        <w:trPr>
          <w:trHeight w:val="273" w:hRule="atLeast"/>
        </w:trPr>
        <w:tc>
          <w:tcPr>
            <w:tcW w:w="1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4000000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99"/>
              <w:rPr>
                <w:sz w:val="22"/>
              </w:rPr>
            </w:pPr>
            <w:r>
              <w:rPr>
                <w:sz w:val="22"/>
              </w:rPr>
              <w:t>33333.3333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81" w:right="150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119529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spacing w:line="264" w:lineRule="auto" w:before="90"/>
        <w:ind w:left="700" w:right="1746"/>
      </w:pPr>
      <w:r>
        <w:rPr/>
        <w:t>MONTHLY INCOME OF FOUR BEDROOM OCCUPPANTS AT MANDATE</w:t>
      </w:r>
      <w:r>
        <w:rPr>
          <w:spacing w:val="-57"/>
        </w:rPr>
        <w:t> </w:t>
      </w:r>
      <w:r>
        <w:rPr/>
        <w:t>ESTATE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1822"/>
        <w:gridCol w:w="960"/>
        <w:gridCol w:w="927"/>
      </w:tblGrid>
      <w:tr>
        <w:trPr>
          <w:trHeight w:val="281" w:hRule="atLeast"/>
        </w:trPr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8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55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55"/>
              <w:rPr>
                <w:sz w:val="22"/>
              </w:rPr>
            </w:pPr>
            <w:r>
              <w:rPr>
                <w:sz w:val="22"/>
              </w:rPr>
              <w:t>Hh</w:t>
            </w:r>
          </w:p>
        </w:tc>
      </w:tr>
      <w:tr>
        <w:trPr>
          <w:trHeight w:val="289" w:hRule="atLeast"/>
        </w:trPr>
        <w:tc>
          <w:tcPr>
            <w:tcW w:w="1734" w:type="dxa"/>
          </w:tcPr>
          <w:p>
            <w:pPr>
              <w:pStyle w:val="TableParagraph"/>
              <w:tabs>
                <w:tab w:pos="1846" w:val="left" w:leader="none"/>
              </w:tabs>
              <w:spacing w:line="251" w:lineRule="exact"/>
              <w:ind w:left="10" w:right="-116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building</w:t>
              <w:tab/>
            </w:r>
          </w:p>
        </w:tc>
        <w:tc>
          <w:tcPr>
            <w:tcW w:w="1822" w:type="dxa"/>
          </w:tcPr>
          <w:p>
            <w:pPr>
              <w:pStyle w:val="TableParagraph"/>
              <w:spacing w:line="251" w:lineRule="exact"/>
              <w:ind w:left="113" w:right="-58"/>
              <w:rPr>
                <w:sz w:val="22"/>
              </w:rPr>
            </w:pPr>
            <w:r>
              <w:rPr>
                <w:sz w:val="22"/>
                <w:u w:val="single"/>
              </w:rPr>
              <w:t>Monthly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Expenses</w:t>
            </w:r>
            <w:r>
              <w:rPr>
                <w:spacing w:val="-22"/>
                <w:sz w:val="22"/>
                <w:u w:val="single"/>
              </w:rPr>
              <w:t> </w:t>
            </w:r>
          </w:p>
        </w:tc>
        <w:tc>
          <w:tcPr>
            <w:tcW w:w="960" w:type="dxa"/>
          </w:tcPr>
          <w:p>
            <w:pPr>
              <w:pStyle w:val="TableParagraph"/>
              <w:tabs>
                <w:tab w:pos="1015" w:val="left" w:leader="none"/>
              </w:tabs>
              <w:spacing w:line="251" w:lineRule="exact"/>
              <w:ind w:left="55" w:right="-58"/>
              <w:rPr>
                <w:sz w:val="22"/>
              </w:rPr>
            </w:pPr>
            <w:r>
              <w:rPr>
                <w:sz w:val="22"/>
                <w:u w:val="single"/>
              </w:rPr>
              <w:t>Wage</w:t>
              <w:tab/>
            </w:r>
          </w:p>
        </w:tc>
        <w:tc>
          <w:tcPr>
            <w:tcW w:w="927" w:type="dxa"/>
          </w:tcPr>
          <w:p>
            <w:pPr>
              <w:pStyle w:val="TableParagraph"/>
              <w:tabs>
                <w:tab w:pos="880" w:val="left" w:leader="none"/>
              </w:tabs>
              <w:spacing w:line="251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income</w:t>
              <w:tab/>
            </w:r>
          </w:p>
        </w:tc>
      </w:tr>
      <w:tr>
        <w:trPr>
          <w:trHeight w:val="302" w:hRule="atLeast"/>
        </w:trPr>
        <w:tc>
          <w:tcPr>
            <w:tcW w:w="1734" w:type="dxa"/>
          </w:tcPr>
          <w:p>
            <w:pPr>
              <w:pStyle w:val="TableParagraph"/>
              <w:spacing w:line="267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7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7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159741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164848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170561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5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5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199951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169561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170568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187878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167478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184217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158214</w:t>
            </w:r>
          </w:p>
        </w:tc>
      </w:tr>
      <w:tr>
        <w:trPr>
          <w:trHeight w:val="299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197282</w:t>
            </w:r>
          </w:p>
        </w:tc>
      </w:tr>
      <w:tr>
        <w:trPr>
          <w:trHeight w:val="302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840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1209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2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156687</w:t>
            </w:r>
          </w:p>
        </w:tc>
      </w:tr>
      <w:tr>
        <w:trPr>
          <w:trHeight w:val="348" w:hRule="atLeast"/>
        </w:trPr>
        <w:tc>
          <w:tcPr>
            <w:tcW w:w="1734" w:type="dxa"/>
          </w:tcPr>
          <w:p>
            <w:pPr>
              <w:pStyle w:val="TableParagraph"/>
              <w:tabs>
                <w:tab w:pos="840" w:val="left" w:leader="none"/>
                <w:tab w:pos="2943" w:val="left" w:leader="none"/>
              </w:tabs>
              <w:spacing w:line="267" w:lineRule="exact"/>
              <w:ind w:left="-9" w:right="-1224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4500000</w:t>
              <w:tab/>
            </w:r>
          </w:p>
        </w:tc>
        <w:tc>
          <w:tcPr>
            <w:tcW w:w="1822" w:type="dxa"/>
          </w:tcPr>
          <w:p>
            <w:pPr>
              <w:pStyle w:val="TableParagraph"/>
              <w:tabs>
                <w:tab w:pos="2169" w:val="left" w:leader="none"/>
              </w:tabs>
              <w:spacing w:line="267" w:lineRule="exact"/>
              <w:ind w:left="1209" w:right="-360"/>
              <w:rPr>
                <w:sz w:val="22"/>
              </w:rPr>
            </w:pPr>
            <w:r>
              <w:rPr>
                <w:sz w:val="22"/>
                <w:u w:val="single"/>
              </w:rPr>
              <w:t>37500</w:t>
              <w:tab/>
            </w:r>
          </w:p>
        </w:tc>
        <w:tc>
          <w:tcPr>
            <w:tcW w:w="960" w:type="dxa"/>
          </w:tcPr>
          <w:p>
            <w:pPr>
              <w:pStyle w:val="TableParagraph"/>
              <w:tabs>
                <w:tab w:pos="1216" w:val="left" w:leader="none"/>
              </w:tabs>
              <w:spacing w:line="267" w:lineRule="exact"/>
              <w:ind w:left="347" w:right="-260"/>
              <w:rPr>
                <w:sz w:val="22"/>
              </w:rPr>
            </w:pPr>
            <w:r>
              <w:rPr>
                <w:sz w:val="22"/>
                <w:u w:val="single"/>
              </w:rPr>
              <w:t>30000</w:t>
              <w:tab/>
            </w:r>
          </w:p>
        </w:tc>
        <w:tc>
          <w:tcPr>
            <w:tcW w:w="927" w:type="dxa"/>
          </w:tcPr>
          <w:p>
            <w:pPr>
              <w:pStyle w:val="TableParagraph"/>
              <w:spacing w:line="267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193053</w:t>
            </w:r>
          </w:p>
        </w:tc>
      </w:tr>
      <w:tr>
        <w:trPr>
          <w:trHeight w:val="305" w:hRule="atLeast"/>
        </w:trPr>
        <w:tc>
          <w:tcPr>
            <w:tcW w:w="1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45" w:lineRule="exact" w:before="41"/>
              <w:ind w:left="621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49"/>
          <w:pgSz w:w="11900" w:h="16840"/>
          <w:pgMar w:footer="0" w:header="0" w:top="1400" w:bottom="280" w:left="1280" w:right="360"/>
        </w:sectPr>
      </w:pPr>
    </w:p>
    <w:tbl>
      <w:tblPr>
        <w:tblW w:w="0" w:type="auto"/>
        <w:jc w:val="left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9"/>
        <w:gridCol w:w="1410"/>
        <w:gridCol w:w="910"/>
        <w:gridCol w:w="941"/>
      </w:tblGrid>
      <w:tr>
        <w:trPr>
          <w:trHeight w:val="325" w:hRule="atLeast"/>
        </w:trPr>
        <w:tc>
          <w:tcPr>
            <w:tcW w:w="2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198388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178768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156851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3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3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3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185288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155912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175050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164474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183239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152702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3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3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3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166569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185244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167222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163360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5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5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5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184670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172146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152377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3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3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3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190437</w:t>
            </w:r>
          </w:p>
        </w:tc>
      </w:tr>
      <w:tr>
        <w:trPr>
          <w:trHeight w:val="299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171886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165297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159216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176371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189119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3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3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3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193268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154619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171846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182206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177907</w:t>
            </w:r>
          </w:p>
        </w:tc>
      </w:tr>
      <w:tr>
        <w:trPr>
          <w:trHeight w:val="300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1"/>
              <w:jc w:val="center"/>
              <w:rPr>
                <w:sz w:val="21"/>
              </w:rPr>
            </w:pPr>
            <w:r>
              <w:rPr>
                <w:sz w:val="21"/>
              </w:rPr>
              <w:t>154249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6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199033</w:t>
            </w:r>
          </w:p>
        </w:tc>
      </w:tr>
      <w:tr>
        <w:trPr>
          <w:trHeight w:val="274" w:hRule="atLeast"/>
        </w:trPr>
        <w:tc>
          <w:tcPr>
            <w:tcW w:w="2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648"/>
              <w:jc w:val="right"/>
              <w:rPr>
                <w:sz w:val="22"/>
              </w:rPr>
            </w:pPr>
            <w:r>
              <w:rPr>
                <w:sz w:val="22"/>
              </w:rPr>
              <w:t>4500000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37500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4"/>
              <w:ind w:left="130" w:right="130"/>
              <w:jc w:val="center"/>
              <w:rPr>
                <w:sz w:val="21"/>
              </w:rPr>
            </w:pPr>
            <w:r>
              <w:rPr>
                <w:sz w:val="21"/>
              </w:rPr>
              <w:t>199128</w:t>
            </w:r>
          </w:p>
        </w:tc>
      </w:tr>
    </w:tbl>
    <w:p>
      <w:pPr>
        <w:spacing w:after="0" w:line="250" w:lineRule="exact"/>
        <w:jc w:val="center"/>
        <w:rPr>
          <w:sz w:val="21"/>
        </w:rPr>
        <w:sectPr>
          <w:footerReference w:type="default" r:id="rId50"/>
          <w:pgSz w:w="11900" w:h="16840"/>
          <w:pgMar w:footer="1120" w:header="0" w:top="1400" w:bottom="1320" w:left="1280" w:right="360"/>
          <w:pgNumType w:start="110"/>
        </w:sectPr>
      </w:pPr>
    </w:p>
    <w:p>
      <w:pPr>
        <w:pStyle w:val="Heading1"/>
        <w:spacing w:before="74"/>
        <w:ind w:left="688" w:right="1025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4" w:lineRule="auto"/>
        <w:ind w:left="4502" w:right="1328" w:hanging="2031"/>
      </w:pPr>
      <w:r>
        <w:rPr/>
        <w:t>MONTHLY INCOME OF TWO BEDROOM OCCUPPANTS AT</w:t>
      </w:r>
      <w:r>
        <w:rPr>
          <w:spacing w:val="-57"/>
        </w:rPr>
        <w:t> </w:t>
      </w:r>
      <w:r>
        <w:rPr/>
        <w:t>EVERGREEN</w:t>
      </w:r>
      <w:r>
        <w:rPr>
          <w:spacing w:val="-2"/>
        </w:rPr>
        <w:t> </w:t>
      </w:r>
      <w:r>
        <w:rPr/>
        <w:t>ESTATE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6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2098"/>
        <w:gridCol w:w="1208"/>
        <w:gridCol w:w="1184"/>
      </w:tblGrid>
      <w:tr>
        <w:trPr>
          <w:trHeight w:val="295" w:hRule="atLeast"/>
        </w:trPr>
        <w:tc>
          <w:tcPr>
            <w:tcW w:w="226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237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09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12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10"/>
              <w:rPr>
                <w:sz w:val="22"/>
              </w:rPr>
            </w:pPr>
            <w:r>
              <w:rPr>
                <w:sz w:val="22"/>
              </w:rPr>
              <w:t>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Wage</w:t>
            </w:r>
          </w:p>
        </w:tc>
        <w:tc>
          <w:tcPr>
            <w:tcW w:w="118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19"/>
              <w:rPr>
                <w:sz w:val="22"/>
              </w:rPr>
            </w:pPr>
            <w:r>
              <w:rPr>
                <w:sz w:val="22"/>
              </w:rPr>
              <w:t>Hh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income</w:t>
            </w:r>
          </w:p>
        </w:tc>
      </w:tr>
      <w:tr>
        <w:trPr>
          <w:trHeight w:val="322" w:hRule="atLeast"/>
        </w:trPr>
        <w:tc>
          <w:tcPr>
            <w:tcW w:w="22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jc w:val="right"/>
              <w:rPr>
                <w:sz w:val="22"/>
              </w:rPr>
            </w:pPr>
            <w:r>
              <w:rPr>
                <w:sz w:val="22"/>
              </w:rPr>
              <w:t>226298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249755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223183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258791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271422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227743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228096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5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5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5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jc w:val="right"/>
              <w:rPr>
                <w:sz w:val="22"/>
              </w:rPr>
            </w:pPr>
            <w:r>
              <w:rPr>
                <w:sz w:val="22"/>
              </w:rPr>
              <w:t>203360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297752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247658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259216</w:t>
            </w:r>
          </w:p>
        </w:tc>
      </w:tr>
      <w:tr>
        <w:trPr>
          <w:trHeight w:val="299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252286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217129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260604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262291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261524</w:t>
            </w:r>
          </w:p>
        </w:tc>
      </w:tr>
      <w:tr>
        <w:trPr>
          <w:trHeight w:val="300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296618</w:t>
            </w:r>
          </w:p>
        </w:tc>
      </w:tr>
      <w:tr>
        <w:trPr>
          <w:trHeight w:val="302" w:hRule="atLeast"/>
        </w:trPr>
        <w:tc>
          <w:tcPr>
            <w:tcW w:w="2264" w:type="dxa"/>
          </w:tcPr>
          <w:p>
            <w:pPr>
              <w:pStyle w:val="TableParagraph"/>
              <w:spacing w:line="26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</w:tcPr>
          <w:p>
            <w:pPr>
              <w:pStyle w:val="TableParagraph"/>
              <w:spacing w:line="264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264185</w:t>
            </w:r>
          </w:p>
        </w:tc>
      </w:tr>
      <w:tr>
        <w:trPr>
          <w:trHeight w:val="269" w:hRule="atLeast"/>
        </w:trPr>
        <w:tc>
          <w:tcPr>
            <w:tcW w:w="22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6000000</w:t>
            </w:r>
          </w:p>
        </w:tc>
        <w:tc>
          <w:tcPr>
            <w:tcW w:w="20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83333.3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jc w:val="right"/>
              <w:rPr>
                <w:sz w:val="22"/>
              </w:rPr>
            </w:pPr>
            <w:r>
              <w:rPr>
                <w:sz w:val="22"/>
              </w:rPr>
              <w:t>264185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64" w:lineRule="auto" w:before="216"/>
        <w:ind w:left="4562" w:right="1154" w:hanging="2144"/>
      </w:pPr>
      <w:r>
        <w:rPr/>
        <w:t>MONTHLY INCOME OF THREE BEDROOM OCCUPPANTS AT</w:t>
      </w:r>
      <w:r>
        <w:rPr>
          <w:spacing w:val="-57"/>
        </w:rPr>
        <w:t> </w:t>
      </w:r>
      <w:r>
        <w:rPr/>
        <w:t>EVERGREEN</w:t>
      </w:r>
      <w:r>
        <w:rPr>
          <w:spacing w:val="-2"/>
        </w:rPr>
        <w:t> </w:t>
      </w:r>
      <w:r>
        <w:rPr/>
        <w:t>ESTATE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2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112"/>
        <w:gridCol w:w="921"/>
        <w:gridCol w:w="1022"/>
      </w:tblGrid>
      <w:tr>
        <w:trPr>
          <w:trHeight w:val="547" w:hRule="atLeast"/>
        </w:trPr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111" w:right="339"/>
              <w:rPr>
                <w:sz w:val="22"/>
              </w:rPr>
            </w:pPr>
            <w:r>
              <w:rPr>
                <w:sz w:val="22"/>
              </w:rPr>
              <w:t>Price of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Monthly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Hh</w:t>
            </w:r>
          </w:p>
        </w:tc>
      </w:tr>
      <w:tr>
        <w:trPr>
          <w:trHeight w:val="258" w:hRule="atLeast"/>
        </w:trPr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z w:val="22"/>
              </w:rPr>
              <w:t>building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Expenses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z w:val="22"/>
              </w:rPr>
              <w:t>Wage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150"/>
              <w:rPr>
                <w:sz w:val="21"/>
              </w:rPr>
            </w:pPr>
            <w:r>
              <w:rPr>
                <w:sz w:val="21"/>
              </w:rPr>
              <w:t>income</w:t>
            </w:r>
          </w:p>
        </w:tc>
      </w:tr>
      <w:tr>
        <w:trPr>
          <w:trHeight w:val="325" w:hRule="atLeast"/>
        </w:trPr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266649</w:t>
            </w:r>
          </w:p>
        </w:tc>
      </w:tr>
      <w:tr>
        <w:trPr>
          <w:trHeight w:val="300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254642</w:t>
            </w:r>
          </w:p>
        </w:tc>
      </w:tr>
      <w:tr>
        <w:trPr>
          <w:trHeight w:val="300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272540</w:t>
            </w:r>
          </w:p>
        </w:tc>
      </w:tr>
      <w:tr>
        <w:trPr>
          <w:trHeight w:val="300" w:hRule="atLeast"/>
        </w:trPr>
        <w:tc>
          <w:tcPr>
            <w:tcW w:w="1147" w:type="dxa"/>
          </w:tcPr>
          <w:p>
            <w:pPr>
              <w:pStyle w:val="TableParagraph"/>
              <w:spacing w:line="265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5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214432</w:t>
            </w:r>
          </w:p>
        </w:tc>
      </w:tr>
      <w:tr>
        <w:trPr>
          <w:trHeight w:val="300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226883</w:t>
            </w:r>
          </w:p>
        </w:tc>
      </w:tr>
      <w:tr>
        <w:trPr>
          <w:trHeight w:val="300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288532</w:t>
            </w:r>
          </w:p>
        </w:tc>
      </w:tr>
      <w:tr>
        <w:trPr>
          <w:trHeight w:val="298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317698</w:t>
            </w:r>
          </w:p>
        </w:tc>
      </w:tr>
      <w:tr>
        <w:trPr>
          <w:trHeight w:val="298" w:hRule="atLeast"/>
        </w:trPr>
        <w:tc>
          <w:tcPr>
            <w:tcW w:w="1147" w:type="dxa"/>
          </w:tcPr>
          <w:p>
            <w:pPr>
              <w:pStyle w:val="TableParagraph"/>
              <w:spacing w:line="263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3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3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4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346714</w:t>
            </w:r>
          </w:p>
        </w:tc>
      </w:tr>
      <w:tr>
        <w:trPr>
          <w:trHeight w:val="300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244698</w:t>
            </w:r>
          </w:p>
        </w:tc>
      </w:tr>
      <w:tr>
        <w:trPr>
          <w:trHeight w:val="299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269833</w:t>
            </w:r>
          </w:p>
        </w:tc>
      </w:tr>
      <w:tr>
        <w:trPr>
          <w:trHeight w:val="299" w:hRule="atLeast"/>
        </w:trPr>
        <w:tc>
          <w:tcPr>
            <w:tcW w:w="1147" w:type="dxa"/>
          </w:tcPr>
          <w:p>
            <w:pPr>
              <w:pStyle w:val="TableParagraph"/>
              <w:spacing w:line="264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230440</w:t>
            </w:r>
          </w:p>
        </w:tc>
      </w:tr>
      <w:tr>
        <w:trPr>
          <w:trHeight w:val="260" w:hRule="atLeast"/>
        </w:trPr>
        <w:tc>
          <w:tcPr>
            <w:tcW w:w="1147" w:type="dxa"/>
          </w:tcPr>
          <w:p>
            <w:pPr>
              <w:pStyle w:val="TableParagraph"/>
              <w:spacing w:line="240" w:lineRule="exact"/>
              <w:ind w:left="149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40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22" w:type="dxa"/>
          </w:tcPr>
          <w:p>
            <w:pPr>
              <w:pStyle w:val="TableParagraph"/>
              <w:spacing w:line="235" w:lineRule="exact" w:before="5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329628</w:t>
            </w:r>
          </w:p>
        </w:tc>
      </w:tr>
    </w:tbl>
    <w:p>
      <w:pPr>
        <w:tabs>
          <w:tab w:pos="2001" w:val="left" w:leader="none"/>
          <w:tab w:pos="3160" w:val="left" w:leader="none"/>
          <w:tab w:pos="4101" w:val="left" w:leader="none"/>
        </w:tabs>
        <w:spacing w:before="35"/>
        <w:ind w:left="676" w:right="0" w:firstLine="0"/>
        <w:jc w:val="left"/>
        <w:rPr>
          <w:rFonts w:ascii="Calibri"/>
          <w:sz w:val="21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> </w:t>
      </w:r>
      <w:r>
        <w:rPr>
          <w:rFonts w:ascii="Calibri"/>
          <w:spacing w:val="14"/>
          <w:sz w:val="22"/>
          <w:u w:val="single"/>
        </w:rPr>
        <w:t> </w:t>
      </w:r>
      <w:r>
        <w:rPr>
          <w:rFonts w:ascii="Calibri"/>
          <w:sz w:val="22"/>
          <w:u w:val="single"/>
        </w:rPr>
        <w:t>10000000</w:t>
        <w:tab/>
        <w:t>138888.9</w:t>
        <w:tab/>
        <w:t>30000</w:t>
        <w:tab/>
      </w:r>
      <w:r>
        <w:rPr>
          <w:rFonts w:ascii="Calibri"/>
          <w:sz w:val="21"/>
          <w:u w:val="single"/>
        </w:rPr>
        <w:t>327532</w:t>
      </w:r>
      <w:r>
        <w:rPr>
          <w:rFonts w:ascii="Calibri"/>
          <w:spacing w:val="7"/>
          <w:sz w:val="21"/>
          <w:u w:val="single"/>
        </w:rPr>
        <w:t> </w:t>
      </w:r>
    </w:p>
    <w:p>
      <w:pPr>
        <w:spacing w:after="0"/>
        <w:jc w:val="left"/>
        <w:rPr>
          <w:rFonts w:ascii="Calibri"/>
          <w:sz w:val="21"/>
        </w:rPr>
        <w:sectPr>
          <w:pgSz w:w="11900" w:h="16840"/>
          <w:pgMar w:header="0" w:footer="1120" w:top="1320" w:bottom="1320" w:left="1280" w:right="360"/>
        </w:sectPr>
      </w:pPr>
    </w:p>
    <w:tbl>
      <w:tblPr>
        <w:tblW w:w="0" w:type="auto"/>
        <w:jc w:val="left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4"/>
        <w:gridCol w:w="1131"/>
        <w:gridCol w:w="911"/>
        <w:gridCol w:w="980"/>
      </w:tblGrid>
      <w:tr>
        <w:trPr>
          <w:trHeight w:val="325" w:hRule="atLeast"/>
        </w:trPr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250037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320376</w:t>
            </w:r>
          </w:p>
        </w:tc>
      </w:tr>
      <w:tr>
        <w:trPr>
          <w:trHeight w:val="298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282464</w:t>
            </w:r>
          </w:p>
        </w:tc>
      </w:tr>
      <w:tr>
        <w:trPr>
          <w:trHeight w:val="298" w:hRule="atLeast"/>
        </w:trPr>
        <w:tc>
          <w:tcPr>
            <w:tcW w:w="1184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3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3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222013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328318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3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250634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280887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233014</w:t>
            </w:r>
          </w:p>
        </w:tc>
      </w:tr>
      <w:tr>
        <w:trPr>
          <w:trHeight w:val="298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296058</w:t>
            </w:r>
          </w:p>
        </w:tc>
      </w:tr>
      <w:tr>
        <w:trPr>
          <w:trHeight w:val="298" w:hRule="atLeast"/>
        </w:trPr>
        <w:tc>
          <w:tcPr>
            <w:tcW w:w="1184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3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3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286131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265649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251197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235933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5" w:lineRule="exact"/>
              <w:ind w:left="136" w:right="113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5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5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286477</w:t>
            </w:r>
          </w:p>
        </w:tc>
      </w:tr>
      <w:tr>
        <w:trPr>
          <w:trHeight w:val="300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330497</w:t>
            </w:r>
          </w:p>
        </w:tc>
      </w:tr>
      <w:tr>
        <w:trPr>
          <w:trHeight w:val="298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341187</w:t>
            </w:r>
          </w:p>
        </w:tc>
      </w:tr>
      <w:tr>
        <w:trPr>
          <w:trHeight w:val="298" w:hRule="atLeast"/>
        </w:trPr>
        <w:tc>
          <w:tcPr>
            <w:tcW w:w="1184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3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3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270073</w:t>
            </w:r>
          </w:p>
        </w:tc>
      </w:tr>
      <w:tr>
        <w:trPr>
          <w:trHeight w:val="299" w:hRule="atLeast"/>
        </w:trPr>
        <w:tc>
          <w:tcPr>
            <w:tcW w:w="1184" w:type="dxa"/>
          </w:tcPr>
          <w:p>
            <w:pPr>
              <w:pStyle w:val="TableParagraph"/>
              <w:spacing w:line="264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312589</w:t>
            </w:r>
          </w:p>
        </w:tc>
      </w:tr>
      <w:tr>
        <w:trPr>
          <w:trHeight w:val="275" w:hRule="atLeast"/>
        </w:trPr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36" w:right="114"/>
              <w:jc w:val="center"/>
              <w:rPr>
                <w:sz w:val="22"/>
              </w:rPr>
            </w:pPr>
            <w:r>
              <w:rPr>
                <w:sz w:val="22"/>
              </w:rPr>
              <w:t>10000000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 w:right="139"/>
              <w:jc w:val="center"/>
              <w:rPr>
                <w:sz w:val="22"/>
              </w:rPr>
            </w:pPr>
            <w:r>
              <w:rPr>
                <w:sz w:val="22"/>
              </w:rPr>
              <w:t>138888.9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44" w:right="169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5"/>
              <w:ind w:left="172" w:right="128"/>
              <w:jc w:val="center"/>
              <w:rPr>
                <w:sz w:val="21"/>
              </w:rPr>
            </w:pPr>
            <w:r>
              <w:rPr>
                <w:sz w:val="21"/>
              </w:rPr>
              <w:t>295047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4"/>
        </w:rPr>
      </w:pPr>
    </w:p>
    <w:p>
      <w:pPr>
        <w:pStyle w:val="BodyText"/>
        <w:spacing w:line="264" w:lineRule="auto" w:before="90"/>
        <w:ind w:left="4593" w:right="1191" w:hanging="2079"/>
      </w:pPr>
      <w:r>
        <w:rPr/>
        <w:t>MONTHLY INCOME OF FOUR BEDROOM OCCUPPANTS AT</w:t>
      </w:r>
      <w:r>
        <w:rPr>
          <w:spacing w:val="-57"/>
        </w:rPr>
        <w:t> </w:t>
      </w:r>
      <w:r>
        <w:rPr/>
        <w:t>EVERGREEN</w:t>
      </w:r>
      <w:r>
        <w:rPr>
          <w:spacing w:val="-2"/>
        </w:rPr>
        <w:t> </w:t>
      </w:r>
      <w:r>
        <w:rPr/>
        <w:t>ESTATE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1822"/>
        <w:gridCol w:w="904"/>
      </w:tblGrid>
      <w:tr>
        <w:trPr>
          <w:trHeight w:val="280" w:hRule="atLeast"/>
        </w:trPr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8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5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</w:tr>
      <w:tr>
        <w:trPr>
          <w:trHeight w:val="290" w:hRule="atLeast"/>
        </w:trPr>
        <w:tc>
          <w:tcPr>
            <w:tcW w:w="1734" w:type="dxa"/>
          </w:tcPr>
          <w:p>
            <w:pPr>
              <w:pStyle w:val="TableParagraph"/>
              <w:tabs>
                <w:tab w:pos="1846" w:val="left" w:leader="none"/>
              </w:tabs>
              <w:spacing w:line="251" w:lineRule="exact"/>
              <w:ind w:left="10" w:right="-116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building</w:t>
              <w:tab/>
            </w:r>
          </w:p>
        </w:tc>
        <w:tc>
          <w:tcPr>
            <w:tcW w:w="1822" w:type="dxa"/>
          </w:tcPr>
          <w:p>
            <w:pPr>
              <w:pStyle w:val="TableParagraph"/>
              <w:spacing w:line="251" w:lineRule="exact"/>
              <w:ind w:left="113" w:right="-58"/>
              <w:rPr>
                <w:sz w:val="22"/>
              </w:rPr>
            </w:pPr>
            <w:r>
              <w:rPr>
                <w:sz w:val="22"/>
                <w:u w:val="single"/>
              </w:rPr>
              <w:t>Monthly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Expenses</w:t>
            </w:r>
            <w:r>
              <w:rPr>
                <w:spacing w:val="-22"/>
                <w:sz w:val="22"/>
                <w:u w:val="single"/>
              </w:rPr>
              <w:t> </w:t>
            </w:r>
          </w:p>
        </w:tc>
        <w:tc>
          <w:tcPr>
            <w:tcW w:w="904" w:type="dxa"/>
          </w:tcPr>
          <w:p>
            <w:pPr>
              <w:pStyle w:val="TableParagraph"/>
              <w:tabs>
                <w:tab w:pos="881" w:val="left" w:leader="none"/>
              </w:tabs>
              <w:spacing w:line="251" w:lineRule="exact"/>
              <w:ind w:right="-44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Wage</w:t>
              <w:tab/>
            </w:r>
          </w:p>
        </w:tc>
      </w:tr>
      <w:tr>
        <w:trPr>
          <w:trHeight w:val="303" w:hRule="atLeast"/>
        </w:trPr>
        <w:tc>
          <w:tcPr>
            <w:tcW w:w="1734" w:type="dxa"/>
          </w:tcPr>
          <w:p>
            <w:pPr>
              <w:pStyle w:val="TableParagraph"/>
              <w:spacing w:line="268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8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0" w:hRule="atLeast"/>
        </w:trPr>
        <w:tc>
          <w:tcPr>
            <w:tcW w:w="1734" w:type="dxa"/>
          </w:tcPr>
          <w:p>
            <w:pPr>
              <w:pStyle w:val="TableParagraph"/>
              <w:spacing w:line="264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302" w:hRule="atLeast"/>
        </w:trPr>
        <w:tc>
          <w:tcPr>
            <w:tcW w:w="1734" w:type="dxa"/>
          </w:tcPr>
          <w:p>
            <w:pPr>
              <w:pStyle w:val="TableParagraph"/>
              <w:spacing w:line="265" w:lineRule="exact"/>
              <w:ind w:left="728"/>
              <w:rPr>
                <w:sz w:val="22"/>
              </w:rPr>
            </w:pPr>
            <w:r>
              <w:rPr>
                <w:sz w:val="22"/>
              </w:rPr>
              <w:t>13000000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5" w:lineRule="exact"/>
              <w:ind w:left="931"/>
              <w:rPr>
                <w:sz w:val="22"/>
              </w:rPr>
            </w:pPr>
            <w:r>
              <w:rPr>
                <w:sz w:val="22"/>
              </w:rPr>
              <w:t>180555.6</w:t>
            </w:r>
          </w:p>
        </w:tc>
        <w:tc>
          <w:tcPr>
            <w:tcW w:w="904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</w:tr>
      <w:tr>
        <w:trPr>
          <w:trHeight w:val="262" w:hRule="atLeast"/>
        </w:trPr>
        <w:tc>
          <w:tcPr>
            <w:tcW w:w="1734" w:type="dxa"/>
          </w:tcPr>
          <w:p>
            <w:pPr>
              <w:pStyle w:val="TableParagraph"/>
              <w:tabs>
                <w:tab w:pos="727" w:val="left" w:leader="none"/>
                <w:tab w:pos="2665" w:val="left" w:leader="none"/>
              </w:tabs>
              <w:spacing w:line="243" w:lineRule="exact"/>
              <w:ind w:left="-24" w:right="-936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13000000</w:t>
              <w:tab/>
            </w:r>
          </w:p>
        </w:tc>
        <w:tc>
          <w:tcPr>
            <w:tcW w:w="1822" w:type="dxa"/>
          </w:tcPr>
          <w:p>
            <w:pPr>
              <w:pStyle w:val="TableParagraph"/>
              <w:tabs>
                <w:tab w:pos="2109" w:val="left" w:leader="none"/>
              </w:tabs>
              <w:spacing w:line="243" w:lineRule="exact"/>
              <w:ind w:left="931" w:right="-288"/>
              <w:rPr>
                <w:sz w:val="22"/>
              </w:rPr>
            </w:pPr>
            <w:r>
              <w:rPr>
                <w:sz w:val="22"/>
                <w:u w:val="single"/>
              </w:rPr>
              <w:t>180555.6</w:t>
              <w:tab/>
            </w:r>
          </w:p>
        </w:tc>
        <w:tc>
          <w:tcPr>
            <w:tcW w:w="904" w:type="dxa"/>
          </w:tcPr>
          <w:p>
            <w:pPr>
              <w:pStyle w:val="TableParagraph"/>
              <w:spacing w:line="243" w:lineRule="exact"/>
              <w:ind w:right="-44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30000 </w:t>
            </w:r>
            <w:r>
              <w:rPr>
                <w:spacing w:val="-9"/>
                <w:sz w:val="22"/>
                <w:u w:val="single"/>
              </w:rPr>
              <w:t> </w:t>
            </w:r>
          </w:p>
        </w:tc>
      </w:tr>
    </w:tbl>
    <w:p>
      <w:pPr>
        <w:spacing w:after="0" w:line="243" w:lineRule="exact"/>
        <w:jc w:val="right"/>
        <w:rPr>
          <w:sz w:val="22"/>
        </w:rPr>
        <w:sectPr>
          <w:pgSz w:w="11900" w:h="16840"/>
          <w:pgMar w:header="0" w:footer="1120" w:top="1400" w:bottom="1320" w:left="1280" w:right="360"/>
        </w:sectPr>
      </w:pPr>
    </w:p>
    <w:p>
      <w:pPr>
        <w:pStyle w:val="BodyText"/>
        <w:spacing w:line="266" w:lineRule="auto" w:before="76"/>
        <w:ind w:left="700" w:right="1626"/>
      </w:pPr>
      <w:r>
        <w:rPr/>
        <w:t>MONTHLY INCOME OF FIVE BEDROOM OCCUPPANTS AT EVERGREEN</w:t>
      </w:r>
      <w:r>
        <w:rPr>
          <w:spacing w:val="-57"/>
        </w:rPr>
        <w:t> </w:t>
      </w:r>
      <w:r>
        <w:rPr/>
        <w:t>ESTATE</w:t>
      </w: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5"/>
        <w:gridCol w:w="1961"/>
        <w:gridCol w:w="1131"/>
        <w:gridCol w:w="975"/>
      </w:tblGrid>
      <w:tr>
        <w:trPr>
          <w:trHeight w:val="279" w:hRule="atLeast"/>
        </w:trPr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165" w:type="dxa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19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9" w:lineRule="exact"/>
              <w:ind w:left="95"/>
              <w:rPr>
                <w:sz w:val="22"/>
              </w:rPr>
            </w:pPr>
            <w:r>
              <w:rPr>
                <w:sz w:val="22"/>
              </w:rPr>
              <w:t>Hh</w:t>
            </w:r>
          </w:p>
        </w:tc>
      </w:tr>
      <w:tr>
        <w:trPr>
          <w:trHeight w:val="289" w:hRule="atLeast"/>
        </w:trPr>
        <w:tc>
          <w:tcPr>
            <w:tcW w:w="1165" w:type="dxa"/>
          </w:tcPr>
          <w:p>
            <w:pPr>
              <w:pStyle w:val="TableParagraph"/>
              <w:tabs>
                <w:tab w:pos="1325" w:val="left" w:leader="none"/>
              </w:tabs>
              <w:spacing w:line="251" w:lineRule="exact"/>
              <w:ind w:left="10" w:right="-173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building</w:t>
              <w:tab/>
            </w:r>
          </w:p>
        </w:tc>
        <w:tc>
          <w:tcPr>
            <w:tcW w:w="1961" w:type="dxa"/>
          </w:tcPr>
          <w:p>
            <w:pPr>
              <w:pStyle w:val="TableParagraph"/>
              <w:tabs>
                <w:tab w:pos="2076" w:val="left" w:leader="none"/>
              </w:tabs>
              <w:spacing w:line="251" w:lineRule="exact"/>
              <w:ind w:left="160" w:right="-130"/>
              <w:rPr>
                <w:sz w:val="22"/>
              </w:rPr>
            </w:pPr>
            <w:r>
              <w:rPr>
                <w:sz w:val="22"/>
                <w:u w:val="single"/>
              </w:rPr>
              <w:t>Monthly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Expenses</w:t>
              <w:tab/>
            </w:r>
          </w:p>
        </w:tc>
        <w:tc>
          <w:tcPr>
            <w:tcW w:w="1131" w:type="dxa"/>
          </w:tcPr>
          <w:p>
            <w:pPr>
              <w:pStyle w:val="TableParagraph"/>
              <w:spacing w:line="251" w:lineRule="exact"/>
              <w:ind w:left="115" w:right="-101"/>
              <w:rPr>
                <w:sz w:val="22"/>
              </w:rPr>
            </w:pPr>
            <w:r>
              <w:rPr>
                <w:sz w:val="22"/>
                <w:u w:val="single"/>
              </w:rPr>
              <w:t>Min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Wage</w:t>
            </w:r>
            <w:r>
              <w:rPr>
                <w:spacing w:val="-9"/>
                <w:sz w:val="22"/>
                <w:u w:val="single"/>
              </w:rPr>
              <w:t> </w:t>
            </w:r>
          </w:p>
        </w:tc>
        <w:tc>
          <w:tcPr>
            <w:tcW w:w="975" w:type="dxa"/>
          </w:tcPr>
          <w:p>
            <w:pPr>
              <w:pStyle w:val="TableParagraph"/>
              <w:tabs>
                <w:tab w:pos="878" w:val="left" w:leader="none"/>
              </w:tabs>
              <w:spacing w:line="251" w:lineRule="exact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income</w:t>
              <w:tab/>
            </w:r>
          </w:p>
        </w:tc>
      </w:tr>
      <w:tr>
        <w:trPr>
          <w:trHeight w:val="302" w:hRule="atLeast"/>
        </w:trPr>
        <w:tc>
          <w:tcPr>
            <w:tcW w:w="1165" w:type="dxa"/>
          </w:tcPr>
          <w:p>
            <w:pPr>
              <w:pStyle w:val="TableParagraph"/>
              <w:spacing w:line="267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7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7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7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453904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491061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457538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495068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493297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488721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496079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5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5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5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459868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488618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452583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453207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496942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493832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485886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499154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468220</w:t>
            </w:r>
          </w:p>
        </w:tc>
      </w:tr>
      <w:tr>
        <w:trPr>
          <w:trHeight w:val="302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20000000</w:t>
            </w:r>
          </w:p>
        </w:tc>
        <w:tc>
          <w:tcPr>
            <w:tcW w:w="1961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277777.8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3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75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458703</w:t>
            </w:r>
          </w:p>
        </w:tc>
      </w:tr>
      <w:tr>
        <w:trPr>
          <w:trHeight w:val="262" w:hRule="atLeast"/>
        </w:trPr>
        <w:tc>
          <w:tcPr>
            <w:tcW w:w="1165" w:type="dxa"/>
          </w:tcPr>
          <w:p>
            <w:pPr>
              <w:pStyle w:val="TableParagraph"/>
              <w:tabs>
                <w:tab w:pos="2175" w:val="left" w:leader="none"/>
              </w:tabs>
              <w:spacing w:line="243" w:lineRule="exact"/>
              <w:ind w:left="-24" w:right="-1023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</w:t>
            </w:r>
            <w:r>
              <w:rPr>
                <w:spacing w:val="-16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20000000</w:t>
              <w:tab/>
            </w:r>
          </w:p>
        </w:tc>
        <w:tc>
          <w:tcPr>
            <w:tcW w:w="1961" w:type="dxa"/>
          </w:tcPr>
          <w:p>
            <w:pPr>
              <w:pStyle w:val="TableParagraph"/>
              <w:tabs>
                <w:tab w:pos="2299" w:val="left" w:leader="none"/>
              </w:tabs>
              <w:spacing w:line="243" w:lineRule="exact"/>
              <w:ind w:left="1010" w:right="-346"/>
              <w:rPr>
                <w:sz w:val="22"/>
              </w:rPr>
            </w:pPr>
            <w:r>
              <w:rPr>
                <w:sz w:val="22"/>
                <w:u w:val="single"/>
              </w:rPr>
              <w:t>277777.8</w:t>
              <w:tab/>
            </w:r>
          </w:p>
        </w:tc>
        <w:tc>
          <w:tcPr>
            <w:tcW w:w="1131" w:type="dxa"/>
          </w:tcPr>
          <w:p>
            <w:pPr>
              <w:pStyle w:val="TableParagraph"/>
              <w:tabs>
                <w:tab w:pos="1435" w:val="left" w:leader="none"/>
              </w:tabs>
              <w:spacing w:line="243" w:lineRule="exact"/>
              <w:ind w:left="338" w:right="-317"/>
              <w:rPr>
                <w:sz w:val="22"/>
              </w:rPr>
            </w:pPr>
            <w:r>
              <w:rPr>
                <w:sz w:val="22"/>
                <w:u w:val="single"/>
              </w:rPr>
              <w:t>30000</w:t>
              <w:tab/>
            </w:r>
          </w:p>
        </w:tc>
        <w:tc>
          <w:tcPr>
            <w:tcW w:w="975" w:type="dxa"/>
          </w:tcPr>
          <w:p>
            <w:pPr>
              <w:pStyle w:val="TableParagraph"/>
              <w:spacing w:line="243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476944</w:t>
            </w:r>
          </w:p>
        </w:tc>
      </w:tr>
    </w:tbl>
    <w:p>
      <w:pPr>
        <w:spacing w:after="0" w:line="243" w:lineRule="exact"/>
        <w:jc w:val="right"/>
        <w:rPr>
          <w:sz w:val="22"/>
        </w:rPr>
        <w:sectPr>
          <w:pgSz w:w="11900" w:h="16840"/>
          <w:pgMar w:header="0" w:footer="1120" w:top="1320" w:bottom="1320" w:left="1280" w:right="360"/>
        </w:sectPr>
      </w:pPr>
    </w:p>
    <w:p>
      <w:pPr>
        <w:pStyle w:val="Heading1"/>
        <w:spacing w:before="74"/>
        <w:ind w:left="688" w:right="1048"/>
        <w:jc w:val="center"/>
      </w:pPr>
      <w:r>
        <w:rPr/>
        <w:t>APPENDIX</w:t>
      </w:r>
      <w:r>
        <w:rPr>
          <w:spacing w:val="-3"/>
        </w:rPr>
        <w:t> </w:t>
      </w:r>
      <w:r>
        <w:rPr/>
        <w:t>E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4" w:lineRule="auto"/>
        <w:ind w:left="4303" w:right="1319" w:hanging="1823"/>
      </w:pPr>
      <w:r>
        <w:rPr/>
        <w:t>MONTHLY INCOME OF TWO BEDROOM OCCUPPANTS AT</w:t>
      </w:r>
      <w:r>
        <w:rPr>
          <w:spacing w:val="-57"/>
        </w:rPr>
        <w:t> </w:t>
      </w:r>
      <w:r>
        <w:rPr/>
        <w:t>ROYAL</w:t>
      </w:r>
      <w:r>
        <w:rPr>
          <w:spacing w:val="-4"/>
        </w:rPr>
        <w:t> </w:t>
      </w:r>
      <w:r>
        <w:rPr/>
        <w:t>VALLEY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6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2037"/>
        <w:gridCol w:w="1329"/>
        <w:gridCol w:w="1171"/>
      </w:tblGrid>
      <w:tr>
        <w:trPr>
          <w:trHeight w:val="295" w:hRule="atLeast"/>
        </w:trPr>
        <w:tc>
          <w:tcPr>
            <w:tcW w:w="219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233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03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71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230"/>
              <w:rPr>
                <w:sz w:val="22"/>
              </w:rPr>
            </w:pPr>
            <w:r>
              <w:rPr>
                <w:sz w:val="22"/>
              </w:rPr>
              <w:t>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Wage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 w:before="24"/>
              <w:ind w:left="120"/>
              <w:rPr>
                <w:sz w:val="22"/>
              </w:rPr>
            </w:pPr>
            <w:r>
              <w:rPr>
                <w:sz w:val="22"/>
              </w:rPr>
              <w:t>Hh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income</w:t>
            </w:r>
          </w:p>
        </w:tc>
      </w:tr>
      <w:tr>
        <w:trPr>
          <w:trHeight w:val="322" w:hRule="atLeast"/>
        </w:trPr>
        <w:tc>
          <w:tcPr>
            <w:tcW w:w="2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168881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163813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169689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167863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152501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162066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195451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5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5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5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175329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197255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177788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160571</w:t>
            </w:r>
          </w:p>
        </w:tc>
      </w:tr>
      <w:tr>
        <w:trPr>
          <w:trHeight w:val="299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162524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181763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165987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161402</w:t>
            </w:r>
          </w:p>
        </w:tc>
      </w:tr>
      <w:tr>
        <w:trPr>
          <w:trHeight w:val="300" w:hRule="atLeast"/>
        </w:trPr>
        <w:tc>
          <w:tcPr>
            <w:tcW w:w="2198" w:type="dxa"/>
          </w:tcPr>
          <w:p>
            <w:pPr>
              <w:pStyle w:val="TableParagraph"/>
              <w:spacing w:line="264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</w:tcPr>
          <w:p>
            <w:pPr>
              <w:pStyle w:val="TableParagraph"/>
              <w:spacing w:line="264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</w:tcPr>
          <w:p>
            <w:pPr>
              <w:pStyle w:val="TableParagraph"/>
              <w:spacing w:line="264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181434</w:t>
            </w:r>
          </w:p>
        </w:tc>
      </w:tr>
      <w:tr>
        <w:trPr>
          <w:trHeight w:val="274" w:hRule="atLeast"/>
        </w:trPr>
        <w:tc>
          <w:tcPr>
            <w:tcW w:w="2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04"/>
              <w:rPr>
                <w:sz w:val="22"/>
              </w:rPr>
            </w:pPr>
            <w:r>
              <w:rPr>
                <w:sz w:val="22"/>
              </w:rPr>
              <w:t>5000000</w:t>
            </w:r>
          </w:p>
        </w:tc>
        <w:tc>
          <w:tcPr>
            <w:tcW w:w="2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42"/>
              <w:rPr>
                <w:sz w:val="22"/>
              </w:rPr>
            </w:pPr>
            <w:r>
              <w:rPr>
                <w:sz w:val="22"/>
              </w:rPr>
              <w:t>52083.3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164923</w:t>
            </w:r>
          </w:p>
        </w:tc>
      </w:tr>
    </w:tbl>
    <w:p>
      <w:pPr>
        <w:pStyle w:val="BodyText"/>
        <w:spacing w:line="264" w:lineRule="auto"/>
        <w:ind w:left="3933" w:right="1575" w:hanging="1556"/>
      </w:pPr>
      <w:r>
        <w:rPr/>
        <w:t>MONTHLY INCOME OF THREE BEDROOM OCCUPPANTS</w:t>
      </w:r>
      <w:r>
        <w:rPr>
          <w:spacing w:val="-57"/>
        </w:rPr>
        <w:t> </w:t>
      </w:r>
      <w:r>
        <w:rPr/>
        <w:t>AT</w:t>
      </w:r>
      <w:r>
        <w:rPr>
          <w:spacing w:val="-2"/>
        </w:rPr>
        <w:t> </w:t>
      </w:r>
      <w:r>
        <w:rPr/>
        <w:t>ROYAL</w:t>
      </w:r>
      <w:r>
        <w:rPr>
          <w:spacing w:val="-3"/>
        </w:rPr>
        <w:t> </w:t>
      </w:r>
      <w:r>
        <w:rPr/>
        <w:t>VALLEY ESTATE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tbl>
      <w:tblPr>
        <w:tblW w:w="0" w:type="auto"/>
        <w:jc w:val="left"/>
        <w:tblInd w:w="2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131"/>
        <w:gridCol w:w="910"/>
        <w:gridCol w:w="965"/>
      </w:tblGrid>
      <w:tr>
        <w:trPr>
          <w:trHeight w:val="278" w:hRule="atLeast"/>
        </w:trPr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5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21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1131" w:type="dxa"/>
          </w:tcPr>
          <w:p>
            <w:pPr>
              <w:pStyle w:val="TableParagraph"/>
              <w:spacing w:line="249" w:lineRule="exact"/>
              <w:ind w:left="55"/>
              <w:rPr>
                <w:sz w:val="22"/>
              </w:rPr>
            </w:pPr>
            <w:r>
              <w:rPr>
                <w:sz w:val="22"/>
              </w:rPr>
              <w:t>Monthly</w:t>
            </w:r>
          </w:p>
        </w:tc>
        <w:tc>
          <w:tcPr>
            <w:tcW w:w="910" w:type="dxa"/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965" w:type="dxa"/>
          </w:tcPr>
          <w:p>
            <w:pPr>
              <w:pStyle w:val="TableParagraph"/>
              <w:spacing w:line="249" w:lineRule="exact"/>
              <w:ind w:left="92"/>
              <w:rPr>
                <w:sz w:val="22"/>
              </w:rPr>
            </w:pPr>
            <w:r>
              <w:rPr>
                <w:sz w:val="22"/>
              </w:rPr>
              <w:t>Hh</w:t>
            </w:r>
          </w:p>
        </w:tc>
      </w:tr>
      <w:tr>
        <w:trPr>
          <w:trHeight w:val="289" w:hRule="atLeast"/>
        </w:trPr>
        <w:tc>
          <w:tcPr>
            <w:tcW w:w="1210" w:type="dxa"/>
          </w:tcPr>
          <w:p>
            <w:pPr>
              <w:pStyle w:val="TableParagraph"/>
              <w:tabs>
                <w:tab w:pos="1264" w:val="left" w:leader="none"/>
              </w:tabs>
              <w:spacing w:line="251" w:lineRule="exact"/>
              <w:ind w:left="5" w:right="-58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building</w:t>
              <w:tab/>
            </w:r>
          </w:p>
        </w:tc>
        <w:tc>
          <w:tcPr>
            <w:tcW w:w="1131" w:type="dxa"/>
          </w:tcPr>
          <w:p>
            <w:pPr>
              <w:pStyle w:val="TableParagraph"/>
              <w:tabs>
                <w:tab w:pos="1176" w:val="left" w:leader="none"/>
              </w:tabs>
              <w:spacing w:line="251" w:lineRule="exact"/>
              <w:ind w:left="55" w:right="-58"/>
              <w:rPr>
                <w:sz w:val="22"/>
              </w:rPr>
            </w:pPr>
            <w:r>
              <w:rPr>
                <w:sz w:val="22"/>
                <w:u w:val="single"/>
              </w:rPr>
              <w:t>Expenses</w:t>
              <w:tab/>
            </w:r>
          </w:p>
        </w:tc>
        <w:tc>
          <w:tcPr>
            <w:tcW w:w="910" w:type="dxa"/>
          </w:tcPr>
          <w:p>
            <w:pPr>
              <w:pStyle w:val="TableParagraph"/>
              <w:tabs>
                <w:tab w:pos="1002" w:val="left" w:leader="none"/>
              </w:tabs>
              <w:spacing w:line="251" w:lineRule="exact"/>
              <w:ind w:left="45" w:right="-101"/>
              <w:rPr>
                <w:sz w:val="22"/>
              </w:rPr>
            </w:pPr>
            <w:r>
              <w:rPr>
                <w:sz w:val="22"/>
                <w:u w:val="single"/>
              </w:rPr>
              <w:t>Wage</w:t>
              <w:tab/>
            </w:r>
          </w:p>
        </w:tc>
        <w:tc>
          <w:tcPr>
            <w:tcW w:w="965" w:type="dxa"/>
          </w:tcPr>
          <w:p>
            <w:pPr>
              <w:pStyle w:val="TableParagraph"/>
              <w:tabs>
                <w:tab w:pos="880" w:val="left" w:leader="none"/>
              </w:tabs>
              <w:spacing w:line="251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income</w:t>
              <w:tab/>
            </w:r>
          </w:p>
        </w:tc>
      </w:tr>
      <w:tr>
        <w:trPr>
          <w:trHeight w:val="302" w:hRule="atLeast"/>
        </w:trPr>
        <w:tc>
          <w:tcPr>
            <w:tcW w:w="1210" w:type="dxa"/>
          </w:tcPr>
          <w:p>
            <w:pPr>
              <w:pStyle w:val="TableParagraph"/>
              <w:spacing w:line="267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7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7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7" w:lineRule="exact"/>
              <w:jc w:val="right"/>
              <w:rPr>
                <w:sz w:val="22"/>
              </w:rPr>
            </w:pPr>
            <w:r>
              <w:rPr>
                <w:sz w:val="22"/>
              </w:rPr>
              <w:t>167785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195481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188271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150170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174837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172080</w:t>
            </w:r>
          </w:p>
        </w:tc>
      </w:tr>
      <w:tr>
        <w:trPr>
          <w:trHeight w:val="301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169820</w:t>
            </w:r>
          </w:p>
        </w:tc>
      </w:tr>
      <w:tr>
        <w:trPr>
          <w:trHeight w:val="301" w:hRule="atLeast"/>
        </w:trPr>
        <w:tc>
          <w:tcPr>
            <w:tcW w:w="1210" w:type="dxa"/>
          </w:tcPr>
          <w:p>
            <w:pPr>
              <w:pStyle w:val="TableParagraph"/>
              <w:spacing w:line="266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6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6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jc w:val="right"/>
              <w:rPr>
                <w:sz w:val="22"/>
              </w:rPr>
            </w:pPr>
            <w:r>
              <w:rPr>
                <w:sz w:val="22"/>
              </w:rPr>
              <w:t>194321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194637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152717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194652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155669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168615</w:t>
            </w:r>
          </w:p>
        </w:tc>
      </w:tr>
      <w:tr>
        <w:trPr>
          <w:trHeight w:val="300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175406</w:t>
            </w:r>
          </w:p>
        </w:tc>
      </w:tr>
      <w:tr>
        <w:trPr>
          <w:trHeight w:val="301" w:hRule="atLeast"/>
        </w:trPr>
        <w:tc>
          <w:tcPr>
            <w:tcW w:w="1210" w:type="dxa"/>
          </w:tcPr>
          <w:p>
            <w:pPr>
              <w:pStyle w:val="TableParagraph"/>
              <w:spacing w:line="264" w:lineRule="exact"/>
              <w:ind w:left="374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59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10" w:type="dxa"/>
          </w:tcPr>
          <w:p>
            <w:pPr>
              <w:pStyle w:val="TableParagraph"/>
              <w:spacing w:line="264" w:lineRule="exact"/>
              <w:ind w:left="258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jc w:val="right"/>
              <w:rPr>
                <w:sz w:val="22"/>
              </w:rPr>
            </w:pPr>
            <w:r>
              <w:rPr>
                <w:sz w:val="22"/>
              </w:rPr>
              <w:t>183316</w:t>
            </w:r>
          </w:p>
        </w:tc>
      </w:tr>
      <w:tr>
        <w:trPr>
          <w:trHeight w:val="433" w:hRule="atLeast"/>
        </w:trPr>
        <w:tc>
          <w:tcPr>
            <w:tcW w:w="1210" w:type="dxa"/>
          </w:tcPr>
          <w:p>
            <w:pPr>
              <w:pStyle w:val="TableParagraph"/>
              <w:tabs>
                <w:tab w:pos="374" w:val="left" w:leader="none"/>
                <w:tab w:pos="1569" w:val="left" w:leader="none"/>
              </w:tabs>
              <w:spacing w:line="265" w:lineRule="exact"/>
              <w:ind w:left="-15" w:right="-360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7000000</w:t>
              <w:tab/>
            </w:r>
          </w:p>
        </w:tc>
        <w:tc>
          <w:tcPr>
            <w:tcW w:w="1131" w:type="dxa"/>
          </w:tcPr>
          <w:p>
            <w:pPr>
              <w:pStyle w:val="TableParagraph"/>
              <w:tabs>
                <w:tab w:pos="1389" w:val="left" w:leader="none"/>
              </w:tabs>
              <w:spacing w:line="265" w:lineRule="exact"/>
              <w:ind w:left="359" w:right="-260"/>
              <w:rPr>
                <w:sz w:val="22"/>
              </w:rPr>
            </w:pPr>
            <w:r>
              <w:rPr>
                <w:sz w:val="22"/>
                <w:u w:val="single"/>
              </w:rPr>
              <w:t>72916.7</w:t>
              <w:tab/>
            </w:r>
          </w:p>
        </w:tc>
        <w:tc>
          <w:tcPr>
            <w:tcW w:w="910" w:type="dxa"/>
          </w:tcPr>
          <w:p>
            <w:pPr>
              <w:pStyle w:val="TableParagraph"/>
              <w:tabs>
                <w:tab w:pos="1204" w:val="left" w:leader="none"/>
              </w:tabs>
              <w:spacing w:line="265" w:lineRule="exact"/>
              <w:ind w:left="258" w:right="-303"/>
              <w:rPr>
                <w:sz w:val="22"/>
              </w:rPr>
            </w:pPr>
            <w:r>
              <w:rPr>
                <w:sz w:val="22"/>
                <w:u w:val="single"/>
              </w:rPr>
              <w:t>30000</w:t>
              <w:tab/>
            </w:r>
          </w:p>
        </w:tc>
        <w:tc>
          <w:tcPr>
            <w:tcW w:w="965" w:type="dxa"/>
          </w:tcPr>
          <w:p>
            <w:pPr>
              <w:pStyle w:val="TableParagraph"/>
              <w:spacing w:line="265" w:lineRule="exact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158029</w:t>
            </w:r>
          </w:p>
        </w:tc>
      </w:tr>
      <w:tr>
        <w:trPr>
          <w:trHeight w:val="39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5" w:lineRule="exact" w:before="127"/>
              <w:ind w:right="14"/>
              <w:jc w:val="right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51"/>
          <w:pgSz w:w="11900" w:h="16840"/>
          <w:pgMar w:footer="0" w:header="0" w:top="1320" w:bottom="280" w:left="1280" w:right="360"/>
        </w:sectPr>
      </w:pPr>
    </w:p>
    <w:tbl>
      <w:tblPr>
        <w:tblW w:w="0" w:type="auto"/>
        <w:jc w:val="left"/>
        <w:tblInd w:w="2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073"/>
        <w:gridCol w:w="906"/>
        <w:gridCol w:w="985"/>
      </w:tblGrid>
      <w:tr>
        <w:trPr>
          <w:trHeight w:val="325" w:hRule="atLeast"/>
        </w:trPr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56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71" w:right="134"/>
              <w:jc w:val="center"/>
              <w:rPr>
                <w:sz w:val="21"/>
              </w:rPr>
            </w:pPr>
            <w:r>
              <w:rPr>
                <w:sz w:val="21"/>
              </w:rPr>
              <w:t>184456</w:t>
            </w:r>
          </w:p>
        </w:tc>
      </w:tr>
      <w:tr>
        <w:trPr>
          <w:trHeight w:val="300" w:hRule="atLeast"/>
        </w:trPr>
        <w:tc>
          <w:tcPr>
            <w:tcW w:w="1243" w:type="dxa"/>
          </w:tcPr>
          <w:p>
            <w:pPr>
              <w:pStyle w:val="TableParagraph"/>
              <w:spacing w:line="264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073" w:type="dxa"/>
          </w:tcPr>
          <w:p>
            <w:pPr>
              <w:pStyle w:val="TableParagraph"/>
              <w:spacing w:line="264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56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5"/>
              <w:ind w:left="171" w:right="134"/>
              <w:jc w:val="center"/>
              <w:rPr>
                <w:sz w:val="21"/>
              </w:rPr>
            </w:pPr>
            <w:r>
              <w:rPr>
                <w:sz w:val="21"/>
              </w:rPr>
              <w:t>177042</w:t>
            </w:r>
          </w:p>
        </w:tc>
      </w:tr>
      <w:tr>
        <w:trPr>
          <w:trHeight w:val="298" w:hRule="atLeast"/>
        </w:trPr>
        <w:tc>
          <w:tcPr>
            <w:tcW w:w="1243" w:type="dxa"/>
          </w:tcPr>
          <w:p>
            <w:pPr>
              <w:pStyle w:val="TableParagraph"/>
              <w:spacing w:line="264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073" w:type="dxa"/>
          </w:tcPr>
          <w:p>
            <w:pPr>
              <w:pStyle w:val="TableParagraph"/>
              <w:spacing w:line="264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56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5"/>
              <w:ind w:left="171" w:right="134"/>
              <w:jc w:val="center"/>
              <w:rPr>
                <w:sz w:val="21"/>
              </w:rPr>
            </w:pPr>
            <w:r>
              <w:rPr>
                <w:sz w:val="21"/>
              </w:rPr>
              <w:t>185220</w:t>
            </w:r>
          </w:p>
        </w:tc>
      </w:tr>
      <w:tr>
        <w:trPr>
          <w:trHeight w:val="298" w:hRule="atLeast"/>
        </w:trPr>
        <w:tc>
          <w:tcPr>
            <w:tcW w:w="1243" w:type="dxa"/>
          </w:tcPr>
          <w:p>
            <w:pPr>
              <w:pStyle w:val="TableParagraph"/>
              <w:spacing w:line="263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073" w:type="dxa"/>
          </w:tcPr>
          <w:p>
            <w:pPr>
              <w:pStyle w:val="TableParagraph"/>
              <w:spacing w:line="263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06" w:type="dxa"/>
          </w:tcPr>
          <w:p>
            <w:pPr>
              <w:pStyle w:val="TableParagraph"/>
              <w:spacing w:line="263" w:lineRule="exact"/>
              <w:ind w:left="156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4"/>
              <w:ind w:left="171" w:right="134"/>
              <w:jc w:val="center"/>
              <w:rPr>
                <w:sz w:val="21"/>
              </w:rPr>
            </w:pPr>
            <w:r>
              <w:rPr>
                <w:sz w:val="21"/>
              </w:rPr>
              <w:t>197275</w:t>
            </w:r>
          </w:p>
        </w:tc>
      </w:tr>
      <w:tr>
        <w:trPr>
          <w:trHeight w:val="275" w:hRule="atLeast"/>
        </w:trPr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7000000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72916.7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6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5"/>
              <w:ind w:left="171" w:right="134"/>
              <w:jc w:val="center"/>
              <w:rPr>
                <w:sz w:val="21"/>
              </w:rPr>
            </w:pPr>
            <w:r>
              <w:rPr>
                <w:sz w:val="21"/>
              </w:rPr>
              <w:t>153259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64" w:lineRule="auto" w:before="90"/>
        <w:ind w:left="4284" w:right="1292" w:hanging="1871"/>
      </w:pPr>
      <w:r>
        <w:rPr/>
        <w:t>MONTHLY INCOME OF FOUR BEDROOM OCCUPPANTS AT</w:t>
      </w:r>
      <w:r>
        <w:rPr>
          <w:spacing w:val="-57"/>
        </w:rPr>
        <w:t> </w:t>
      </w:r>
      <w:r>
        <w:rPr/>
        <w:t>ROYAL</w:t>
      </w:r>
      <w:r>
        <w:rPr>
          <w:spacing w:val="-4"/>
        </w:rPr>
        <w:t> </w:t>
      </w:r>
      <w:r>
        <w:rPr/>
        <w:t>VALLEY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3" w:after="1"/>
        <w:rPr>
          <w:sz w:val="19"/>
        </w:rPr>
      </w:pPr>
    </w:p>
    <w:tbl>
      <w:tblPr>
        <w:tblW w:w="0" w:type="auto"/>
        <w:jc w:val="left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1822"/>
        <w:gridCol w:w="921"/>
        <w:gridCol w:w="968"/>
      </w:tblGrid>
      <w:tr>
        <w:trPr>
          <w:trHeight w:val="274" w:hRule="atLeast"/>
        </w:trPr>
        <w:tc>
          <w:tcPr>
            <w:tcW w:w="17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28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8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54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93"/>
              <w:rPr>
                <w:sz w:val="22"/>
              </w:rPr>
            </w:pPr>
            <w:r>
              <w:rPr>
                <w:sz w:val="22"/>
              </w:rPr>
              <w:t>Hh</w:t>
            </w:r>
          </w:p>
        </w:tc>
      </w:tr>
      <w:tr>
        <w:trPr>
          <w:trHeight w:val="289" w:hRule="atLeast"/>
        </w:trPr>
        <w:tc>
          <w:tcPr>
            <w:tcW w:w="1752" w:type="dxa"/>
          </w:tcPr>
          <w:p>
            <w:pPr>
              <w:pStyle w:val="TableParagraph"/>
              <w:tabs>
                <w:tab w:pos="1864" w:val="left" w:leader="none"/>
              </w:tabs>
              <w:spacing w:line="251" w:lineRule="exact"/>
              <w:ind w:left="27" w:right="-116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building</w:t>
              <w:tab/>
            </w:r>
          </w:p>
        </w:tc>
        <w:tc>
          <w:tcPr>
            <w:tcW w:w="1822" w:type="dxa"/>
          </w:tcPr>
          <w:p>
            <w:pPr>
              <w:pStyle w:val="TableParagraph"/>
              <w:spacing w:line="251" w:lineRule="exact"/>
              <w:ind w:left="112" w:right="-58"/>
              <w:rPr>
                <w:sz w:val="22"/>
              </w:rPr>
            </w:pPr>
            <w:r>
              <w:rPr>
                <w:sz w:val="22"/>
                <w:u w:val="single"/>
              </w:rPr>
              <w:t>Monthly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Expenses</w:t>
            </w:r>
            <w:r>
              <w:rPr>
                <w:spacing w:val="-22"/>
                <w:sz w:val="22"/>
                <w:u w:val="single"/>
              </w:rPr>
              <w:t> </w:t>
            </w:r>
          </w:p>
        </w:tc>
        <w:tc>
          <w:tcPr>
            <w:tcW w:w="921" w:type="dxa"/>
          </w:tcPr>
          <w:p>
            <w:pPr>
              <w:pStyle w:val="TableParagraph"/>
              <w:tabs>
                <w:tab w:pos="1014" w:val="left" w:leader="none"/>
              </w:tabs>
              <w:spacing w:line="251" w:lineRule="exact"/>
              <w:ind w:left="54" w:right="-101"/>
              <w:rPr>
                <w:sz w:val="22"/>
              </w:rPr>
            </w:pPr>
            <w:r>
              <w:rPr>
                <w:sz w:val="22"/>
                <w:u w:val="single"/>
              </w:rPr>
              <w:t>Wage</w:t>
              <w:tab/>
            </w:r>
          </w:p>
        </w:tc>
        <w:tc>
          <w:tcPr>
            <w:tcW w:w="968" w:type="dxa"/>
          </w:tcPr>
          <w:p>
            <w:pPr>
              <w:pStyle w:val="TableParagraph"/>
              <w:tabs>
                <w:tab w:pos="880" w:val="left" w:leader="none"/>
              </w:tabs>
              <w:spacing w:line="251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income</w:t>
              <w:tab/>
            </w:r>
          </w:p>
        </w:tc>
      </w:tr>
      <w:tr>
        <w:trPr>
          <w:trHeight w:val="302" w:hRule="atLeast"/>
        </w:trPr>
        <w:tc>
          <w:tcPr>
            <w:tcW w:w="1752" w:type="dxa"/>
          </w:tcPr>
          <w:p>
            <w:pPr>
              <w:pStyle w:val="TableParagraph"/>
              <w:spacing w:line="267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7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7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7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218460</w:t>
            </w:r>
          </w:p>
        </w:tc>
      </w:tr>
      <w:tr>
        <w:trPr>
          <w:trHeight w:val="301" w:hRule="atLeast"/>
        </w:trPr>
        <w:tc>
          <w:tcPr>
            <w:tcW w:w="1752" w:type="dxa"/>
          </w:tcPr>
          <w:p>
            <w:pPr>
              <w:pStyle w:val="TableParagraph"/>
              <w:spacing w:line="265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5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5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289473</w:t>
            </w:r>
          </w:p>
        </w:tc>
      </w:tr>
      <w:tr>
        <w:trPr>
          <w:trHeight w:val="301" w:hRule="atLeast"/>
        </w:trPr>
        <w:tc>
          <w:tcPr>
            <w:tcW w:w="1752" w:type="dxa"/>
          </w:tcPr>
          <w:p>
            <w:pPr>
              <w:pStyle w:val="TableParagraph"/>
              <w:spacing w:line="265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5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5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230563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295606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234759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211672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258830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267670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233245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225014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262111</w:t>
            </w:r>
          </w:p>
        </w:tc>
      </w:tr>
      <w:tr>
        <w:trPr>
          <w:trHeight w:val="300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258523</w:t>
            </w:r>
          </w:p>
        </w:tc>
      </w:tr>
      <w:tr>
        <w:trPr>
          <w:trHeight w:val="301" w:hRule="atLeast"/>
        </w:trPr>
        <w:tc>
          <w:tcPr>
            <w:tcW w:w="1752" w:type="dxa"/>
          </w:tcPr>
          <w:p>
            <w:pPr>
              <w:pStyle w:val="TableParagraph"/>
              <w:spacing w:line="264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</w:tcPr>
          <w:p>
            <w:pPr>
              <w:pStyle w:val="TableParagraph"/>
              <w:spacing w:line="264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</w:tcPr>
          <w:p>
            <w:pPr>
              <w:pStyle w:val="TableParagraph"/>
              <w:spacing w:line="264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247570</w:t>
            </w:r>
          </w:p>
        </w:tc>
      </w:tr>
      <w:tr>
        <w:trPr>
          <w:trHeight w:val="270" w:hRule="atLeast"/>
        </w:trPr>
        <w:tc>
          <w:tcPr>
            <w:tcW w:w="17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745"/>
              <w:rPr>
                <w:sz w:val="22"/>
              </w:rPr>
            </w:pPr>
            <w:r>
              <w:rPr>
                <w:sz w:val="22"/>
              </w:rPr>
              <w:t>12000000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930"/>
              <w:rPr>
                <w:sz w:val="22"/>
              </w:rPr>
            </w:pPr>
            <w:r>
              <w:rPr>
                <w:sz w:val="22"/>
              </w:rPr>
              <w:t>125000.0</w:t>
            </w:r>
          </w:p>
        </w:tc>
        <w:tc>
          <w:tcPr>
            <w:tcW w:w="9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267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290132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64" w:lineRule="auto" w:before="216"/>
        <w:ind w:left="4243" w:right="1384" w:hanging="1815"/>
      </w:pPr>
      <w:r>
        <w:rPr/>
        <w:t>MONTHLY INCOME OF FIVE BEDROOM OCCUPPANTS AT</w:t>
      </w:r>
      <w:r>
        <w:rPr>
          <w:spacing w:val="-57"/>
        </w:rPr>
        <w:t> </w:t>
      </w:r>
      <w:r>
        <w:rPr/>
        <w:t>ROYAL</w:t>
      </w:r>
      <w:r>
        <w:rPr>
          <w:spacing w:val="-4"/>
        </w:rPr>
        <w:t> </w:t>
      </w:r>
      <w:r>
        <w:rPr/>
        <w:t>VALLEY</w:t>
      </w:r>
      <w:r>
        <w:rPr>
          <w:spacing w:val="-1"/>
        </w:rPr>
        <w:t> </w:t>
      </w:r>
      <w:r>
        <w:rPr/>
        <w:t>ESTATE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5"/>
        <w:gridCol w:w="1917"/>
        <w:gridCol w:w="1131"/>
        <w:gridCol w:w="1019"/>
      </w:tblGrid>
      <w:tr>
        <w:trPr>
          <w:trHeight w:val="279" w:hRule="atLeast"/>
        </w:trPr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165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50" w:lineRule="exact"/>
              <w:ind w:left="140"/>
              <w:rPr>
                <w:sz w:val="22"/>
              </w:rPr>
            </w:pPr>
            <w:r>
              <w:rPr>
                <w:sz w:val="22"/>
              </w:rPr>
              <w:t>Hh</w:t>
            </w:r>
          </w:p>
        </w:tc>
      </w:tr>
      <w:tr>
        <w:trPr>
          <w:trHeight w:val="287" w:hRule="atLeast"/>
        </w:trPr>
        <w:tc>
          <w:tcPr>
            <w:tcW w:w="1165" w:type="dxa"/>
          </w:tcPr>
          <w:p>
            <w:pPr>
              <w:pStyle w:val="TableParagraph"/>
              <w:tabs>
                <w:tab w:pos="1325" w:val="left" w:leader="none"/>
              </w:tabs>
              <w:spacing w:line="250" w:lineRule="exact"/>
              <w:ind w:left="10" w:right="-173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building</w:t>
              <w:tab/>
            </w:r>
          </w:p>
        </w:tc>
        <w:tc>
          <w:tcPr>
            <w:tcW w:w="1917" w:type="dxa"/>
          </w:tcPr>
          <w:p>
            <w:pPr>
              <w:pStyle w:val="TableParagraph"/>
              <w:spacing w:line="250" w:lineRule="exact"/>
              <w:ind w:left="160" w:right="-72"/>
              <w:rPr>
                <w:sz w:val="22"/>
              </w:rPr>
            </w:pPr>
            <w:r>
              <w:rPr>
                <w:sz w:val="22"/>
                <w:u w:val="single"/>
              </w:rPr>
              <w:t>Monthly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Expenses</w:t>
            </w:r>
            <w:r>
              <w:rPr>
                <w:spacing w:val="-10"/>
                <w:sz w:val="22"/>
                <w:u w:val="single"/>
              </w:rPr>
              <w:t> </w:t>
            </w:r>
          </w:p>
        </w:tc>
        <w:tc>
          <w:tcPr>
            <w:tcW w:w="1131" w:type="dxa"/>
          </w:tcPr>
          <w:p>
            <w:pPr>
              <w:pStyle w:val="TableParagraph"/>
              <w:tabs>
                <w:tab w:pos="1270" w:val="left" w:leader="none"/>
              </w:tabs>
              <w:spacing w:line="250" w:lineRule="exact"/>
              <w:ind w:left="70" w:right="-144"/>
              <w:rPr>
                <w:sz w:val="22"/>
              </w:rPr>
            </w:pPr>
            <w:r>
              <w:rPr>
                <w:sz w:val="22"/>
                <w:u w:val="single"/>
              </w:rPr>
              <w:t>Min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Wage</w:t>
              <w:tab/>
            </w:r>
          </w:p>
        </w:tc>
        <w:tc>
          <w:tcPr>
            <w:tcW w:w="1019" w:type="dxa"/>
          </w:tcPr>
          <w:p>
            <w:pPr>
              <w:pStyle w:val="TableParagraph"/>
              <w:tabs>
                <w:tab w:pos="878" w:val="left" w:leader="none"/>
              </w:tabs>
              <w:spacing w:line="250" w:lineRule="exact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income</w:t>
              <w:tab/>
            </w:r>
          </w:p>
        </w:tc>
      </w:tr>
      <w:tr>
        <w:trPr>
          <w:trHeight w:val="302" w:hRule="atLeast"/>
        </w:trPr>
        <w:tc>
          <w:tcPr>
            <w:tcW w:w="1165" w:type="dxa"/>
          </w:tcPr>
          <w:p>
            <w:pPr>
              <w:pStyle w:val="TableParagraph"/>
              <w:spacing w:line="267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7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7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7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498435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408169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425285</w:t>
            </w:r>
          </w:p>
        </w:tc>
      </w:tr>
      <w:tr>
        <w:trPr>
          <w:trHeight w:val="301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446733</w:t>
            </w:r>
          </w:p>
        </w:tc>
      </w:tr>
      <w:tr>
        <w:trPr>
          <w:trHeight w:val="301" w:hRule="atLeast"/>
        </w:trPr>
        <w:tc>
          <w:tcPr>
            <w:tcW w:w="1165" w:type="dxa"/>
          </w:tcPr>
          <w:p>
            <w:pPr>
              <w:pStyle w:val="TableParagraph"/>
              <w:spacing w:line="266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6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6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6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488724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461550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437498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426567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404244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415396</w:t>
            </w:r>
          </w:p>
        </w:tc>
      </w:tr>
      <w:tr>
        <w:trPr>
          <w:trHeight w:val="300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462673</w:t>
            </w:r>
          </w:p>
        </w:tc>
      </w:tr>
      <w:tr>
        <w:trPr>
          <w:trHeight w:val="301" w:hRule="atLeast"/>
        </w:trPr>
        <w:tc>
          <w:tcPr>
            <w:tcW w:w="1165" w:type="dxa"/>
          </w:tcPr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917" w:type="dxa"/>
          </w:tcPr>
          <w:p>
            <w:pPr>
              <w:pStyle w:val="TableParagraph"/>
              <w:spacing w:line="264" w:lineRule="exact"/>
              <w:ind w:left="1010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131" w:type="dxa"/>
          </w:tcPr>
          <w:p>
            <w:pPr>
              <w:pStyle w:val="TableParagraph"/>
              <w:spacing w:line="264" w:lineRule="exact"/>
              <w:ind w:left="382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1019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460548</w:t>
            </w:r>
          </w:p>
        </w:tc>
      </w:tr>
      <w:tr>
        <w:trPr>
          <w:trHeight w:val="454" w:hRule="atLeast"/>
        </w:trPr>
        <w:tc>
          <w:tcPr>
            <w:tcW w:w="1165" w:type="dxa"/>
          </w:tcPr>
          <w:p>
            <w:pPr>
              <w:pStyle w:val="TableParagraph"/>
              <w:tabs>
                <w:tab w:pos="2175" w:val="left" w:leader="none"/>
              </w:tabs>
              <w:spacing w:line="265" w:lineRule="exact"/>
              <w:ind w:left="-9" w:right="-1023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2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14000000</w:t>
              <w:tab/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2299" w:val="left" w:leader="none"/>
              </w:tabs>
              <w:spacing w:line="265" w:lineRule="exact"/>
              <w:ind w:left="1010" w:right="-389"/>
              <w:rPr>
                <w:sz w:val="22"/>
              </w:rPr>
            </w:pPr>
            <w:r>
              <w:rPr>
                <w:sz w:val="22"/>
                <w:u w:val="single"/>
              </w:rPr>
              <w:t>145833.3</w:t>
              <w:tab/>
            </w:r>
          </w:p>
        </w:tc>
        <w:tc>
          <w:tcPr>
            <w:tcW w:w="1131" w:type="dxa"/>
          </w:tcPr>
          <w:p>
            <w:pPr>
              <w:pStyle w:val="TableParagraph"/>
              <w:tabs>
                <w:tab w:pos="1479" w:val="left" w:leader="none"/>
              </w:tabs>
              <w:spacing w:line="265" w:lineRule="exact"/>
              <w:ind w:left="382" w:right="-360"/>
              <w:rPr>
                <w:sz w:val="22"/>
              </w:rPr>
            </w:pPr>
            <w:r>
              <w:rPr>
                <w:sz w:val="22"/>
                <w:u w:val="single"/>
              </w:rPr>
              <w:t>30000</w:t>
              <w:tab/>
            </w:r>
          </w:p>
        </w:tc>
        <w:tc>
          <w:tcPr>
            <w:tcW w:w="1019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419771</w:t>
            </w:r>
          </w:p>
        </w:tc>
      </w:tr>
      <w:tr>
        <w:trPr>
          <w:trHeight w:val="413" w:hRule="atLeast"/>
        </w:trPr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5" w:lineRule="exact" w:before="149"/>
              <w:ind w:left="14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</w:tbl>
    <w:p>
      <w:pPr>
        <w:spacing w:after="0" w:line="245" w:lineRule="exact"/>
        <w:rPr>
          <w:sz w:val="22"/>
        </w:rPr>
        <w:sectPr>
          <w:footerReference w:type="default" r:id="rId52"/>
          <w:pgSz w:w="11900" w:h="16840"/>
          <w:pgMar w:footer="0" w:header="0" w:top="1400" w:bottom="280" w:left="1280" w:right="360"/>
        </w:sectPr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1589"/>
        <w:gridCol w:w="1049"/>
        <w:gridCol w:w="933"/>
      </w:tblGrid>
      <w:tr>
        <w:trPr>
          <w:trHeight w:val="325" w:hRule="atLeast"/>
        </w:trPr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40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03" w:right="247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447339</w:t>
            </w:r>
          </w:p>
        </w:tc>
      </w:tr>
      <w:tr>
        <w:trPr>
          <w:trHeight w:val="300" w:hRule="atLeast"/>
        </w:trPr>
        <w:tc>
          <w:tcPr>
            <w:tcW w:w="1665" w:type="dxa"/>
          </w:tcPr>
          <w:p>
            <w:pPr>
              <w:pStyle w:val="TableParagraph"/>
              <w:spacing w:line="264" w:lineRule="exact"/>
              <w:ind w:left="240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589" w:type="dxa"/>
          </w:tcPr>
          <w:p>
            <w:pPr>
              <w:pStyle w:val="TableParagraph"/>
              <w:spacing w:line="264" w:lineRule="exact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049" w:type="dxa"/>
          </w:tcPr>
          <w:p>
            <w:pPr>
              <w:pStyle w:val="TableParagraph"/>
              <w:spacing w:line="264" w:lineRule="exact"/>
              <w:ind w:left="203" w:right="247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3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477591</w:t>
            </w:r>
          </w:p>
        </w:tc>
      </w:tr>
      <w:tr>
        <w:trPr>
          <w:trHeight w:val="301" w:hRule="atLeast"/>
        </w:trPr>
        <w:tc>
          <w:tcPr>
            <w:tcW w:w="1665" w:type="dxa"/>
          </w:tcPr>
          <w:p>
            <w:pPr>
              <w:pStyle w:val="TableParagraph"/>
              <w:spacing w:line="264" w:lineRule="exact"/>
              <w:ind w:left="240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589" w:type="dxa"/>
          </w:tcPr>
          <w:p>
            <w:pPr>
              <w:pStyle w:val="TableParagraph"/>
              <w:spacing w:line="264" w:lineRule="exact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049" w:type="dxa"/>
          </w:tcPr>
          <w:p>
            <w:pPr>
              <w:pStyle w:val="TableParagraph"/>
              <w:spacing w:line="264" w:lineRule="exact"/>
              <w:ind w:left="203" w:right="247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3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446970</w:t>
            </w:r>
          </w:p>
        </w:tc>
      </w:tr>
      <w:tr>
        <w:trPr>
          <w:trHeight w:val="270" w:hRule="atLeast"/>
        </w:trPr>
        <w:tc>
          <w:tcPr>
            <w:tcW w:w="16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240"/>
              <w:rPr>
                <w:sz w:val="22"/>
              </w:rPr>
            </w:pPr>
            <w:r>
              <w:rPr>
                <w:sz w:val="22"/>
              </w:rPr>
              <w:t>14000000</w:t>
            </w:r>
          </w:p>
        </w:tc>
        <w:tc>
          <w:tcPr>
            <w:tcW w:w="1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145833.3</w:t>
            </w:r>
          </w:p>
        </w:tc>
        <w:tc>
          <w:tcPr>
            <w:tcW w:w="10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203" w:right="247"/>
              <w:jc w:val="center"/>
              <w:rPr>
                <w:sz w:val="22"/>
              </w:rPr>
            </w:pPr>
            <w:r>
              <w:rPr>
                <w:sz w:val="22"/>
              </w:rPr>
              <w:t>30000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487056</w:t>
            </w:r>
          </w:p>
        </w:tc>
      </w:tr>
    </w:tbl>
    <w:p>
      <w:pPr>
        <w:spacing w:after="0" w:line="251" w:lineRule="exact"/>
        <w:jc w:val="right"/>
        <w:rPr>
          <w:sz w:val="22"/>
        </w:rPr>
        <w:sectPr>
          <w:footerReference w:type="default" r:id="rId53"/>
          <w:pgSz w:w="11900" w:h="16840"/>
          <w:pgMar w:footer="1036" w:header="0" w:top="1400" w:bottom="1220" w:left="1280" w:right="360"/>
          <w:pgNumType w:start="116"/>
        </w:sectPr>
      </w:pPr>
    </w:p>
    <w:p>
      <w:pPr>
        <w:pStyle w:val="Heading1"/>
        <w:spacing w:before="74"/>
        <w:ind w:left="688" w:right="1026"/>
        <w:jc w:val="center"/>
      </w:pPr>
      <w:r>
        <w:rPr/>
        <w:t>APPENDIX</w:t>
      </w:r>
      <w:r>
        <w:rPr>
          <w:spacing w:val="-1"/>
        </w:rPr>
        <w:t> </w:t>
      </w:r>
      <w:r>
        <w:rPr/>
        <w:t>F</w:t>
      </w:r>
    </w:p>
    <w:p>
      <w:pPr>
        <w:pStyle w:val="BodyText"/>
        <w:spacing w:before="231"/>
        <w:ind w:left="688" w:right="1039"/>
        <w:jc w:val="center"/>
      </w:pPr>
      <w:r>
        <w:rPr/>
        <w:t>LIVABILITY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HARMONY</w:t>
      </w:r>
      <w:r>
        <w:rPr>
          <w:spacing w:val="-2"/>
        </w:rPr>
        <w:t> </w:t>
      </w:r>
      <w:r>
        <w:rPr/>
        <w:t>ESTATE</w:t>
      </w:r>
    </w:p>
    <w:p>
      <w:pPr>
        <w:pStyle w:val="BodyText"/>
        <w:spacing w:before="3" w:after="1"/>
        <w:rPr>
          <w:sz w:val="22"/>
        </w:rPr>
      </w:pPr>
    </w:p>
    <w:tbl>
      <w:tblPr>
        <w:tblW w:w="0" w:type="auto"/>
        <w:jc w:val="left"/>
        <w:tblInd w:w="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891"/>
        <w:gridCol w:w="660"/>
        <w:gridCol w:w="860"/>
        <w:gridCol w:w="781"/>
        <w:gridCol w:w="799"/>
        <w:gridCol w:w="969"/>
        <w:gridCol w:w="530"/>
        <w:gridCol w:w="750"/>
        <w:gridCol w:w="599"/>
        <w:gridCol w:w="592"/>
      </w:tblGrid>
      <w:tr>
        <w:trPr>
          <w:trHeight w:val="231" w:hRule="atLeast"/>
        </w:trPr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/>
              <w:ind w:left="64"/>
              <w:rPr>
                <w:sz w:val="18"/>
              </w:rPr>
            </w:pPr>
            <w:r>
              <w:rPr>
                <w:sz w:val="18"/>
              </w:rPr>
              <w:t>Access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3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01" w:lineRule="exact"/>
              <w:ind w:left="55"/>
              <w:rPr>
                <w:sz w:val="18"/>
              </w:rPr>
            </w:pPr>
            <w:r>
              <w:rPr>
                <w:sz w:val="18"/>
              </w:rPr>
              <w:t>Accessibi</w:t>
            </w:r>
          </w:p>
        </w:tc>
        <w:tc>
          <w:tcPr>
            <w:tcW w:w="660" w:type="dxa"/>
          </w:tcPr>
          <w:p>
            <w:pPr>
              <w:pStyle w:val="TableParagraph"/>
              <w:spacing w:line="201" w:lineRule="exact"/>
              <w:ind w:left="64"/>
              <w:rPr>
                <w:sz w:val="18"/>
              </w:rPr>
            </w:pPr>
            <w:r>
              <w:rPr>
                <w:sz w:val="18"/>
              </w:rPr>
              <w:t>Qualit</w:t>
            </w:r>
          </w:p>
        </w:tc>
        <w:tc>
          <w:tcPr>
            <w:tcW w:w="860" w:type="dxa"/>
          </w:tcPr>
          <w:p>
            <w:pPr>
              <w:pStyle w:val="TableParagraph"/>
              <w:spacing w:line="201" w:lineRule="exact"/>
              <w:ind w:left="64"/>
              <w:rPr>
                <w:sz w:val="18"/>
              </w:rPr>
            </w:pPr>
            <w:r>
              <w:rPr>
                <w:sz w:val="18"/>
              </w:rPr>
              <w:t>to</w:t>
            </w:r>
          </w:p>
        </w:tc>
        <w:tc>
          <w:tcPr>
            <w:tcW w:w="781" w:type="dxa"/>
          </w:tcPr>
          <w:p>
            <w:pPr>
              <w:pStyle w:val="TableParagraph"/>
              <w:spacing w:line="201" w:lineRule="exact"/>
              <w:ind w:left="66"/>
              <w:rPr>
                <w:sz w:val="18"/>
              </w:rPr>
            </w:pPr>
            <w:r>
              <w:rPr>
                <w:sz w:val="18"/>
              </w:rPr>
              <w:t>Safety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line="201" w:lineRule="exact"/>
              <w:ind w:left="65"/>
              <w:rPr>
                <w:sz w:val="18"/>
              </w:rPr>
            </w:pPr>
            <w:r>
              <w:rPr>
                <w:sz w:val="18"/>
              </w:rPr>
              <w:t>accessibili</w:t>
            </w:r>
          </w:p>
        </w:tc>
        <w:tc>
          <w:tcPr>
            <w:tcW w:w="530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Acc</w:t>
            </w:r>
          </w:p>
        </w:tc>
        <w:tc>
          <w:tcPr>
            <w:tcW w:w="750" w:type="dxa"/>
          </w:tcPr>
          <w:p>
            <w:pPr>
              <w:pStyle w:val="TableParagraph"/>
              <w:spacing w:line="201" w:lineRule="exact"/>
              <w:ind w:left="66"/>
              <w:rPr>
                <w:sz w:val="18"/>
              </w:rPr>
            </w:pPr>
            <w:r>
              <w:rPr>
                <w:spacing w:val="-1"/>
                <w:sz w:val="18"/>
              </w:rPr>
              <w:t>Access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1327" w:type="dxa"/>
          </w:tcPr>
          <w:p>
            <w:pPr>
              <w:pStyle w:val="TableParagraph"/>
              <w:spacing w:line="200" w:lineRule="exact"/>
              <w:ind w:left="206"/>
              <w:rPr>
                <w:sz w:val="18"/>
              </w:rPr>
            </w:pPr>
            <w:r>
              <w:rPr>
                <w:sz w:val="18"/>
              </w:rPr>
              <w:t>Accessibility</w:t>
            </w:r>
          </w:p>
        </w:tc>
        <w:tc>
          <w:tcPr>
            <w:tcW w:w="891" w:type="dxa"/>
          </w:tcPr>
          <w:p>
            <w:pPr>
              <w:pStyle w:val="TableParagraph"/>
              <w:spacing w:line="200" w:lineRule="exact"/>
              <w:ind w:left="55"/>
              <w:rPr>
                <w:sz w:val="18"/>
              </w:rPr>
            </w:pPr>
            <w:r>
              <w:rPr>
                <w:sz w:val="18"/>
              </w:rPr>
              <w:t>lity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</w:p>
        </w:tc>
        <w:tc>
          <w:tcPr>
            <w:tcW w:w="660" w:type="dxa"/>
          </w:tcPr>
          <w:p>
            <w:pPr>
              <w:pStyle w:val="TableParagraph"/>
              <w:spacing w:line="200" w:lineRule="exact"/>
              <w:ind w:left="64"/>
              <w:rPr>
                <w:sz w:val="18"/>
              </w:rPr>
            </w:pPr>
            <w:r>
              <w:rPr>
                <w:sz w:val="18"/>
              </w:rPr>
              <w:t>y of</w:t>
            </w:r>
          </w:p>
        </w:tc>
        <w:tc>
          <w:tcPr>
            <w:tcW w:w="860" w:type="dxa"/>
          </w:tcPr>
          <w:p>
            <w:pPr>
              <w:pStyle w:val="TableParagraph"/>
              <w:spacing w:line="200" w:lineRule="exact"/>
              <w:ind w:left="64"/>
              <w:rPr>
                <w:sz w:val="18"/>
              </w:rPr>
            </w:pPr>
            <w:r>
              <w:rPr>
                <w:sz w:val="18"/>
              </w:rPr>
              <w:t>economi</w:t>
            </w:r>
          </w:p>
        </w:tc>
        <w:tc>
          <w:tcPr>
            <w:tcW w:w="781" w:type="dxa"/>
          </w:tcPr>
          <w:p>
            <w:pPr>
              <w:pStyle w:val="TableParagraph"/>
              <w:spacing w:line="200" w:lineRule="exact"/>
              <w:ind w:left="66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</w:tc>
        <w:tc>
          <w:tcPr>
            <w:tcW w:w="799" w:type="dxa"/>
          </w:tcPr>
          <w:p>
            <w:pPr>
              <w:pStyle w:val="TableParagraph"/>
              <w:spacing w:line="200" w:lineRule="exact"/>
              <w:ind w:left="65"/>
              <w:rPr>
                <w:sz w:val="18"/>
              </w:rPr>
            </w:pPr>
            <w:r>
              <w:rPr>
                <w:sz w:val="18"/>
              </w:rPr>
              <w:t>Quality</w:t>
            </w:r>
          </w:p>
        </w:tc>
        <w:tc>
          <w:tcPr>
            <w:tcW w:w="969" w:type="dxa"/>
          </w:tcPr>
          <w:p>
            <w:pPr>
              <w:pStyle w:val="TableParagraph"/>
              <w:spacing w:line="200" w:lineRule="exact"/>
              <w:ind w:left="65"/>
              <w:rPr>
                <w:sz w:val="18"/>
              </w:rPr>
            </w:pPr>
            <w:r>
              <w:rPr>
                <w:sz w:val="18"/>
              </w:rPr>
              <w:t>ty of</w:t>
            </w:r>
          </w:p>
        </w:tc>
        <w:tc>
          <w:tcPr>
            <w:tcW w:w="530" w:type="dxa"/>
          </w:tcPr>
          <w:p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ess</w:t>
            </w:r>
          </w:p>
        </w:tc>
        <w:tc>
          <w:tcPr>
            <w:tcW w:w="750" w:type="dxa"/>
          </w:tcPr>
          <w:p>
            <w:pPr>
              <w:pStyle w:val="TableParagraph"/>
              <w:spacing w:line="200" w:lineRule="exact"/>
              <w:ind w:left="66"/>
              <w:rPr>
                <w:sz w:val="18"/>
              </w:rPr>
            </w:pPr>
            <w:r>
              <w:rPr>
                <w:sz w:val="18"/>
              </w:rPr>
              <w:t>civic/</w:t>
            </w:r>
          </w:p>
        </w:tc>
        <w:tc>
          <w:tcPr>
            <w:tcW w:w="1191" w:type="dxa"/>
            <w:gridSpan w:val="2"/>
          </w:tcPr>
          <w:p>
            <w:pPr>
              <w:pStyle w:val="TableParagraph"/>
              <w:spacing w:line="200" w:lineRule="exact"/>
              <w:ind w:left="236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</w:p>
        </w:tc>
      </w:tr>
      <w:tr>
        <w:trPr>
          <w:trHeight w:val="219" w:hRule="atLeast"/>
        </w:trPr>
        <w:tc>
          <w:tcPr>
            <w:tcW w:w="1327" w:type="dxa"/>
          </w:tcPr>
          <w:p>
            <w:pPr>
              <w:pStyle w:val="TableParagraph"/>
              <w:spacing w:line="200" w:lineRule="exact"/>
              <w:ind w:left="184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estate</w:t>
            </w:r>
          </w:p>
        </w:tc>
        <w:tc>
          <w:tcPr>
            <w:tcW w:w="891" w:type="dxa"/>
          </w:tcPr>
          <w:p>
            <w:pPr>
              <w:pStyle w:val="TableParagraph"/>
              <w:spacing w:line="200" w:lineRule="exact"/>
              <w:ind w:left="55"/>
              <w:rPr>
                <w:sz w:val="18"/>
              </w:rPr>
            </w:pPr>
            <w:r>
              <w:rPr>
                <w:sz w:val="18"/>
              </w:rPr>
              <w:t>health</w:t>
            </w:r>
          </w:p>
        </w:tc>
        <w:tc>
          <w:tcPr>
            <w:tcW w:w="660" w:type="dxa"/>
          </w:tcPr>
          <w:p>
            <w:pPr>
              <w:pStyle w:val="TableParagraph"/>
              <w:spacing w:line="200" w:lineRule="exact"/>
              <w:ind w:left="64"/>
              <w:rPr>
                <w:sz w:val="18"/>
              </w:rPr>
            </w:pPr>
            <w:r>
              <w:rPr>
                <w:sz w:val="18"/>
              </w:rPr>
              <w:t>the</w:t>
            </w:r>
          </w:p>
        </w:tc>
        <w:tc>
          <w:tcPr>
            <w:tcW w:w="860" w:type="dxa"/>
          </w:tcPr>
          <w:p>
            <w:pPr>
              <w:pStyle w:val="TableParagraph"/>
              <w:spacing w:line="200" w:lineRule="exact"/>
              <w:ind w:left="64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781" w:type="dxa"/>
          </w:tcPr>
          <w:p>
            <w:pPr>
              <w:pStyle w:val="TableParagraph"/>
              <w:spacing w:line="200" w:lineRule="exact"/>
              <w:ind w:left="66"/>
              <w:rPr>
                <w:sz w:val="18"/>
              </w:rPr>
            </w:pPr>
            <w:r>
              <w:rPr>
                <w:sz w:val="18"/>
              </w:rPr>
              <w:t>housin</w:t>
            </w:r>
          </w:p>
        </w:tc>
        <w:tc>
          <w:tcPr>
            <w:tcW w:w="799" w:type="dxa"/>
          </w:tcPr>
          <w:p>
            <w:pPr>
              <w:pStyle w:val="TableParagraph"/>
              <w:spacing w:line="200" w:lineRule="exact"/>
              <w:ind w:left="65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</w:tc>
        <w:tc>
          <w:tcPr>
            <w:tcW w:w="969" w:type="dxa"/>
          </w:tcPr>
          <w:p>
            <w:pPr>
              <w:pStyle w:val="TableParagraph"/>
              <w:spacing w:line="200" w:lineRule="exact"/>
              <w:ind w:left="65"/>
              <w:rPr>
                <w:sz w:val="18"/>
              </w:rPr>
            </w:pPr>
            <w:r>
              <w:rPr>
                <w:sz w:val="18"/>
              </w:rPr>
              <w:t>health</w:t>
            </w:r>
          </w:p>
        </w:tc>
        <w:tc>
          <w:tcPr>
            <w:tcW w:w="530" w:type="dxa"/>
          </w:tcPr>
          <w:p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to</w:t>
            </w:r>
          </w:p>
        </w:tc>
        <w:tc>
          <w:tcPr>
            <w:tcW w:w="750" w:type="dxa"/>
          </w:tcPr>
          <w:p>
            <w:pPr>
              <w:pStyle w:val="TableParagraph"/>
              <w:spacing w:line="200" w:lineRule="exact"/>
              <w:ind w:left="66"/>
              <w:rPr>
                <w:sz w:val="18"/>
              </w:rPr>
            </w:pPr>
            <w:r>
              <w:rPr>
                <w:sz w:val="18"/>
              </w:rPr>
              <w:t>social</w:t>
            </w:r>
          </w:p>
        </w:tc>
        <w:tc>
          <w:tcPr>
            <w:tcW w:w="1191" w:type="dxa"/>
            <w:gridSpan w:val="2"/>
          </w:tcPr>
          <w:p>
            <w:pPr>
              <w:pStyle w:val="TableParagraph"/>
              <w:spacing w:line="200" w:lineRule="exact"/>
              <w:ind w:left="236"/>
              <w:rPr>
                <w:sz w:val="18"/>
              </w:rPr>
            </w:pPr>
            <w:r>
              <w:rPr>
                <w:sz w:val="18"/>
              </w:rPr>
              <w:t>communic</w:t>
            </w:r>
          </w:p>
        </w:tc>
      </w:tr>
      <w:tr>
        <w:trPr>
          <w:trHeight w:val="220" w:hRule="atLeast"/>
        </w:trPr>
        <w:tc>
          <w:tcPr>
            <w:tcW w:w="1327" w:type="dxa"/>
          </w:tcPr>
          <w:p>
            <w:pPr>
              <w:pStyle w:val="TableParagraph"/>
              <w:spacing w:line="201" w:lineRule="exact"/>
              <w:ind w:left="143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parts</w:t>
            </w:r>
          </w:p>
        </w:tc>
        <w:tc>
          <w:tcPr>
            <w:tcW w:w="891" w:type="dxa"/>
          </w:tcPr>
          <w:p>
            <w:pPr>
              <w:pStyle w:val="TableParagraph"/>
              <w:spacing w:line="201" w:lineRule="exact"/>
              <w:ind w:left="55"/>
              <w:rPr>
                <w:sz w:val="18"/>
              </w:rPr>
            </w:pPr>
            <w:r>
              <w:rPr>
                <w:sz w:val="18"/>
              </w:rPr>
              <w:t>care</w:t>
            </w:r>
          </w:p>
        </w:tc>
        <w:tc>
          <w:tcPr>
            <w:tcW w:w="660" w:type="dxa"/>
          </w:tcPr>
          <w:p>
            <w:pPr>
              <w:pStyle w:val="TableParagraph"/>
              <w:spacing w:line="201" w:lineRule="exact"/>
              <w:ind w:left="64"/>
              <w:rPr>
                <w:sz w:val="18"/>
              </w:rPr>
            </w:pPr>
            <w:r>
              <w:rPr>
                <w:sz w:val="18"/>
              </w:rPr>
              <w:t>housi</w:t>
            </w:r>
          </w:p>
        </w:tc>
        <w:tc>
          <w:tcPr>
            <w:tcW w:w="860" w:type="dxa"/>
          </w:tcPr>
          <w:p>
            <w:pPr>
              <w:pStyle w:val="TableParagraph"/>
              <w:spacing w:line="201" w:lineRule="exact"/>
              <w:ind w:left="64"/>
              <w:rPr>
                <w:sz w:val="18"/>
              </w:rPr>
            </w:pPr>
            <w:r>
              <w:rPr>
                <w:sz w:val="18"/>
              </w:rPr>
              <w:t>opportu</w:t>
            </w:r>
          </w:p>
        </w:tc>
        <w:tc>
          <w:tcPr>
            <w:tcW w:w="781" w:type="dxa"/>
          </w:tcPr>
          <w:p>
            <w:pPr>
              <w:pStyle w:val="TableParagraph"/>
              <w:spacing w:line="201" w:lineRule="exact"/>
              <w:ind w:left="66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799" w:type="dxa"/>
          </w:tcPr>
          <w:p>
            <w:pPr>
              <w:pStyle w:val="TableParagraph"/>
              <w:spacing w:line="201" w:lineRule="exact"/>
              <w:ind w:left="65"/>
              <w:rPr>
                <w:sz w:val="18"/>
              </w:rPr>
            </w:pPr>
            <w:r>
              <w:rPr>
                <w:sz w:val="18"/>
              </w:rPr>
              <w:t>neighb</w:t>
            </w:r>
          </w:p>
        </w:tc>
        <w:tc>
          <w:tcPr>
            <w:tcW w:w="969" w:type="dxa"/>
          </w:tcPr>
          <w:p>
            <w:pPr>
              <w:pStyle w:val="TableParagraph"/>
              <w:spacing w:line="201" w:lineRule="exact"/>
              <w:ind w:left="65"/>
              <w:rPr>
                <w:sz w:val="18"/>
              </w:rPr>
            </w:pPr>
            <w:r>
              <w:rPr>
                <w:sz w:val="18"/>
              </w:rPr>
              <w:t>basic</w:t>
            </w:r>
          </w:p>
        </w:tc>
        <w:tc>
          <w:tcPr>
            <w:tcW w:w="530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wat</w:t>
            </w:r>
          </w:p>
        </w:tc>
        <w:tc>
          <w:tcPr>
            <w:tcW w:w="750" w:type="dxa"/>
          </w:tcPr>
          <w:p>
            <w:pPr>
              <w:pStyle w:val="TableParagraph"/>
              <w:spacing w:line="201" w:lineRule="exact"/>
              <w:ind w:left="66"/>
              <w:rPr>
                <w:sz w:val="18"/>
              </w:rPr>
            </w:pPr>
            <w:r>
              <w:rPr>
                <w:sz w:val="18"/>
              </w:rPr>
              <w:t>engagem</w:t>
            </w:r>
          </w:p>
        </w:tc>
        <w:tc>
          <w:tcPr>
            <w:tcW w:w="1191" w:type="dxa"/>
            <w:gridSpan w:val="2"/>
          </w:tcPr>
          <w:p>
            <w:pPr>
              <w:pStyle w:val="TableParagraph"/>
              <w:spacing w:line="201" w:lineRule="exact"/>
              <w:ind w:left="236"/>
              <w:rPr>
                <w:sz w:val="18"/>
              </w:rPr>
            </w:pPr>
            <w:r>
              <w:rPr>
                <w:sz w:val="18"/>
              </w:rPr>
              <w:t>ation/inter</w:t>
            </w:r>
          </w:p>
        </w:tc>
      </w:tr>
      <w:tr>
        <w:trPr>
          <w:trHeight w:val="203" w:hRule="atLeast"/>
        </w:trPr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222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town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55"/>
              <w:rPr>
                <w:sz w:val="18"/>
              </w:rPr>
            </w:pPr>
            <w:r>
              <w:rPr>
                <w:sz w:val="18"/>
              </w:rPr>
              <w:t>facility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64"/>
              <w:rPr>
                <w:sz w:val="18"/>
              </w:rPr>
            </w:pPr>
            <w:r>
              <w:rPr>
                <w:sz w:val="18"/>
              </w:rPr>
              <w:t>ng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64"/>
              <w:rPr>
                <w:sz w:val="18"/>
              </w:rPr>
            </w:pPr>
            <w:r>
              <w:rPr>
                <w:sz w:val="18"/>
              </w:rPr>
              <w:t>nity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66"/>
              <w:rPr>
                <w:sz w:val="18"/>
              </w:rPr>
            </w:pPr>
            <w:r>
              <w:rPr>
                <w:sz w:val="18"/>
              </w:rPr>
              <w:t>estate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65"/>
              <w:rPr>
                <w:sz w:val="18"/>
              </w:rPr>
            </w:pPr>
            <w:r>
              <w:rPr>
                <w:sz w:val="18"/>
              </w:rPr>
              <w:t>ouhood</w:t>
            </w:r>
          </w:p>
        </w:tc>
        <w:tc>
          <w:tcPr>
            <w:tcW w:w="9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65"/>
              <w:rPr>
                <w:sz w:val="18"/>
              </w:rPr>
            </w:pPr>
            <w:r>
              <w:rPr>
                <w:sz w:val="18"/>
              </w:rPr>
              <w:t>education</w:t>
            </w:r>
          </w:p>
        </w:tc>
        <w:tc>
          <w:tcPr>
            <w:tcW w:w="5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56"/>
              <w:rPr>
                <w:sz w:val="18"/>
              </w:rPr>
            </w:pPr>
            <w:r>
              <w:rPr>
                <w:sz w:val="18"/>
              </w:rPr>
              <w:t>er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66"/>
              <w:rPr>
                <w:sz w:val="18"/>
              </w:rPr>
            </w:pPr>
            <w:r>
              <w:rPr>
                <w:sz w:val="18"/>
              </w:rPr>
              <w:t>ent</w:t>
            </w:r>
          </w:p>
        </w:tc>
        <w:tc>
          <w:tcPr>
            <w:tcW w:w="119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236"/>
              <w:rPr>
                <w:sz w:val="18"/>
              </w:rPr>
            </w:pPr>
            <w:r>
              <w:rPr>
                <w:sz w:val="18"/>
              </w:rPr>
              <w:t>net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facility</w:t>
            </w:r>
          </w:p>
        </w:tc>
      </w:tr>
      <w:tr>
        <w:trPr>
          <w:trHeight w:val="344" w:hRule="atLeast"/>
        </w:trPr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4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4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4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4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4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4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327" w:type="dxa"/>
          </w:tcPr>
          <w:p>
            <w:pPr>
              <w:pStyle w:val="TableParagraph"/>
              <w:spacing w:before="2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327" w:type="dxa"/>
          </w:tcPr>
          <w:p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0" w:type="dxa"/>
          </w:tcPr>
          <w:p>
            <w:pPr>
              <w:pStyle w:val="TableParagraph"/>
              <w:spacing w:before="2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>
            <w:pPr>
              <w:pStyle w:val="TableParagraph"/>
              <w:spacing w:before="2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2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spacing w:before="2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46" w:hRule="atLeast"/>
        </w:trPr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201" w:lineRule="exact"/>
        <w:jc w:val="right"/>
        <w:rPr>
          <w:sz w:val="18"/>
        </w:rPr>
        <w:sectPr>
          <w:pgSz w:w="11900" w:h="16840"/>
          <w:pgMar w:header="0" w:footer="1036" w:top="1320" w:bottom="1240" w:left="1280" w:right="360"/>
        </w:sect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771"/>
        <w:gridCol w:w="760"/>
        <w:gridCol w:w="821"/>
        <w:gridCol w:w="791"/>
        <w:gridCol w:w="889"/>
        <w:gridCol w:w="750"/>
        <w:gridCol w:w="720"/>
        <w:gridCol w:w="1000"/>
        <w:gridCol w:w="589"/>
      </w:tblGrid>
      <w:tr>
        <w:trPr>
          <w:trHeight w:val="350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4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4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4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4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4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4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4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4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4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4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4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4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4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4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4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2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4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4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4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4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4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4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64" w:type="dxa"/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9" w:type="dxa"/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16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28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9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2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4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00" w:h="16840"/>
          <w:pgMar w:header="0" w:footer="1036" w:top="1400" w:bottom="1220" w:left="1280" w:right="360"/>
        </w:sectPr>
      </w:pPr>
    </w:p>
    <w:p>
      <w:pPr>
        <w:pStyle w:val="Heading1"/>
        <w:spacing w:before="74"/>
        <w:ind w:left="688" w:right="1026"/>
        <w:jc w:val="center"/>
      </w:pPr>
      <w:r>
        <w:rPr/>
        <w:t>APPENDIX</w:t>
      </w:r>
      <w:r>
        <w:rPr>
          <w:spacing w:val="-3"/>
        </w:rPr>
        <w:t> </w:t>
      </w:r>
      <w:r>
        <w:rPr/>
        <w:t>G</w:t>
      </w:r>
    </w:p>
    <w:p>
      <w:pPr>
        <w:pStyle w:val="BodyText"/>
        <w:spacing w:before="231"/>
        <w:ind w:left="688" w:right="1041"/>
        <w:jc w:val="center"/>
      </w:pPr>
      <w:r>
        <w:rPr/>
        <w:t>LIVABILITY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MANDATE</w:t>
      </w:r>
      <w:r>
        <w:rPr>
          <w:spacing w:val="-2"/>
        </w:rPr>
        <w:t> </w:t>
      </w:r>
      <w:r>
        <w:rPr/>
        <w:t>ESTATE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"/>
        <w:gridCol w:w="928"/>
        <w:gridCol w:w="692"/>
        <w:gridCol w:w="866"/>
        <w:gridCol w:w="758"/>
        <w:gridCol w:w="783"/>
        <w:gridCol w:w="947"/>
        <w:gridCol w:w="555"/>
        <w:gridCol w:w="910"/>
        <w:gridCol w:w="1095"/>
      </w:tblGrid>
      <w:tr>
        <w:trPr>
          <w:trHeight w:val="229" w:hRule="atLeast"/>
        </w:trPr>
        <w:tc>
          <w:tcPr>
            <w:tcW w:w="12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Access</w:t>
            </w:r>
          </w:p>
        </w:tc>
        <w:tc>
          <w:tcPr>
            <w:tcW w:w="75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Qualit</w:t>
            </w:r>
          </w:p>
        </w:tc>
        <w:tc>
          <w:tcPr>
            <w:tcW w:w="9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accessibi</w:t>
            </w:r>
          </w:p>
        </w:tc>
        <w:tc>
          <w:tcPr>
            <w:tcW w:w="5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222" w:type="dxa"/>
          </w:tcPr>
          <w:p>
            <w:pPr>
              <w:pStyle w:val="TableParagraph"/>
              <w:spacing w:line="210" w:lineRule="exact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Accessibilit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Accessi</w:t>
            </w:r>
          </w:p>
        </w:tc>
        <w:tc>
          <w:tcPr>
            <w:tcW w:w="692" w:type="dxa"/>
          </w:tcPr>
          <w:p>
            <w:pPr>
              <w:pStyle w:val="TableParagraph"/>
              <w:spacing w:line="210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Quali</w:t>
            </w:r>
          </w:p>
        </w:tc>
        <w:tc>
          <w:tcPr>
            <w:tcW w:w="866" w:type="dxa"/>
          </w:tcPr>
          <w:p>
            <w:pPr>
              <w:pStyle w:val="TableParagraph"/>
              <w:spacing w:line="210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</w:p>
        </w:tc>
        <w:tc>
          <w:tcPr>
            <w:tcW w:w="758" w:type="dxa"/>
          </w:tcPr>
          <w:p>
            <w:pPr>
              <w:pStyle w:val="TableParagraph"/>
              <w:spacing w:line="210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Safety</w:t>
            </w:r>
          </w:p>
        </w:tc>
        <w:tc>
          <w:tcPr>
            <w:tcW w:w="783" w:type="dxa"/>
          </w:tcPr>
          <w:p>
            <w:pPr>
              <w:pStyle w:val="TableParagraph"/>
              <w:spacing w:line="210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</w:tc>
        <w:tc>
          <w:tcPr>
            <w:tcW w:w="947" w:type="dxa"/>
          </w:tcPr>
          <w:p>
            <w:pPr>
              <w:pStyle w:val="TableParagraph"/>
              <w:spacing w:line="210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lity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</w:tc>
        <w:tc>
          <w:tcPr>
            <w:tcW w:w="555" w:type="dxa"/>
          </w:tcPr>
          <w:p>
            <w:pPr>
              <w:pStyle w:val="TableParagraph"/>
              <w:spacing w:line="210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</w:t>
            </w:r>
          </w:p>
        </w:tc>
        <w:tc>
          <w:tcPr>
            <w:tcW w:w="910" w:type="dxa"/>
          </w:tcPr>
          <w:p>
            <w:pPr>
              <w:pStyle w:val="TableParagraph"/>
              <w:spacing w:line="210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Access</w:t>
            </w:r>
          </w:p>
        </w:tc>
        <w:tc>
          <w:tcPr>
            <w:tcW w:w="1095" w:type="dxa"/>
          </w:tcPr>
          <w:p>
            <w:pPr>
              <w:pStyle w:val="TableParagraph"/>
              <w:spacing w:line="210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Access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</w:p>
        </w:tc>
      </w:tr>
      <w:tr>
        <w:trPr>
          <w:trHeight w:val="229" w:hRule="atLeast"/>
        </w:trPr>
        <w:tc>
          <w:tcPr>
            <w:tcW w:w="1222" w:type="dxa"/>
          </w:tcPr>
          <w:p>
            <w:pPr>
              <w:pStyle w:val="TableParagraph"/>
              <w:spacing w:line="209" w:lineRule="exact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</w:p>
        </w:tc>
        <w:tc>
          <w:tcPr>
            <w:tcW w:w="928" w:type="dxa"/>
          </w:tcPr>
          <w:p>
            <w:pPr>
              <w:pStyle w:val="TableParagraph"/>
              <w:spacing w:line="209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bility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</w:tc>
        <w:tc>
          <w:tcPr>
            <w:tcW w:w="692" w:type="dxa"/>
          </w:tcPr>
          <w:p>
            <w:pPr>
              <w:pStyle w:val="TableParagraph"/>
              <w:spacing w:line="209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</w:tc>
        <w:tc>
          <w:tcPr>
            <w:tcW w:w="866" w:type="dxa"/>
          </w:tcPr>
          <w:p>
            <w:pPr>
              <w:pStyle w:val="TableParagraph"/>
              <w:spacing w:line="209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econom</w:t>
            </w:r>
          </w:p>
        </w:tc>
        <w:tc>
          <w:tcPr>
            <w:tcW w:w="758" w:type="dxa"/>
          </w:tcPr>
          <w:p>
            <w:pPr>
              <w:pStyle w:val="TableParagraph"/>
              <w:spacing w:line="209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</w:p>
        </w:tc>
        <w:tc>
          <w:tcPr>
            <w:tcW w:w="783" w:type="dxa"/>
          </w:tcPr>
          <w:p>
            <w:pPr>
              <w:pStyle w:val="TableParagraph"/>
              <w:spacing w:line="209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</w:p>
        </w:tc>
        <w:tc>
          <w:tcPr>
            <w:tcW w:w="947" w:type="dxa"/>
          </w:tcPr>
          <w:p>
            <w:pPr>
              <w:pStyle w:val="TableParagraph"/>
              <w:spacing w:line="209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</w:r>
          </w:p>
        </w:tc>
        <w:tc>
          <w:tcPr>
            <w:tcW w:w="555" w:type="dxa"/>
          </w:tcPr>
          <w:p>
            <w:pPr>
              <w:pStyle w:val="TableParagraph"/>
              <w:spacing w:line="209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ces</w:t>
            </w:r>
          </w:p>
        </w:tc>
        <w:tc>
          <w:tcPr>
            <w:tcW w:w="910" w:type="dxa"/>
          </w:tcPr>
          <w:p>
            <w:pPr>
              <w:pStyle w:val="TableParagraph"/>
              <w:spacing w:line="209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civic/</w:t>
            </w:r>
          </w:p>
        </w:tc>
        <w:tc>
          <w:tcPr>
            <w:tcW w:w="1095" w:type="dxa"/>
          </w:tcPr>
          <w:p>
            <w:pPr>
              <w:pStyle w:val="TableParagraph"/>
              <w:spacing w:line="209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communi</w:t>
            </w:r>
          </w:p>
        </w:tc>
      </w:tr>
      <w:tr>
        <w:trPr>
          <w:trHeight w:val="229" w:hRule="atLeast"/>
        </w:trPr>
        <w:tc>
          <w:tcPr>
            <w:tcW w:w="1222" w:type="dxa"/>
          </w:tcPr>
          <w:p>
            <w:pPr>
              <w:pStyle w:val="TableParagraph"/>
              <w:spacing w:line="209" w:lineRule="exact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estate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</w:p>
        </w:tc>
        <w:tc>
          <w:tcPr>
            <w:tcW w:w="928" w:type="dxa"/>
          </w:tcPr>
          <w:p>
            <w:pPr>
              <w:pStyle w:val="TableParagraph"/>
              <w:spacing w:line="209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</w:r>
          </w:p>
        </w:tc>
        <w:tc>
          <w:tcPr>
            <w:tcW w:w="692" w:type="dxa"/>
          </w:tcPr>
          <w:p>
            <w:pPr>
              <w:pStyle w:val="TableParagraph"/>
              <w:spacing w:line="209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</w:p>
        </w:tc>
        <w:tc>
          <w:tcPr>
            <w:tcW w:w="866" w:type="dxa"/>
          </w:tcPr>
          <w:p>
            <w:pPr>
              <w:pStyle w:val="TableParagraph"/>
              <w:spacing w:line="209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ic</w:t>
            </w:r>
          </w:p>
        </w:tc>
        <w:tc>
          <w:tcPr>
            <w:tcW w:w="758" w:type="dxa"/>
          </w:tcPr>
          <w:p>
            <w:pPr>
              <w:pStyle w:val="TableParagraph"/>
              <w:spacing w:line="209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housin</w:t>
            </w:r>
          </w:p>
        </w:tc>
        <w:tc>
          <w:tcPr>
            <w:tcW w:w="783" w:type="dxa"/>
          </w:tcPr>
          <w:p>
            <w:pPr>
              <w:pStyle w:val="TableParagraph"/>
              <w:spacing w:line="209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neighb</w:t>
            </w:r>
          </w:p>
        </w:tc>
        <w:tc>
          <w:tcPr>
            <w:tcW w:w="947" w:type="dxa"/>
          </w:tcPr>
          <w:p>
            <w:pPr>
              <w:pStyle w:val="TableParagraph"/>
              <w:spacing w:line="209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basic</w:t>
            </w:r>
          </w:p>
        </w:tc>
        <w:tc>
          <w:tcPr>
            <w:tcW w:w="555" w:type="dxa"/>
          </w:tcPr>
          <w:p>
            <w:pPr>
              <w:pStyle w:val="TableParagraph"/>
              <w:spacing w:line="209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</w:p>
        </w:tc>
        <w:tc>
          <w:tcPr>
            <w:tcW w:w="910" w:type="dxa"/>
          </w:tcPr>
          <w:p>
            <w:pPr>
              <w:pStyle w:val="TableParagraph"/>
              <w:spacing w:line="209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social</w:t>
            </w:r>
          </w:p>
        </w:tc>
        <w:tc>
          <w:tcPr>
            <w:tcW w:w="1095" w:type="dxa"/>
          </w:tcPr>
          <w:p>
            <w:pPr>
              <w:pStyle w:val="TableParagraph"/>
              <w:spacing w:line="209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cation/int</w:t>
            </w:r>
          </w:p>
        </w:tc>
      </w:tr>
      <w:tr>
        <w:trPr>
          <w:trHeight w:val="231" w:hRule="atLeast"/>
        </w:trPr>
        <w:tc>
          <w:tcPr>
            <w:tcW w:w="1222" w:type="dxa"/>
          </w:tcPr>
          <w:p>
            <w:pPr>
              <w:pStyle w:val="TableParagraph"/>
              <w:spacing w:line="212" w:lineRule="exact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 parts</w:t>
            </w:r>
          </w:p>
        </w:tc>
        <w:tc>
          <w:tcPr>
            <w:tcW w:w="928" w:type="dxa"/>
          </w:tcPr>
          <w:p>
            <w:pPr>
              <w:pStyle w:val="TableParagraph"/>
              <w:spacing w:line="212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care</w:t>
            </w:r>
          </w:p>
        </w:tc>
        <w:tc>
          <w:tcPr>
            <w:tcW w:w="692" w:type="dxa"/>
          </w:tcPr>
          <w:p>
            <w:pPr>
              <w:pStyle w:val="TableParagraph"/>
              <w:spacing w:line="212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housi</w:t>
            </w:r>
          </w:p>
        </w:tc>
        <w:tc>
          <w:tcPr>
            <w:tcW w:w="866" w:type="dxa"/>
          </w:tcPr>
          <w:p>
            <w:pPr>
              <w:pStyle w:val="TableParagraph"/>
              <w:spacing w:line="212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opportu</w:t>
            </w:r>
          </w:p>
        </w:tc>
        <w:tc>
          <w:tcPr>
            <w:tcW w:w="758" w:type="dxa"/>
          </w:tcPr>
          <w:p>
            <w:pPr>
              <w:pStyle w:val="TableParagraph"/>
              <w:spacing w:line="212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g</w:t>
            </w:r>
          </w:p>
        </w:tc>
        <w:tc>
          <w:tcPr>
            <w:tcW w:w="783" w:type="dxa"/>
          </w:tcPr>
          <w:p>
            <w:pPr>
              <w:pStyle w:val="TableParagraph"/>
              <w:spacing w:line="212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ouhoo</w:t>
            </w:r>
          </w:p>
        </w:tc>
        <w:tc>
          <w:tcPr>
            <w:tcW w:w="947" w:type="dxa"/>
          </w:tcPr>
          <w:p>
            <w:pPr>
              <w:pStyle w:val="TableParagraph"/>
              <w:spacing w:line="212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educatio</w:t>
            </w:r>
          </w:p>
        </w:tc>
        <w:tc>
          <w:tcPr>
            <w:tcW w:w="555" w:type="dxa"/>
          </w:tcPr>
          <w:p>
            <w:pPr>
              <w:pStyle w:val="TableParagraph"/>
              <w:spacing w:line="212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</w:t>
            </w:r>
          </w:p>
        </w:tc>
        <w:tc>
          <w:tcPr>
            <w:tcW w:w="910" w:type="dxa"/>
          </w:tcPr>
          <w:p>
            <w:pPr>
              <w:pStyle w:val="TableParagraph"/>
              <w:spacing w:line="212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engage</w:t>
            </w:r>
          </w:p>
        </w:tc>
        <w:tc>
          <w:tcPr>
            <w:tcW w:w="1095" w:type="dxa"/>
          </w:tcPr>
          <w:p>
            <w:pPr>
              <w:pStyle w:val="TableParagraph"/>
              <w:spacing w:line="212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ernet</w:t>
            </w:r>
          </w:p>
        </w:tc>
      </w:tr>
      <w:tr>
        <w:trPr>
          <w:trHeight w:val="233" w:hRule="atLeast"/>
        </w:trPr>
        <w:tc>
          <w:tcPr>
            <w:tcW w:w="12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town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facility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ng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nity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estate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d</w:t>
            </w:r>
          </w:p>
        </w:tc>
        <w:tc>
          <w:tcPr>
            <w:tcW w:w="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n</w:t>
            </w:r>
          </w:p>
        </w:tc>
        <w:tc>
          <w:tcPr>
            <w:tcW w:w="5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er</w:t>
            </w: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ment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4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facility</w:t>
            </w:r>
          </w:p>
        </w:tc>
      </w:tr>
      <w:tr>
        <w:trPr>
          <w:trHeight w:val="317" w:hRule="atLeast"/>
        </w:trPr>
        <w:tc>
          <w:tcPr>
            <w:tcW w:w="12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222" w:type="dxa"/>
          </w:tcPr>
          <w:p>
            <w:pPr>
              <w:pStyle w:val="TableParagraph"/>
              <w:spacing w:before="32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2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2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2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2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2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2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2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2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1222" w:type="dxa"/>
          </w:tcPr>
          <w:p>
            <w:pPr>
              <w:pStyle w:val="TableParagraph"/>
              <w:spacing w:before="30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before="30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0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0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30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12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5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</w:tbl>
    <w:p>
      <w:pPr>
        <w:spacing w:after="0" w:line="217" w:lineRule="exact"/>
        <w:rPr>
          <w:rFonts w:ascii="Times New Roman"/>
          <w:sz w:val="20"/>
        </w:rPr>
        <w:sectPr>
          <w:pgSz w:w="11900" w:h="16840"/>
          <w:pgMar w:header="0" w:footer="1036" w:top="1320" w:bottom="1240" w:left="1280" w:right="360"/>
        </w:sect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1080"/>
        <w:gridCol w:w="791"/>
        <w:gridCol w:w="770"/>
        <w:gridCol w:w="810"/>
        <w:gridCol w:w="780"/>
        <w:gridCol w:w="879"/>
        <w:gridCol w:w="750"/>
        <w:gridCol w:w="740"/>
        <w:gridCol w:w="1248"/>
      </w:tblGrid>
      <w:tr>
        <w:trPr>
          <w:trHeight w:val="325" w:hRule="atLeast"/>
        </w:trPr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897" w:type="dxa"/>
          </w:tcPr>
          <w:p>
            <w:pPr>
              <w:pStyle w:val="TableParagraph"/>
              <w:spacing w:before="32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2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2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2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2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2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2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2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2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</w:tbl>
    <w:p>
      <w:pPr>
        <w:spacing w:after="0" w:line="219" w:lineRule="exact"/>
        <w:rPr>
          <w:rFonts w:ascii="Times New Roman"/>
          <w:sz w:val="20"/>
        </w:rPr>
        <w:sectPr>
          <w:pgSz w:w="11900" w:h="16840"/>
          <w:pgMar w:header="0" w:footer="1036" w:top="1400" w:bottom="1240" w:left="1280" w:right="360"/>
        </w:sect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1080"/>
        <w:gridCol w:w="791"/>
        <w:gridCol w:w="770"/>
        <w:gridCol w:w="810"/>
        <w:gridCol w:w="780"/>
        <w:gridCol w:w="879"/>
        <w:gridCol w:w="750"/>
        <w:gridCol w:w="740"/>
        <w:gridCol w:w="1248"/>
      </w:tblGrid>
      <w:tr>
        <w:trPr>
          <w:trHeight w:val="325" w:hRule="atLeast"/>
        </w:trPr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897" w:type="dxa"/>
          </w:tcPr>
          <w:p>
            <w:pPr>
              <w:pStyle w:val="TableParagraph"/>
              <w:spacing w:before="32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2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2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2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2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2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2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2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2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31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</w:tbl>
    <w:p>
      <w:pPr>
        <w:spacing w:after="0" w:line="219" w:lineRule="exact"/>
        <w:rPr>
          <w:rFonts w:ascii="Times New Roman"/>
          <w:sz w:val="20"/>
        </w:rPr>
        <w:sectPr>
          <w:pgSz w:w="11900" w:h="16840"/>
          <w:pgMar w:header="0" w:footer="1036" w:top="1400" w:bottom="1240" w:left="1280" w:right="360"/>
        </w:sect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1080"/>
        <w:gridCol w:w="791"/>
        <w:gridCol w:w="770"/>
        <w:gridCol w:w="810"/>
        <w:gridCol w:w="780"/>
        <w:gridCol w:w="879"/>
        <w:gridCol w:w="750"/>
        <w:gridCol w:w="740"/>
        <w:gridCol w:w="1248"/>
      </w:tblGrid>
      <w:tr>
        <w:trPr>
          <w:trHeight w:val="325" w:hRule="atLeast"/>
        </w:trPr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897" w:type="dxa"/>
          </w:tcPr>
          <w:p>
            <w:pPr>
              <w:pStyle w:val="TableParagraph"/>
              <w:spacing w:before="30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30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91" w:type="dxa"/>
          </w:tcPr>
          <w:p>
            <w:pPr>
              <w:pStyle w:val="TableParagraph"/>
              <w:spacing w:before="30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30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before="30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30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before="30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30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right="39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right="2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3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righ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12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7" w:lineRule="exact" w:before="33"/>
              <w:ind w:left="42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</w:tr>
    </w:tbl>
    <w:p>
      <w:pPr>
        <w:spacing w:after="0" w:line="217" w:lineRule="exact"/>
        <w:rPr>
          <w:rFonts w:ascii="Times New Roman"/>
          <w:sz w:val="20"/>
        </w:rPr>
        <w:sectPr>
          <w:pgSz w:w="11900" w:h="16840"/>
          <w:pgMar w:header="0" w:footer="1036" w:top="1400" w:bottom="1240" w:left="1280" w:right="360"/>
        </w:sectPr>
      </w:pPr>
    </w:p>
    <w:p>
      <w:pPr>
        <w:pStyle w:val="Heading1"/>
        <w:spacing w:before="74"/>
        <w:ind w:left="688" w:right="1026"/>
        <w:jc w:val="center"/>
      </w:pPr>
      <w:r>
        <w:rPr/>
        <w:t>APPENDIX</w:t>
      </w:r>
      <w:r>
        <w:rPr>
          <w:spacing w:val="-3"/>
        </w:rPr>
        <w:t> </w:t>
      </w:r>
      <w:r>
        <w:rPr/>
        <w:t>H</w:t>
      </w:r>
    </w:p>
    <w:p>
      <w:pPr>
        <w:pStyle w:val="BodyText"/>
        <w:spacing w:before="231"/>
        <w:ind w:left="682" w:right="1049"/>
        <w:jc w:val="center"/>
      </w:pPr>
      <w:r>
        <w:rPr/>
        <w:t>LIVABILITY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EVERGREEN</w:t>
      </w:r>
      <w:r>
        <w:rPr>
          <w:spacing w:val="-3"/>
        </w:rPr>
        <w:t> </w:t>
      </w:r>
      <w:r>
        <w:rPr/>
        <w:t>ESTATE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4"/>
        <w:gridCol w:w="896"/>
        <w:gridCol w:w="661"/>
        <w:gridCol w:w="861"/>
        <w:gridCol w:w="781"/>
        <w:gridCol w:w="801"/>
        <w:gridCol w:w="965"/>
        <w:gridCol w:w="535"/>
        <w:gridCol w:w="915"/>
        <w:gridCol w:w="1016"/>
      </w:tblGrid>
      <w:tr>
        <w:trPr>
          <w:trHeight w:val="278" w:hRule="atLeast"/>
        </w:trPr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3"/>
              <w:rPr>
                <w:sz w:val="22"/>
              </w:rPr>
            </w:pPr>
            <w:r>
              <w:rPr>
                <w:sz w:val="22"/>
              </w:rPr>
              <w:t>Qual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2"/>
              <w:rPr>
                <w:sz w:val="22"/>
              </w:rPr>
            </w:pPr>
            <w:r>
              <w:rPr>
                <w:sz w:val="22"/>
              </w:rPr>
              <w:t>Access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Qualit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accessib</w:t>
            </w:r>
          </w:p>
        </w:tc>
        <w:tc>
          <w:tcPr>
            <w:tcW w:w="5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Access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324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Accessibilit</w:t>
            </w:r>
          </w:p>
        </w:tc>
        <w:tc>
          <w:tcPr>
            <w:tcW w:w="896" w:type="dxa"/>
          </w:tcPr>
          <w:p>
            <w:pPr>
              <w:pStyle w:val="TableParagraph"/>
              <w:spacing w:line="249" w:lineRule="exact"/>
              <w:ind w:left="49"/>
              <w:rPr>
                <w:sz w:val="22"/>
              </w:rPr>
            </w:pPr>
            <w:r>
              <w:rPr>
                <w:sz w:val="22"/>
              </w:rPr>
              <w:t>Accessi</w:t>
            </w:r>
          </w:p>
        </w:tc>
        <w:tc>
          <w:tcPr>
            <w:tcW w:w="661" w:type="dxa"/>
          </w:tcPr>
          <w:p>
            <w:pPr>
              <w:pStyle w:val="TableParagraph"/>
              <w:spacing w:line="249" w:lineRule="exact"/>
              <w:ind w:left="53"/>
              <w:rPr>
                <w:sz w:val="22"/>
              </w:rPr>
            </w:pPr>
            <w:r>
              <w:rPr>
                <w:sz w:val="22"/>
              </w:rPr>
              <w:t>ity</w:t>
            </w:r>
          </w:p>
        </w:tc>
        <w:tc>
          <w:tcPr>
            <w:tcW w:w="861" w:type="dxa"/>
          </w:tcPr>
          <w:p>
            <w:pPr>
              <w:pStyle w:val="TableParagraph"/>
              <w:spacing w:line="249" w:lineRule="exact"/>
              <w:ind w:left="52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781" w:type="dxa"/>
          </w:tcPr>
          <w:p>
            <w:pPr>
              <w:pStyle w:val="TableParagraph"/>
              <w:spacing w:line="249" w:lineRule="exact"/>
              <w:ind w:left="166"/>
              <w:rPr>
                <w:sz w:val="22"/>
              </w:rPr>
            </w:pPr>
            <w:r>
              <w:rPr>
                <w:sz w:val="22"/>
              </w:rPr>
              <w:t>Safety</w:t>
            </w:r>
          </w:p>
        </w:tc>
        <w:tc>
          <w:tcPr>
            <w:tcW w:w="801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y of</w:t>
            </w:r>
          </w:p>
        </w:tc>
        <w:tc>
          <w:tcPr>
            <w:tcW w:w="96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ility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535" w:type="dxa"/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Acc</w:t>
            </w:r>
          </w:p>
        </w:tc>
        <w:tc>
          <w:tcPr>
            <w:tcW w:w="91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1016" w:type="dxa"/>
          </w:tcPr>
          <w:p>
            <w:pPr>
              <w:pStyle w:val="TableParagraph"/>
              <w:spacing w:line="249" w:lineRule="exact"/>
              <w:ind w:left="55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</w:tr>
      <w:tr>
        <w:trPr>
          <w:trHeight w:val="272" w:hRule="atLeast"/>
        </w:trPr>
        <w:tc>
          <w:tcPr>
            <w:tcW w:w="1324" w:type="dxa"/>
          </w:tcPr>
          <w:p>
            <w:pPr>
              <w:pStyle w:val="TableParagraph"/>
              <w:spacing w:line="249" w:lineRule="exact"/>
              <w:ind w:left="300"/>
              <w:rPr>
                <w:sz w:val="22"/>
              </w:rPr>
            </w:pPr>
            <w:r>
              <w:rPr>
                <w:sz w:val="22"/>
              </w:rPr>
              <w:t>y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896" w:type="dxa"/>
          </w:tcPr>
          <w:p>
            <w:pPr>
              <w:pStyle w:val="TableParagraph"/>
              <w:spacing w:line="249" w:lineRule="exact"/>
              <w:ind w:left="49"/>
              <w:rPr>
                <w:sz w:val="22"/>
              </w:rPr>
            </w:pPr>
            <w:r>
              <w:rPr>
                <w:sz w:val="22"/>
              </w:rPr>
              <w:t>bility of</w:t>
            </w:r>
          </w:p>
        </w:tc>
        <w:tc>
          <w:tcPr>
            <w:tcW w:w="661" w:type="dxa"/>
          </w:tcPr>
          <w:p>
            <w:pPr>
              <w:pStyle w:val="TableParagraph"/>
              <w:spacing w:line="249" w:lineRule="exact"/>
              <w:ind w:left="53"/>
              <w:rPr>
                <w:sz w:val="22"/>
              </w:rPr>
            </w:pPr>
            <w:r>
              <w:rPr>
                <w:sz w:val="22"/>
              </w:rPr>
              <w:t>of</w:t>
            </w:r>
          </w:p>
        </w:tc>
        <w:tc>
          <w:tcPr>
            <w:tcW w:w="861" w:type="dxa"/>
          </w:tcPr>
          <w:p>
            <w:pPr>
              <w:pStyle w:val="TableParagraph"/>
              <w:spacing w:line="249" w:lineRule="exact"/>
              <w:ind w:left="52"/>
              <w:rPr>
                <w:sz w:val="22"/>
              </w:rPr>
            </w:pPr>
            <w:r>
              <w:rPr>
                <w:sz w:val="22"/>
              </w:rPr>
              <w:t>econo</w:t>
            </w:r>
          </w:p>
        </w:tc>
        <w:tc>
          <w:tcPr>
            <w:tcW w:w="781" w:type="dxa"/>
          </w:tcPr>
          <w:p>
            <w:pPr>
              <w:pStyle w:val="TableParagraph"/>
              <w:spacing w:line="249" w:lineRule="exact"/>
              <w:ind w:left="170"/>
              <w:rPr>
                <w:sz w:val="22"/>
              </w:rPr>
            </w:pPr>
            <w:r>
              <w:rPr>
                <w:sz w:val="22"/>
              </w:rPr>
              <w:t>of the</w:t>
            </w:r>
          </w:p>
        </w:tc>
        <w:tc>
          <w:tcPr>
            <w:tcW w:w="801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96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health</w:t>
            </w:r>
          </w:p>
        </w:tc>
        <w:tc>
          <w:tcPr>
            <w:tcW w:w="535" w:type="dxa"/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ess</w:t>
            </w:r>
          </w:p>
        </w:tc>
        <w:tc>
          <w:tcPr>
            <w:tcW w:w="91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civic/</w:t>
            </w:r>
          </w:p>
        </w:tc>
        <w:tc>
          <w:tcPr>
            <w:tcW w:w="1016" w:type="dxa"/>
          </w:tcPr>
          <w:p>
            <w:pPr>
              <w:pStyle w:val="TableParagraph"/>
              <w:spacing w:line="249" w:lineRule="exact"/>
              <w:ind w:left="55"/>
              <w:rPr>
                <w:sz w:val="22"/>
              </w:rPr>
            </w:pPr>
            <w:r>
              <w:rPr>
                <w:sz w:val="22"/>
              </w:rPr>
              <w:t>commun</w:t>
            </w:r>
          </w:p>
        </w:tc>
      </w:tr>
      <w:tr>
        <w:trPr>
          <w:trHeight w:val="267" w:hRule="atLeast"/>
        </w:trPr>
        <w:tc>
          <w:tcPr>
            <w:tcW w:w="1324" w:type="dxa"/>
          </w:tcPr>
          <w:p>
            <w:pPr>
              <w:pStyle w:val="TableParagraph"/>
              <w:spacing w:line="248" w:lineRule="exact"/>
              <w:ind w:left="242"/>
              <w:rPr>
                <w:sz w:val="22"/>
              </w:rPr>
            </w:pPr>
            <w:r>
              <w:rPr>
                <w:sz w:val="22"/>
              </w:rPr>
              <w:t>estate to</w:t>
            </w:r>
          </w:p>
        </w:tc>
        <w:tc>
          <w:tcPr>
            <w:tcW w:w="896" w:type="dxa"/>
          </w:tcPr>
          <w:p>
            <w:pPr>
              <w:pStyle w:val="TableParagraph"/>
              <w:spacing w:line="248" w:lineRule="exact"/>
              <w:ind w:left="49"/>
              <w:rPr>
                <w:sz w:val="22"/>
              </w:rPr>
            </w:pPr>
            <w:r>
              <w:rPr>
                <w:sz w:val="22"/>
              </w:rPr>
              <w:t>health</w:t>
            </w:r>
          </w:p>
        </w:tc>
        <w:tc>
          <w:tcPr>
            <w:tcW w:w="661" w:type="dxa"/>
          </w:tcPr>
          <w:p>
            <w:pPr>
              <w:pStyle w:val="TableParagraph"/>
              <w:spacing w:line="248" w:lineRule="exact"/>
              <w:ind w:left="53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861" w:type="dxa"/>
          </w:tcPr>
          <w:p>
            <w:pPr>
              <w:pStyle w:val="TableParagraph"/>
              <w:spacing w:line="248" w:lineRule="exact"/>
              <w:ind w:left="52"/>
              <w:rPr>
                <w:sz w:val="22"/>
              </w:rPr>
            </w:pPr>
            <w:r>
              <w:rPr>
                <w:sz w:val="22"/>
              </w:rPr>
              <w:t>mic</w:t>
            </w:r>
          </w:p>
        </w:tc>
        <w:tc>
          <w:tcPr>
            <w:tcW w:w="781" w:type="dxa"/>
          </w:tcPr>
          <w:p>
            <w:pPr>
              <w:pStyle w:val="TableParagraph"/>
              <w:spacing w:line="248" w:lineRule="exact"/>
              <w:ind w:left="53"/>
              <w:rPr>
                <w:sz w:val="22"/>
              </w:rPr>
            </w:pPr>
            <w:r>
              <w:rPr>
                <w:sz w:val="22"/>
              </w:rPr>
              <w:t>housi</w:t>
            </w:r>
          </w:p>
        </w:tc>
        <w:tc>
          <w:tcPr>
            <w:tcW w:w="801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neigh</w:t>
            </w:r>
          </w:p>
        </w:tc>
        <w:tc>
          <w:tcPr>
            <w:tcW w:w="965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basic</w:t>
            </w:r>
          </w:p>
        </w:tc>
        <w:tc>
          <w:tcPr>
            <w:tcW w:w="535" w:type="dxa"/>
          </w:tcPr>
          <w:p>
            <w:pPr>
              <w:pStyle w:val="TableParagraph"/>
              <w:spacing w:line="248" w:lineRule="exact"/>
              <w:ind w:left="45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915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social</w:t>
            </w:r>
          </w:p>
        </w:tc>
        <w:tc>
          <w:tcPr>
            <w:tcW w:w="1016" w:type="dxa"/>
          </w:tcPr>
          <w:p>
            <w:pPr>
              <w:pStyle w:val="TableParagraph"/>
              <w:spacing w:line="248" w:lineRule="exact"/>
              <w:ind w:left="55"/>
              <w:rPr>
                <w:sz w:val="22"/>
              </w:rPr>
            </w:pPr>
            <w:r>
              <w:rPr>
                <w:sz w:val="22"/>
              </w:rPr>
              <w:t>ication/i</w:t>
            </w:r>
          </w:p>
        </w:tc>
      </w:tr>
      <w:tr>
        <w:trPr>
          <w:trHeight w:val="266" w:hRule="atLeast"/>
        </w:trPr>
        <w:tc>
          <w:tcPr>
            <w:tcW w:w="1324" w:type="dxa"/>
          </w:tcPr>
          <w:p>
            <w:pPr>
              <w:pStyle w:val="TableParagraph"/>
              <w:spacing w:line="244" w:lineRule="exact"/>
              <w:ind w:left="141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parts</w:t>
            </w:r>
          </w:p>
        </w:tc>
        <w:tc>
          <w:tcPr>
            <w:tcW w:w="896" w:type="dxa"/>
          </w:tcPr>
          <w:p>
            <w:pPr>
              <w:pStyle w:val="TableParagraph"/>
              <w:spacing w:line="244" w:lineRule="exact"/>
              <w:ind w:left="49"/>
              <w:rPr>
                <w:sz w:val="22"/>
              </w:rPr>
            </w:pPr>
            <w:r>
              <w:rPr>
                <w:sz w:val="22"/>
              </w:rPr>
              <w:t>care</w:t>
            </w:r>
          </w:p>
        </w:tc>
        <w:tc>
          <w:tcPr>
            <w:tcW w:w="661" w:type="dxa"/>
          </w:tcPr>
          <w:p>
            <w:pPr>
              <w:pStyle w:val="TableParagraph"/>
              <w:spacing w:line="244" w:lineRule="exact"/>
              <w:ind w:left="53"/>
              <w:rPr>
                <w:sz w:val="22"/>
              </w:rPr>
            </w:pPr>
            <w:r>
              <w:rPr>
                <w:sz w:val="22"/>
              </w:rPr>
              <w:t>hous</w:t>
            </w:r>
          </w:p>
        </w:tc>
        <w:tc>
          <w:tcPr>
            <w:tcW w:w="861" w:type="dxa"/>
          </w:tcPr>
          <w:p>
            <w:pPr>
              <w:pStyle w:val="TableParagraph"/>
              <w:spacing w:line="244" w:lineRule="exact"/>
              <w:ind w:left="52"/>
              <w:rPr>
                <w:sz w:val="22"/>
              </w:rPr>
            </w:pPr>
            <w:r>
              <w:rPr>
                <w:sz w:val="22"/>
              </w:rPr>
              <w:t>opport</w:t>
            </w:r>
          </w:p>
        </w:tc>
        <w:tc>
          <w:tcPr>
            <w:tcW w:w="781" w:type="dxa"/>
          </w:tcPr>
          <w:p>
            <w:pPr>
              <w:pStyle w:val="TableParagraph"/>
              <w:spacing w:line="244" w:lineRule="exact"/>
              <w:ind w:left="53"/>
              <w:rPr>
                <w:sz w:val="22"/>
              </w:rPr>
            </w:pPr>
            <w:r>
              <w:rPr>
                <w:sz w:val="22"/>
              </w:rPr>
              <w:t>ng</w:t>
            </w:r>
          </w:p>
        </w:tc>
        <w:tc>
          <w:tcPr>
            <w:tcW w:w="801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bouho</w:t>
            </w:r>
          </w:p>
        </w:tc>
        <w:tc>
          <w:tcPr>
            <w:tcW w:w="965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educati</w:t>
            </w:r>
          </w:p>
        </w:tc>
        <w:tc>
          <w:tcPr>
            <w:tcW w:w="535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wa</w:t>
            </w:r>
          </w:p>
        </w:tc>
        <w:tc>
          <w:tcPr>
            <w:tcW w:w="915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engage</w:t>
            </w:r>
          </w:p>
        </w:tc>
        <w:tc>
          <w:tcPr>
            <w:tcW w:w="1016" w:type="dxa"/>
          </w:tcPr>
          <w:p>
            <w:pPr>
              <w:pStyle w:val="TableParagraph"/>
              <w:spacing w:line="244" w:lineRule="exact"/>
              <w:ind w:left="55"/>
              <w:rPr>
                <w:sz w:val="22"/>
              </w:rPr>
            </w:pPr>
            <w:r>
              <w:rPr>
                <w:sz w:val="22"/>
              </w:rPr>
              <w:t>nternet</w:t>
            </w:r>
          </w:p>
        </w:tc>
      </w:tr>
      <w:tr>
        <w:trPr>
          <w:trHeight w:val="254" w:hRule="atLeast"/>
        </w:trPr>
        <w:tc>
          <w:tcPr>
            <w:tcW w:w="13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of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town</w:t>
            </w:r>
          </w:p>
        </w:tc>
        <w:tc>
          <w:tcPr>
            <w:tcW w:w="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49"/>
              <w:rPr>
                <w:sz w:val="22"/>
              </w:rPr>
            </w:pPr>
            <w:r>
              <w:rPr>
                <w:sz w:val="22"/>
              </w:rPr>
              <w:t>facility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3"/>
              <w:rPr>
                <w:sz w:val="22"/>
              </w:rPr>
            </w:pPr>
            <w:r>
              <w:rPr>
                <w:sz w:val="22"/>
              </w:rPr>
              <w:t>ing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2"/>
              <w:rPr>
                <w:sz w:val="22"/>
              </w:rPr>
            </w:pPr>
            <w:r>
              <w:rPr>
                <w:sz w:val="22"/>
              </w:rPr>
              <w:t>unity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66"/>
              <w:rPr>
                <w:sz w:val="22"/>
              </w:rPr>
            </w:pPr>
            <w:r>
              <w:rPr>
                <w:sz w:val="22"/>
              </w:rPr>
              <w:t>estate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od</w:t>
            </w:r>
          </w:p>
        </w:tc>
        <w:tc>
          <w:tcPr>
            <w:tcW w:w="9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on</w:t>
            </w:r>
          </w:p>
        </w:tc>
        <w:tc>
          <w:tcPr>
            <w:tcW w:w="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ter</w:t>
            </w:r>
          </w:p>
        </w:tc>
        <w:tc>
          <w:tcPr>
            <w:tcW w:w="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ment</w:t>
            </w: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5"/>
              <w:rPr>
                <w:sz w:val="22"/>
              </w:rPr>
            </w:pPr>
            <w:r>
              <w:rPr>
                <w:sz w:val="22"/>
              </w:rPr>
              <w:t>facility</w:t>
            </w:r>
          </w:p>
        </w:tc>
      </w:tr>
      <w:tr>
        <w:trPr>
          <w:trHeight w:val="317" w:hRule="atLeast"/>
        </w:trPr>
        <w:tc>
          <w:tcPr>
            <w:tcW w:w="13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32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6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6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6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5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5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5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5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5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13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11" w:hRule="atLeast"/>
        </w:trPr>
        <w:tc>
          <w:tcPr>
            <w:tcW w:w="132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 w:before="47"/>
              <w:ind w:right="-44"/>
              <w:jc w:val="right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8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54"/>
          <w:pgSz w:w="11900" w:h="16840"/>
          <w:pgMar w:footer="0" w:header="0" w:top="1320" w:bottom="280" w:left="1280" w:right="360"/>
        </w:sectPr>
      </w:pPr>
    </w:p>
    <w:tbl>
      <w:tblPr>
        <w:tblW w:w="0" w:type="auto"/>
        <w:jc w:val="left"/>
        <w:tblInd w:w="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2"/>
        <w:gridCol w:w="769"/>
        <w:gridCol w:w="760"/>
        <w:gridCol w:w="820"/>
        <w:gridCol w:w="789"/>
        <w:gridCol w:w="889"/>
        <w:gridCol w:w="750"/>
        <w:gridCol w:w="722"/>
        <w:gridCol w:w="996"/>
        <w:gridCol w:w="583"/>
      </w:tblGrid>
      <w:tr>
        <w:trPr>
          <w:trHeight w:val="325" w:hRule="atLeast"/>
        </w:trPr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5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5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5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5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5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5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5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5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5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1672" w:type="dxa"/>
          </w:tcPr>
          <w:p>
            <w:pPr>
              <w:pStyle w:val="TableParagraph"/>
              <w:spacing w:line="266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6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6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6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6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6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6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6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6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6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1672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264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line="264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264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</w:tcPr>
          <w:p>
            <w:pPr>
              <w:pStyle w:val="TableParagraph"/>
              <w:spacing w:line="264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33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34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4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86" w:hRule="atLeast"/>
        </w:trPr>
        <w:tc>
          <w:tcPr>
            <w:tcW w:w="16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5" w:lineRule="exact"/>
              <w:ind w:left="292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88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55"/>
          <w:pgSz w:w="11900" w:h="16840"/>
          <w:pgMar w:footer="0" w:header="0" w:top="1400" w:bottom="280" w:left="1280" w:right="360"/>
        </w:sectPr>
      </w:pPr>
    </w:p>
    <w:p>
      <w:pPr>
        <w:pStyle w:val="Heading1"/>
        <w:spacing w:before="74"/>
        <w:ind w:left="688" w:right="1033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pStyle w:val="BodyText"/>
        <w:spacing w:before="231"/>
        <w:ind w:left="2140"/>
      </w:pPr>
      <w:r>
        <w:rPr/>
        <w:t>LIVABILITY</w:t>
      </w:r>
      <w:r>
        <w:rPr>
          <w:spacing w:val="-1"/>
        </w:rPr>
        <w:t> </w:t>
      </w:r>
      <w:r>
        <w:rPr/>
        <w:t>INDEX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ROYAL</w:t>
      </w:r>
      <w:r>
        <w:rPr>
          <w:spacing w:val="-5"/>
        </w:rPr>
        <w:t> </w:t>
      </w:r>
      <w:r>
        <w:rPr/>
        <w:t>VALLEY</w:t>
      </w:r>
      <w:r>
        <w:rPr>
          <w:spacing w:val="-2"/>
        </w:rPr>
        <w:t> </w:t>
      </w:r>
      <w:r>
        <w:rPr/>
        <w:t>ESTATE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4"/>
        <w:gridCol w:w="896"/>
        <w:gridCol w:w="661"/>
        <w:gridCol w:w="861"/>
        <w:gridCol w:w="781"/>
        <w:gridCol w:w="801"/>
        <w:gridCol w:w="965"/>
        <w:gridCol w:w="535"/>
        <w:gridCol w:w="915"/>
        <w:gridCol w:w="1016"/>
      </w:tblGrid>
      <w:tr>
        <w:trPr>
          <w:trHeight w:val="278" w:hRule="atLeast"/>
        </w:trPr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3"/>
              <w:rPr>
                <w:sz w:val="22"/>
              </w:rPr>
            </w:pPr>
            <w:r>
              <w:rPr>
                <w:sz w:val="22"/>
              </w:rPr>
              <w:t>Qual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2"/>
              <w:rPr>
                <w:sz w:val="22"/>
              </w:rPr>
            </w:pPr>
            <w:r>
              <w:rPr>
                <w:sz w:val="22"/>
              </w:rPr>
              <w:t>Access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Qualit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accessib</w:t>
            </w:r>
          </w:p>
        </w:tc>
        <w:tc>
          <w:tcPr>
            <w:tcW w:w="5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Access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324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Accessibilit</w:t>
            </w:r>
          </w:p>
        </w:tc>
        <w:tc>
          <w:tcPr>
            <w:tcW w:w="896" w:type="dxa"/>
          </w:tcPr>
          <w:p>
            <w:pPr>
              <w:pStyle w:val="TableParagraph"/>
              <w:spacing w:line="249" w:lineRule="exact"/>
              <w:ind w:left="49"/>
              <w:rPr>
                <w:sz w:val="22"/>
              </w:rPr>
            </w:pPr>
            <w:r>
              <w:rPr>
                <w:sz w:val="22"/>
              </w:rPr>
              <w:t>Accessi</w:t>
            </w:r>
          </w:p>
        </w:tc>
        <w:tc>
          <w:tcPr>
            <w:tcW w:w="661" w:type="dxa"/>
          </w:tcPr>
          <w:p>
            <w:pPr>
              <w:pStyle w:val="TableParagraph"/>
              <w:spacing w:line="249" w:lineRule="exact"/>
              <w:ind w:left="53"/>
              <w:rPr>
                <w:sz w:val="22"/>
              </w:rPr>
            </w:pPr>
            <w:r>
              <w:rPr>
                <w:sz w:val="22"/>
              </w:rPr>
              <w:t>ity</w:t>
            </w:r>
          </w:p>
        </w:tc>
        <w:tc>
          <w:tcPr>
            <w:tcW w:w="861" w:type="dxa"/>
          </w:tcPr>
          <w:p>
            <w:pPr>
              <w:pStyle w:val="TableParagraph"/>
              <w:spacing w:line="249" w:lineRule="exact"/>
              <w:ind w:left="52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781" w:type="dxa"/>
          </w:tcPr>
          <w:p>
            <w:pPr>
              <w:pStyle w:val="TableParagraph"/>
              <w:spacing w:line="249" w:lineRule="exact"/>
              <w:ind w:left="166"/>
              <w:rPr>
                <w:sz w:val="22"/>
              </w:rPr>
            </w:pPr>
            <w:r>
              <w:rPr>
                <w:sz w:val="22"/>
              </w:rPr>
              <w:t>Safety</w:t>
            </w:r>
          </w:p>
        </w:tc>
        <w:tc>
          <w:tcPr>
            <w:tcW w:w="801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y of</w:t>
            </w:r>
          </w:p>
        </w:tc>
        <w:tc>
          <w:tcPr>
            <w:tcW w:w="96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ility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535" w:type="dxa"/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Acc</w:t>
            </w:r>
          </w:p>
        </w:tc>
        <w:tc>
          <w:tcPr>
            <w:tcW w:w="91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1016" w:type="dxa"/>
          </w:tcPr>
          <w:p>
            <w:pPr>
              <w:pStyle w:val="TableParagraph"/>
              <w:spacing w:line="249" w:lineRule="exact"/>
              <w:ind w:left="55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</w:tr>
      <w:tr>
        <w:trPr>
          <w:trHeight w:val="272" w:hRule="atLeast"/>
        </w:trPr>
        <w:tc>
          <w:tcPr>
            <w:tcW w:w="1324" w:type="dxa"/>
          </w:tcPr>
          <w:p>
            <w:pPr>
              <w:pStyle w:val="TableParagraph"/>
              <w:spacing w:line="249" w:lineRule="exact"/>
              <w:ind w:left="300"/>
              <w:rPr>
                <w:sz w:val="22"/>
              </w:rPr>
            </w:pPr>
            <w:r>
              <w:rPr>
                <w:sz w:val="22"/>
              </w:rPr>
              <w:t>y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896" w:type="dxa"/>
          </w:tcPr>
          <w:p>
            <w:pPr>
              <w:pStyle w:val="TableParagraph"/>
              <w:spacing w:line="249" w:lineRule="exact"/>
              <w:ind w:left="49"/>
              <w:rPr>
                <w:sz w:val="22"/>
              </w:rPr>
            </w:pPr>
            <w:r>
              <w:rPr>
                <w:sz w:val="22"/>
              </w:rPr>
              <w:t>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661" w:type="dxa"/>
          </w:tcPr>
          <w:p>
            <w:pPr>
              <w:pStyle w:val="TableParagraph"/>
              <w:spacing w:line="249" w:lineRule="exact"/>
              <w:ind w:left="53"/>
              <w:rPr>
                <w:sz w:val="22"/>
              </w:rPr>
            </w:pPr>
            <w:r>
              <w:rPr>
                <w:sz w:val="22"/>
              </w:rPr>
              <w:t>of</w:t>
            </w:r>
          </w:p>
        </w:tc>
        <w:tc>
          <w:tcPr>
            <w:tcW w:w="861" w:type="dxa"/>
          </w:tcPr>
          <w:p>
            <w:pPr>
              <w:pStyle w:val="TableParagraph"/>
              <w:spacing w:line="249" w:lineRule="exact"/>
              <w:ind w:left="52"/>
              <w:rPr>
                <w:sz w:val="22"/>
              </w:rPr>
            </w:pPr>
            <w:r>
              <w:rPr>
                <w:sz w:val="22"/>
              </w:rPr>
              <w:t>econo</w:t>
            </w:r>
          </w:p>
        </w:tc>
        <w:tc>
          <w:tcPr>
            <w:tcW w:w="781" w:type="dxa"/>
          </w:tcPr>
          <w:p>
            <w:pPr>
              <w:pStyle w:val="TableParagraph"/>
              <w:spacing w:line="249" w:lineRule="exact"/>
              <w:ind w:left="170"/>
              <w:rPr>
                <w:sz w:val="22"/>
              </w:rPr>
            </w:pPr>
            <w:r>
              <w:rPr>
                <w:sz w:val="22"/>
              </w:rPr>
              <w:t>of the</w:t>
            </w:r>
          </w:p>
        </w:tc>
        <w:tc>
          <w:tcPr>
            <w:tcW w:w="801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96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health</w:t>
            </w:r>
          </w:p>
        </w:tc>
        <w:tc>
          <w:tcPr>
            <w:tcW w:w="535" w:type="dxa"/>
          </w:tcPr>
          <w:p>
            <w:pPr>
              <w:pStyle w:val="TableParagraph"/>
              <w:spacing w:line="249" w:lineRule="exact"/>
              <w:ind w:left="45"/>
              <w:rPr>
                <w:sz w:val="22"/>
              </w:rPr>
            </w:pPr>
            <w:r>
              <w:rPr>
                <w:sz w:val="22"/>
              </w:rPr>
              <w:t>ess</w:t>
            </w:r>
          </w:p>
        </w:tc>
        <w:tc>
          <w:tcPr>
            <w:tcW w:w="915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civic/</w:t>
            </w:r>
          </w:p>
        </w:tc>
        <w:tc>
          <w:tcPr>
            <w:tcW w:w="1016" w:type="dxa"/>
          </w:tcPr>
          <w:p>
            <w:pPr>
              <w:pStyle w:val="TableParagraph"/>
              <w:spacing w:line="249" w:lineRule="exact"/>
              <w:ind w:left="55"/>
              <w:rPr>
                <w:sz w:val="22"/>
              </w:rPr>
            </w:pPr>
            <w:r>
              <w:rPr>
                <w:sz w:val="22"/>
              </w:rPr>
              <w:t>commun</w:t>
            </w:r>
          </w:p>
        </w:tc>
      </w:tr>
      <w:tr>
        <w:trPr>
          <w:trHeight w:val="267" w:hRule="atLeast"/>
        </w:trPr>
        <w:tc>
          <w:tcPr>
            <w:tcW w:w="1324" w:type="dxa"/>
          </w:tcPr>
          <w:p>
            <w:pPr>
              <w:pStyle w:val="TableParagraph"/>
              <w:spacing w:line="248" w:lineRule="exact"/>
              <w:ind w:left="242"/>
              <w:rPr>
                <w:sz w:val="22"/>
              </w:rPr>
            </w:pPr>
            <w:r>
              <w:rPr>
                <w:sz w:val="22"/>
              </w:rPr>
              <w:t>estate to</w:t>
            </w:r>
          </w:p>
        </w:tc>
        <w:tc>
          <w:tcPr>
            <w:tcW w:w="896" w:type="dxa"/>
          </w:tcPr>
          <w:p>
            <w:pPr>
              <w:pStyle w:val="TableParagraph"/>
              <w:spacing w:line="248" w:lineRule="exact"/>
              <w:ind w:left="49"/>
              <w:rPr>
                <w:sz w:val="22"/>
              </w:rPr>
            </w:pPr>
            <w:r>
              <w:rPr>
                <w:sz w:val="22"/>
              </w:rPr>
              <w:t>health</w:t>
            </w:r>
          </w:p>
        </w:tc>
        <w:tc>
          <w:tcPr>
            <w:tcW w:w="661" w:type="dxa"/>
          </w:tcPr>
          <w:p>
            <w:pPr>
              <w:pStyle w:val="TableParagraph"/>
              <w:spacing w:line="248" w:lineRule="exact"/>
              <w:ind w:left="53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861" w:type="dxa"/>
          </w:tcPr>
          <w:p>
            <w:pPr>
              <w:pStyle w:val="TableParagraph"/>
              <w:spacing w:line="248" w:lineRule="exact"/>
              <w:ind w:left="52"/>
              <w:rPr>
                <w:sz w:val="22"/>
              </w:rPr>
            </w:pPr>
            <w:r>
              <w:rPr>
                <w:sz w:val="22"/>
              </w:rPr>
              <w:t>mic</w:t>
            </w:r>
          </w:p>
        </w:tc>
        <w:tc>
          <w:tcPr>
            <w:tcW w:w="781" w:type="dxa"/>
          </w:tcPr>
          <w:p>
            <w:pPr>
              <w:pStyle w:val="TableParagraph"/>
              <w:spacing w:line="248" w:lineRule="exact"/>
              <w:ind w:left="53"/>
              <w:rPr>
                <w:sz w:val="22"/>
              </w:rPr>
            </w:pPr>
            <w:r>
              <w:rPr>
                <w:sz w:val="22"/>
              </w:rPr>
              <w:t>housi</w:t>
            </w:r>
          </w:p>
        </w:tc>
        <w:tc>
          <w:tcPr>
            <w:tcW w:w="801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neigh</w:t>
            </w:r>
          </w:p>
        </w:tc>
        <w:tc>
          <w:tcPr>
            <w:tcW w:w="965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basic</w:t>
            </w:r>
          </w:p>
        </w:tc>
        <w:tc>
          <w:tcPr>
            <w:tcW w:w="535" w:type="dxa"/>
          </w:tcPr>
          <w:p>
            <w:pPr>
              <w:pStyle w:val="TableParagraph"/>
              <w:spacing w:line="248" w:lineRule="exact"/>
              <w:ind w:left="45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915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social</w:t>
            </w:r>
          </w:p>
        </w:tc>
        <w:tc>
          <w:tcPr>
            <w:tcW w:w="1016" w:type="dxa"/>
          </w:tcPr>
          <w:p>
            <w:pPr>
              <w:pStyle w:val="TableParagraph"/>
              <w:spacing w:line="248" w:lineRule="exact"/>
              <w:ind w:left="55"/>
              <w:rPr>
                <w:sz w:val="22"/>
              </w:rPr>
            </w:pPr>
            <w:r>
              <w:rPr>
                <w:sz w:val="22"/>
              </w:rPr>
              <w:t>ication/i</w:t>
            </w:r>
          </w:p>
        </w:tc>
      </w:tr>
      <w:tr>
        <w:trPr>
          <w:trHeight w:val="266" w:hRule="atLeast"/>
        </w:trPr>
        <w:tc>
          <w:tcPr>
            <w:tcW w:w="1324" w:type="dxa"/>
          </w:tcPr>
          <w:p>
            <w:pPr>
              <w:pStyle w:val="TableParagraph"/>
              <w:spacing w:line="244" w:lineRule="exact"/>
              <w:ind w:left="141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parts</w:t>
            </w:r>
          </w:p>
        </w:tc>
        <w:tc>
          <w:tcPr>
            <w:tcW w:w="896" w:type="dxa"/>
          </w:tcPr>
          <w:p>
            <w:pPr>
              <w:pStyle w:val="TableParagraph"/>
              <w:spacing w:line="244" w:lineRule="exact"/>
              <w:ind w:left="49"/>
              <w:rPr>
                <w:sz w:val="22"/>
              </w:rPr>
            </w:pPr>
            <w:r>
              <w:rPr>
                <w:sz w:val="22"/>
              </w:rPr>
              <w:t>care</w:t>
            </w:r>
          </w:p>
        </w:tc>
        <w:tc>
          <w:tcPr>
            <w:tcW w:w="661" w:type="dxa"/>
          </w:tcPr>
          <w:p>
            <w:pPr>
              <w:pStyle w:val="TableParagraph"/>
              <w:spacing w:line="244" w:lineRule="exact"/>
              <w:ind w:left="53"/>
              <w:rPr>
                <w:sz w:val="22"/>
              </w:rPr>
            </w:pPr>
            <w:r>
              <w:rPr>
                <w:sz w:val="22"/>
              </w:rPr>
              <w:t>hous</w:t>
            </w:r>
          </w:p>
        </w:tc>
        <w:tc>
          <w:tcPr>
            <w:tcW w:w="861" w:type="dxa"/>
          </w:tcPr>
          <w:p>
            <w:pPr>
              <w:pStyle w:val="TableParagraph"/>
              <w:spacing w:line="244" w:lineRule="exact"/>
              <w:ind w:left="52"/>
              <w:rPr>
                <w:sz w:val="22"/>
              </w:rPr>
            </w:pPr>
            <w:r>
              <w:rPr>
                <w:sz w:val="22"/>
              </w:rPr>
              <w:t>opport</w:t>
            </w:r>
          </w:p>
        </w:tc>
        <w:tc>
          <w:tcPr>
            <w:tcW w:w="781" w:type="dxa"/>
          </w:tcPr>
          <w:p>
            <w:pPr>
              <w:pStyle w:val="TableParagraph"/>
              <w:spacing w:line="244" w:lineRule="exact"/>
              <w:ind w:left="53"/>
              <w:rPr>
                <w:sz w:val="22"/>
              </w:rPr>
            </w:pPr>
            <w:r>
              <w:rPr>
                <w:sz w:val="22"/>
              </w:rPr>
              <w:t>ng</w:t>
            </w:r>
          </w:p>
        </w:tc>
        <w:tc>
          <w:tcPr>
            <w:tcW w:w="801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bouho</w:t>
            </w:r>
          </w:p>
        </w:tc>
        <w:tc>
          <w:tcPr>
            <w:tcW w:w="965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educati</w:t>
            </w:r>
          </w:p>
        </w:tc>
        <w:tc>
          <w:tcPr>
            <w:tcW w:w="535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wa</w:t>
            </w:r>
          </w:p>
        </w:tc>
        <w:tc>
          <w:tcPr>
            <w:tcW w:w="915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engage</w:t>
            </w:r>
          </w:p>
        </w:tc>
        <w:tc>
          <w:tcPr>
            <w:tcW w:w="1016" w:type="dxa"/>
          </w:tcPr>
          <w:p>
            <w:pPr>
              <w:pStyle w:val="TableParagraph"/>
              <w:spacing w:line="244" w:lineRule="exact"/>
              <w:ind w:left="55"/>
              <w:rPr>
                <w:sz w:val="22"/>
              </w:rPr>
            </w:pPr>
            <w:r>
              <w:rPr>
                <w:sz w:val="22"/>
              </w:rPr>
              <w:t>nternet</w:t>
            </w:r>
          </w:p>
        </w:tc>
      </w:tr>
      <w:tr>
        <w:trPr>
          <w:trHeight w:val="254" w:hRule="atLeast"/>
        </w:trPr>
        <w:tc>
          <w:tcPr>
            <w:tcW w:w="13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of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town</w:t>
            </w:r>
          </w:p>
        </w:tc>
        <w:tc>
          <w:tcPr>
            <w:tcW w:w="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49"/>
              <w:rPr>
                <w:sz w:val="22"/>
              </w:rPr>
            </w:pPr>
            <w:r>
              <w:rPr>
                <w:sz w:val="22"/>
              </w:rPr>
              <w:t>facility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3"/>
              <w:rPr>
                <w:sz w:val="22"/>
              </w:rPr>
            </w:pPr>
            <w:r>
              <w:rPr>
                <w:sz w:val="22"/>
              </w:rPr>
              <w:t>ing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2"/>
              <w:rPr>
                <w:sz w:val="22"/>
              </w:rPr>
            </w:pPr>
            <w:r>
              <w:rPr>
                <w:sz w:val="22"/>
              </w:rPr>
              <w:t>unity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66"/>
              <w:rPr>
                <w:sz w:val="22"/>
              </w:rPr>
            </w:pPr>
            <w:r>
              <w:rPr>
                <w:sz w:val="22"/>
              </w:rPr>
              <w:t>estate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od</w:t>
            </w:r>
          </w:p>
        </w:tc>
        <w:tc>
          <w:tcPr>
            <w:tcW w:w="9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on</w:t>
            </w:r>
          </w:p>
        </w:tc>
        <w:tc>
          <w:tcPr>
            <w:tcW w:w="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45"/>
              <w:rPr>
                <w:sz w:val="22"/>
              </w:rPr>
            </w:pPr>
            <w:r>
              <w:rPr>
                <w:sz w:val="22"/>
              </w:rPr>
              <w:t>ter</w:t>
            </w:r>
          </w:p>
        </w:tc>
        <w:tc>
          <w:tcPr>
            <w:tcW w:w="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ment</w:t>
            </w: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55"/>
              <w:rPr>
                <w:sz w:val="22"/>
              </w:rPr>
            </w:pPr>
            <w:r>
              <w:rPr>
                <w:sz w:val="22"/>
              </w:rPr>
              <w:t>facility</w:t>
            </w:r>
          </w:p>
        </w:tc>
      </w:tr>
      <w:tr>
        <w:trPr>
          <w:trHeight w:val="317" w:hRule="atLeast"/>
        </w:trPr>
        <w:tc>
          <w:tcPr>
            <w:tcW w:w="13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132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6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6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6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5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5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5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5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5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5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1324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</w:tcPr>
          <w:p>
            <w:pPr>
              <w:pStyle w:val="TableParagraph"/>
              <w:spacing w:line="264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64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</w:tcPr>
          <w:p>
            <w:pPr>
              <w:pStyle w:val="TableParagraph"/>
              <w:spacing w:line="264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9" w:hRule="atLeast"/>
        </w:trPr>
        <w:tc>
          <w:tcPr>
            <w:tcW w:w="13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4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6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11" w:hRule="atLeast"/>
        </w:trPr>
        <w:tc>
          <w:tcPr>
            <w:tcW w:w="132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 w:before="47"/>
              <w:ind w:right="-44"/>
              <w:jc w:val="right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8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56"/>
          <w:pgSz w:w="11900" w:h="16840"/>
          <w:pgMar w:footer="0" w:header="0" w:top="1320" w:bottom="280" w:left="1280" w:right="360"/>
        </w:sect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769"/>
        <w:gridCol w:w="760"/>
        <w:gridCol w:w="819"/>
        <w:gridCol w:w="789"/>
        <w:gridCol w:w="890"/>
        <w:gridCol w:w="749"/>
        <w:gridCol w:w="721"/>
        <w:gridCol w:w="995"/>
        <w:gridCol w:w="582"/>
      </w:tblGrid>
      <w:tr>
        <w:trPr>
          <w:trHeight w:val="325" w:hRule="atLeast"/>
        </w:trPr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5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5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5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5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5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5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5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5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5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5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1675" w:type="dxa"/>
          </w:tcPr>
          <w:p>
            <w:pPr>
              <w:pStyle w:val="TableParagraph"/>
              <w:spacing w:line="264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64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64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line="264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0" w:type="dxa"/>
          </w:tcPr>
          <w:p>
            <w:pPr>
              <w:pStyle w:val="TableParagraph"/>
              <w:spacing w:line="264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9" w:hRule="atLeast"/>
        </w:trPr>
        <w:tc>
          <w:tcPr>
            <w:tcW w:w="16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3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27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34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4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688" w:right="102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126</w:t>
      </w:r>
    </w:p>
    <w:sectPr>
      <w:footerReference w:type="default" r:id="rId57"/>
      <w:pgSz w:w="11900" w:h="16840"/>
      <w:pgMar w:footer="0" w:header="0" w:top="1400" w:bottom="280" w:left="12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049988pt;margin-top:774.415955pt;width:11.6pt;height:13.2pt;mso-position-horizontal-relative:page;mso-position-vertical-relative:page;z-index:-27479552" type="#_x0000_t202" filled="false" stroked="false">
          <v:textbox inset="0,0,0,0">
            <w:txbxContent>
              <w:p>
                <w:pPr>
                  <w:spacing w:line="247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049988pt;margin-top:788.455994pt;width:13.3pt;height:13.05pt;mso-position-horizontal-relative:page;mso-position-vertical-relative:page;z-index:-27475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98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010010pt;margin-top:774.536011pt;width:22.75pt;height:13.05pt;mso-position-horizontal-relative:page;mso-position-vertical-relative:page;z-index:-27475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10010pt;margin-top:753.776001pt;width:18.75pt;height:13.05pt;mso-position-horizontal-relative:page;mso-position-vertical-relative:page;z-index:-27474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649994pt;margin-top:774.295959pt;width:23.15pt;height:14pt;mso-position-horizontal-relative:page;mso-position-vertical-relative:page;z-index:-2747443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010010pt;margin-top:774.055969pt;width:22.75pt;height:13.9pt;mso-position-horizontal-relative:page;mso-position-vertical-relative:page;z-index:-27473920" type="#_x0000_t202" filled="false" stroked="false">
          <v:textbox inset="0,0,0,0">
            <w:txbxContent>
              <w:p>
                <w:pPr>
                  <w:spacing w:line="261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649994pt;margin-top:774.776001pt;width:23.15pt;height:13.4pt;mso-position-horizontal-relative:page;mso-position-vertical-relative:page;z-index:-27473408" type="#_x0000_t202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29993pt;margin-top:774.415955pt;width:17.4pt;height:13.4pt;mso-position-horizontal-relative:page;mso-position-vertical-relative:page;z-index:-27479040" type="#_x0000_t202" filled="false" stroked="false">
          <v:textbox inset="0,0,0,0">
            <w:txbxContent>
              <w:p>
                <w:pPr>
                  <w:spacing w:line="249" w:lineRule="exact" w:before="0"/>
                  <w:ind w:left="6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4.536011pt;width:17.3pt;height:23pt;mso-position-horizontal-relative:page;mso-position-vertical-relative:page;z-index:-27478528" type="#_x0000_t202" filled="false" stroked="false">
          <v:textbox inset="0,0,0,0">
            <w:txbxContent>
              <w:p>
                <w:pPr>
                  <w:spacing w:before="175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302.929993pt;margin-top:775.135986pt;width:17.8pt;height:18.2pt;mso-position-horizontal-relative:page;mso-position-vertical-relative:page;z-index:-27478016" type="#_x0000_t202" filled="false" stroked="false">
          <v:textbox inset="0,0,0,0">
            <w:txbxContent>
              <w:p>
                <w:pPr>
                  <w:spacing w:before="79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303.049988pt;margin-top:774.536011pt;width:17.650pt;height:16.05pt;mso-position-horizontal-relative:page;mso-position-vertical-relative:page;z-index:-27477504" type="#_x0000_t202" filled="false" stroked="false">
          <v:textbox inset="0,0,0,0">
            <w:txbxContent>
              <w:p>
                <w:pPr>
                  <w:spacing w:before="36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88.335999pt;width:17.3pt;height:13.05pt;mso-position-horizontal-relative:page;mso-position-vertical-relative:page;z-index:-27476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4.536011pt;width:17.3pt;height:13.05pt;mso-position-horizontal-relative:page;mso-position-vertical-relative:page;z-index:-27476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2"/>
      <w:numFmt w:val="upperLetter"/>
      <w:lvlText w:val="%1."/>
      <w:lvlJc w:val="left"/>
      <w:pPr>
        <w:ind w:left="981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0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780" w:hanging="35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0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0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3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06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19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2" w:hanging="35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2121" w:hanging="14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21" w:hanging="1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7" w:hanging="1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1" w:hanging="1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5" w:hanging="1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9" w:hanging="1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1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7" w:hanging="1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14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1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7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420" w:hanging="70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20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1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5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3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7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7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841" w:hanging="21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41" w:hanging="21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1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7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1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70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3240" w:hanging="2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40" w:hanging="2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420" w:hanging="461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9" w:hanging="4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9" w:hanging="4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9" w:hanging="4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9" w:hanging="4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4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4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3501" w:hanging="28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01" w:hanging="280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3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4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6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7" w:hanging="70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40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1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7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20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3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1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3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981" w:hanging="32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81" w:hanging="32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42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75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3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8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483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01" w:hanging="70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5.jpeg"/><Relationship Id="rId16" Type="http://schemas.openxmlformats.org/officeDocument/2006/relationships/footer" Target="footer7.xm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footer" Target="footer8.xml"/><Relationship Id="rId29" Type="http://schemas.openxmlformats.org/officeDocument/2006/relationships/hyperlink" Target="http://dx.doi.org/10.1080/21650020.2014.935467" TargetMode="External"/><Relationship Id="rId30" Type="http://schemas.openxmlformats.org/officeDocument/2006/relationships/hyperlink" Target="https://dx.doi.org/10.4314/ejesm.v10i5.8" TargetMode="External"/><Relationship Id="rId31" Type="http://schemas.openxmlformats.org/officeDocument/2006/relationships/footer" Target="footer9.xml"/><Relationship Id="rId32" Type="http://schemas.openxmlformats.org/officeDocument/2006/relationships/hyperlink" Target="http://enhr2006-ljubljana.uirs.si/publish/" TargetMode="External"/><Relationship Id="rId33" Type="http://schemas.openxmlformats.org/officeDocument/2006/relationships/hyperlink" Target="http://murray.seattle.gov/wp-content/uploads/2015/07/HALA_Report_2015.pdf" TargetMode="External"/><Relationship Id="rId34" Type="http://schemas.openxmlformats.org/officeDocument/2006/relationships/hyperlink" Target="http://www.elsevier.com/locate/habitatint" TargetMode="External"/><Relationship Id="rId35" Type="http://schemas.openxmlformats.org/officeDocument/2006/relationships/hyperlink" Target="https://doi.org/10.1016/j.foar.2016.03.003" TargetMode="External"/><Relationship Id="rId36" Type="http://schemas.openxmlformats.org/officeDocument/2006/relationships/footer" Target="footer10.xml"/><Relationship Id="rId37" Type="http://schemas.openxmlformats.org/officeDocument/2006/relationships/hyperlink" Target="http://www.fanniemae.com/resources/file/fundmarket" TargetMode="External"/><Relationship Id="rId38" Type="http://schemas.openxmlformats.org/officeDocument/2006/relationships/hyperlink" Target="https://www.researchgate.net/profile/Mohd-Rizaimy-Shaharudin" TargetMode="External"/><Relationship Id="rId39" Type="http://schemas.openxmlformats.org/officeDocument/2006/relationships/hyperlink" Target="https://www.researchgate.net/scientific-contributions/Jacqueline-Junika-Pani-36062135" TargetMode="External"/><Relationship Id="rId40" Type="http://schemas.openxmlformats.org/officeDocument/2006/relationships/hyperlink" Target="https://www.researchgate.net/scientific-contributions/Shamsul-Jamel-Elias-2178053714" TargetMode="External"/><Relationship Id="rId41" Type="http://schemas.openxmlformats.org/officeDocument/2006/relationships/hyperlink" Target="https://link.springer.com/book/10.1057/9781137314529" TargetMode="External"/><Relationship Id="rId42" Type="http://schemas.openxmlformats.org/officeDocument/2006/relationships/footer" Target="footer11.xml"/><Relationship Id="rId43" Type="http://schemas.openxmlformats.org/officeDocument/2006/relationships/hyperlink" Target="http://www.epa.gov/s" TargetMode="External"/><Relationship Id="rId44" Type="http://schemas.openxmlformats.org/officeDocument/2006/relationships/footer" Target="footer12.xml"/><Relationship Id="rId45" Type="http://schemas.openxmlformats.org/officeDocument/2006/relationships/footer" Target="footer13.xml"/><Relationship Id="rId46" Type="http://schemas.openxmlformats.org/officeDocument/2006/relationships/footer" Target="footer14.xml"/><Relationship Id="rId47" Type="http://schemas.openxmlformats.org/officeDocument/2006/relationships/footer" Target="footer15.xml"/><Relationship Id="rId48" Type="http://schemas.openxmlformats.org/officeDocument/2006/relationships/footer" Target="footer16.xml"/><Relationship Id="rId49" Type="http://schemas.openxmlformats.org/officeDocument/2006/relationships/footer" Target="footer17.xml"/><Relationship Id="rId50" Type="http://schemas.openxmlformats.org/officeDocument/2006/relationships/footer" Target="footer18.xml"/><Relationship Id="rId51" Type="http://schemas.openxmlformats.org/officeDocument/2006/relationships/footer" Target="footer19.xml"/><Relationship Id="rId52" Type="http://schemas.openxmlformats.org/officeDocument/2006/relationships/footer" Target="footer20.xml"/><Relationship Id="rId53" Type="http://schemas.openxmlformats.org/officeDocument/2006/relationships/footer" Target="footer21.xml"/><Relationship Id="rId54" Type="http://schemas.openxmlformats.org/officeDocument/2006/relationships/footer" Target="footer22.xml"/><Relationship Id="rId55" Type="http://schemas.openxmlformats.org/officeDocument/2006/relationships/footer" Target="footer23.xml"/><Relationship Id="rId56" Type="http://schemas.openxmlformats.org/officeDocument/2006/relationships/footer" Target="footer24.xml"/><Relationship Id="rId57" Type="http://schemas.openxmlformats.org/officeDocument/2006/relationships/footer" Target="footer25.xm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2023-11-09T18:08:46Z</dcterms:created>
  <dcterms:modified xsi:type="dcterms:W3CDTF">2023-11-09T18:08:46Z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2023-11-09T00:00:00Z</vt:filetime>
  </property>
</Properties>
</file>