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ind w:left="502" w:right="1187"/>
      </w:pPr>
      <w:r>
        <w:rPr/>
        <w:t>EMOTIONAL-INTELLIGENCE,</w:t>
      </w:r>
      <w:r>
        <w:rPr>
          <w:spacing w:val="-9"/>
        </w:rPr>
        <w:t> </w:t>
      </w:r>
      <w:r>
        <w:rPr/>
        <w:t>REASONING</w:t>
      </w:r>
      <w:r>
        <w:rPr>
          <w:spacing w:val="-11"/>
        </w:rPr>
        <w:t> </w:t>
      </w:r>
      <w:r>
        <w:rPr/>
        <w:t>ABILITY</w:t>
      </w:r>
      <w:r>
        <w:rPr>
          <w:spacing w:val="-11"/>
        </w:rPr>
        <w:t> </w:t>
      </w:r>
      <w:r>
        <w:rPr/>
        <w:t>AND</w:t>
      </w:r>
      <w:r>
        <w:rPr>
          <w:spacing w:val="-11"/>
        </w:rPr>
        <w:t> </w:t>
      </w:r>
      <w:r>
        <w:rPr/>
        <w:t>SELF- EFFICACY AS PREDICTORS OF ACHIEVEMENT OF SENIOR SECONDARY SCHOOL CHEMISTRY STUDENTS, IN ZONKWA EDUCATION ZONE KADUNA STATE NIGERIA</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275"/>
        <w:ind w:left="0"/>
        <w:jc w:val="left"/>
        <w:rPr>
          <w:b/>
        </w:rPr>
      </w:pPr>
    </w:p>
    <w:p>
      <w:pPr>
        <w:spacing w:before="0"/>
        <w:ind w:left="2660" w:right="3324" w:firstLine="0"/>
        <w:jc w:val="center"/>
        <w:rPr>
          <w:b/>
          <w:sz w:val="24"/>
        </w:rPr>
      </w:pPr>
      <w:r>
        <w:rPr>
          <w:b/>
          <w:spacing w:val="-5"/>
          <w:sz w:val="24"/>
        </w:rPr>
        <w:t>BY</w:t>
      </w:r>
    </w:p>
    <w:p>
      <w:pPr>
        <w:pStyle w:val="BodyText"/>
        <w:ind w:left="0"/>
        <w:jc w:val="left"/>
        <w:rPr>
          <w:b/>
        </w:rPr>
      </w:pPr>
    </w:p>
    <w:p>
      <w:pPr>
        <w:pStyle w:val="BodyText"/>
        <w:ind w:left="0"/>
        <w:jc w:val="left"/>
        <w:rPr>
          <w:b/>
        </w:rPr>
      </w:pPr>
    </w:p>
    <w:p>
      <w:pPr>
        <w:pStyle w:val="BodyText"/>
        <w:ind w:left="0"/>
        <w:jc w:val="left"/>
        <w:rPr>
          <w:b/>
        </w:rPr>
      </w:pPr>
    </w:p>
    <w:p>
      <w:pPr>
        <w:pStyle w:val="BodyText"/>
        <w:spacing w:before="3"/>
        <w:ind w:left="0"/>
        <w:jc w:val="left"/>
        <w:rPr>
          <w:b/>
        </w:rPr>
      </w:pPr>
    </w:p>
    <w:p>
      <w:pPr>
        <w:spacing w:before="0"/>
        <w:ind w:left="0" w:right="668" w:firstLine="0"/>
        <w:jc w:val="center"/>
        <w:rPr>
          <w:b/>
          <w:sz w:val="24"/>
        </w:rPr>
      </w:pPr>
      <w:r>
        <w:rPr>
          <w:b/>
          <w:sz w:val="24"/>
        </w:rPr>
        <w:t>Amos</w:t>
      </w:r>
      <w:r>
        <w:rPr>
          <w:b/>
          <w:spacing w:val="-1"/>
          <w:sz w:val="24"/>
        </w:rPr>
        <w:t> </w:t>
      </w:r>
      <w:r>
        <w:rPr>
          <w:b/>
          <w:sz w:val="24"/>
        </w:rPr>
        <w:t>Kwasau</w:t>
      </w:r>
      <w:r>
        <w:rPr>
          <w:b/>
          <w:spacing w:val="3"/>
          <w:sz w:val="24"/>
        </w:rPr>
        <w:t> </w:t>
      </w:r>
      <w:r>
        <w:rPr>
          <w:b/>
          <w:spacing w:val="-2"/>
          <w:sz w:val="24"/>
        </w:rPr>
        <w:t>LABESA</w:t>
      </w:r>
    </w:p>
    <w:p>
      <w:pPr>
        <w:pStyle w:val="BodyText"/>
        <w:spacing w:before="2"/>
        <w:ind w:left="0"/>
        <w:jc w:val="left"/>
        <w:rPr>
          <w:b/>
        </w:rPr>
      </w:pPr>
    </w:p>
    <w:p>
      <w:pPr>
        <w:spacing w:line="237" w:lineRule="auto" w:before="1"/>
        <w:ind w:left="3852" w:right="2953" w:hanging="999"/>
        <w:jc w:val="left"/>
        <w:rPr>
          <w:b/>
          <w:sz w:val="24"/>
        </w:rPr>
      </w:pPr>
      <w:r>
        <w:rPr>
          <w:b/>
          <w:sz w:val="24"/>
        </w:rPr>
        <w:t>B.</w:t>
      </w:r>
      <w:r>
        <w:rPr>
          <w:b/>
          <w:spacing w:val="-9"/>
          <w:sz w:val="24"/>
        </w:rPr>
        <w:t> </w:t>
      </w:r>
      <w:r>
        <w:rPr>
          <w:b/>
          <w:sz w:val="24"/>
        </w:rPr>
        <w:t>Sc.</w:t>
      </w:r>
      <w:r>
        <w:rPr>
          <w:b/>
          <w:spacing w:val="-9"/>
          <w:sz w:val="24"/>
        </w:rPr>
        <w:t> </w:t>
      </w:r>
      <w:r>
        <w:rPr>
          <w:b/>
          <w:sz w:val="24"/>
        </w:rPr>
        <w:t>(Ed)</w:t>
      </w:r>
      <w:r>
        <w:rPr>
          <w:b/>
          <w:spacing w:val="-9"/>
          <w:sz w:val="24"/>
        </w:rPr>
        <w:t> </w:t>
      </w:r>
      <w:r>
        <w:rPr>
          <w:b/>
          <w:sz w:val="24"/>
        </w:rPr>
        <w:t>Chemistry</w:t>
      </w:r>
      <w:r>
        <w:rPr>
          <w:b/>
          <w:spacing w:val="-6"/>
          <w:sz w:val="24"/>
        </w:rPr>
        <w:t> </w:t>
      </w:r>
      <w:r>
        <w:rPr>
          <w:b/>
          <w:sz w:val="24"/>
        </w:rPr>
        <w:t>(ABU,</w:t>
      </w:r>
      <w:r>
        <w:rPr>
          <w:b/>
          <w:spacing w:val="-5"/>
          <w:sz w:val="24"/>
        </w:rPr>
        <w:t> </w:t>
      </w:r>
      <w:r>
        <w:rPr>
          <w:b/>
          <w:sz w:val="24"/>
        </w:rPr>
        <w:t>2013) P14EDSC 8002</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1"/>
        <w:ind w:left="0"/>
        <w:jc w:val="left"/>
        <w:rPr>
          <w:b/>
        </w:rPr>
      </w:pPr>
    </w:p>
    <w:p>
      <w:pPr>
        <w:spacing w:line="240" w:lineRule="auto" w:before="1"/>
        <w:ind w:left="502" w:right="1187" w:firstLine="0"/>
        <w:jc w:val="center"/>
        <w:rPr>
          <w:b/>
          <w:sz w:val="24"/>
        </w:rPr>
      </w:pPr>
      <w:r>
        <w:rPr>
          <w:b/>
          <w:sz w:val="24"/>
        </w:rPr>
        <w:t>A</w:t>
      </w:r>
      <w:r>
        <w:rPr>
          <w:b/>
          <w:spacing w:val="-6"/>
          <w:sz w:val="24"/>
        </w:rPr>
        <w:t> </w:t>
      </w:r>
      <w:r>
        <w:rPr>
          <w:b/>
          <w:sz w:val="24"/>
        </w:rPr>
        <w:t>THESIS</w:t>
      </w:r>
      <w:r>
        <w:rPr>
          <w:b/>
          <w:spacing w:val="-4"/>
          <w:sz w:val="24"/>
        </w:rPr>
        <w:t> </w:t>
      </w:r>
      <w:r>
        <w:rPr>
          <w:b/>
          <w:sz w:val="24"/>
        </w:rPr>
        <w:t>SUBMITTED</w:t>
      </w:r>
      <w:r>
        <w:rPr>
          <w:b/>
          <w:spacing w:val="-6"/>
          <w:sz w:val="24"/>
        </w:rPr>
        <w:t> </w:t>
      </w:r>
      <w:r>
        <w:rPr>
          <w:b/>
          <w:sz w:val="24"/>
        </w:rPr>
        <w:t>TO</w:t>
      </w:r>
      <w:r>
        <w:rPr>
          <w:b/>
          <w:spacing w:val="-5"/>
          <w:sz w:val="24"/>
        </w:rPr>
        <w:t> </w:t>
      </w:r>
      <w:r>
        <w:rPr>
          <w:b/>
          <w:sz w:val="24"/>
        </w:rPr>
        <w:t>THE</w:t>
      </w:r>
      <w:r>
        <w:rPr>
          <w:b/>
          <w:spacing w:val="-7"/>
          <w:sz w:val="24"/>
        </w:rPr>
        <w:t> </w:t>
      </w:r>
      <w:r>
        <w:rPr>
          <w:b/>
          <w:sz w:val="24"/>
        </w:rPr>
        <w:t>SCHOOL</w:t>
      </w:r>
      <w:r>
        <w:rPr>
          <w:b/>
          <w:spacing w:val="-7"/>
          <w:sz w:val="24"/>
        </w:rPr>
        <w:t> </w:t>
      </w:r>
      <w:r>
        <w:rPr>
          <w:b/>
          <w:sz w:val="24"/>
        </w:rPr>
        <w:t>OF</w:t>
      </w:r>
      <w:r>
        <w:rPr>
          <w:b/>
          <w:spacing w:val="-8"/>
          <w:sz w:val="24"/>
        </w:rPr>
        <w:t> </w:t>
      </w:r>
      <w:r>
        <w:rPr>
          <w:b/>
          <w:sz w:val="24"/>
        </w:rPr>
        <w:t>POSTGRADUATE</w:t>
      </w:r>
      <w:r>
        <w:rPr>
          <w:b/>
          <w:spacing w:val="-7"/>
          <w:sz w:val="24"/>
        </w:rPr>
        <w:t> </w:t>
      </w:r>
      <w:r>
        <w:rPr>
          <w:b/>
          <w:sz w:val="24"/>
        </w:rPr>
        <w:t>STUDIES, AHMADU BELLO UNIVERSITY ZARIA, NIGERIA. IN PARTIAL FULFILLMENT OF THE REQUIREMENTS FOR THE AWARD OF MASTER DEGREE IN SCIENCE EDUCATION</w:t>
      </w:r>
    </w:p>
    <w:p>
      <w:pPr>
        <w:pStyle w:val="BodyText"/>
        <w:ind w:left="0"/>
        <w:jc w:val="left"/>
        <w:rPr>
          <w:b/>
        </w:rPr>
      </w:pPr>
    </w:p>
    <w:p>
      <w:pPr>
        <w:pStyle w:val="BodyText"/>
        <w:ind w:left="0"/>
        <w:jc w:val="left"/>
        <w:rPr>
          <w:b/>
        </w:rPr>
      </w:pPr>
    </w:p>
    <w:p>
      <w:pPr>
        <w:pStyle w:val="BodyText"/>
        <w:spacing w:before="5"/>
        <w:ind w:left="0"/>
        <w:jc w:val="left"/>
        <w:rPr>
          <w:b/>
        </w:rPr>
      </w:pPr>
    </w:p>
    <w:p>
      <w:pPr>
        <w:spacing w:line="237" w:lineRule="auto" w:before="0"/>
        <w:ind w:left="1718" w:right="2401" w:firstLine="0"/>
        <w:jc w:val="center"/>
        <w:rPr>
          <w:b/>
          <w:sz w:val="24"/>
        </w:rPr>
      </w:pPr>
      <w:r>
        <w:rPr>
          <w:b/>
          <w:sz w:val="24"/>
        </w:rPr>
        <w:t>DEPARTMENT</w:t>
      </w:r>
      <w:r>
        <w:rPr>
          <w:b/>
          <w:spacing w:val="-15"/>
          <w:sz w:val="24"/>
        </w:rPr>
        <w:t> </w:t>
      </w:r>
      <w:r>
        <w:rPr>
          <w:b/>
          <w:sz w:val="24"/>
        </w:rPr>
        <w:t>OF</w:t>
      </w:r>
      <w:r>
        <w:rPr>
          <w:b/>
          <w:spacing w:val="-15"/>
          <w:sz w:val="24"/>
        </w:rPr>
        <w:t> </w:t>
      </w:r>
      <w:r>
        <w:rPr>
          <w:b/>
          <w:sz w:val="24"/>
        </w:rPr>
        <w:t>SCIENCE</w:t>
      </w:r>
      <w:r>
        <w:rPr>
          <w:b/>
          <w:spacing w:val="-13"/>
          <w:sz w:val="24"/>
        </w:rPr>
        <w:t> </w:t>
      </w:r>
      <w:r>
        <w:rPr>
          <w:b/>
          <w:sz w:val="24"/>
        </w:rPr>
        <w:t>EDUCATION FACULTY OF EDUCATION</w:t>
      </w:r>
    </w:p>
    <w:p>
      <w:pPr>
        <w:spacing w:line="237" w:lineRule="auto" w:before="6"/>
        <w:ind w:left="2477" w:right="3158"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w:t>
      </w:r>
      <w:r>
        <w:rPr>
          <w:b/>
          <w:spacing w:val="-2"/>
          <w:sz w:val="24"/>
        </w:rPr>
        <w:t>ZARIA</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1"/>
        <w:ind w:left="0"/>
        <w:jc w:val="left"/>
        <w:rPr>
          <w:b/>
        </w:rPr>
      </w:pPr>
    </w:p>
    <w:p>
      <w:pPr>
        <w:spacing w:before="1"/>
        <w:ind w:left="0" w:right="673" w:firstLine="0"/>
        <w:jc w:val="center"/>
        <w:rPr>
          <w:b/>
          <w:sz w:val="24"/>
        </w:rPr>
      </w:pPr>
      <w:r>
        <w:rPr/>
        <mc:AlternateContent>
          <mc:Choice Requires="wps">
            <w:drawing>
              <wp:anchor distT="0" distB="0" distL="0" distR="0" allowOverlap="1" layoutInCell="1" locked="0" behindDoc="1" simplePos="0" relativeHeight="484148736">
                <wp:simplePos x="0" y="0"/>
                <wp:positionH relativeFrom="page">
                  <wp:posOffset>3994403</wp:posOffset>
                </wp:positionH>
                <wp:positionV relativeFrom="paragraph">
                  <wp:posOffset>772259</wp:posOffset>
                </wp:positionV>
                <wp:extent cx="32384" cy="1403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2384"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4.519989pt;margin-top:60.807835pt;width:2.550pt;height:11.05pt;mso-position-horizontal-relative:page;mso-position-vertical-relative:paragraph;z-index:-19167744" type="#_x0000_t202" id="docshape1" filled="false" stroked="false">
                <v:textbox inset="0,0,0,0">
                  <w:txbxContent>
                    <w:p>
                      <w:pPr>
                        <w:spacing w:line="221" w:lineRule="exact" w:before="0"/>
                        <w:ind w:left="0" w:right="0" w:firstLine="0"/>
                        <w:jc w:val="left"/>
                        <w:rPr>
                          <w:rFonts w:ascii="Calibri"/>
                          <w:sz w:val="22"/>
                        </w:rPr>
                      </w:pPr>
                      <w:r>
                        <w:rPr>
                          <w:rFonts w:ascii="Calibri"/>
                          <w:spacing w:val="-10"/>
                          <w:sz w:val="22"/>
                        </w:rPr>
                        <w:t>i</w:t>
                      </w:r>
                    </w:p>
                  </w:txbxContent>
                </v:textbox>
                <w10:wrap type="none"/>
              </v:shape>
            </w:pict>
          </mc:Fallback>
        </mc:AlternateContent>
      </w:r>
      <w:r>
        <w:rPr>
          <w:b/>
          <w:sz w:val="24"/>
        </w:rPr>
        <w:t>APRIL,</w:t>
      </w:r>
      <w:r>
        <w:rPr>
          <w:b/>
          <w:spacing w:val="-1"/>
          <w:sz w:val="24"/>
        </w:rPr>
        <w:t> </w:t>
      </w:r>
      <w:r>
        <w:rPr>
          <w:b/>
          <w:spacing w:val="-4"/>
          <w:sz w:val="24"/>
        </w:rPr>
        <w:t>2018</w:t>
      </w:r>
    </w:p>
    <w:p>
      <w:pPr>
        <w:pStyle w:val="BodyText"/>
        <w:ind w:left="0"/>
        <w:jc w:val="left"/>
        <w:rPr>
          <w:b/>
          <w:sz w:val="20"/>
        </w:rPr>
      </w:pPr>
    </w:p>
    <w:p>
      <w:pPr>
        <w:pStyle w:val="BodyText"/>
        <w:ind w:left="0"/>
        <w:jc w:val="left"/>
        <w:rPr>
          <w:b/>
          <w:sz w:val="20"/>
        </w:rPr>
      </w:pPr>
    </w:p>
    <w:p>
      <w:pPr>
        <w:pStyle w:val="BodyText"/>
        <w:spacing w:before="196"/>
        <w:ind w:left="0"/>
        <w:jc w:val="left"/>
        <w:rPr>
          <w:b/>
          <w:sz w:val="20"/>
        </w:rPr>
      </w:pPr>
      <w:r>
        <w:rPr/>
        <mc:AlternateContent>
          <mc:Choice Requires="wps">
            <w:drawing>
              <wp:anchor distT="0" distB="0" distL="0" distR="0" allowOverlap="1" layoutInCell="1" locked="0" behindDoc="1" simplePos="0" relativeHeight="487587840">
                <wp:simplePos x="0" y="0"/>
                <wp:positionH relativeFrom="page">
                  <wp:posOffset>3800475</wp:posOffset>
                </wp:positionH>
                <wp:positionV relativeFrom="paragraph">
                  <wp:posOffset>285737</wp:posOffset>
                </wp:positionV>
                <wp:extent cx="508634" cy="27813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08634" cy="278130"/>
                        </a:xfrm>
                        <a:custGeom>
                          <a:avLst/>
                          <a:gdLst/>
                          <a:ahLst/>
                          <a:cxnLst/>
                          <a:rect l="l" t="t" r="r" b="b"/>
                          <a:pathLst>
                            <a:path w="508634" h="278130">
                              <a:moveTo>
                                <a:pt x="508635" y="0"/>
                              </a:moveTo>
                              <a:lnTo>
                                <a:pt x="0" y="0"/>
                              </a:lnTo>
                              <a:lnTo>
                                <a:pt x="0" y="278130"/>
                              </a:lnTo>
                              <a:lnTo>
                                <a:pt x="508635" y="278130"/>
                              </a:lnTo>
                              <a:lnTo>
                                <a:pt x="5086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9.25pt;margin-top:22.499023pt;width:40.050pt;height:21.9pt;mso-position-horizontal-relative:page;mso-position-vertical-relative:paragraph;z-index:-15728640;mso-wrap-distance-left:0;mso-wrap-distance-right:0" id="docshape2" filled="true" fillcolor="#ffffff" stroked="false">
                <v:fill type="solid"/>
                <w10:wrap type="topAndBottom"/>
              </v:rect>
            </w:pict>
          </mc:Fallback>
        </mc:AlternateContent>
      </w:r>
    </w:p>
    <w:p>
      <w:pPr>
        <w:spacing w:after="0"/>
        <w:jc w:val="left"/>
        <w:rPr>
          <w:sz w:val="20"/>
        </w:rPr>
        <w:sectPr>
          <w:type w:val="continuous"/>
          <w:pgSz w:w="11910" w:h="16840"/>
          <w:pgMar w:top="1340" w:bottom="280" w:left="1680" w:right="280"/>
        </w:sectPr>
      </w:pPr>
    </w:p>
    <w:p>
      <w:pPr>
        <w:pStyle w:val="Heading2"/>
        <w:ind w:right="678"/>
      </w:pPr>
      <w:bookmarkStart w:name="_TOC_250027" w:id="1"/>
      <w:bookmarkEnd w:id="1"/>
      <w:r>
        <w:rPr>
          <w:spacing w:val="-2"/>
        </w:rPr>
        <w:t>DECLARATION</w:t>
      </w:r>
    </w:p>
    <w:p>
      <w:pPr>
        <w:spacing w:line="480" w:lineRule="auto" w:before="272"/>
        <w:ind w:left="480" w:right="1156" w:firstLine="720"/>
        <w:jc w:val="both"/>
        <w:rPr>
          <w:sz w:val="24"/>
        </w:rPr>
      </w:pPr>
      <w:r>
        <w:rPr>
          <w:sz w:val="24"/>
        </w:rPr>
        <w:t>I hereby declare that this dissertation entitled ―</w:t>
      </w:r>
      <w:r>
        <w:rPr>
          <w:b/>
          <w:sz w:val="24"/>
        </w:rPr>
        <w:t>Emotional-intelligence, reasoning ability and self-efficacy as predictors of achievement of senior secondary school chemistry students in Zonkwa Education Zone, Kaduna State, Nigeria</w:t>
      </w:r>
      <w:r>
        <w:rPr>
          <w:sz w:val="24"/>
        </w:rPr>
        <w:t>‖ is a result of my</w:t>
      </w:r>
      <w:r>
        <w:rPr>
          <w:spacing w:val="-2"/>
          <w:sz w:val="24"/>
        </w:rPr>
        <w:t> </w:t>
      </w:r>
      <w:r>
        <w:rPr>
          <w:sz w:val="24"/>
        </w:rPr>
        <w:t>personal</w:t>
      </w:r>
      <w:r>
        <w:rPr>
          <w:spacing w:val="-2"/>
          <w:sz w:val="24"/>
        </w:rPr>
        <w:t> </w:t>
      </w:r>
      <w:r>
        <w:rPr>
          <w:sz w:val="24"/>
        </w:rPr>
        <w:t>research work. To the best of my</w:t>
      </w:r>
      <w:r>
        <w:rPr>
          <w:spacing w:val="-2"/>
          <w:sz w:val="24"/>
        </w:rPr>
        <w:t> </w:t>
      </w:r>
      <w:r>
        <w:rPr>
          <w:sz w:val="24"/>
        </w:rPr>
        <w:t>knowledge it has never been presented anywhere for the purpose of the award of any degree. All quotations and sources of information are acknowledged by means of references.</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4"/>
        <w:ind w:left="0"/>
        <w:jc w:val="left"/>
      </w:pPr>
    </w:p>
    <w:p>
      <w:pPr>
        <w:pStyle w:val="BodyText"/>
        <w:tabs>
          <w:tab w:pos="6243" w:val="left" w:leader="none"/>
          <w:tab w:pos="6963" w:val="left" w:leader="none"/>
        </w:tabs>
        <w:spacing w:line="237" w:lineRule="auto"/>
        <w:ind w:right="1303"/>
        <w:jc w:val="left"/>
      </w:pPr>
      <w:r>
        <w:rPr>
          <w:spacing w:val="-2"/>
        </w:rPr>
        <w:t>……………………………………</w:t>
      </w:r>
      <w:r>
        <w:rPr/>
        <w:tab/>
      </w:r>
      <w:r>
        <w:rPr>
          <w:spacing w:val="-2"/>
        </w:rPr>
        <w:t>………………………… </w:t>
      </w:r>
      <w:r>
        <w:rPr/>
        <w:t>Amos Kwasau Labesa</w:t>
        <w:tab/>
        <w:tab/>
      </w:r>
      <w:r>
        <w:rPr>
          <w:spacing w:val="-4"/>
        </w:rPr>
        <w:t>Date</w:t>
      </w:r>
    </w:p>
    <w:p>
      <w:pPr>
        <w:spacing w:after="0" w:line="237" w:lineRule="auto"/>
        <w:jc w:val="left"/>
        <w:sectPr>
          <w:footerReference w:type="default" r:id="rId5"/>
          <w:pgSz w:w="11910" w:h="16840"/>
          <w:pgMar w:header="0" w:footer="1012" w:top="1340" w:bottom="1200" w:left="1680" w:right="280"/>
          <w:pgNumType w:start="2"/>
        </w:sectPr>
      </w:pPr>
    </w:p>
    <w:p>
      <w:pPr>
        <w:pStyle w:val="Heading2"/>
        <w:ind w:left="504" w:right="1187"/>
      </w:pPr>
      <w:bookmarkStart w:name="_TOC_250026" w:id="2"/>
      <w:bookmarkEnd w:id="2"/>
      <w:r>
        <w:rPr>
          <w:spacing w:val="-2"/>
        </w:rPr>
        <w:t>CERTIFICATION</w:t>
      </w:r>
    </w:p>
    <w:p>
      <w:pPr>
        <w:pStyle w:val="BodyText"/>
        <w:spacing w:line="480" w:lineRule="auto" w:before="272"/>
        <w:ind w:right="1160" w:firstLine="720"/>
      </w:pPr>
      <w:r>
        <w:rPr/>
        <w:t>This dissertation entitled ―Emotional-intelligence, reasoning ability and self- efficacy as predictors of achievement</w:t>
      </w:r>
      <w:r>
        <w:rPr>
          <w:spacing w:val="30"/>
        </w:rPr>
        <w:t> </w:t>
      </w:r>
      <w:r>
        <w:rPr/>
        <w:t>of senior secondary school chemistry students</w:t>
      </w:r>
      <w:r>
        <w:rPr>
          <w:spacing w:val="40"/>
        </w:rPr>
        <w:t> </w:t>
      </w:r>
      <w:r>
        <w:rPr/>
        <w:t>in Zonkwa Education Zone, Kaduna State, Nigeria‖ by Amos Kwasau LABESA, P14EDSC8002 meets the requirement governing the award of Master degree in Science Education of</w:t>
      </w:r>
      <w:r>
        <w:rPr>
          <w:spacing w:val="-1"/>
        </w:rPr>
        <w:t> </w:t>
      </w:r>
      <w:r>
        <w:rPr/>
        <w:t>the Ahmadu Bello University, Zaria, Nigeria and it is approved for its contribution to knowledge and literary presentation.</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4"/>
        <w:ind w:left="0"/>
        <w:jc w:val="left"/>
      </w:pPr>
    </w:p>
    <w:p>
      <w:pPr>
        <w:pStyle w:val="BodyText"/>
        <w:tabs>
          <w:tab w:pos="5522" w:val="left" w:leader="none"/>
          <w:tab w:pos="6243" w:val="left" w:leader="none"/>
        </w:tabs>
        <w:spacing w:line="237" w:lineRule="auto"/>
        <w:ind w:right="2025"/>
        <w:jc w:val="left"/>
      </w:pPr>
      <w:r>
        <w:rPr>
          <w:spacing w:val="-2"/>
        </w:rPr>
        <w:t>……………………………………</w:t>
      </w:r>
      <w:r>
        <w:rPr/>
        <w:tab/>
      </w:r>
      <w:r>
        <w:rPr>
          <w:spacing w:val="-2"/>
        </w:rPr>
        <w:t>………………………… </w:t>
      </w:r>
      <w:r>
        <w:rPr/>
        <w:t>Prof. J. S. Mari</w:t>
        <w:tab/>
        <w:tab/>
      </w:r>
      <w:r>
        <w:rPr>
          <w:spacing w:val="-4"/>
        </w:rPr>
        <w:t>Date</w:t>
      </w:r>
    </w:p>
    <w:p>
      <w:pPr>
        <w:pStyle w:val="BodyText"/>
        <w:spacing w:before="4"/>
        <w:jc w:val="left"/>
      </w:pPr>
      <w:r>
        <w:rPr/>
        <w:t>Chairman</w:t>
      </w:r>
      <w:r>
        <w:rPr>
          <w:spacing w:val="-5"/>
        </w:rPr>
        <w:t> </w:t>
      </w:r>
      <w:r>
        <w:rPr/>
        <w:t>Supervisory</w:t>
      </w:r>
      <w:r>
        <w:rPr>
          <w:spacing w:val="-9"/>
        </w:rPr>
        <w:t> </w:t>
      </w:r>
      <w:r>
        <w:rPr>
          <w:spacing w:val="-2"/>
        </w:rPr>
        <w:t>Committee</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2"/>
        <w:ind w:left="0"/>
        <w:jc w:val="left"/>
      </w:pPr>
    </w:p>
    <w:p>
      <w:pPr>
        <w:pStyle w:val="BodyText"/>
        <w:tabs>
          <w:tab w:pos="5522" w:val="left" w:leader="none"/>
          <w:tab w:pos="6243" w:val="left" w:leader="none"/>
        </w:tabs>
        <w:spacing w:line="237" w:lineRule="auto"/>
        <w:ind w:right="2025"/>
        <w:jc w:val="left"/>
      </w:pPr>
      <w:r>
        <w:rPr>
          <w:spacing w:val="-2"/>
        </w:rPr>
        <w:t>……………………………………</w:t>
      </w:r>
      <w:r>
        <w:rPr/>
        <w:tab/>
      </w:r>
      <w:r>
        <w:rPr>
          <w:spacing w:val="-2"/>
        </w:rPr>
        <w:t>………………………… </w:t>
      </w:r>
      <w:r>
        <w:rPr/>
        <w:t>Dr. B.A. Muhammad</w:t>
        <w:tab/>
        <w:tab/>
      </w:r>
      <w:r>
        <w:rPr>
          <w:spacing w:val="-4"/>
        </w:rPr>
        <w:t>Date</w:t>
      </w:r>
    </w:p>
    <w:p>
      <w:pPr>
        <w:pStyle w:val="BodyText"/>
        <w:spacing w:before="4"/>
        <w:jc w:val="left"/>
      </w:pPr>
      <w:r>
        <w:rPr/>
        <w:t>Member</w:t>
      </w:r>
      <w:r>
        <w:rPr>
          <w:spacing w:val="-2"/>
        </w:rPr>
        <w:t> </w:t>
      </w:r>
      <w:r>
        <w:rPr/>
        <w:t>Supervisory</w:t>
      </w:r>
      <w:r>
        <w:rPr>
          <w:spacing w:val="-12"/>
        </w:rPr>
        <w:t> </w:t>
      </w:r>
      <w:r>
        <w:rPr>
          <w:spacing w:val="-2"/>
        </w:rPr>
        <w:t>Committee</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3"/>
        <w:ind w:left="0"/>
        <w:jc w:val="left"/>
      </w:pPr>
    </w:p>
    <w:p>
      <w:pPr>
        <w:pStyle w:val="BodyText"/>
        <w:tabs>
          <w:tab w:pos="5522" w:val="left" w:leader="none"/>
          <w:tab w:pos="6243" w:val="left" w:leader="none"/>
        </w:tabs>
        <w:spacing w:line="237" w:lineRule="auto"/>
        <w:ind w:right="2025"/>
        <w:jc w:val="left"/>
      </w:pPr>
      <w:r>
        <w:rPr>
          <w:spacing w:val="-2"/>
        </w:rPr>
        <w:t>……………………………………</w:t>
      </w:r>
      <w:r>
        <w:rPr/>
        <w:tab/>
      </w:r>
      <w:r>
        <w:rPr>
          <w:spacing w:val="-2"/>
        </w:rPr>
        <w:t>………………………… </w:t>
      </w:r>
      <w:r>
        <w:rPr/>
        <w:t>Prof. S.S. Bichi</w:t>
        <w:tab/>
        <w:tab/>
      </w:r>
      <w:r>
        <w:rPr>
          <w:spacing w:val="-4"/>
        </w:rPr>
        <w:t>Date</w:t>
      </w:r>
    </w:p>
    <w:p>
      <w:pPr>
        <w:pStyle w:val="BodyText"/>
        <w:spacing w:before="3"/>
        <w:jc w:val="left"/>
      </w:pPr>
      <w:r>
        <w:rPr/>
        <w:t>Head</w:t>
      </w:r>
      <w:r>
        <w:rPr>
          <w:spacing w:val="2"/>
        </w:rPr>
        <w:t> </w:t>
      </w:r>
      <w:r>
        <w:rPr/>
        <w:t>of</w:t>
      </w:r>
      <w:r>
        <w:rPr>
          <w:spacing w:val="-5"/>
        </w:rPr>
        <w:t> </w:t>
      </w:r>
      <w:r>
        <w:rPr>
          <w:spacing w:val="-2"/>
        </w:rPr>
        <w:t>Department</w:t>
      </w:r>
    </w:p>
    <w:p>
      <w:pPr>
        <w:pStyle w:val="BodyText"/>
        <w:ind w:left="0"/>
        <w:jc w:val="left"/>
      </w:pPr>
    </w:p>
    <w:p>
      <w:pPr>
        <w:pStyle w:val="BodyText"/>
        <w:ind w:left="0"/>
        <w:jc w:val="left"/>
      </w:pPr>
    </w:p>
    <w:p>
      <w:pPr>
        <w:pStyle w:val="BodyText"/>
        <w:spacing w:before="274"/>
        <w:ind w:left="0"/>
        <w:jc w:val="left"/>
      </w:pPr>
    </w:p>
    <w:p>
      <w:pPr>
        <w:pStyle w:val="BodyText"/>
        <w:tabs>
          <w:tab w:pos="5522" w:val="left" w:leader="none"/>
          <w:tab w:pos="6243" w:val="left" w:leader="none"/>
        </w:tabs>
        <w:spacing w:line="242" w:lineRule="auto"/>
        <w:ind w:right="2025"/>
        <w:jc w:val="left"/>
      </w:pPr>
      <w:r>
        <w:rPr>
          <w:spacing w:val="-2"/>
        </w:rPr>
        <w:t>……………………………………</w:t>
      </w:r>
      <w:r>
        <w:rPr/>
        <w:tab/>
      </w:r>
      <w:r>
        <w:rPr>
          <w:spacing w:val="-2"/>
        </w:rPr>
        <w:t>………………………… </w:t>
      </w:r>
      <w:r>
        <w:rPr/>
        <w:t>Prof. A. Z. Mohammed</w:t>
        <w:tab/>
        <w:tab/>
      </w:r>
      <w:r>
        <w:rPr>
          <w:spacing w:val="-4"/>
        </w:rPr>
        <w:t>Date</w:t>
      </w:r>
    </w:p>
    <w:p>
      <w:pPr>
        <w:pStyle w:val="BodyText"/>
        <w:spacing w:line="271" w:lineRule="exact"/>
        <w:jc w:val="left"/>
      </w:pPr>
      <w:r>
        <w:rPr/>
        <w:t>Dean,</w:t>
      </w:r>
      <w:r>
        <w:rPr>
          <w:spacing w:val="3"/>
        </w:rPr>
        <w:t> </w:t>
      </w:r>
      <w:r>
        <w:rPr/>
        <w:t>School</w:t>
      </w:r>
      <w:r>
        <w:rPr>
          <w:spacing w:val="-8"/>
        </w:rPr>
        <w:t> </w:t>
      </w:r>
      <w:r>
        <w:rPr/>
        <w:t>of</w:t>
      </w:r>
      <w:r>
        <w:rPr>
          <w:spacing w:val="-6"/>
        </w:rPr>
        <w:t> </w:t>
      </w:r>
      <w:r>
        <w:rPr/>
        <w:t>Post</w:t>
      </w:r>
      <w:r>
        <w:rPr>
          <w:spacing w:val="6"/>
        </w:rPr>
        <w:t> </w:t>
      </w:r>
      <w:r>
        <w:rPr/>
        <w:t>Graduate</w:t>
      </w:r>
      <w:r>
        <w:rPr>
          <w:spacing w:val="-4"/>
        </w:rPr>
        <w:t> </w:t>
      </w:r>
      <w:r>
        <w:rPr>
          <w:spacing w:val="-2"/>
        </w:rPr>
        <w:t>Studies</w:t>
      </w:r>
    </w:p>
    <w:p>
      <w:pPr>
        <w:spacing w:after="0" w:line="271" w:lineRule="exact"/>
        <w:jc w:val="left"/>
        <w:sectPr>
          <w:pgSz w:w="11910" w:h="16840"/>
          <w:pgMar w:header="0" w:footer="1012" w:top="1340" w:bottom="1200" w:left="1680" w:right="280"/>
        </w:sectPr>
      </w:pPr>
    </w:p>
    <w:p>
      <w:pPr>
        <w:pStyle w:val="Heading2"/>
        <w:ind w:right="678"/>
      </w:pPr>
      <w:bookmarkStart w:name="_TOC_250025" w:id="3"/>
      <w:bookmarkEnd w:id="3"/>
      <w:r>
        <w:rPr>
          <w:spacing w:val="-2"/>
        </w:rPr>
        <w:t>DEDICATION</w:t>
      </w:r>
    </w:p>
    <w:p>
      <w:pPr>
        <w:pStyle w:val="BodyText"/>
        <w:spacing w:line="480" w:lineRule="auto" w:before="272"/>
        <w:ind w:right="1159" w:firstLine="720"/>
      </w:pPr>
      <w:r>
        <w:rPr/>
        <w:t>This dissertation is dedicated to my beloved wife Mary</w:t>
      </w:r>
      <w:r>
        <w:rPr>
          <w:spacing w:val="-1"/>
        </w:rPr>
        <w:t> </w:t>
      </w:r>
      <w:r>
        <w:rPr/>
        <w:t>S. Amos, my children Charity,</w:t>
      </w:r>
      <w:r>
        <w:rPr>
          <w:spacing w:val="-1"/>
        </w:rPr>
        <w:t> </w:t>
      </w:r>
      <w:r>
        <w:rPr/>
        <w:t>Dorcas, Asa,</w:t>
      </w:r>
      <w:r>
        <w:rPr>
          <w:spacing w:val="-1"/>
        </w:rPr>
        <w:t> </w:t>
      </w:r>
      <w:r>
        <w:rPr/>
        <w:t>Jordan,</w:t>
      </w:r>
      <w:r>
        <w:rPr>
          <w:spacing w:val="-1"/>
        </w:rPr>
        <w:t> </w:t>
      </w:r>
      <w:r>
        <w:rPr/>
        <w:t>Judith</w:t>
      </w:r>
      <w:r>
        <w:rPr>
          <w:spacing w:val="-8"/>
        </w:rPr>
        <w:t> </w:t>
      </w:r>
      <w:r>
        <w:rPr/>
        <w:t>and</w:t>
      </w:r>
      <w:r>
        <w:rPr>
          <w:spacing w:val="-3"/>
        </w:rPr>
        <w:t> </w:t>
      </w:r>
      <w:r>
        <w:rPr/>
        <w:t>Othniel</w:t>
      </w:r>
      <w:r>
        <w:rPr>
          <w:spacing w:val="-8"/>
        </w:rPr>
        <w:t> </w:t>
      </w:r>
      <w:r>
        <w:rPr/>
        <w:t>and finally</w:t>
      </w:r>
      <w:r>
        <w:rPr>
          <w:spacing w:val="-3"/>
        </w:rPr>
        <w:t> </w:t>
      </w:r>
      <w:r>
        <w:rPr/>
        <w:t>my</w:t>
      </w:r>
      <w:r>
        <w:rPr>
          <w:spacing w:val="-8"/>
        </w:rPr>
        <w:t> </w:t>
      </w:r>
      <w:r>
        <w:rPr/>
        <w:t>late father</w:t>
      </w:r>
      <w:r>
        <w:rPr>
          <w:spacing w:val="-2"/>
        </w:rPr>
        <w:t> </w:t>
      </w:r>
      <w:r>
        <w:rPr/>
        <w:t>and mother for their love and motivation which propels me to work hard. I love you all.</w:t>
      </w:r>
    </w:p>
    <w:p>
      <w:pPr>
        <w:spacing w:after="0" w:line="480" w:lineRule="auto"/>
        <w:sectPr>
          <w:pgSz w:w="11910" w:h="16840"/>
          <w:pgMar w:header="0" w:footer="1012" w:top="1340" w:bottom="1200" w:left="1680" w:right="280"/>
        </w:sectPr>
      </w:pPr>
    </w:p>
    <w:p>
      <w:pPr>
        <w:pStyle w:val="Heading2"/>
        <w:ind w:left="3290"/>
        <w:jc w:val="left"/>
      </w:pPr>
      <w:r>
        <w:rPr>
          <w:spacing w:val="-2"/>
        </w:rPr>
        <w:t>ACKNOWLEDGEMENT</w:t>
      </w:r>
    </w:p>
    <w:p>
      <w:pPr>
        <w:pStyle w:val="BodyText"/>
        <w:spacing w:line="480" w:lineRule="auto" w:before="272"/>
        <w:ind w:right="1157" w:firstLine="720"/>
      </w:pPr>
      <w:r>
        <w:rPr/>
        <w:t>My first gratitude goes to God almighty for sparing my life and ordered my steps and connected every human and material resources to my favour throughout the duration of this study.</w:t>
      </w:r>
    </w:p>
    <w:p>
      <w:pPr>
        <w:pStyle w:val="BodyText"/>
        <w:spacing w:line="480" w:lineRule="auto"/>
        <w:ind w:right="1152" w:firstLine="720"/>
      </w:pPr>
      <w:r>
        <w:rPr/>
        <w:t>I wish to appreciate the tireless and ever encouraging efforts of my major supervisor, Prof. J. S. Mari, for his support and encouragement; his untiring constructive and consistent corrections that made this work a success. Thank you for sharing your depth of experience, for being accommodating, flexible and ever available and for always taking time to fully</w:t>
      </w:r>
      <w:r>
        <w:rPr>
          <w:spacing w:val="-5"/>
        </w:rPr>
        <w:t> </w:t>
      </w:r>
      <w:r>
        <w:rPr/>
        <w:t>address my concerns. May</w:t>
      </w:r>
      <w:r>
        <w:rPr>
          <w:spacing w:val="-5"/>
        </w:rPr>
        <w:t> </w:t>
      </w:r>
      <w:r>
        <w:rPr/>
        <w:t>God almighty shower such kindness to you and your children and great grand children.</w:t>
      </w:r>
    </w:p>
    <w:p>
      <w:pPr>
        <w:pStyle w:val="BodyText"/>
        <w:spacing w:line="480" w:lineRule="auto" w:before="2"/>
        <w:ind w:right="1155" w:firstLine="720"/>
      </w:pPr>
      <w:r>
        <w:rPr/>
        <w:t>I also appreciate the tireless ever encouraging effort of my second supervisor Dr. B.A. Muhammad for her enthusiasm and interest in the progress of my work. Thank you, ma, for your prompt and meaningful corrections anytime I approach you with my work; above all, thank you for your motherly advice and words of encouragement. They are highly appreciated. May God Almighty shower such kindness to you and your children and great grand children.</w:t>
      </w:r>
    </w:p>
    <w:p>
      <w:pPr>
        <w:pStyle w:val="BodyText"/>
        <w:spacing w:line="480" w:lineRule="auto" w:before="1"/>
        <w:ind w:right="1158" w:firstLine="720"/>
      </w:pPr>
      <w:r>
        <w:rPr/>
        <w:t>Similarly, I am indebted to all the lecturers in science and mathematics education</w:t>
      </w:r>
      <w:r>
        <w:rPr>
          <w:spacing w:val="-1"/>
        </w:rPr>
        <w:t> </w:t>
      </w:r>
      <w:r>
        <w:rPr/>
        <w:t>section for their useful suggestions</w:t>
      </w:r>
      <w:r>
        <w:rPr>
          <w:spacing w:val="-3"/>
        </w:rPr>
        <w:t> </w:t>
      </w:r>
      <w:r>
        <w:rPr/>
        <w:t>that helped to improve the</w:t>
      </w:r>
      <w:r>
        <w:rPr>
          <w:spacing w:val="-2"/>
        </w:rPr>
        <w:t> </w:t>
      </w:r>
      <w:r>
        <w:rPr/>
        <w:t>quality</w:t>
      </w:r>
      <w:r>
        <w:rPr>
          <w:spacing w:val="-6"/>
        </w:rPr>
        <w:t> </w:t>
      </w:r>
      <w:r>
        <w:rPr/>
        <w:t>of</w:t>
      </w:r>
      <w:r>
        <w:rPr>
          <w:spacing w:val="-9"/>
        </w:rPr>
        <w:t> </w:t>
      </w:r>
      <w:r>
        <w:rPr/>
        <w:t>the work. My appreciation also goes to Prof. Mamman Musa,</w:t>
      </w:r>
      <w:r>
        <w:rPr>
          <w:spacing w:val="80"/>
        </w:rPr>
        <w:t> </w:t>
      </w:r>
      <w:r>
        <w:rPr/>
        <w:t>Prof. A. A. M. Shaibu, Prof, S. S. Bichi, Prof. Alhaji I. Usman, Dr (Mrs) S. B. Olorukooba, Prof. M. A. Lakpini, Dr. (Mrs) T. E. Lawal, Dr. (Mrs) J. O. Olajide, Dr. (Mrs) F. K. Lawal,</w:t>
      </w:r>
      <w:r>
        <w:rPr>
          <w:spacing w:val="20"/>
        </w:rPr>
        <w:t> </w:t>
      </w:r>
      <w:r>
        <w:rPr/>
        <w:t>Prof.</w:t>
      </w:r>
    </w:p>
    <w:p>
      <w:pPr>
        <w:pStyle w:val="BodyText"/>
        <w:spacing w:line="480" w:lineRule="auto" w:before="1"/>
        <w:ind w:right="1160"/>
      </w:pPr>
      <w:r>
        <w:rPr/>
        <w:t>M. Atagoga, Dr. S. S. Obeka, Dr. (Mrs) B. Abdulkarim, Dr. M.K. Falalu, Dr. M. A. Aliyu and Dr. M. O. Ibrahim, (PG Coordinator).</w:t>
      </w:r>
    </w:p>
    <w:p>
      <w:pPr>
        <w:pStyle w:val="BodyText"/>
        <w:spacing w:line="480" w:lineRule="auto" w:before="1"/>
        <w:ind w:right="1155" w:firstLine="720"/>
      </w:pPr>
      <w:r>
        <w:rPr/>
        <w:t>A special recognition is given to my beloved wife and children, and my brothers</w:t>
      </w:r>
      <w:r>
        <w:rPr>
          <w:spacing w:val="40"/>
        </w:rPr>
        <w:t> </w:t>
      </w:r>
      <w:r>
        <w:rPr/>
        <w:t>and</w:t>
      </w:r>
      <w:r>
        <w:rPr>
          <w:spacing w:val="40"/>
        </w:rPr>
        <w:t> </w:t>
      </w:r>
      <w:r>
        <w:rPr/>
        <w:t>sisters:</w:t>
      </w:r>
      <w:r>
        <w:rPr>
          <w:spacing w:val="40"/>
        </w:rPr>
        <w:t> </w:t>
      </w:r>
      <w:r>
        <w:rPr/>
        <w:t>Joseph</w:t>
      </w:r>
      <w:r>
        <w:rPr>
          <w:spacing w:val="40"/>
        </w:rPr>
        <w:t> </w:t>
      </w:r>
      <w:r>
        <w:rPr/>
        <w:t>Kwasau,</w:t>
      </w:r>
      <w:r>
        <w:rPr>
          <w:spacing w:val="40"/>
        </w:rPr>
        <w:t> </w:t>
      </w:r>
      <w:r>
        <w:rPr/>
        <w:t>Monica</w:t>
      </w:r>
      <w:r>
        <w:rPr>
          <w:spacing w:val="63"/>
        </w:rPr>
        <w:t> </w:t>
      </w:r>
      <w:r>
        <w:rPr/>
        <w:t>Kwasau,</w:t>
      </w:r>
      <w:r>
        <w:rPr>
          <w:spacing w:val="40"/>
        </w:rPr>
        <w:t> </w:t>
      </w:r>
      <w:r>
        <w:rPr/>
        <w:t>Timothy</w:t>
      </w:r>
      <w:r>
        <w:rPr>
          <w:spacing w:val="40"/>
        </w:rPr>
        <w:t> </w:t>
      </w:r>
      <w:r>
        <w:rPr/>
        <w:t>Kwasau,</w:t>
      </w:r>
      <w:r>
        <w:rPr>
          <w:spacing w:val="40"/>
        </w:rPr>
        <w:t> </w:t>
      </w:r>
      <w:r>
        <w:rPr/>
        <w:t>Juliana</w:t>
      </w:r>
    </w:p>
    <w:p>
      <w:pPr>
        <w:spacing w:after="0" w:line="480" w:lineRule="auto"/>
        <w:sectPr>
          <w:pgSz w:w="11910" w:h="16840"/>
          <w:pgMar w:header="0" w:footer="1012" w:top="1340" w:bottom="1200" w:left="1680" w:right="280"/>
        </w:sectPr>
      </w:pPr>
    </w:p>
    <w:p>
      <w:pPr>
        <w:pStyle w:val="BodyText"/>
        <w:spacing w:line="480" w:lineRule="auto" w:before="74"/>
        <w:ind w:right="1158"/>
      </w:pPr>
      <w:r>
        <w:rPr/>
        <w:t>Kwasau, Solomon Kwasau, Lucky Kwasau, Zippora Kwasau and Philip Kwasau for their prayers, encouragement, financial and moral support throughout the course of this study, May the Almighty God reward them abundantly, you will never lack, you are bless as the sea that never dries.</w:t>
      </w:r>
    </w:p>
    <w:p>
      <w:pPr>
        <w:pStyle w:val="BodyText"/>
        <w:spacing w:line="480" w:lineRule="auto"/>
        <w:ind w:right="1153" w:firstLine="720"/>
      </w:pPr>
      <w:r>
        <w:rPr/>
        <w:t>I also thank my friends, Amos Marshall, John Iheme, Dr. Bitrus Auta, Alhaji Nasiru Shittu Getso, Isyaku Bala Zarewa, Joseph Yakubu, Wakili, Luka Angulu, Jacob Zaggi</w:t>
      </w:r>
      <w:r>
        <w:rPr>
          <w:spacing w:val="40"/>
        </w:rPr>
        <w:t> </w:t>
      </w:r>
      <w:r>
        <w:rPr/>
        <w:t>and</w:t>
      </w:r>
      <w:r>
        <w:rPr>
          <w:spacing w:val="40"/>
        </w:rPr>
        <w:t> </w:t>
      </w:r>
      <w:r>
        <w:rPr/>
        <w:t>Nuhu Isa for their prayers, encouragement, financial support and their accommodation throughout the period of my study. I am grateful to the authorities of Zonkwa Education Zone who granted me permission to use their students to collect data for the study.</w:t>
      </w:r>
    </w:p>
    <w:p>
      <w:pPr>
        <w:pStyle w:val="BodyText"/>
        <w:spacing w:line="480" w:lineRule="auto" w:before="2"/>
        <w:ind w:right="1159" w:firstLine="720"/>
      </w:pPr>
      <w:r>
        <w:rPr/>
        <w:t>Special</w:t>
      </w:r>
      <w:r>
        <w:rPr>
          <w:spacing w:val="-5"/>
        </w:rPr>
        <w:t> </w:t>
      </w:r>
      <w:r>
        <w:rPr/>
        <w:t>thanks</w:t>
      </w:r>
      <w:r>
        <w:rPr>
          <w:spacing w:val="-3"/>
        </w:rPr>
        <w:t> </w:t>
      </w:r>
      <w:r>
        <w:rPr/>
        <w:t>goes</w:t>
      </w:r>
      <w:r>
        <w:rPr>
          <w:spacing w:val="-3"/>
        </w:rPr>
        <w:t> </w:t>
      </w:r>
      <w:r>
        <w:rPr/>
        <w:t>to my</w:t>
      </w:r>
      <w:r>
        <w:rPr>
          <w:spacing w:val="-1"/>
        </w:rPr>
        <w:t> </w:t>
      </w:r>
      <w:r>
        <w:rPr/>
        <w:t>special</w:t>
      </w:r>
      <w:r>
        <w:rPr>
          <w:spacing w:val="-1"/>
        </w:rPr>
        <w:t> </w:t>
      </w:r>
      <w:r>
        <w:rPr/>
        <w:t>and humble friends Victor Yahaya, Patience Saaka, Christopher Saba, Yohanna Aruwan, Ilisha Usman and Barnabas Daniya who were there for me in every difficult time.</w:t>
      </w:r>
    </w:p>
    <w:p>
      <w:pPr>
        <w:pStyle w:val="BodyText"/>
        <w:spacing w:line="480" w:lineRule="auto"/>
        <w:ind w:right="1158" w:firstLine="720"/>
      </w:pPr>
      <w:r>
        <w:rPr/>
        <w:t>I</w:t>
      </w:r>
      <w:r>
        <w:rPr>
          <w:spacing w:val="-2"/>
        </w:rPr>
        <w:t> </w:t>
      </w:r>
      <w:r>
        <w:rPr/>
        <w:t>also</w:t>
      </w:r>
      <w:r>
        <w:rPr>
          <w:spacing w:val="-3"/>
        </w:rPr>
        <w:t> </w:t>
      </w:r>
      <w:r>
        <w:rPr/>
        <w:t>thank</w:t>
      </w:r>
      <w:r>
        <w:rPr>
          <w:spacing w:val="-3"/>
        </w:rPr>
        <w:t> </w:t>
      </w:r>
      <w:r>
        <w:rPr/>
        <w:t>Dr. U.G.</w:t>
      </w:r>
      <w:r>
        <w:rPr>
          <w:spacing w:val="-1"/>
        </w:rPr>
        <w:t> </w:t>
      </w:r>
      <w:r>
        <w:rPr/>
        <w:t>Ginga</w:t>
      </w:r>
      <w:r>
        <w:rPr>
          <w:spacing w:val="-4"/>
        </w:rPr>
        <w:t> </w:t>
      </w:r>
      <w:r>
        <w:rPr/>
        <w:t>and</w:t>
      </w:r>
      <w:r>
        <w:rPr>
          <w:spacing w:val="-3"/>
        </w:rPr>
        <w:t> </w:t>
      </w:r>
      <w:r>
        <w:rPr/>
        <w:t>Mal. Abdulkarim</w:t>
      </w:r>
      <w:r>
        <w:rPr>
          <w:spacing w:val="-7"/>
        </w:rPr>
        <w:t> </w:t>
      </w:r>
      <w:r>
        <w:rPr/>
        <w:t>Shehu</w:t>
      </w:r>
      <w:r>
        <w:rPr>
          <w:spacing w:val="-3"/>
        </w:rPr>
        <w:t> </w:t>
      </w:r>
      <w:r>
        <w:rPr/>
        <w:t>who assisted</w:t>
      </w:r>
      <w:r>
        <w:rPr>
          <w:spacing w:val="-3"/>
        </w:rPr>
        <w:t> </w:t>
      </w:r>
      <w:r>
        <w:rPr/>
        <w:t>with</w:t>
      </w:r>
      <w:r>
        <w:rPr>
          <w:spacing w:val="-8"/>
        </w:rPr>
        <w:t> </w:t>
      </w:r>
      <w:r>
        <w:rPr/>
        <w:t>the data analysis, Mrs. Shobayo Evelyn and Mal. Abdullahi Danjuma who assisted in typing and setting this dissertation.</w:t>
      </w:r>
    </w:p>
    <w:p>
      <w:pPr>
        <w:pStyle w:val="BodyText"/>
        <w:spacing w:line="480" w:lineRule="auto" w:before="1"/>
        <w:ind w:right="1158" w:firstLine="720"/>
      </w:pPr>
      <w:r>
        <w:rPr/>
        <w:t>I am also very grateful to my spiritual fathers Rev. Fr. (Dr.) Emmanuel Kaah Kure, Rev. Jonathan Kinchai and Rev. Nathan Waziri for their prayers, moral and spiritual advice and who were there for me for financial support. May your oil of anointing never run dry. May God Almighty give you more strength, long life and </w:t>
      </w:r>
      <w:r>
        <w:rPr>
          <w:spacing w:val="-2"/>
        </w:rPr>
        <w:t>prosperity.</w:t>
      </w:r>
    </w:p>
    <w:p>
      <w:pPr>
        <w:pStyle w:val="BodyText"/>
        <w:spacing w:line="480" w:lineRule="auto" w:before="1"/>
        <w:ind w:right="1158" w:firstLine="720"/>
      </w:pPr>
      <w:r>
        <w:rPr/>
        <w:t>Finally, I am also grateful to all my colleagues of 2014/2015 class.</w:t>
      </w:r>
      <w:r>
        <w:rPr>
          <w:spacing w:val="80"/>
        </w:rPr>
        <w:t> </w:t>
      </w:r>
      <w:r>
        <w:rPr/>
        <w:t>You people are simply awesome. I LOVE YOU ALL.</w:t>
      </w:r>
    </w:p>
    <w:p>
      <w:pPr>
        <w:spacing w:after="0" w:line="480" w:lineRule="auto"/>
        <w:sectPr>
          <w:pgSz w:w="11910" w:h="16840"/>
          <w:pgMar w:header="0" w:footer="1012" w:top="1340" w:bottom="1200" w:left="1680" w:right="280"/>
        </w:sectPr>
      </w:pPr>
    </w:p>
    <w:p>
      <w:pPr>
        <w:pStyle w:val="Heading2"/>
        <w:ind w:right="676"/>
      </w:pPr>
      <w:bookmarkStart w:name="_TOC_250024" w:id="4"/>
      <w:bookmarkEnd w:id="4"/>
      <w:r>
        <w:rPr>
          <w:spacing w:val="-2"/>
        </w:rPr>
        <w:t>ABSTRACT</w:t>
      </w:r>
    </w:p>
    <w:p>
      <w:pPr>
        <w:pStyle w:val="BodyText"/>
        <w:spacing w:line="276" w:lineRule="auto" w:before="272"/>
        <w:ind w:right="1155" w:firstLine="720"/>
      </w:pPr>
      <w:r>
        <w:rPr/>
        <w:t>The study investigated the Relationship of Emotional-intelligence, Reasoning ability, and Self-efficacy as Predictors of Achievement of Senior Secondary School Chemistry Student. The research design for the study was correlation survey design. The instruments used for the study were the Trait Emotional-Intelligence Questionnaire (TEIQue), Group Assessment of Logical Thinking (GALT) and Chemistry Self – Efficacy Instrument (CSI) while the student (MOCK) examination result was used as chemistry achievement scores. The reliability coefficient of the instruments are as follow; Trait Emotional-Intelligence Questionnaire (TEIQue) = 0.80, Group Assessment of Logical Thinking (GALT) = 0.85, Chemistry Self – Efficacy Instrument (CSI) = 0.75 and MOCK exam = 0.82.</w:t>
      </w:r>
      <w:r>
        <w:rPr>
          <w:spacing w:val="40"/>
        </w:rPr>
        <w:t> </w:t>
      </w:r>
      <w:r>
        <w:rPr/>
        <w:t>The participant in the study were 152 (89 male, 63 female) secondary school students from Zonkwa Education Zone, Kaduna State, Nigeria, with average age of 17 years. Random sampling was used to select the schools, while intact classes were used. To guide the study</w:t>
      </w:r>
      <w:r>
        <w:rPr>
          <w:spacing w:val="16"/>
        </w:rPr>
        <w:t> </w:t>
      </w:r>
      <w:r>
        <w:rPr/>
        <w:t>four</w:t>
      </w:r>
      <w:r>
        <w:rPr>
          <w:spacing w:val="25"/>
        </w:rPr>
        <w:t> </w:t>
      </w:r>
      <w:r>
        <w:rPr/>
        <w:t>research</w:t>
      </w:r>
      <w:r>
        <w:rPr>
          <w:spacing w:val="19"/>
        </w:rPr>
        <w:t> </w:t>
      </w:r>
      <w:r>
        <w:rPr/>
        <w:t>questions</w:t>
      </w:r>
      <w:r>
        <w:rPr>
          <w:spacing w:val="21"/>
        </w:rPr>
        <w:t> </w:t>
      </w:r>
      <w:r>
        <w:rPr/>
        <w:t>and</w:t>
      </w:r>
      <w:r>
        <w:rPr>
          <w:spacing w:val="28"/>
        </w:rPr>
        <w:t> </w:t>
      </w:r>
      <w:r>
        <w:rPr/>
        <w:t>four</w:t>
      </w:r>
      <w:r>
        <w:rPr>
          <w:spacing w:val="25"/>
        </w:rPr>
        <w:t> </w:t>
      </w:r>
      <w:r>
        <w:rPr/>
        <w:t>null</w:t>
      </w:r>
      <w:r>
        <w:rPr>
          <w:spacing w:val="23"/>
        </w:rPr>
        <w:t> </w:t>
      </w:r>
      <w:r>
        <w:rPr/>
        <w:t>hypotheses</w:t>
      </w:r>
      <w:r>
        <w:rPr>
          <w:spacing w:val="22"/>
        </w:rPr>
        <w:t> </w:t>
      </w:r>
      <w:r>
        <w:rPr/>
        <w:t>were</w:t>
      </w:r>
      <w:r>
        <w:rPr>
          <w:spacing w:val="23"/>
        </w:rPr>
        <w:t> </w:t>
      </w:r>
      <w:r>
        <w:rPr/>
        <w:t>generated</w:t>
      </w:r>
      <w:r>
        <w:rPr>
          <w:spacing w:val="23"/>
        </w:rPr>
        <w:t> </w:t>
      </w:r>
      <w:r>
        <w:rPr/>
        <w:t>and</w:t>
      </w:r>
      <w:r>
        <w:rPr>
          <w:spacing w:val="24"/>
        </w:rPr>
        <w:t> </w:t>
      </w:r>
      <w:r>
        <w:rPr/>
        <w:t>tested</w:t>
      </w:r>
      <w:r>
        <w:rPr>
          <w:spacing w:val="24"/>
        </w:rPr>
        <w:t> </w:t>
      </w:r>
      <w:r>
        <w:rPr>
          <w:spacing w:val="-5"/>
        </w:rPr>
        <w:t>at</w:t>
      </w:r>
    </w:p>
    <w:p>
      <w:pPr>
        <w:pStyle w:val="BodyText"/>
        <w:spacing w:line="276" w:lineRule="auto" w:before="3"/>
        <w:ind w:right="1151"/>
      </w:pPr>
      <w:r>
        <w:rPr/>
        <w:t>0.05 level of significance. The responses of the students to the instruments were scored and analyzed using descriptive statistics of means and standard deviations; the Pearson Product Moment Correlation Coefficient and Analysis of Variance MANOVA</w:t>
      </w:r>
      <w:r>
        <w:rPr>
          <w:spacing w:val="-6"/>
        </w:rPr>
        <w:t> </w:t>
      </w:r>
      <w:r>
        <w:rPr/>
        <w:t>were</w:t>
      </w:r>
      <w:r>
        <w:rPr>
          <w:spacing w:val="-1"/>
        </w:rPr>
        <w:t> </w:t>
      </w:r>
      <w:r>
        <w:rPr/>
        <w:t>used to test correlation at P</w:t>
      </w:r>
      <w:r>
        <w:rPr>
          <w:u w:val="single"/>
        </w:rPr>
        <w:t>&lt;</w:t>
      </w:r>
      <w:r>
        <w:rPr>
          <w:spacing w:val="-1"/>
        </w:rPr>
        <w:t> </w:t>
      </w:r>
      <w:r>
        <w:rPr/>
        <w:t>0.05. The</w:t>
      </w:r>
      <w:r>
        <w:rPr>
          <w:spacing w:val="-1"/>
        </w:rPr>
        <w:t> </w:t>
      </w:r>
      <w:r>
        <w:rPr/>
        <w:t>results showed that there</w:t>
      </w:r>
      <w:r>
        <w:rPr>
          <w:spacing w:val="-1"/>
        </w:rPr>
        <w:t> </w:t>
      </w:r>
      <w:r>
        <w:rPr/>
        <w:t>was a significant positive relationship among emotional intelligence, reasoning ability, self-efficacy and academic achievement in chemistry. The results also indicated that there was a significant positive relationship among emotional intelligence, reasoning ability, self</w:t>
      </w:r>
      <w:r>
        <w:rPr>
          <w:spacing w:val="-2"/>
        </w:rPr>
        <w:t> </w:t>
      </w:r>
      <w:r>
        <w:rPr/>
        <w:t>– efficacy</w:t>
      </w:r>
      <w:r>
        <w:rPr>
          <w:spacing w:val="-1"/>
        </w:rPr>
        <w:t> </w:t>
      </w:r>
      <w:r>
        <w:rPr/>
        <w:t>and academic achievement of</w:t>
      </w:r>
      <w:r>
        <w:rPr>
          <w:spacing w:val="-4"/>
        </w:rPr>
        <w:t> </w:t>
      </w:r>
      <w:r>
        <w:rPr/>
        <w:t>SS II male students, SS II female students and their academic achievement in chemistry. The results further indicated</w:t>
      </w:r>
      <w:r>
        <w:rPr>
          <w:spacing w:val="80"/>
        </w:rPr>
        <w:t> </w:t>
      </w:r>
      <w:r>
        <w:rPr/>
        <w:t>no significant differences between SS II male and female mean scores in chemistry, emotional intelligence, reasoning ability and self efficacy. It was therefore concluded that emotional – intelligence, reasoning ability and self – efficacy are predictors of achievement in chemistry. Self efficacy being the strongest positive predictor while reasoning ability being the least positive predictor. It is recommended that science teachers should encourage their students to develop positive emotional-intelligence, strong reasoning ability and self-efficacy towards learning chemistry so as to perform better in natural science.</w:t>
      </w:r>
    </w:p>
    <w:p>
      <w:pPr>
        <w:pStyle w:val="BodyText"/>
        <w:ind w:left="0"/>
        <w:jc w:val="left"/>
      </w:pPr>
    </w:p>
    <w:p>
      <w:pPr>
        <w:pStyle w:val="BodyText"/>
        <w:ind w:left="0"/>
        <w:jc w:val="left"/>
      </w:pPr>
    </w:p>
    <w:p>
      <w:pPr>
        <w:pStyle w:val="BodyText"/>
        <w:ind w:left="0"/>
        <w:jc w:val="left"/>
      </w:pPr>
    </w:p>
    <w:p>
      <w:pPr>
        <w:pStyle w:val="BodyText"/>
        <w:spacing w:before="275"/>
        <w:ind w:left="0"/>
        <w:jc w:val="left"/>
      </w:pPr>
    </w:p>
    <w:p>
      <w:pPr>
        <w:pStyle w:val="BodyText"/>
        <w:spacing w:line="242" w:lineRule="auto"/>
        <w:jc w:val="left"/>
      </w:pPr>
      <w:r>
        <w:rPr>
          <w:b/>
        </w:rPr>
        <w:t>KEYWORDS:</w:t>
      </w:r>
      <w:r>
        <w:rPr>
          <w:b/>
          <w:spacing w:val="40"/>
        </w:rPr>
        <w:t> </w:t>
      </w:r>
      <w:r>
        <w:rPr/>
        <w:t>Emotional-intelligence,</w:t>
      </w:r>
      <w:r>
        <w:rPr>
          <w:spacing w:val="40"/>
        </w:rPr>
        <w:t> </w:t>
      </w:r>
      <w:r>
        <w:rPr/>
        <w:t>Reasoning</w:t>
      </w:r>
      <w:r>
        <w:rPr>
          <w:spacing w:val="40"/>
        </w:rPr>
        <w:t> </w:t>
      </w:r>
      <w:r>
        <w:rPr/>
        <w:t>ability,</w:t>
      </w:r>
      <w:r>
        <w:rPr>
          <w:spacing w:val="40"/>
        </w:rPr>
        <w:t> </w:t>
      </w:r>
      <w:r>
        <w:rPr/>
        <w:t>Self-efficacy,</w:t>
      </w:r>
      <w:r>
        <w:rPr>
          <w:spacing w:val="40"/>
        </w:rPr>
        <w:t> </w:t>
      </w:r>
      <w:r>
        <w:rPr/>
        <w:t>Academic achievement, Relationship, Predictors.</w:t>
      </w:r>
    </w:p>
    <w:p>
      <w:pPr>
        <w:spacing w:after="0" w:line="242" w:lineRule="auto"/>
        <w:jc w:val="left"/>
        <w:sectPr>
          <w:pgSz w:w="11910" w:h="16840"/>
          <w:pgMar w:header="0" w:footer="1012" w:top="1340" w:bottom="1200" w:left="1680" w:right="280"/>
        </w:sectPr>
      </w:pPr>
    </w:p>
    <w:p>
      <w:pPr>
        <w:pStyle w:val="Heading2"/>
        <w:ind w:right="680"/>
      </w:pPr>
      <w:bookmarkStart w:name="_TOC_250023" w:id="5"/>
      <w:r>
        <w:rPr/>
        <w:t>TABLE</w:t>
      </w:r>
      <w:r>
        <w:rPr>
          <w:spacing w:val="-1"/>
        </w:rPr>
        <w:t> </w:t>
      </w:r>
      <w:r>
        <w:rPr/>
        <w:t>OF</w:t>
      </w:r>
      <w:r>
        <w:rPr>
          <w:spacing w:val="-1"/>
        </w:rPr>
        <w:t> </w:t>
      </w:r>
      <w:bookmarkEnd w:id="5"/>
      <w:r>
        <w:rPr>
          <w:spacing w:val="-2"/>
        </w:rPr>
        <w:t>CONTENTS</w:t>
      </w:r>
    </w:p>
    <w:p>
      <w:pPr>
        <w:pStyle w:val="BodyText"/>
        <w:tabs>
          <w:tab w:pos="8404" w:val="left" w:leader="none"/>
        </w:tabs>
        <w:spacing w:before="272"/>
        <w:jc w:val="left"/>
      </w:pPr>
      <w:r>
        <w:rPr>
          <w:spacing w:val="-2"/>
        </w:rPr>
        <w:t>TITLE</w:t>
      </w:r>
      <w:r>
        <w:rPr/>
        <w:tab/>
      </w:r>
      <w:r>
        <w:rPr>
          <w:spacing w:val="-4"/>
        </w:rPr>
        <w:t>PAGE</w:t>
      </w:r>
    </w:p>
    <w:p>
      <w:pPr>
        <w:pStyle w:val="BodyText"/>
        <w:ind w:left="0"/>
        <w:jc w:val="left"/>
      </w:pPr>
    </w:p>
    <w:p>
      <w:pPr>
        <w:pStyle w:val="BodyText"/>
        <w:tabs>
          <w:tab w:pos="1921" w:val="left" w:leader="none"/>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404" w:val="left" w:leader="none"/>
        </w:tabs>
        <w:jc w:val="left"/>
      </w:pPr>
      <w:r>
        <w:rPr/>
        <w:t>Title</w:t>
      </w:r>
      <w:r>
        <w:rPr>
          <w:spacing w:val="-9"/>
        </w:rPr>
        <w:t> </w:t>
      </w:r>
      <w:r>
        <w:rPr>
          <w:spacing w:val="-4"/>
        </w:rPr>
        <w:t>Page</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i</w:t>
      </w:r>
    </w:p>
    <w:p>
      <w:pPr>
        <w:spacing w:after="0"/>
        <w:jc w:val="left"/>
        <w:sectPr>
          <w:pgSz w:w="11910" w:h="16840"/>
          <w:pgMar w:header="0" w:footer="1012" w:top="1340" w:bottom="1878" w:left="1680" w:right="280"/>
        </w:sectPr>
      </w:pPr>
    </w:p>
    <w:sdt>
      <w:sdtPr>
        <w:docPartObj>
          <w:docPartGallery w:val="Table of Contents"/>
          <w:docPartUnique/>
        </w:docPartObj>
      </w:sdtPr>
      <w:sdtEndPr/>
      <w:sdtContent>
        <w:p>
          <w:pPr>
            <w:pStyle w:val="TOC2"/>
            <w:tabs>
              <w:tab w:pos="1921" w:val="left" w:leader="none"/>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538" w:val="right" w:leader="none"/>
            </w:tabs>
            <w:ind w:left="480" w:firstLine="0"/>
          </w:pPr>
          <w:hyperlink w:history="true" w:anchor="_TOC_250027">
            <w:r>
              <w:rPr>
                <w:spacing w:val="-2"/>
              </w:rPr>
              <w:t>Declaration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ii</w:t>
            </w:r>
          </w:hyperlink>
        </w:p>
        <w:p>
          <w:pPr>
            <w:pStyle w:val="TOC2"/>
            <w:tabs>
              <w:tab w:pos="1921" w:val="left" w:leader="none"/>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605" w:val="right" w:leader="none"/>
            </w:tabs>
            <w:ind w:left="480" w:firstLine="0"/>
          </w:pPr>
          <w:hyperlink w:history="true" w:anchor="_TOC_250026">
            <w:r>
              <w:rPr>
                <w:spacing w:val="-2"/>
              </w:rPr>
              <w:t>Certification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iii</w:t>
            </w:r>
          </w:hyperlink>
        </w:p>
        <w:p>
          <w:pPr>
            <w:pStyle w:val="TOC2"/>
            <w:tabs>
              <w:tab w:pos="1921" w:val="left" w:leader="none"/>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582" w:val="right" w:leader="none"/>
            </w:tabs>
            <w:spacing w:before="277"/>
            <w:ind w:left="480" w:firstLine="0"/>
          </w:pPr>
          <w:hyperlink w:history="true" w:anchor="_TOC_250025">
            <w:r>
              <w:rPr>
                <w:spacing w:val="-2"/>
              </w:rPr>
              <w:t>Dedication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iv</w:t>
            </w:r>
          </w:hyperlink>
        </w:p>
        <w:p>
          <w:pPr>
            <w:pStyle w:val="TOC2"/>
            <w:tabs>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524" w:val="right" w:leader="none"/>
            </w:tabs>
            <w:ind w:left="480" w:firstLine="0"/>
          </w:pPr>
          <w:r>
            <w:rPr>
              <w:spacing w:val="-2"/>
            </w:rPr>
            <w:t>Acknowledgements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v</w:t>
          </w:r>
        </w:p>
        <w:p>
          <w:pPr>
            <w:pStyle w:val="TOC2"/>
            <w:tabs>
              <w:tab w:pos="1921" w:val="left" w:leader="none"/>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657" w:val="right" w:leader="none"/>
            </w:tabs>
            <w:ind w:left="480" w:firstLine="0"/>
          </w:pPr>
          <w:hyperlink w:history="true" w:anchor="_TOC_250024">
            <w:r>
              <w:rPr>
                <w:spacing w:val="-2"/>
              </w:rPr>
              <w:t>Abstract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vii</w:t>
            </w:r>
          </w:hyperlink>
        </w:p>
        <w:p>
          <w:pPr>
            <w:pStyle w:val="TOC2"/>
            <w:tabs>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725" w:val="right" w:leader="none"/>
            </w:tabs>
            <w:ind w:left="480" w:firstLine="0"/>
          </w:pPr>
          <w:hyperlink w:history="true" w:anchor="_TOC_250023">
            <w:r>
              <w:rPr/>
              <w:t>Table of</w:t>
            </w:r>
            <w:r>
              <w:rPr>
                <w:spacing w:val="-6"/>
              </w:rPr>
              <w:t> </w:t>
            </w:r>
            <w:r>
              <w:rPr>
                <w:spacing w:val="-2"/>
              </w:rPr>
              <w:t>Contents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4"/>
              </w:rPr>
              <w:t>viii</w:t>
            </w:r>
          </w:hyperlink>
        </w:p>
        <w:p>
          <w:pPr>
            <w:pStyle w:val="TOC2"/>
            <w:tabs>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590" w:val="right" w:leader="none"/>
            </w:tabs>
            <w:ind w:left="480" w:firstLine="0"/>
          </w:pPr>
          <w:hyperlink w:history="true" w:anchor="_TOC_250022">
            <w:r>
              <w:rPr/>
              <w:t>List</w:t>
            </w:r>
            <w:r>
              <w:rPr>
                <w:spacing w:val="-2"/>
              </w:rPr>
              <w:t> </w:t>
            </w:r>
            <w:r>
              <w:rPr/>
              <w:t>of</w:t>
            </w:r>
            <w:r>
              <w:rPr>
                <w:spacing w:val="-7"/>
              </w:rPr>
              <w:t> </w:t>
            </w:r>
            <w:r>
              <w:rPr/>
              <w:t>Tables</w:t>
            </w:r>
            <w:r>
              <w:rPr>
                <w:spacing w:val="48"/>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xi</w:t>
            </w:r>
          </w:hyperlink>
        </w:p>
        <w:p>
          <w:pPr>
            <w:pStyle w:val="TOC2"/>
            <w:tabs>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658" w:val="right" w:leader="none"/>
            </w:tabs>
            <w:ind w:left="480" w:firstLine="0"/>
          </w:pPr>
          <w:hyperlink w:history="true" w:anchor="_TOC_250021">
            <w:r>
              <w:rPr/>
              <w:t>List</w:t>
            </w:r>
            <w:r>
              <w:rPr>
                <w:spacing w:val="-4"/>
              </w:rPr>
              <w:t> </w:t>
            </w:r>
            <w:r>
              <w:rPr/>
              <w:t>of</w:t>
            </w:r>
            <w:r>
              <w:rPr>
                <w:spacing w:val="-7"/>
              </w:rPr>
              <w:t> </w:t>
            </w:r>
            <w:r>
              <w:rPr/>
              <w:t>Figures</w:t>
            </w:r>
            <w:r>
              <w:rPr>
                <w:spacing w:val="-28"/>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xii</w:t>
            </w:r>
          </w:hyperlink>
        </w:p>
        <w:p>
          <w:pPr>
            <w:pStyle w:val="TOC2"/>
            <w:tabs>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725" w:val="right" w:leader="none"/>
            </w:tabs>
            <w:spacing w:before="277"/>
            <w:ind w:left="480" w:firstLine="0"/>
          </w:pPr>
          <w:hyperlink w:history="true" w:anchor="_TOC_250020">
            <w:r>
              <w:rPr/>
              <w:t>List of</w:t>
            </w:r>
            <w:r>
              <w:rPr>
                <w:spacing w:val="-2"/>
              </w:rPr>
              <w:t> Appendices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4"/>
              </w:rPr>
              <w:t>xiii</w:t>
            </w:r>
          </w:hyperlink>
        </w:p>
        <w:p>
          <w:pPr>
            <w:pStyle w:val="TOC2"/>
            <w:tabs>
              <w:tab w:pos="3361" w:val="left" w:leader="none"/>
              <w:tab w:pos="4082" w:val="left" w:leader="none"/>
              <w:tab w:pos="4802" w:val="left" w:leader="none"/>
              <w:tab w:pos="5522" w:val="left" w:leader="none"/>
              <w:tab w:pos="6243" w:val="left" w:leader="none"/>
              <w:tab w:pos="6963" w:val="left" w:leader="none"/>
              <w:tab w:pos="7683" w:val="left" w:leader="none"/>
              <w:tab w:pos="8706" w:val="right" w:leader="none"/>
            </w:tabs>
            <w:ind w:left="480" w:firstLine="0"/>
          </w:pPr>
          <w:r>
            <w:rPr/>
            <w:t>List</w:t>
          </w:r>
          <w:r>
            <w:rPr>
              <w:spacing w:val="-2"/>
            </w:rPr>
            <w:t> </w:t>
          </w:r>
          <w:r>
            <w:rPr/>
            <w:t>of</w:t>
          </w:r>
          <w:r>
            <w:rPr>
              <w:spacing w:val="-4"/>
            </w:rPr>
            <w:t> </w:t>
          </w:r>
          <w:r>
            <w:rPr/>
            <w:t>Abbreviations</w:t>
          </w:r>
          <w:r>
            <w:rPr>
              <w:spacing w:val="46"/>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xiv</w:t>
          </w:r>
        </w:p>
        <w:p>
          <w:pPr>
            <w:pStyle w:val="TOC2"/>
            <w:tabs>
              <w:tab w:pos="4082" w:val="left" w:leader="none"/>
              <w:tab w:pos="4802" w:val="left" w:leader="none"/>
              <w:tab w:pos="5522" w:val="left" w:leader="none"/>
              <w:tab w:pos="6243" w:val="left" w:leader="none"/>
              <w:tab w:pos="6963" w:val="left" w:leader="none"/>
              <w:tab w:pos="7683" w:val="left" w:leader="none"/>
              <w:tab w:pos="8644" w:val="right" w:leader="none"/>
            </w:tabs>
            <w:ind w:left="480" w:firstLine="0"/>
          </w:pPr>
          <w:hyperlink w:history="true" w:anchor="_TOC_250019">
            <w:r>
              <w:rPr/>
              <w:t>Operational</w:t>
            </w:r>
            <w:r>
              <w:rPr>
                <w:spacing w:val="-5"/>
              </w:rPr>
              <w:t> </w:t>
            </w:r>
            <w:r>
              <w:rPr/>
              <w:t>Definition</w:t>
            </w:r>
            <w:r>
              <w:rPr>
                <w:spacing w:val="-5"/>
              </w:rPr>
              <w:t> </w:t>
            </w:r>
            <w:r>
              <w:rPr/>
              <w:t>of</w:t>
            </w:r>
            <w:r>
              <w:rPr>
                <w:spacing w:val="-7"/>
              </w:rPr>
              <w:t> </w:t>
            </w:r>
            <w:r>
              <w:rPr>
                <w:spacing w:val="-4"/>
              </w:rPr>
              <w:t>Terms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xv</w:t>
            </w:r>
          </w:hyperlink>
        </w:p>
        <w:p>
          <w:pPr>
            <w:pStyle w:val="TOC1"/>
            <w:spacing w:before="281"/>
          </w:pPr>
          <w:hyperlink w:history="true" w:anchor="_TOC_250018">
            <w:r>
              <w:rPr/>
              <w:t>CHAPTER</w:t>
            </w:r>
            <w:r>
              <w:rPr>
                <w:spacing w:val="-3"/>
              </w:rPr>
              <w:t> </w:t>
            </w:r>
            <w:r>
              <w:rPr/>
              <w:t>ONE:</w:t>
            </w:r>
            <w:r>
              <w:rPr>
                <w:spacing w:val="-2"/>
              </w:rPr>
              <w:t> </w:t>
            </w:r>
            <w:r>
              <w:rPr/>
              <w:t>THE</w:t>
            </w:r>
            <w:r>
              <w:rPr>
                <w:spacing w:val="-3"/>
              </w:rPr>
              <w:t> </w:t>
            </w:r>
            <w:r>
              <w:rPr>
                <w:spacing w:val="-2"/>
              </w:rPr>
              <w:t>PROBLEM</w:t>
            </w:r>
          </w:hyperlink>
        </w:p>
        <w:p>
          <w:pPr>
            <w:pStyle w:val="TOC2"/>
            <w:numPr>
              <w:ilvl w:val="1"/>
              <w:numId w:val="1"/>
            </w:numPr>
            <w:tabs>
              <w:tab w:pos="1200" w:val="left" w:leader="none"/>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524" w:val="right" w:leader="none"/>
            </w:tabs>
            <w:spacing w:line="240" w:lineRule="auto" w:before="271" w:after="0"/>
            <w:ind w:left="1200" w:right="0" w:hanging="720"/>
            <w:jc w:val="left"/>
          </w:pPr>
          <w:hyperlink w:history="true" w:anchor="_TOC_250017">
            <w:r>
              <w:rPr>
                <w:spacing w:val="-2"/>
              </w:rPr>
              <w:t>Introduction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1</w:t>
            </w:r>
          </w:hyperlink>
        </w:p>
        <w:p>
          <w:pPr>
            <w:pStyle w:val="TOC2"/>
            <w:numPr>
              <w:ilvl w:val="2"/>
              <w:numId w:val="1"/>
            </w:numPr>
            <w:tabs>
              <w:tab w:pos="1200" w:val="left" w:leader="none"/>
              <w:tab w:pos="4082" w:val="left" w:leader="none"/>
              <w:tab w:pos="4802" w:val="left" w:leader="none"/>
              <w:tab w:pos="5522" w:val="left" w:leader="none"/>
              <w:tab w:pos="6243" w:val="left" w:leader="none"/>
              <w:tab w:pos="6963" w:val="left" w:leader="none"/>
              <w:tab w:pos="7683" w:val="left" w:leader="none"/>
              <w:tab w:pos="8644" w:val="right" w:leader="none"/>
            </w:tabs>
            <w:spacing w:line="240" w:lineRule="auto" w:before="276" w:after="0"/>
            <w:ind w:left="1200" w:right="0" w:hanging="720"/>
            <w:jc w:val="left"/>
          </w:pPr>
          <w:hyperlink w:history="true" w:anchor="_TOC_250016">
            <w:r>
              <w:rPr/>
              <w:t>Theoretical</w:t>
            </w:r>
            <w:r>
              <w:rPr>
                <w:spacing w:val="-7"/>
              </w:rPr>
              <w:t> </w:t>
            </w:r>
            <w:r>
              <w:rPr>
                <w:spacing w:val="-2"/>
              </w:rPr>
              <w:t>Framework</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13</w:t>
            </w:r>
          </w:hyperlink>
        </w:p>
        <w:p>
          <w:pPr>
            <w:pStyle w:val="TOC2"/>
            <w:numPr>
              <w:ilvl w:val="1"/>
              <w:numId w:val="1"/>
            </w:numPr>
            <w:tabs>
              <w:tab w:pos="1200" w:val="left" w:leader="none"/>
              <w:tab w:pos="4082" w:val="left" w:leader="none"/>
              <w:tab w:pos="4802" w:val="left" w:leader="none"/>
              <w:tab w:pos="5522" w:val="left" w:leader="none"/>
              <w:tab w:pos="6243" w:val="left" w:leader="none"/>
              <w:tab w:pos="6963" w:val="left" w:leader="none"/>
              <w:tab w:pos="7683" w:val="left" w:leader="none"/>
              <w:tab w:pos="8644" w:val="right" w:leader="none"/>
            </w:tabs>
            <w:spacing w:line="240" w:lineRule="auto" w:before="277" w:after="0"/>
            <w:ind w:left="1200" w:right="0" w:hanging="720"/>
            <w:jc w:val="left"/>
          </w:pPr>
          <w:hyperlink w:history="true" w:anchor="_TOC_250015">
            <w:r>
              <w:rPr/>
              <w:t>Statement of</w:t>
            </w:r>
            <w:r>
              <w:rPr>
                <w:spacing w:val="-8"/>
              </w:rPr>
              <w:t> </w:t>
            </w:r>
            <w:r>
              <w:rPr/>
              <w:t>the </w:t>
            </w:r>
            <w:r>
              <w:rPr>
                <w:spacing w:val="-2"/>
              </w:rPr>
              <w:t>Problem</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16</w:t>
            </w:r>
          </w:hyperlink>
        </w:p>
        <w:p>
          <w:pPr>
            <w:pStyle w:val="TOC2"/>
            <w:numPr>
              <w:ilvl w:val="1"/>
              <w:numId w:val="1"/>
            </w:numPr>
            <w:tabs>
              <w:tab w:pos="1200" w:val="left" w:leader="none"/>
              <w:tab w:pos="4082" w:val="left" w:leader="none"/>
              <w:tab w:pos="4802" w:val="left" w:leader="none"/>
              <w:tab w:pos="5522" w:val="left" w:leader="none"/>
              <w:tab w:pos="6243" w:val="left" w:leader="none"/>
              <w:tab w:pos="6963" w:val="left" w:leader="none"/>
              <w:tab w:pos="7683" w:val="left" w:leader="none"/>
              <w:tab w:pos="8644" w:val="right" w:leader="none"/>
            </w:tabs>
            <w:spacing w:line="240" w:lineRule="auto" w:before="276" w:after="0"/>
            <w:ind w:left="1200" w:right="0" w:hanging="720"/>
            <w:jc w:val="left"/>
          </w:pPr>
          <w:hyperlink w:history="true" w:anchor="_TOC_250014">
            <w:r>
              <w:rPr/>
              <w:t>Objectives of</w:t>
            </w:r>
            <w:r>
              <w:rPr>
                <w:spacing w:val="-6"/>
              </w:rPr>
              <w:t> </w:t>
            </w:r>
            <w:r>
              <w:rPr/>
              <w:t>the</w:t>
            </w:r>
            <w:r>
              <w:rPr>
                <w:spacing w:val="1"/>
              </w:rPr>
              <w:t> </w:t>
            </w:r>
            <w:r>
              <w:rPr>
                <w:spacing w:val="-4"/>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18</w:t>
            </w:r>
          </w:hyperlink>
        </w:p>
        <w:p>
          <w:pPr>
            <w:pStyle w:val="TOC2"/>
            <w:numPr>
              <w:ilvl w:val="1"/>
              <w:numId w:val="1"/>
            </w:numPr>
            <w:tabs>
              <w:tab w:pos="1200" w:val="left" w:leader="none"/>
              <w:tab w:pos="4082" w:val="left" w:leader="none"/>
              <w:tab w:pos="4802" w:val="left" w:leader="none"/>
              <w:tab w:pos="5522" w:val="left" w:leader="none"/>
              <w:tab w:pos="6243" w:val="left" w:leader="none"/>
              <w:tab w:pos="6963" w:val="left" w:leader="none"/>
              <w:tab w:pos="7683" w:val="left" w:leader="none"/>
              <w:tab w:pos="8644" w:val="right" w:leader="none"/>
            </w:tabs>
            <w:spacing w:line="240" w:lineRule="auto" w:before="276" w:after="0"/>
            <w:ind w:left="1200" w:right="0" w:hanging="720"/>
            <w:jc w:val="left"/>
          </w:pPr>
          <w:hyperlink w:history="true" w:anchor="_TOC_250013">
            <w:r>
              <w:rPr/>
              <w:t>Research</w:t>
            </w:r>
            <w:r>
              <w:rPr>
                <w:spacing w:val="-7"/>
              </w:rPr>
              <w:t> </w:t>
            </w:r>
            <w:r>
              <w:rPr>
                <w:spacing w:val="-2"/>
              </w:rPr>
              <w:t>Questions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18</w:t>
            </w:r>
          </w:hyperlink>
        </w:p>
        <w:p>
          <w:pPr>
            <w:pStyle w:val="TOC2"/>
            <w:numPr>
              <w:ilvl w:val="1"/>
              <w:numId w:val="1"/>
            </w:numPr>
            <w:tabs>
              <w:tab w:pos="1200" w:val="left" w:leader="none"/>
              <w:tab w:pos="3361" w:val="left" w:leader="none"/>
              <w:tab w:pos="4082" w:val="left" w:leader="none"/>
              <w:tab w:pos="4802" w:val="left" w:leader="none"/>
              <w:tab w:pos="5522" w:val="left" w:leader="none"/>
              <w:tab w:pos="6243" w:val="left" w:leader="none"/>
              <w:tab w:pos="6963" w:val="left" w:leader="none"/>
              <w:tab w:pos="7683" w:val="left" w:leader="none"/>
              <w:tab w:pos="8644" w:val="right" w:leader="none"/>
            </w:tabs>
            <w:spacing w:line="240" w:lineRule="auto" w:before="277" w:after="0"/>
            <w:ind w:left="1200" w:right="0" w:hanging="720"/>
            <w:jc w:val="left"/>
          </w:pPr>
          <w:hyperlink w:history="true" w:anchor="_TOC_250012">
            <w:r>
              <w:rPr/>
              <w:t>Null</w:t>
            </w:r>
            <w:r>
              <w:rPr>
                <w:spacing w:val="-8"/>
              </w:rPr>
              <w:t> </w:t>
            </w:r>
            <w:r>
              <w:rPr>
                <w:spacing w:val="-2"/>
              </w:rPr>
              <w:t>Hypotheses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19</w:t>
            </w:r>
          </w:hyperlink>
        </w:p>
        <w:p>
          <w:pPr>
            <w:pStyle w:val="TOC2"/>
            <w:numPr>
              <w:ilvl w:val="1"/>
              <w:numId w:val="1"/>
            </w:numPr>
            <w:tabs>
              <w:tab w:pos="1200" w:val="left" w:leader="none"/>
              <w:tab w:pos="4082" w:val="left" w:leader="none"/>
              <w:tab w:pos="4802" w:val="left" w:leader="none"/>
              <w:tab w:pos="5522" w:val="left" w:leader="none"/>
              <w:tab w:pos="6243" w:val="left" w:leader="none"/>
              <w:tab w:pos="6963" w:val="left" w:leader="none"/>
              <w:tab w:pos="7683" w:val="left" w:leader="none"/>
              <w:tab w:pos="8644" w:val="right" w:leader="none"/>
            </w:tabs>
            <w:spacing w:line="240" w:lineRule="auto" w:before="276" w:after="0"/>
            <w:ind w:left="1200" w:right="0" w:hanging="720"/>
            <w:jc w:val="left"/>
          </w:pPr>
          <w:hyperlink w:history="true" w:anchor="_TOC_250011">
            <w:r>
              <w:rPr/>
              <w:t>Significance</w:t>
            </w:r>
            <w:r>
              <w:rPr>
                <w:spacing w:val="-1"/>
              </w:rPr>
              <w:t> </w:t>
            </w:r>
            <w:r>
              <w:rPr/>
              <w:t>of</w:t>
            </w:r>
            <w:r>
              <w:rPr>
                <w:spacing w:val="-8"/>
              </w:rPr>
              <w:t> </w:t>
            </w:r>
            <w:r>
              <w:rPr/>
              <w:t>the </w:t>
            </w:r>
            <w:r>
              <w:rPr>
                <w:spacing w:val="-4"/>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19</w:t>
            </w:r>
          </w:hyperlink>
        </w:p>
        <w:p>
          <w:pPr>
            <w:pStyle w:val="TOC2"/>
            <w:numPr>
              <w:ilvl w:val="1"/>
              <w:numId w:val="1"/>
            </w:numPr>
            <w:tabs>
              <w:tab w:pos="1200" w:val="left" w:leader="none"/>
              <w:tab w:pos="4082" w:val="left" w:leader="none"/>
              <w:tab w:pos="4802" w:val="left" w:leader="none"/>
              <w:tab w:pos="5522" w:val="left" w:leader="none"/>
              <w:tab w:pos="6243" w:val="left" w:leader="none"/>
              <w:tab w:pos="6963" w:val="left" w:leader="none"/>
              <w:tab w:pos="7683" w:val="left" w:leader="none"/>
              <w:tab w:pos="8644" w:val="right" w:leader="none"/>
            </w:tabs>
            <w:spacing w:line="240" w:lineRule="auto" w:before="276" w:after="0"/>
            <w:ind w:left="1200" w:right="0" w:hanging="720"/>
            <w:jc w:val="left"/>
          </w:pPr>
          <w:r>
            <w:rPr/>
            <w:t>Delimitation</w:t>
          </w:r>
          <w:r>
            <w:rPr>
              <w:spacing w:val="-4"/>
            </w:rPr>
            <w:t> </w:t>
          </w:r>
          <w:r>
            <w:rPr/>
            <w:t>of</w:t>
          </w:r>
          <w:r>
            <w:rPr>
              <w:spacing w:val="-6"/>
            </w:rPr>
            <w:t> </w:t>
          </w:r>
          <w:r>
            <w:rPr/>
            <w:t>the</w:t>
          </w:r>
          <w:r>
            <w:rPr>
              <w:spacing w:val="1"/>
            </w:rPr>
            <w:t> </w:t>
          </w:r>
          <w:r>
            <w:rPr>
              <w:spacing w:val="-4"/>
            </w:rPr>
            <w:t>Study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20</w:t>
          </w:r>
        </w:p>
        <w:p>
          <w:pPr>
            <w:pStyle w:val="TOC2"/>
            <w:numPr>
              <w:ilvl w:val="1"/>
              <w:numId w:val="1"/>
            </w:numPr>
            <w:tabs>
              <w:tab w:pos="1200" w:val="left" w:leader="none"/>
              <w:tab w:pos="3361" w:val="left" w:leader="none"/>
              <w:tab w:pos="4082" w:val="left" w:leader="none"/>
              <w:tab w:pos="4802" w:val="left" w:leader="none"/>
              <w:tab w:pos="5522" w:val="left" w:leader="none"/>
              <w:tab w:pos="6243" w:val="left" w:leader="none"/>
              <w:tab w:pos="6963" w:val="left" w:leader="none"/>
              <w:tab w:pos="7683" w:val="left" w:leader="none"/>
              <w:tab w:pos="8644" w:val="right" w:leader="none"/>
            </w:tabs>
            <w:spacing w:line="240" w:lineRule="auto" w:before="276" w:after="240"/>
            <w:ind w:left="1200" w:right="0" w:hanging="720"/>
            <w:jc w:val="left"/>
          </w:pPr>
          <w:r>
            <w:rPr/>
            <w:t>Basic </w:t>
          </w:r>
          <w:r>
            <w:rPr>
              <w:spacing w:val="-2"/>
            </w:rPr>
            <w:t>Assumption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21</w:t>
          </w:r>
        </w:p>
        <w:p>
          <w:pPr>
            <w:pStyle w:val="TOC1"/>
          </w:pPr>
          <w:r>
            <w:rPr/>
            <w:t>CHAPTER</w:t>
          </w:r>
          <w:r>
            <w:rPr>
              <w:spacing w:val="-5"/>
            </w:rPr>
            <w:t> </w:t>
          </w:r>
          <w:r>
            <w:rPr/>
            <w:t>TWO:</w:t>
          </w:r>
          <w:r>
            <w:rPr>
              <w:spacing w:val="1"/>
            </w:rPr>
            <w:t> </w:t>
          </w:r>
          <w:r>
            <w:rPr/>
            <w:t>REVIEW</w:t>
          </w:r>
          <w:r>
            <w:rPr>
              <w:spacing w:val="-1"/>
            </w:rPr>
            <w:t> </w:t>
          </w:r>
          <w:r>
            <w:rPr/>
            <w:t>OF</w:t>
          </w:r>
          <w:r>
            <w:rPr>
              <w:spacing w:val="-4"/>
            </w:rPr>
            <w:t> </w:t>
          </w:r>
          <w:r>
            <w:rPr/>
            <w:t>RELATED </w:t>
          </w:r>
          <w:r>
            <w:rPr>
              <w:spacing w:val="-2"/>
            </w:rPr>
            <w:t>LITERATURE</w:t>
          </w:r>
        </w:p>
        <w:p>
          <w:pPr>
            <w:pStyle w:val="TOC2"/>
            <w:numPr>
              <w:ilvl w:val="1"/>
              <w:numId w:val="2"/>
            </w:numPr>
            <w:tabs>
              <w:tab w:pos="1200" w:val="left" w:leader="none"/>
              <w:tab w:pos="2641" w:val="left" w:leader="none"/>
              <w:tab w:pos="3361" w:val="left" w:leader="none"/>
              <w:tab w:pos="4082" w:val="left" w:leader="none"/>
              <w:tab w:pos="4802" w:val="left" w:leader="none"/>
              <w:tab w:pos="5522" w:val="left" w:leader="none"/>
              <w:tab w:pos="6243" w:val="left" w:leader="none"/>
              <w:tab w:pos="6963" w:val="left" w:leader="none"/>
              <w:tab w:pos="7683" w:val="left" w:leader="none"/>
              <w:tab w:pos="8404" w:val="left" w:leader="none"/>
            </w:tabs>
            <w:spacing w:line="240" w:lineRule="auto" w:before="272" w:after="0"/>
            <w:ind w:left="1200" w:right="0" w:hanging="720"/>
            <w:jc w:val="left"/>
          </w:pPr>
          <w:hyperlink w:history="true" w:anchor="_TOC_250010">
            <w:r>
              <w:rPr>
                <w:spacing w:val="-2"/>
              </w:rPr>
              <w:t>Introduction</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22</w:t>
            </w:r>
          </w:hyperlink>
        </w:p>
        <w:p>
          <w:pPr>
            <w:pStyle w:val="TOC2"/>
            <w:numPr>
              <w:ilvl w:val="1"/>
              <w:numId w:val="2"/>
            </w:numPr>
            <w:tabs>
              <w:tab w:pos="1200" w:val="left" w:leader="none"/>
              <w:tab w:pos="4082" w:val="left" w:leader="none"/>
              <w:tab w:pos="4802" w:val="left" w:leader="none"/>
              <w:tab w:pos="5522" w:val="left" w:leader="none"/>
              <w:tab w:pos="6243" w:val="left" w:leader="none"/>
              <w:tab w:pos="6963" w:val="left" w:leader="none"/>
              <w:tab w:pos="7683" w:val="left" w:leader="none"/>
              <w:tab w:pos="8404" w:val="left" w:leader="none"/>
            </w:tabs>
            <w:spacing w:line="240" w:lineRule="auto" w:before="276" w:after="0"/>
            <w:ind w:left="1200" w:right="0" w:hanging="720"/>
            <w:jc w:val="left"/>
          </w:pPr>
          <w:hyperlink w:history="true" w:anchor="_TOC_250009">
            <w:r>
              <w:rPr/>
              <w:t>Meaning</w:t>
            </w:r>
            <w:r>
              <w:rPr>
                <w:spacing w:val="1"/>
              </w:rPr>
              <w:t> </w:t>
            </w:r>
            <w:r>
              <w:rPr/>
              <w:t>of</w:t>
            </w:r>
            <w:r>
              <w:rPr>
                <w:spacing w:val="-6"/>
              </w:rPr>
              <w:t> </w:t>
            </w:r>
            <w:r>
              <w:rPr>
                <w:spacing w:val="-2"/>
              </w:rPr>
              <w:t>Chemistry</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22</w:t>
            </w:r>
          </w:hyperlink>
        </w:p>
        <w:p>
          <w:pPr>
            <w:pStyle w:val="TOC2"/>
            <w:numPr>
              <w:ilvl w:val="1"/>
              <w:numId w:val="2"/>
            </w:numPr>
            <w:tabs>
              <w:tab w:pos="1200" w:val="left" w:leader="none"/>
              <w:tab w:pos="5522" w:val="left" w:leader="none"/>
              <w:tab w:pos="6243" w:val="left" w:leader="none"/>
              <w:tab w:pos="6963" w:val="left" w:leader="none"/>
              <w:tab w:pos="7683" w:val="left" w:leader="none"/>
              <w:tab w:pos="8404" w:val="left" w:leader="none"/>
            </w:tabs>
            <w:spacing w:line="240" w:lineRule="auto" w:before="276" w:after="0"/>
            <w:ind w:left="1200" w:right="0" w:hanging="720"/>
            <w:jc w:val="left"/>
          </w:pPr>
          <w:hyperlink w:history="true" w:anchor="_TOC_250008">
            <w:r>
              <w:rPr/>
              <w:t>Psycho-sociological</w:t>
            </w:r>
            <w:r>
              <w:rPr>
                <w:spacing w:val="-7"/>
              </w:rPr>
              <w:t> </w:t>
            </w:r>
            <w:r>
              <w:rPr/>
              <w:t>Factors</w:t>
            </w:r>
            <w:r>
              <w:rPr>
                <w:spacing w:val="-5"/>
              </w:rPr>
              <w:t> </w:t>
            </w:r>
            <w:r>
              <w:rPr/>
              <w:t>in</w:t>
            </w:r>
            <w:r>
              <w:rPr>
                <w:spacing w:val="-6"/>
              </w:rPr>
              <w:t> </w:t>
            </w:r>
            <w:r>
              <w:rPr>
                <w:spacing w:val="-2"/>
              </w:rPr>
              <w:t>Learning</w:t>
            </w:r>
            <w:r>
              <w:rPr/>
              <w:tab/>
            </w:r>
            <w:r>
              <w:rPr>
                <w:spacing w:val="-10"/>
              </w:rPr>
              <w:t>-</w:t>
            </w:r>
            <w:r>
              <w:rPr/>
              <w:tab/>
            </w:r>
            <w:r>
              <w:rPr>
                <w:spacing w:val="-10"/>
              </w:rPr>
              <w:t>-</w:t>
            </w:r>
            <w:r>
              <w:rPr/>
              <w:tab/>
            </w:r>
            <w:r>
              <w:rPr>
                <w:spacing w:val="-10"/>
              </w:rPr>
              <w:t>-</w:t>
            </w:r>
            <w:r>
              <w:rPr/>
              <w:tab/>
            </w:r>
            <w:r>
              <w:rPr>
                <w:spacing w:val="-10"/>
              </w:rPr>
              <w:t>-</w:t>
            </w:r>
            <w:r>
              <w:rPr/>
              <w:tab/>
            </w:r>
            <w:r>
              <w:rPr>
                <w:spacing w:val="-5"/>
              </w:rPr>
              <w:t>26</w:t>
            </w:r>
          </w:hyperlink>
        </w:p>
        <w:p>
          <w:pPr>
            <w:pStyle w:val="TOC2"/>
            <w:numPr>
              <w:ilvl w:val="1"/>
              <w:numId w:val="2"/>
            </w:numPr>
            <w:tabs>
              <w:tab w:pos="1200" w:val="left" w:leader="none"/>
              <w:tab w:pos="7683" w:val="left" w:leader="none"/>
              <w:tab w:pos="8404" w:val="left" w:leader="none"/>
            </w:tabs>
            <w:spacing w:line="240" w:lineRule="auto" w:before="276" w:after="0"/>
            <w:ind w:left="1200" w:right="0" w:hanging="720"/>
            <w:jc w:val="left"/>
          </w:pPr>
          <w:hyperlink w:history="true" w:anchor="_TOC_250007">
            <w:r>
              <w:rPr/>
              <w:t>Emotional-Intelligence,</w:t>
            </w:r>
            <w:r>
              <w:rPr>
                <w:spacing w:val="-4"/>
              </w:rPr>
              <w:t> </w:t>
            </w:r>
            <w:r>
              <w:rPr/>
              <w:t>Science</w:t>
            </w:r>
            <w:r>
              <w:rPr>
                <w:spacing w:val="-7"/>
              </w:rPr>
              <w:t> </w:t>
            </w:r>
            <w:r>
              <w:rPr/>
              <w:t>Learning</w:t>
            </w:r>
            <w:r>
              <w:rPr>
                <w:spacing w:val="-1"/>
              </w:rPr>
              <w:t> </w:t>
            </w:r>
            <w:r>
              <w:rPr/>
              <w:t>and</w:t>
            </w:r>
            <w:r>
              <w:rPr>
                <w:spacing w:val="-5"/>
              </w:rPr>
              <w:t> </w:t>
            </w:r>
            <w:r>
              <w:rPr/>
              <w:t>Performance </w:t>
            </w:r>
            <w:r>
              <w:rPr>
                <w:spacing w:val="-10"/>
              </w:rPr>
              <w:t>-</w:t>
            </w:r>
            <w:r>
              <w:rPr/>
              <w:tab/>
            </w:r>
            <w:r>
              <w:rPr>
                <w:spacing w:val="-10"/>
              </w:rPr>
              <w:t>-</w:t>
            </w:r>
            <w:r>
              <w:rPr/>
              <w:tab/>
            </w:r>
            <w:r>
              <w:rPr>
                <w:spacing w:val="-5"/>
              </w:rPr>
              <w:t>31</w:t>
            </w:r>
          </w:hyperlink>
        </w:p>
        <w:p>
          <w:pPr>
            <w:pStyle w:val="TOC2"/>
            <w:numPr>
              <w:ilvl w:val="1"/>
              <w:numId w:val="2"/>
            </w:numPr>
            <w:tabs>
              <w:tab w:pos="1200" w:val="left" w:leader="none"/>
              <w:tab w:pos="6963" w:val="left" w:leader="none"/>
              <w:tab w:pos="7683" w:val="left" w:leader="none"/>
              <w:tab w:pos="8404" w:val="left" w:leader="none"/>
            </w:tabs>
            <w:spacing w:line="240" w:lineRule="auto" w:before="277" w:after="0"/>
            <w:ind w:left="1200" w:right="0" w:hanging="720"/>
            <w:jc w:val="left"/>
          </w:pPr>
          <w:hyperlink w:history="true" w:anchor="_TOC_250006">
            <w:r>
              <w:rPr/>
              <w:t>Reasoning</w:t>
            </w:r>
            <w:r>
              <w:rPr>
                <w:spacing w:val="-2"/>
              </w:rPr>
              <w:t> </w:t>
            </w:r>
            <w:r>
              <w:rPr/>
              <w:t>Ability,</w:t>
            </w:r>
            <w:r>
              <w:rPr>
                <w:spacing w:val="-3"/>
              </w:rPr>
              <w:t> </w:t>
            </w:r>
            <w:r>
              <w:rPr/>
              <w:t>Science</w:t>
            </w:r>
            <w:r>
              <w:rPr>
                <w:spacing w:val="-5"/>
              </w:rPr>
              <w:t> </w:t>
            </w:r>
            <w:r>
              <w:rPr/>
              <w:t>Learning</w:t>
            </w:r>
            <w:r>
              <w:rPr>
                <w:spacing w:val="-5"/>
              </w:rPr>
              <w:t> </w:t>
            </w:r>
            <w:r>
              <w:rPr/>
              <w:t>and</w:t>
            </w:r>
            <w:r>
              <w:rPr>
                <w:spacing w:val="-4"/>
              </w:rPr>
              <w:t> </w:t>
            </w:r>
            <w:r>
              <w:rPr>
                <w:spacing w:val="-2"/>
              </w:rPr>
              <w:t>Performance</w:t>
            </w:r>
            <w:r>
              <w:rPr/>
              <w:tab/>
            </w:r>
            <w:r>
              <w:rPr>
                <w:spacing w:val="-10"/>
              </w:rPr>
              <w:t>-</w:t>
            </w:r>
            <w:r>
              <w:rPr/>
              <w:tab/>
            </w:r>
            <w:r>
              <w:rPr>
                <w:spacing w:val="-10"/>
              </w:rPr>
              <w:t>-</w:t>
            </w:r>
            <w:r>
              <w:rPr/>
              <w:tab/>
            </w:r>
            <w:r>
              <w:rPr>
                <w:spacing w:val="-5"/>
              </w:rPr>
              <w:t>38</w:t>
            </w:r>
          </w:hyperlink>
        </w:p>
        <w:p>
          <w:pPr>
            <w:pStyle w:val="TOC2"/>
            <w:numPr>
              <w:ilvl w:val="1"/>
              <w:numId w:val="2"/>
            </w:numPr>
            <w:tabs>
              <w:tab w:pos="1200" w:val="left" w:leader="none"/>
              <w:tab w:pos="6243" w:val="left" w:leader="none"/>
              <w:tab w:pos="6963" w:val="left" w:leader="none"/>
              <w:tab w:pos="7683" w:val="left" w:leader="none"/>
              <w:tab w:pos="8404" w:val="left" w:leader="none"/>
            </w:tabs>
            <w:spacing w:line="240" w:lineRule="auto" w:before="276" w:after="0"/>
            <w:ind w:left="1200" w:right="0" w:hanging="720"/>
            <w:jc w:val="left"/>
          </w:pPr>
          <w:hyperlink w:history="true" w:anchor="_TOC_250005">
            <w:r>
              <w:rPr/>
              <w:t>Self-Efficacy,</w:t>
            </w:r>
            <w:r>
              <w:rPr>
                <w:spacing w:val="-3"/>
              </w:rPr>
              <w:t> </w:t>
            </w:r>
            <w:r>
              <w:rPr/>
              <w:t>Science</w:t>
            </w:r>
            <w:r>
              <w:rPr>
                <w:spacing w:val="-5"/>
              </w:rPr>
              <w:t> </w:t>
            </w:r>
            <w:r>
              <w:rPr/>
              <w:t>Learning</w:t>
            </w:r>
            <w:r>
              <w:rPr>
                <w:spacing w:val="-4"/>
              </w:rPr>
              <w:t> </w:t>
            </w:r>
            <w:r>
              <w:rPr/>
              <w:t>and</w:t>
            </w:r>
            <w:r>
              <w:rPr>
                <w:spacing w:val="-4"/>
              </w:rPr>
              <w:t> </w:t>
            </w:r>
            <w:r>
              <w:rPr>
                <w:spacing w:val="-2"/>
              </w:rPr>
              <w:t>Performance</w:t>
            </w:r>
            <w:r>
              <w:rPr/>
              <w:tab/>
            </w:r>
            <w:r>
              <w:rPr>
                <w:spacing w:val="-10"/>
              </w:rPr>
              <w:t>-</w:t>
            </w:r>
            <w:r>
              <w:rPr/>
              <w:tab/>
            </w:r>
            <w:r>
              <w:rPr>
                <w:spacing w:val="-10"/>
              </w:rPr>
              <w:t>-</w:t>
            </w:r>
            <w:r>
              <w:rPr/>
              <w:tab/>
            </w:r>
            <w:r>
              <w:rPr>
                <w:spacing w:val="-10"/>
              </w:rPr>
              <w:t>-</w:t>
            </w:r>
            <w:r>
              <w:rPr/>
              <w:tab/>
            </w:r>
            <w:r>
              <w:rPr>
                <w:spacing w:val="-5"/>
              </w:rPr>
              <w:t>46</w:t>
            </w:r>
          </w:hyperlink>
        </w:p>
        <w:p>
          <w:pPr>
            <w:pStyle w:val="TOC2"/>
            <w:numPr>
              <w:ilvl w:val="1"/>
              <w:numId w:val="2"/>
            </w:numPr>
            <w:tabs>
              <w:tab w:pos="1200" w:val="left" w:leader="none"/>
              <w:tab w:pos="6243" w:val="left" w:leader="none"/>
              <w:tab w:pos="6963" w:val="left" w:leader="none"/>
              <w:tab w:pos="7683" w:val="left" w:leader="none"/>
              <w:tab w:pos="8404" w:val="left" w:leader="none"/>
            </w:tabs>
            <w:spacing w:line="240" w:lineRule="auto" w:before="276" w:after="0"/>
            <w:ind w:left="1200" w:right="0" w:hanging="720"/>
            <w:jc w:val="left"/>
          </w:pPr>
          <w:hyperlink w:history="true" w:anchor="_TOC_250004">
            <w:r>
              <w:rPr/>
              <w:t>Instructional</w:t>
            </w:r>
            <w:r>
              <w:rPr>
                <w:spacing w:val="-7"/>
              </w:rPr>
              <w:t> </w:t>
            </w:r>
            <w:r>
              <w:rPr/>
              <w:t>Models</w:t>
            </w:r>
            <w:r>
              <w:rPr>
                <w:spacing w:val="-5"/>
              </w:rPr>
              <w:t> </w:t>
            </w:r>
            <w:r>
              <w:rPr/>
              <w:t>and</w:t>
            </w:r>
            <w:r>
              <w:rPr>
                <w:spacing w:val="-2"/>
              </w:rPr>
              <w:t> </w:t>
            </w:r>
            <w:r>
              <w:rPr/>
              <w:t>Emotional</w:t>
            </w:r>
            <w:r>
              <w:rPr>
                <w:spacing w:val="-10"/>
              </w:rPr>
              <w:t> </w:t>
            </w:r>
            <w:r>
              <w:rPr>
                <w:spacing w:val="-2"/>
              </w:rPr>
              <w:t>Intelligence</w:t>
            </w:r>
            <w:r>
              <w:rPr/>
              <w:tab/>
            </w:r>
            <w:r>
              <w:rPr>
                <w:spacing w:val="-10"/>
              </w:rPr>
              <w:t>-</w:t>
            </w:r>
            <w:r>
              <w:rPr/>
              <w:tab/>
            </w:r>
            <w:r>
              <w:rPr>
                <w:spacing w:val="-10"/>
              </w:rPr>
              <w:t>-</w:t>
            </w:r>
            <w:r>
              <w:rPr/>
              <w:tab/>
            </w:r>
            <w:r>
              <w:rPr>
                <w:spacing w:val="-10"/>
              </w:rPr>
              <w:t>-</w:t>
            </w:r>
            <w:r>
              <w:rPr/>
              <w:tab/>
            </w:r>
            <w:r>
              <w:rPr>
                <w:spacing w:val="-5"/>
              </w:rPr>
              <w:t>51</w:t>
            </w:r>
          </w:hyperlink>
        </w:p>
        <w:p>
          <w:pPr>
            <w:pStyle w:val="TOC2"/>
            <w:numPr>
              <w:ilvl w:val="1"/>
              <w:numId w:val="2"/>
            </w:numPr>
            <w:tabs>
              <w:tab w:pos="1200" w:val="left" w:leader="none"/>
              <w:tab w:pos="6243" w:val="left" w:leader="none"/>
              <w:tab w:pos="6963" w:val="left" w:leader="none"/>
              <w:tab w:pos="7683" w:val="left" w:leader="none"/>
              <w:tab w:pos="8404" w:val="left" w:leader="none"/>
            </w:tabs>
            <w:spacing w:line="240" w:lineRule="auto" w:before="276" w:after="0"/>
            <w:ind w:left="1200" w:right="0" w:hanging="720"/>
            <w:jc w:val="left"/>
          </w:pPr>
          <w:hyperlink w:history="true" w:anchor="_TOC_250003">
            <w:r>
              <w:rPr/>
              <w:t>Instructional</w:t>
            </w:r>
            <w:r>
              <w:rPr>
                <w:spacing w:val="-7"/>
              </w:rPr>
              <w:t> </w:t>
            </w:r>
            <w:r>
              <w:rPr/>
              <w:t>Models</w:t>
            </w:r>
            <w:r>
              <w:rPr>
                <w:spacing w:val="-3"/>
              </w:rPr>
              <w:t> </w:t>
            </w:r>
            <w:r>
              <w:rPr/>
              <w:t>and</w:t>
            </w:r>
            <w:r>
              <w:rPr>
                <w:spacing w:val="-2"/>
              </w:rPr>
              <w:t> </w:t>
            </w:r>
            <w:r>
              <w:rPr/>
              <w:t>Reasoning</w:t>
            </w:r>
            <w:r>
              <w:rPr>
                <w:spacing w:val="2"/>
              </w:rPr>
              <w:t> </w:t>
            </w:r>
            <w:r>
              <w:rPr/>
              <w:t>Ability</w:t>
            </w:r>
            <w:r>
              <w:rPr>
                <w:spacing w:val="45"/>
              </w:rPr>
              <w:t> </w:t>
            </w:r>
            <w:r>
              <w:rPr>
                <w:spacing w:val="-10"/>
              </w:rPr>
              <w:t>-</w:t>
            </w:r>
            <w:r>
              <w:rPr/>
              <w:tab/>
            </w:r>
            <w:r>
              <w:rPr>
                <w:spacing w:val="-10"/>
              </w:rPr>
              <w:t>-</w:t>
            </w:r>
            <w:r>
              <w:rPr/>
              <w:tab/>
            </w:r>
            <w:r>
              <w:rPr>
                <w:spacing w:val="-10"/>
              </w:rPr>
              <w:t>-</w:t>
            </w:r>
            <w:r>
              <w:rPr/>
              <w:tab/>
            </w:r>
            <w:r>
              <w:rPr>
                <w:spacing w:val="-10"/>
              </w:rPr>
              <w:t>-</w:t>
            </w:r>
            <w:r>
              <w:rPr/>
              <w:tab/>
            </w:r>
            <w:r>
              <w:rPr>
                <w:spacing w:val="-5"/>
              </w:rPr>
              <w:t>58</w:t>
            </w:r>
          </w:hyperlink>
        </w:p>
        <w:p>
          <w:pPr>
            <w:pStyle w:val="TOC2"/>
            <w:numPr>
              <w:ilvl w:val="1"/>
              <w:numId w:val="2"/>
            </w:numPr>
            <w:tabs>
              <w:tab w:pos="1200" w:val="left" w:leader="none"/>
              <w:tab w:pos="5522" w:val="left" w:leader="none"/>
              <w:tab w:pos="6243" w:val="left" w:leader="none"/>
              <w:tab w:pos="6963" w:val="left" w:leader="none"/>
              <w:tab w:pos="7683" w:val="left" w:leader="none"/>
              <w:tab w:pos="8404" w:val="left" w:leader="none"/>
            </w:tabs>
            <w:spacing w:line="240" w:lineRule="auto" w:before="276" w:after="0"/>
            <w:ind w:left="1200" w:right="0" w:hanging="720"/>
            <w:jc w:val="left"/>
          </w:pPr>
          <w:hyperlink w:history="true" w:anchor="_TOC_250002">
            <w:r>
              <w:rPr/>
              <w:t>Instructional</w:t>
            </w:r>
            <w:r>
              <w:rPr>
                <w:spacing w:val="-7"/>
              </w:rPr>
              <w:t> </w:t>
            </w:r>
            <w:r>
              <w:rPr/>
              <w:t>Models</w:t>
            </w:r>
            <w:r>
              <w:rPr>
                <w:spacing w:val="-4"/>
              </w:rPr>
              <w:t> </w:t>
            </w:r>
            <w:r>
              <w:rPr/>
              <w:t>and</w:t>
            </w:r>
            <w:r>
              <w:rPr>
                <w:spacing w:val="-2"/>
              </w:rPr>
              <w:t> </w:t>
            </w:r>
            <w:r>
              <w:rPr/>
              <w:t>Self-</w:t>
            </w:r>
            <w:r>
              <w:rPr>
                <w:spacing w:val="-2"/>
              </w:rPr>
              <w:t>efficacy</w:t>
            </w:r>
            <w:r>
              <w:rPr/>
              <w:tab/>
            </w:r>
            <w:r>
              <w:rPr>
                <w:spacing w:val="-10"/>
              </w:rPr>
              <w:t>-</w:t>
            </w:r>
            <w:r>
              <w:rPr/>
              <w:tab/>
            </w:r>
            <w:r>
              <w:rPr>
                <w:spacing w:val="-10"/>
              </w:rPr>
              <w:t>-</w:t>
            </w:r>
            <w:r>
              <w:rPr/>
              <w:tab/>
            </w:r>
            <w:r>
              <w:rPr>
                <w:spacing w:val="-10"/>
              </w:rPr>
              <w:t>-</w:t>
            </w:r>
            <w:r>
              <w:rPr/>
              <w:tab/>
            </w:r>
            <w:r>
              <w:rPr>
                <w:spacing w:val="-10"/>
              </w:rPr>
              <w:t>-</w:t>
            </w:r>
            <w:r>
              <w:rPr/>
              <w:tab/>
            </w:r>
            <w:r>
              <w:rPr>
                <w:spacing w:val="-5"/>
              </w:rPr>
              <w:t>60</w:t>
            </w:r>
          </w:hyperlink>
        </w:p>
        <w:p>
          <w:pPr>
            <w:pStyle w:val="TOC2"/>
            <w:numPr>
              <w:ilvl w:val="1"/>
              <w:numId w:val="2"/>
            </w:numPr>
            <w:tabs>
              <w:tab w:pos="1200" w:val="left" w:leader="none"/>
              <w:tab w:pos="8404" w:val="left" w:leader="none"/>
            </w:tabs>
            <w:spacing w:line="240" w:lineRule="auto" w:before="276" w:after="0"/>
            <w:ind w:left="1200" w:right="0" w:hanging="720"/>
            <w:jc w:val="left"/>
          </w:pPr>
          <w:hyperlink w:history="true" w:anchor="_TOC_250001">
            <w:r>
              <w:rPr/>
              <w:t>Gender-Related</w:t>
            </w:r>
            <w:r>
              <w:rPr>
                <w:spacing w:val="-8"/>
              </w:rPr>
              <w:t> </w:t>
            </w:r>
            <w:r>
              <w:rPr/>
              <w:t>Differences</w:t>
            </w:r>
            <w:r>
              <w:rPr>
                <w:spacing w:val="-3"/>
              </w:rPr>
              <w:t> </w:t>
            </w:r>
            <w:r>
              <w:rPr/>
              <w:t>in</w:t>
            </w:r>
            <w:r>
              <w:rPr>
                <w:spacing w:val="-6"/>
              </w:rPr>
              <w:t> </w:t>
            </w:r>
            <w:r>
              <w:rPr/>
              <w:t>Academic</w:t>
            </w:r>
            <w:r>
              <w:rPr>
                <w:spacing w:val="-2"/>
              </w:rPr>
              <w:t> </w:t>
            </w:r>
            <w:r>
              <w:rPr/>
              <w:t>Achievement</w:t>
            </w:r>
            <w:r>
              <w:rPr>
                <w:spacing w:val="-1"/>
              </w:rPr>
              <w:t> </w:t>
            </w:r>
            <w:r>
              <w:rPr/>
              <w:t>in</w:t>
            </w:r>
            <w:r>
              <w:rPr>
                <w:spacing w:val="-9"/>
              </w:rPr>
              <w:t> </w:t>
            </w:r>
            <w:r>
              <w:rPr>
                <w:spacing w:val="-2"/>
              </w:rPr>
              <w:t>Chemistry</w:t>
            </w:r>
            <w:r>
              <w:rPr/>
              <w:tab/>
            </w:r>
            <w:r>
              <w:rPr>
                <w:spacing w:val="-5"/>
              </w:rPr>
              <w:t>67</w:t>
            </w:r>
          </w:hyperlink>
        </w:p>
        <w:p>
          <w:pPr>
            <w:pStyle w:val="TOC2"/>
            <w:numPr>
              <w:ilvl w:val="1"/>
              <w:numId w:val="2"/>
            </w:numPr>
            <w:tabs>
              <w:tab w:pos="1200" w:val="left" w:leader="none"/>
              <w:tab w:pos="4802" w:val="left" w:leader="none"/>
              <w:tab w:pos="5522" w:val="left" w:leader="none"/>
              <w:tab w:pos="6243" w:val="left" w:leader="none"/>
              <w:tab w:pos="6963" w:val="left" w:leader="none"/>
              <w:tab w:pos="7683" w:val="left" w:leader="none"/>
              <w:tab w:pos="8404" w:val="left" w:leader="none"/>
            </w:tabs>
            <w:spacing w:line="240" w:lineRule="auto" w:before="277" w:after="0"/>
            <w:ind w:left="1200" w:right="0" w:hanging="720"/>
            <w:jc w:val="left"/>
          </w:pPr>
          <w:hyperlink w:history="true" w:anchor="_TOC_250000">
            <w:r>
              <w:rPr/>
              <w:t>Over</w:t>
            </w:r>
            <w:r>
              <w:rPr>
                <w:spacing w:val="-5"/>
              </w:rPr>
              <w:t> </w:t>
            </w:r>
            <w:r>
              <w:rPr/>
              <w:t>View</w:t>
            </w:r>
            <w:r>
              <w:rPr>
                <w:spacing w:val="-3"/>
              </w:rPr>
              <w:t> </w:t>
            </w:r>
            <w:r>
              <w:rPr/>
              <w:t>of</w:t>
            </w:r>
            <w:r>
              <w:rPr>
                <w:spacing w:val="-9"/>
              </w:rPr>
              <w:t> </w:t>
            </w:r>
            <w:r>
              <w:rPr/>
              <w:t>Similar</w:t>
            </w:r>
            <w:r>
              <w:rPr>
                <w:spacing w:val="3"/>
              </w:rPr>
              <w:t> </w:t>
            </w:r>
            <w:r>
              <w:rPr/>
              <w:t>Studies</w:t>
            </w:r>
            <w:r>
              <w:rPr>
                <w:spacing w:val="-28"/>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74</w:t>
            </w:r>
          </w:hyperlink>
        </w:p>
        <w:p>
          <w:pPr>
            <w:pStyle w:val="TOC2"/>
            <w:numPr>
              <w:ilvl w:val="1"/>
              <w:numId w:val="2"/>
            </w:numPr>
            <w:tabs>
              <w:tab w:pos="1200" w:val="left" w:leader="none"/>
              <w:tab w:pos="7683" w:val="left" w:leader="none"/>
              <w:tab w:pos="8404" w:val="left" w:leader="none"/>
            </w:tabs>
            <w:spacing w:line="240" w:lineRule="auto" w:before="276" w:after="0"/>
            <w:ind w:left="1200" w:right="0" w:hanging="720"/>
            <w:jc w:val="left"/>
          </w:pPr>
          <w:r>
            <w:rPr/>
            <w:t>Implications</w:t>
          </w:r>
          <w:r>
            <w:rPr>
              <w:spacing w:val="-6"/>
            </w:rPr>
            <w:t> </w:t>
          </w:r>
          <w:r>
            <w:rPr/>
            <w:t>of</w:t>
          </w:r>
          <w:r>
            <w:rPr>
              <w:spacing w:val="-8"/>
            </w:rPr>
            <w:t> </w:t>
          </w:r>
          <w:r>
            <w:rPr/>
            <w:t>the</w:t>
          </w:r>
          <w:r>
            <w:rPr>
              <w:spacing w:val="-2"/>
            </w:rPr>
            <w:t> </w:t>
          </w:r>
          <w:r>
            <w:rPr/>
            <w:t>Literature</w:t>
          </w:r>
          <w:r>
            <w:rPr>
              <w:spacing w:val="-3"/>
            </w:rPr>
            <w:t> </w:t>
          </w:r>
          <w:r>
            <w:rPr/>
            <w:t>Reviewed</w:t>
          </w:r>
          <w:r>
            <w:rPr>
              <w:spacing w:val="4"/>
            </w:rPr>
            <w:t> </w:t>
          </w:r>
          <w:r>
            <w:rPr/>
            <w:t>for</w:t>
          </w:r>
          <w:r>
            <w:rPr>
              <w:spacing w:val="-4"/>
            </w:rPr>
            <w:t> </w:t>
          </w:r>
          <w:r>
            <w:rPr/>
            <w:t>the</w:t>
          </w:r>
          <w:r>
            <w:rPr>
              <w:spacing w:val="-2"/>
            </w:rPr>
            <w:t> </w:t>
          </w:r>
          <w:r>
            <w:rPr/>
            <w:t>Present</w:t>
          </w:r>
          <w:r>
            <w:rPr>
              <w:spacing w:val="4"/>
            </w:rPr>
            <w:t> </w:t>
          </w:r>
          <w:r>
            <w:rPr>
              <w:spacing w:val="-2"/>
            </w:rPr>
            <w:t>Studies</w:t>
          </w:r>
          <w:r>
            <w:rPr/>
            <w:tab/>
          </w:r>
          <w:r>
            <w:rPr>
              <w:spacing w:val="-10"/>
            </w:rPr>
            <w:t>-</w:t>
          </w:r>
          <w:r>
            <w:rPr/>
            <w:tab/>
          </w:r>
          <w:r>
            <w:rPr>
              <w:spacing w:val="-5"/>
            </w:rPr>
            <w:t>84</w:t>
          </w:r>
        </w:p>
      </w:sdtContent>
    </w:sdt>
    <w:p>
      <w:pPr>
        <w:spacing w:after="0" w:line="240" w:lineRule="auto"/>
        <w:jc w:val="left"/>
        <w:sectPr>
          <w:type w:val="continuous"/>
          <w:pgSz w:w="11910" w:h="16840"/>
          <w:pgMar w:header="0" w:footer="1012" w:top="1360" w:bottom="1878" w:left="1680" w:right="280"/>
        </w:sectPr>
      </w:pPr>
    </w:p>
    <w:p>
      <w:pPr>
        <w:spacing w:before="281"/>
        <w:ind w:left="480" w:right="0" w:firstLine="0"/>
        <w:jc w:val="left"/>
        <w:rPr>
          <w:b/>
          <w:sz w:val="24"/>
        </w:rPr>
      </w:pPr>
      <w:r>
        <w:rPr>
          <w:b/>
          <w:sz w:val="24"/>
        </w:rPr>
        <w:t>CHAPTER</w:t>
      </w:r>
      <w:r>
        <w:rPr>
          <w:b/>
          <w:spacing w:val="-2"/>
          <w:sz w:val="24"/>
        </w:rPr>
        <w:t> </w:t>
      </w:r>
      <w:r>
        <w:rPr>
          <w:b/>
          <w:sz w:val="24"/>
        </w:rPr>
        <w:t>THREE:</w:t>
      </w:r>
      <w:r>
        <w:rPr>
          <w:b/>
          <w:spacing w:val="1"/>
          <w:sz w:val="24"/>
        </w:rPr>
        <w:t> </w:t>
      </w:r>
      <w:r>
        <w:rPr>
          <w:b/>
          <w:sz w:val="24"/>
        </w:rPr>
        <w:t>METHODS</w:t>
      </w:r>
      <w:r>
        <w:rPr>
          <w:b/>
          <w:spacing w:val="1"/>
          <w:sz w:val="24"/>
        </w:rPr>
        <w:t> </w:t>
      </w:r>
      <w:r>
        <w:rPr>
          <w:b/>
          <w:sz w:val="24"/>
        </w:rPr>
        <w:t>OF</w:t>
      </w:r>
      <w:r>
        <w:rPr>
          <w:b/>
          <w:spacing w:val="-2"/>
          <w:sz w:val="24"/>
        </w:rPr>
        <w:t> </w:t>
      </w:r>
      <w:r>
        <w:rPr>
          <w:b/>
          <w:spacing w:val="-4"/>
          <w:sz w:val="24"/>
        </w:rPr>
        <w:t>STUDY</w:t>
      </w:r>
    </w:p>
    <w:p>
      <w:pPr>
        <w:pStyle w:val="BodyText"/>
        <w:spacing w:before="51" w:after="1"/>
        <w:ind w:left="0"/>
        <w:jc w:val="left"/>
        <w:rPr>
          <w:b/>
          <w:sz w:val="20"/>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2"/>
        <w:gridCol w:w="1440"/>
        <w:gridCol w:w="610"/>
      </w:tblGrid>
      <w:tr>
        <w:trPr>
          <w:trHeight w:val="408" w:hRule="atLeast"/>
        </w:trPr>
        <w:tc>
          <w:tcPr>
            <w:tcW w:w="6212" w:type="dxa"/>
          </w:tcPr>
          <w:p>
            <w:pPr>
              <w:pStyle w:val="TableParagraph"/>
              <w:tabs>
                <w:tab w:pos="769" w:val="left" w:leader="none"/>
                <w:tab w:pos="2210" w:val="left" w:leader="none"/>
                <w:tab w:pos="2930" w:val="left" w:leader="none"/>
                <w:tab w:pos="3651" w:val="left" w:leader="none"/>
                <w:tab w:pos="4371" w:val="left" w:leader="none"/>
                <w:tab w:pos="5091" w:val="left" w:leader="none"/>
                <w:tab w:pos="5812" w:val="left" w:leader="none"/>
              </w:tabs>
              <w:spacing w:line="266" w:lineRule="exact"/>
              <w:ind w:left="50"/>
              <w:rPr>
                <w:sz w:val="24"/>
              </w:rPr>
            </w:pPr>
            <w:r>
              <w:rPr>
                <w:spacing w:val="-5"/>
                <w:sz w:val="24"/>
              </w:rPr>
              <w:t>3.1</w:t>
            </w:r>
            <w:r>
              <w:rPr>
                <w:sz w:val="24"/>
              </w:rPr>
              <w:tab/>
            </w:r>
            <w:r>
              <w:rPr>
                <w:spacing w:val="-2"/>
                <w:sz w:val="24"/>
              </w:rPr>
              <w:t>Introduction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line="266" w:lineRule="exact"/>
              <w:ind w:left="1"/>
              <w:jc w:val="center"/>
              <w:rPr>
                <w:sz w:val="24"/>
              </w:rPr>
            </w:pPr>
            <w:r>
              <w:rPr>
                <w:spacing w:val="-10"/>
                <w:sz w:val="24"/>
              </w:rPr>
              <w:t>-</w:t>
            </w:r>
            <w:r>
              <w:rPr>
                <w:sz w:val="24"/>
              </w:rPr>
              <w:tab/>
            </w:r>
            <w:r>
              <w:rPr>
                <w:spacing w:val="-10"/>
                <w:sz w:val="24"/>
              </w:rPr>
              <w:t>-</w:t>
            </w:r>
          </w:p>
        </w:tc>
        <w:tc>
          <w:tcPr>
            <w:tcW w:w="610" w:type="dxa"/>
          </w:tcPr>
          <w:p>
            <w:pPr>
              <w:pStyle w:val="TableParagraph"/>
              <w:spacing w:line="266" w:lineRule="exact"/>
              <w:ind w:right="46"/>
              <w:jc w:val="right"/>
              <w:rPr>
                <w:sz w:val="24"/>
              </w:rPr>
            </w:pPr>
            <w:r>
              <w:rPr>
                <w:spacing w:val="-5"/>
                <w:sz w:val="24"/>
              </w:rPr>
              <w:t>86</w:t>
            </w:r>
          </w:p>
        </w:tc>
      </w:tr>
      <w:tr>
        <w:trPr>
          <w:trHeight w:val="551" w:hRule="atLeast"/>
        </w:trPr>
        <w:tc>
          <w:tcPr>
            <w:tcW w:w="6212" w:type="dxa"/>
          </w:tcPr>
          <w:p>
            <w:pPr>
              <w:pStyle w:val="TableParagraph"/>
              <w:tabs>
                <w:tab w:pos="769" w:val="left" w:leader="none"/>
                <w:tab w:pos="2930" w:val="left" w:leader="none"/>
                <w:tab w:pos="3651" w:val="left" w:leader="none"/>
                <w:tab w:pos="4371" w:val="left" w:leader="none"/>
                <w:tab w:pos="5091" w:val="left" w:leader="none"/>
                <w:tab w:pos="5812" w:val="left" w:leader="none"/>
              </w:tabs>
              <w:spacing w:before="133"/>
              <w:ind w:left="50"/>
              <w:rPr>
                <w:sz w:val="24"/>
              </w:rPr>
            </w:pPr>
            <w:r>
              <w:rPr>
                <w:spacing w:val="-5"/>
                <w:sz w:val="24"/>
              </w:rPr>
              <w:t>3.2</w:t>
            </w:r>
            <w:r>
              <w:rPr>
                <w:sz w:val="24"/>
              </w:rPr>
              <w:tab/>
              <w:t>Research</w:t>
            </w:r>
            <w:r>
              <w:rPr>
                <w:spacing w:val="-7"/>
                <w:sz w:val="24"/>
              </w:rPr>
              <w:t> </w:t>
            </w:r>
            <w:r>
              <w:rPr>
                <w:spacing w:val="-2"/>
                <w:sz w:val="24"/>
              </w:rPr>
              <w:t>Design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86</w:t>
            </w:r>
          </w:p>
        </w:tc>
      </w:tr>
      <w:tr>
        <w:trPr>
          <w:trHeight w:val="552" w:hRule="atLeast"/>
        </w:trPr>
        <w:tc>
          <w:tcPr>
            <w:tcW w:w="6212" w:type="dxa"/>
          </w:tcPr>
          <w:p>
            <w:pPr>
              <w:pStyle w:val="TableParagraph"/>
              <w:tabs>
                <w:tab w:pos="769" w:val="left" w:leader="none"/>
                <w:tab w:pos="3651" w:val="left" w:leader="none"/>
                <w:tab w:pos="4371" w:val="left" w:leader="none"/>
                <w:tab w:pos="5091" w:val="left" w:leader="none"/>
                <w:tab w:pos="5812" w:val="left" w:leader="none"/>
              </w:tabs>
              <w:spacing w:before="133"/>
              <w:ind w:left="50"/>
              <w:rPr>
                <w:sz w:val="24"/>
              </w:rPr>
            </w:pPr>
            <w:r>
              <w:rPr>
                <w:spacing w:val="-5"/>
                <w:sz w:val="24"/>
              </w:rPr>
              <w:t>3.3</w:t>
            </w:r>
            <w:r>
              <w:rPr>
                <w:sz w:val="24"/>
              </w:rPr>
              <w:tab/>
              <w:t>Population</w:t>
            </w:r>
            <w:r>
              <w:rPr>
                <w:spacing w:val="-3"/>
                <w:sz w:val="24"/>
              </w:rPr>
              <w:t> </w:t>
            </w:r>
            <w:r>
              <w:rPr>
                <w:sz w:val="24"/>
              </w:rPr>
              <w:t>of</w:t>
            </w:r>
            <w:r>
              <w:rPr>
                <w:spacing w:val="-6"/>
                <w:sz w:val="24"/>
              </w:rPr>
              <w:t> </w:t>
            </w:r>
            <w:r>
              <w:rPr>
                <w:sz w:val="24"/>
              </w:rPr>
              <w:t>the</w:t>
            </w:r>
            <w:r>
              <w:rPr>
                <w:spacing w:val="1"/>
                <w:sz w:val="24"/>
              </w:rPr>
              <w:t> </w:t>
            </w:r>
            <w:r>
              <w:rPr>
                <w:spacing w:val="-2"/>
                <w:sz w:val="24"/>
              </w:rPr>
              <w:t>Study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86</w:t>
            </w:r>
          </w:p>
        </w:tc>
      </w:tr>
      <w:tr>
        <w:trPr>
          <w:trHeight w:val="552" w:hRule="atLeast"/>
        </w:trPr>
        <w:tc>
          <w:tcPr>
            <w:tcW w:w="6212" w:type="dxa"/>
          </w:tcPr>
          <w:p>
            <w:pPr>
              <w:pStyle w:val="TableParagraph"/>
              <w:tabs>
                <w:tab w:pos="769" w:val="left" w:leader="none"/>
                <w:tab w:pos="4371" w:val="left" w:leader="none"/>
                <w:tab w:pos="5091" w:val="left" w:leader="none"/>
                <w:tab w:pos="5812" w:val="left" w:leader="none"/>
              </w:tabs>
              <w:spacing w:before="133"/>
              <w:ind w:left="50"/>
              <w:rPr>
                <w:sz w:val="24"/>
              </w:rPr>
            </w:pPr>
            <w:r>
              <w:rPr>
                <w:spacing w:val="-5"/>
                <w:sz w:val="24"/>
              </w:rPr>
              <w:t>3.4</w:t>
            </w:r>
            <w:r>
              <w:rPr>
                <w:sz w:val="24"/>
              </w:rPr>
              <w:tab/>
              <w:t>Sample</w:t>
            </w:r>
            <w:r>
              <w:rPr>
                <w:spacing w:val="-5"/>
                <w:sz w:val="24"/>
              </w:rPr>
              <w:t> </w:t>
            </w:r>
            <w:r>
              <w:rPr>
                <w:sz w:val="24"/>
              </w:rPr>
              <w:t>and</w:t>
            </w:r>
            <w:r>
              <w:rPr>
                <w:spacing w:val="-4"/>
                <w:sz w:val="24"/>
              </w:rPr>
              <w:t> </w:t>
            </w:r>
            <w:r>
              <w:rPr>
                <w:sz w:val="24"/>
              </w:rPr>
              <w:t>Sampling</w:t>
            </w:r>
            <w:r>
              <w:rPr>
                <w:spacing w:val="-3"/>
                <w:sz w:val="24"/>
              </w:rPr>
              <w:t> </w:t>
            </w:r>
            <w:r>
              <w:rPr>
                <w:spacing w:val="-2"/>
                <w:sz w:val="24"/>
              </w:rPr>
              <w:t>Techniques</w:t>
            </w:r>
            <w:r>
              <w:rPr>
                <w:sz w:val="24"/>
              </w:rPr>
              <w:tab/>
            </w:r>
            <w:r>
              <w:rPr>
                <w:spacing w:val="-10"/>
                <w:sz w:val="24"/>
              </w:rPr>
              <w:t>-</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87</w:t>
            </w:r>
          </w:p>
        </w:tc>
      </w:tr>
      <w:tr>
        <w:trPr>
          <w:trHeight w:val="551" w:hRule="atLeast"/>
        </w:trPr>
        <w:tc>
          <w:tcPr>
            <w:tcW w:w="6212" w:type="dxa"/>
          </w:tcPr>
          <w:p>
            <w:pPr>
              <w:pStyle w:val="TableParagraph"/>
              <w:tabs>
                <w:tab w:pos="769" w:val="left" w:leader="none"/>
                <w:tab w:pos="2930" w:val="left" w:leader="none"/>
                <w:tab w:pos="3651" w:val="left" w:leader="none"/>
                <w:tab w:pos="4371" w:val="left" w:leader="none"/>
                <w:tab w:pos="5091" w:val="left" w:leader="none"/>
                <w:tab w:pos="5812" w:val="left" w:leader="none"/>
              </w:tabs>
              <w:spacing w:before="133"/>
              <w:ind w:left="50"/>
              <w:rPr>
                <w:sz w:val="24"/>
              </w:rPr>
            </w:pPr>
            <w:r>
              <w:rPr>
                <w:spacing w:val="-5"/>
                <w:sz w:val="24"/>
              </w:rPr>
              <w:t>3.5</w:t>
            </w:r>
            <w:r>
              <w:rPr>
                <w:sz w:val="24"/>
              </w:rPr>
              <w:tab/>
            </w:r>
            <w:r>
              <w:rPr>
                <w:spacing w:val="-2"/>
                <w:sz w:val="24"/>
              </w:rPr>
              <w:t>Instrumentation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88</w:t>
            </w:r>
          </w:p>
        </w:tc>
      </w:tr>
      <w:tr>
        <w:trPr>
          <w:trHeight w:val="552" w:hRule="atLeast"/>
        </w:trPr>
        <w:tc>
          <w:tcPr>
            <w:tcW w:w="6212" w:type="dxa"/>
          </w:tcPr>
          <w:p>
            <w:pPr>
              <w:pStyle w:val="TableParagraph"/>
              <w:tabs>
                <w:tab w:pos="769" w:val="left" w:leader="none"/>
              </w:tabs>
              <w:spacing w:before="133"/>
              <w:ind w:left="50"/>
              <w:rPr>
                <w:sz w:val="24"/>
              </w:rPr>
            </w:pPr>
            <w:r>
              <w:rPr>
                <w:spacing w:val="-2"/>
                <w:sz w:val="24"/>
              </w:rPr>
              <w:t>3.5.1</w:t>
            </w:r>
            <w:r>
              <w:rPr>
                <w:sz w:val="24"/>
              </w:rPr>
              <w:tab/>
              <w:t>Trait</w:t>
            </w:r>
            <w:r>
              <w:rPr>
                <w:spacing w:val="-2"/>
                <w:sz w:val="24"/>
              </w:rPr>
              <w:t> </w:t>
            </w:r>
            <w:r>
              <w:rPr>
                <w:sz w:val="24"/>
              </w:rPr>
              <w:t>Emotional</w:t>
            </w:r>
            <w:r>
              <w:rPr>
                <w:spacing w:val="-13"/>
                <w:sz w:val="24"/>
              </w:rPr>
              <w:t> </w:t>
            </w:r>
            <w:r>
              <w:rPr>
                <w:sz w:val="24"/>
              </w:rPr>
              <w:t>Intelligence</w:t>
            </w:r>
            <w:r>
              <w:rPr>
                <w:spacing w:val="-6"/>
                <w:sz w:val="24"/>
              </w:rPr>
              <w:t> </w:t>
            </w:r>
            <w:r>
              <w:rPr>
                <w:sz w:val="24"/>
              </w:rPr>
              <w:t>Questionnaire</w:t>
            </w:r>
            <w:r>
              <w:rPr>
                <w:spacing w:val="-5"/>
                <w:sz w:val="24"/>
              </w:rPr>
              <w:t> </w:t>
            </w:r>
            <w:r>
              <w:rPr>
                <w:spacing w:val="-2"/>
                <w:sz w:val="24"/>
              </w:rPr>
              <w:t>(TEIQue)</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88</w:t>
            </w:r>
          </w:p>
        </w:tc>
      </w:tr>
      <w:tr>
        <w:trPr>
          <w:trHeight w:val="552" w:hRule="atLeast"/>
        </w:trPr>
        <w:tc>
          <w:tcPr>
            <w:tcW w:w="6212" w:type="dxa"/>
          </w:tcPr>
          <w:p>
            <w:pPr>
              <w:pStyle w:val="TableParagraph"/>
              <w:tabs>
                <w:tab w:pos="769" w:val="left" w:leader="none"/>
                <w:tab w:pos="5812" w:val="left" w:leader="none"/>
              </w:tabs>
              <w:spacing w:before="133"/>
              <w:ind w:left="50"/>
              <w:rPr>
                <w:sz w:val="24"/>
              </w:rPr>
            </w:pPr>
            <w:r>
              <w:rPr>
                <w:spacing w:val="-2"/>
                <w:sz w:val="24"/>
              </w:rPr>
              <w:t>3.5.2</w:t>
            </w:r>
            <w:r>
              <w:rPr>
                <w:sz w:val="24"/>
              </w:rPr>
              <w:tab/>
              <w:t>Group</w:t>
            </w:r>
            <w:r>
              <w:rPr>
                <w:spacing w:val="-9"/>
                <w:sz w:val="24"/>
              </w:rPr>
              <w:t> </w:t>
            </w:r>
            <w:r>
              <w:rPr>
                <w:sz w:val="24"/>
              </w:rPr>
              <w:t>Assessment</w:t>
            </w:r>
            <w:r>
              <w:rPr>
                <w:spacing w:val="4"/>
                <w:sz w:val="24"/>
              </w:rPr>
              <w:t> </w:t>
            </w:r>
            <w:r>
              <w:rPr>
                <w:sz w:val="24"/>
              </w:rPr>
              <w:t>of</w:t>
            </w:r>
            <w:r>
              <w:rPr>
                <w:spacing w:val="-9"/>
                <w:sz w:val="24"/>
              </w:rPr>
              <w:t> </w:t>
            </w:r>
            <w:r>
              <w:rPr>
                <w:sz w:val="24"/>
              </w:rPr>
              <w:t>Logical</w:t>
            </w:r>
            <w:r>
              <w:rPr>
                <w:spacing w:val="-10"/>
                <w:sz w:val="24"/>
              </w:rPr>
              <w:t> </w:t>
            </w:r>
            <w:r>
              <w:rPr>
                <w:sz w:val="24"/>
              </w:rPr>
              <w:t>Thinking</w:t>
            </w:r>
            <w:r>
              <w:rPr>
                <w:spacing w:val="-1"/>
                <w:sz w:val="24"/>
              </w:rPr>
              <w:t> </w:t>
            </w:r>
            <w:r>
              <w:rPr>
                <w:spacing w:val="-2"/>
                <w:sz w:val="24"/>
              </w:rPr>
              <w:t>(GALT)</w:t>
            </w:r>
            <w:r>
              <w:rPr>
                <w:sz w:val="24"/>
              </w:rPr>
              <w:tab/>
            </w:r>
            <w:r>
              <w:rPr>
                <w:spacing w:val="-10"/>
                <w:sz w:val="24"/>
              </w:rPr>
              <w:t>-</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90</w:t>
            </w:r>
          </w:p>
        </w:tc>
      </w:tr>
      <w:tr>
        <w:trPr>
          <w:trHeight w:val="551" w:hRule="atLeast"/>
        </w:trPr>
        <w:tc>
          <w:tcPr>
            <w:tcW w:w="6212" w:type="dxa"/>
          </w:tcPr>
          <w:p>
            <w:pPr>
              <w:pStyle w:val="TableParagraph"/>
              <w:tabs>
                <w:tab w:pos="769" w:val="left" w:leader="none"/>
                <w:tab w:pos="5091" w:val="left" w:leader="none"/>
                <w:tab w:pos="5812" w:val="left" w:leader="none"/>
              </w:tabs>
              <w:spacing w:before="133"/>
              <w:ind w:left="50"/>
              <w:rPr>
                <w:sz w:val="24"/>
              </w:rPr>
            </w:pPr>
            <w:r>
              <w:rPr>
                <w:spacing w:val="-2"/>
                <w:sz w:val="24"/>
              </w:rPr>
              <w:t>3.5.3</w:t>
            </w:r>
            <w:r>
              <w:rPr>
                <w:sz w:val="24"/>
              </w:rPr>
              <w:tab/>
              <w:t>Chemistry</w:t>
            </w:r>
            <w:r>
              <w:rPr>
                <w:spacing w:val="-10"/>
                <w:sz w:val="24"/>
              </w:rPr>
              <w:t> </w:t>
            </w:r>
            <w:r>
              <w:rPr>
                <w:sz w:val="24"/>
              </w:rPr>
              <w:t>Self-efficacy</w:t>
            </w:r>
            <w:r>
              <w:rPr>
                <w:spacing w:val="-10"/>
                <w:sz w:val="24"/>
              </w:rPr>
              <w:t> </w:t>
            </w:r>
            <w:r>
              <w:rPr>
                <w:sz w:val="24"/>
              </w:rPr>
              <w:t>Instrument</w:t>
            </w:r>
            <w:r>
              <w:rPr>
                <w:spacing w:val="5"/>
                <w:sz w:val="24"/>
              </w:rPr>
              <w:t> </w:t>
            </w:r>
            <w:r>
              <w:rPr>
                <w:spacing w:val="-4"/>
                <w:sz w:val="24"/>
              </w:rPr>
              <w:t>(CSI)</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91</w:t>
            </w:r>
          </w:p>
        </w:tc>
      </w:tr>
      <w:tr>
        <w:trPr>
          <w:trHeight w:val="552" w:hRule="atLeast"/>
        </w:trPr>
        <w:tc>
          <w:tcPr>
            <w:tcW w:w="6212" w:type="dxa"/>
          </w:tcPr>
          <w:p>
            <w:pPr>
              <w:pStyle w:val="TableParagraph"/>
              <w:tabs>
                <w:tab w:pos="769" w:val="left" w:leader="none"/>
                <w:tab w:pos="5091" w:val="left" w:leader="none"/>
                <w:tab w:pos="5812" w:val="left" w:leader="none"/>
              </w:tabs>
              <w:spacing w:before="133"/>
              <w:ind w:left="50"/>
              <w:rPr>
                <w:sz w:val="24"/>
              </w:rPr>
            </w:pPr>
            <w:r>
              <w:rPr>
                <w:spacing w:val="-2"/>
                <w:sz w:val="24"/>
              </w:rPr>
              <w:t>3.5.4</w:t>
            </w:r>
            <w:r>
              <w:rPr>
                <w:sz w:val="24"/>
              </w:rPr>
              <w:tab/>
              <w:t>Chemistry</w:t>
            </w:r>
            <w:r>
              <w:rPr>
                <w:spacing w:val="-8"/>
                <w:sz w:val="24"/>
              </w:rPr>
              <w:t> </w:t>
            </w:r>
            <w:r>
              <w:rPr>
                <w:sz w:val="24"/>
              </w:rPr>
              <w:t>Achievement</w:t>
            </w:r>
            <w:r>
              <w:rPr>
                <w:spacing w:val="1"/>
                <w:sz w:val="24"/>
              </w:rPr>
              <w:t> </w:t>
            </w:r>
            <w:r>
              <w:rPr>
                <w:sz w:val="24"/>
              </w:rPr>
              <w:t>Test</w:t>
            </w:r>
            <w:r>
              <w:rPr>
                <w:spacing w:val="-3"/>
                <w:sz w:val="24"/>
              </w:rPr>
              <w:t> </w:t>
            </w:r>
            <w:r>
              <w:rPr>
                <w:sz w:val="24"/>
              </w:rPr>
              <w:t>(CAT)</w:t>
            </w:r>
            <w:r>
              <w:rPr>
                <w:spacing w:val="25"/>
                <w:sz w:val="24"/>
              </w:rPr>
              <w:t> </w:t>
            </w:r>
            <w:r>
              <w:rPr>
                <w:spacing w:val="-10"/>
                <w:sz w:val="24"/>
              </w:rPr>
              <w:t>-</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92</w:t>
            </w:r>
          </w:p>
        </w:tc>
      </w:tr>
      <w:tr>
        <w:trPr>
          <w:trHeight w:val="552" w:hRule="atLeast"/>
        </w:trPr>
        <w:tc>
          <w:tcPr>
            <w:tcW w:w="6212" w:type="dxa"/>
          </w:tcPr>
          <w:p>
            <w:pPr>
              <w:pStyle w:val="TableParagraph"/>
              <w:tabs>
                <w:tab w:pos="769" w:val="left" w:leader="none"/>
                <w:tab w:pos="4371" w:val="left" w:leader="none"/>
                <w:tab w:pos="5091" w:val="left" w:leader="none"/>
                <w:tab w:pos="5812" w:val="left" w:leader="none"/>
              </w:tabs>
              <w:spacing w:before="133"/>
              <w:ind w:left="50"/>
              <w:rPr>
                <w:sz w:val="24"/>
              </w:rPr>
            </w:pPr>
            <w:r>
              <w:rPr>
                <w:spacing w:val="-5"/>
                <w:sz w:val="24"/>
              </w:rPr>
              <w:t>3.6</w:t>
            </w:r>
            <w:r>
              <w:rPr>
                <w:sz w:val="24"/>
              </w:rPr>
              <w:tab/>
              <w:t>Procedure</w:t>
            </w:r>
            <w:r>
              <w:rPr>
                <w:spacing w:val="-2"/>
                <w:sz w:val="24"/>
              </w:rPr>
              <w:t> </w:t>
            </w:r>
            <w:r>
              <w:rPr>
                <w:sz w:val="24"/>
              </w:rPr>
              <w:t>for</w:t>
            </w:r>
            <w:r>
              <w:rPr>
                <w:spacing w:val="1"/>
                <w:sz w:val="24"/>
              </w:rPr>
              <w:t> </w:t>
            </w:r>
            <w:r>
              <w:rPr>
                <w:sz w:val="24"/>
              </w:rPr>
              <w:t>Data</w:t>
            </w:r>
            <w:r>
              <w:rPr>
                <w:spacing w:val="-1"/>
                <w:sz w:val="24"/>
              </w:rPr>
              <w:t> </w:t>
            </w:r>
            <w:r>
              <w:rPr>
                <w:spacing w:val="-2"/>
                <w:sz w:val="24"/>
              </w:rPr>
              <w:t>Collection</w:t>
            </w:r>
            <w:r>
              <w:rPr>
                <w:sz w:val="24"/>
              </w:rPr>
              <w:tab/>
            </w:r>
            <w:r>
              <w:rPr>
                <w:spacing w:val="-10"/>
                <w:sz w:val="24"/>
              </w:rPr>
              <w:t>-</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before="133"/>
              <w:ind w:right="46"/>
              <w:jc w:val="right"/>
              <w:rPr>
                <w:sz w:val="24"/>
              </w:rPr>
            </w:pPr>
            <w:r>
              <w:rPr>
                <w:spacing w:val="-5"/>
                <w:sz w:val="24"/>
              </w:rPr>
              <w:t>92</w:t>
            </w:r>
          </w:p>
        </w:tc>
      </w:tr>
      <w:tr>
        <w:trPr>
          <w:trHeight w:val="408" w:hRule="atLeast"/>
        </w:trPr>
        <w:tc>
          <w:tcPr>
            <w:tcW w:w="6212" w:type="dxa"/>
          </w:tcPr>
          <w:p>
            <w:pPr>
              <w:pStyle w:val="TableParagraph"/>
              <w:tabs>
                <w:tab w:pos="769" w:val="left" w:leader="none"/>
                <w:tab w:pos="4371" w:val="left" w:leader="none"/>
                <w:tab w:pos="5091" w:val="left" w:leader="none"/>
                <w:tab w:pos="5812" w:val="left" w:leader="none"/>
              </w:tabs>
              <w:spacing w:line="256" w:lineRule="exact" w:before="133"/>
              <w:ind w:left="50"/>
              <w:rPr>
                <w:sz w:val="24"/>
              </w:rPr>
            </w:pPr>
            <w:r>
              <w:rPr>
                <w:spacing w:val="-5"/>
                <w:sz w:val="24"/>
              </w:rPr>
              <w:t>3.7</w:t>
            </w:r>
            <w:r>
              <w:rPr>
                <w:sz w:val="24"/>
              </w:rPr>
              <w:tab/>
              <w:t>Procedure</w:t>
            </w:r>
            <w:r>
              <w:rPr>
                <w:spacing w:val="-2"/>
                <w:sz w:val="24"/>
              </w:rPr>
              <w:t> </w:t>
            </w:r>
            <w:r>
              <w:rPr>
                <w:sz w:val="24"/>
              </w:rPr>
              <w:t>for</w:t>
            </w:r>
            <w:r>
              <w:rPr>
                <w:spacing w:val="1"/>
                <w:sz w:val="24"/>
              </w:rPr>
              <w:t> </w:t>
            </w:r>
            <w:r>
              <w:rPr>
                <w:sz w:val="24"/>
              </w:rPr>
              <w:t>Data</w:t>
            </w:r>
            <w:r>
              <w:rPr>
                <w:spacing w:val="-1"/>
                <w:sz w:val="24"/>
              </w:rPr>
              <w:t> </w:t>
            </w:r>
            <w:r>
              <w:rPr>
                <w:spacing w:val="-2"/>
                <w:sz w:val="24"/>
              </w:rPr>
              <w:t>Analysis</w:t>
            </w:r>
            <w:r>
              <w:rPr>
                <w:sz w:val="24"/>
              </w:rPr>
              <w:tab/>
            </w:r>
            <w:r>
              <w:rPr>
                <w:spacing w:val="-10"/>
                <w:sz w:val="24"/>
              </w:rPr>
              <w:t>-</w:t>
            </w:r>
            <w:r>
              <w:rPr>
                <w:sz w:val="24"/>
              </w:rPr>
              <w:tab/>
            </w:r>
            <w:r>
              <w:rPr>
                <w:spacing w:val="-10"/>
                <w:sz w:val="24"/>
              </w:rPr>
              <w:t>-</w:t>
            </w:r>
            <w:r>
              <w:rPr>
                <w:sz w:val="24"/>
              </w:rPr>
              <w:tab/>
            </w:r>
            <w:r>
              <w:rPr>
                <w:spacing w:val="-10"/>
                <w:sz w:val="24"/>
              </w:rPr>
              <w:t>-</w:t>
            </w:r>
          </w:p>
        </w:tc>
        <w:tc>
          <w:tcPr>
            <w:tcW w:w="1440" w:type="dxa"/>
          </w:tcPr>
          <w:p>
            <w:pPr>
              <w:pStyle w:val="TableParagraph"/>
              <w:tabs>
                <w:tab w:pos="721" w:val="left" w:leader="none"/>
              </w:tabs>
              <w:spacing w:line="256" w:lineRule="exact" w:before="133"/>
              <w:ind w:left="1"/>
              <w:jc w:val="center"/>
              <w:rPr>
                <w:sz w:val="24"/>
              </w:rPr>
            </w:pPr>
            <w:r>
              <w:rPr>
                <w:spacing w:val="-10"/>
                <w:sz w:val="24"/>
              </w:rPr>
              <w:t>-</w:t>
            </w:r>
            <w:r>
              <w:rPr>
                <w:sz w:val="24"/>
              </w:rPr>
              <w:tab/>
            </w:r>
            <w:r>
              <w:rPr>
                <w:spacing w:val="-10"/>
                <w:sz w:val="24"/>
              </w:rPr>
              <w:t>-</w:t>
            </w:r>
          </w:p>
        </w:tc>
        <w:tc>
          <w:tcPr>
            <w:tcW w:w="610" w:type="dxa"/>
          </w:tcPr>
          <w:p>
            <w:pPr>
              <w:pStyle w:val="TableParagraph"/>
              <w:spacing w:line="256" w:lineRule="exact" w:before="133"/>
              <w:ind w:right="46"/>
              <w:jc w:val="right"/>
              <w:rPr>
                <w:sz w:val="24"/>
              </w:rPr>
            </w:pPr>
            <w:r>
              <w:rPr>
                <w:spacing w:val="-5"/>
                <w:sz w:val="24"/>
              </w:rPr>
              <w:t>92</w:t>
            </w:r>
          </w:p>
        </w:tc>
      </w:tr>
    </w:tbl>
    <w:p>
      <w:pPr>
        <w:spacing w:after="0" w:line="256" w:lineRule="exact"/>
        <w:jc w:val="right"/>
        <w:rPr>
          <w:sz w:val="24"/>
        </w:rPr>
        <w:sectPr>
          <w:type w:val="continuous"/>
          <w:pgSz w:w="11910" w:h="16840"/>
          <w:pgMar w:header="0" w:footer="1012" w:top="1340" w:bottom="1200" w:left="1680" w:right="280"/>
        </w:sectPr>
      </w:pPr>
    </w:p>
    <w:p>
      <w:pPr>
        <w:spacing w:before="78"/>
        <w:ind w:left="480" w:right="0" w:firstLine="0"/>
        <w:jc w:val="left"/>
        <w:rPr>
          <w:b/>
          <w:sz w:val="24"/>
        </w:rPr>
      </w:pPr>
      <w:r>
        <w:rPr>
          <w:b/>
          <w:sz w:val="24"/>
        </w:rPr>
        <w:t>CHAPTER</w:t>
      </w:r>
      <w:r>
        <w:rPr>
          <w:b/>
          <w:spacing w:val="-5"/>
          <w:sz w:val="24"/>
        </w:rPr>
        <w:t> </w:t>
      </w:r>
      <w:r>
        <w:rPr>
          <w:b/>
          <w:sz w:val="24"/>
        </w:rPr>
        <w:t>FOUR: DATA</w:t>
      </w:r>
      <w:r>
        <w:rPr>
          <w:b/>
          <w:spacing w:val="-3"/>
          <w:sz w:val="24"/>
        </w:rPr>
        <w:t> </w:t>
      </w:r>
      <w:r>
        <w:rPr>
          <w:b/>
          <w:sz w:val="24"/>
        </w:rPr>
        <w:t>ANALYSIS</w:t>
      </w:r>
      <w:r>
        <w:rPr>
          <w:b/>
          <w:spacing w:val="-1"/>
          <w:sz w:val="24"/>
        </w:rPr>
        <w:t> </w:t>
      </w:r>
      <w:r>
        <w:rPr>
          <w:b/>
          <w:sz w:val="24"/>
        </w:rPr>
        <w:t>AND</w:t>
      </w:r>
      <w:r>
        <w:rPr>
          <w:b/>
          <w:spacing w:val="-2"/>
          <w:sz w:val="24"/>
        </w:rPr>
        <w:t> PRESENTATION</w:t>
      </w:r>
    </w:p>
    <w:p>
      <w:pPr>
        <w:pStyle w:val="BodyText"/>
        <w:spacing w:before="52"/>
        <w:ind w:left="0"/>
        <w:jc w:val="left"/>
        <w:rPr>
          <w:b/>
          <w:sz w:val="20"/>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2"/>
        <w:gridCol w:w="1433"/>
        <w:gridCol w:w="526"/>
        <w:gridCol w:w="791"/>
        <w:gridCol w:w="650"/>
        <w:gridCol w:w="765"/>
        <w:gridCol w:w="675"/>
        <w:gridCol w:w="720"/>
        <w:gridCol w:w="720"/>
        <w:gridCol w:w="720"/>
        <w:gridCol w:w="730"/>
      </w:tblGrid>
      <w:tr>
        <w:trPr>
          <w:trHeight w:val="265" w:hRule="atLeast"/>
        </w:trPr>
        <w:tc>
          <w:tcPr>
            <w:tcW w:w="652" w:type="dxa"/>
          </w:tcPr>
          <w:p>
            <w:pPr>
              <w:pStyle w:val="TableParagraph"/>
              <w:spacing w:line="246" w:lineRule="exact"/>
              <w:ind w:left="50"/>
              <w:rPr>
                <w:sz w:val="24"/>
              </w:rPr>
            </w:pPr>
            <w:r>
              <w:rPr>
                <w:spacing w:val="-5"/>
                <w:sz w:val="24"/>
              </w:rPr>
              <w:t>4.1</w:t>
            </w:r>
          </w:p>
        </w:tc>
        <w:tc>
          <w:tcPr>
            <w:tcW w:w="1433" w:type="dxa"/>
          </w:tcPr>
          <w:p>
            <w:pPr>
              <w:pStyle w:val="TableParagraph"/>
              <w:spacing w:line="246" w:lineRule="exact"/>
              <w:ind w:left="118"/>
              <w:rPr>
                <w:sz w:val="24"/>
              </w:rPr>
            </w:pPr>
            <w:r>
              <w:rPr>
                <w:spacing w:val="-2"/>
                <w:sz w:val="24"/>
              </w:rPr>
              <w:t>Introduction</w:t>
            </w:r>
          </w:p>
        </w:tc>
        <w:tc>
          <w:tcPr>
            <w:tcW w:w="5567" w:type="dxa"/>
            <w:gridSpan w:val="8"/>
          </w:tcPr>
          <w:p>
            <w:pPr>
              <w:pStyle w:val="TableParagraph"/>
              <w:tabs>
                <w:tab w:pos="845" w:val="left" w:leader="none"/>
                <w:tab w:pos="1566" w:val="left" w:leader="none"/>
                <w:tab w:pos="2286" w:val="left" w:leader="none"/>
                <w:tab w:pos="3006" w:val="left" w:leader="none"/>
                <w:tab w:pos="3727" w:val="left" w:leader="none"/>
                <w:tab w:pos="4447" w:val="left" w:leader="none"/>
                <w:tab w:pos="5167" w:val="left" w:leader="none"/>
              </w:tabs>
              <w:spacing w:line="246" w:lineRule="exact"/>
              <w:ind w:left="125"/>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line="246" w:lineRule="exact"/>
              <w:ind w:left="321"/>
              <w:rPr>
                <w:sz w:val="24"/>
              </w:rPr>
            </w:pPr>
            <w:r>
              <w:rPr>
                <w:spacing w:val="-5"/>
                <w:sz w:val="24"/>
              </w:rPr>
              <w:t>94</w:t>
            </w:r>
          </w:p>
        </w:tc>
      </w:tr>
      <w:tr>
        <w:trPr>
          <w:trHeight w:val="552" w:hRule="atLeast"/>
        </w:trPr>
        <w:tc>
          <w:tcPr>
            <w:tcW w:w="652" w:type="dxa"/>
          </w:tcPr>
          <w:p>
            <w:pPr>
              <w:pStyle w:val="TableParagraph"/>
              <w:rPr>
                <w:b/>
                <w:sz w:val="24"/>
              </w:rPr>
            </w:pPr>
          </w:p>
          <w:p>
            <w:pPr>
              <w:pStyle w:val="TableParagraph"/>
              <w:spacing w:line="256" w:lineRule="exact"/>
              <w:ind w:left="50"/>
              <w:rPr>
                <w:sz w:val="24"/>
              </w:rPr>
            </w:pPr>
            <w:r>
              <w:rPr>
                <w:spacing w:val="-5"/>
                <w:sz w:val="24"/>
              </w:rPr>
              <w:t>4.2</w:t>
            </w:r>
          </w:p>
        </w:tc>
        <w:tc>
          <w:tcPr>
            <w:tcW w:w="4165" w:type="dxa"/>
            <w:gridSpan w:val="5"/>
          </w:tcPr>
          <w:p>
            <w:pPr>
              <w:pStyle w:val="TableParagraph"/>
              <w:rPr>
                <w:b/>
                <w:sz w:val="24"/>
              </w:rPr>
            </w:pPr>
          </w:p>
          <w:p>
            <w:pPr>
              <w:pStyle w:val="TableParagraph"/>
              <w:spacing w:line="256" w:lineRule="exact"/>
              <w:ind w:left="118"/>
              <w:rPr>
                <w:sz w:val="24"/>
              </w:rPr>
            </w:pPr>
            <w:r>
              <w:rPr>
                <w:sz w:val="24"/>
              </w:rPr>
              <w:t>Data</w:t>
            </w:r>
            <w:r>
              <w:rPr>
                <w:spacing w:val="-5"/>
                <w:sz w:val="24"/>
              </w:rPr>
              <w:t> </w:t>
            </w:r>
            <w:r>
              <w:rPr>
                <w:sz w:val="24"/>
              </w:rPr>
              <w:t>Analysis</w:t>
            </w:r>
            <w:r>
              <w:rPr>
                <w:spacing w:val="-2"/>
                <w:sz w:val="24"/>
              </w:rPr>
              <w:t> </w:t>
            </w:r>
            <w:r>
              <w:rPr>
                <w:sz w:val="24"/>
              </w:rPr>
              <w:t>and</w:t>
            </w:r>
            <w:r>
              <w:rPr>
                <w:spacing w:val="-1"/>
                <w:sz w:val="24"/>
              </w:rPr>
              <w:t> </w:t>
            </w:r>
            <w:r>
              <w:rPr>
                <w:sz w:val="24"/>
              </w:rPr>
              <w:t>Results</w:t>
            </w:r>
            <w:r>
              <w:rPr>
                <w:spacing w:val="-5"/>
                <w:sz w:val="24"/>
              </w:rPr>
              <w:t> </w:t>
            </w:r>
            <w:r>
              <w:rPr>
                <w:spacing w:val="-2"/>
                <w:sz w:val="24"/>
              </w:rPr>
              <w:t>Presentation</w:t>
            </w:r>
          </w:p>
        </w:tc>
        <w:tc>
          <w:tcPr>
            <w:tcW w:w="675" w:type="dxa"/>
          </w:tcPr>
          <w:p>
            <w:pPr>
              <w:pStyle w:val="TableParagraph"/>
              <w:rPr>
                <w:b/>
                <w:sz w:val="24"/>
              </w:rPr>
            </w:pPr>
          </w:p>
          <w:p>
            <w:pPr>
              <w:pStyle w:val="TableParagraph"/>
              <w:spacing w:line="256" w:lineRule="exact"/>
              <w:ind w:right="43"/>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right="1"/>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right="1"/>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jc w:val="center"/>
              <w:rPr>
                <w:sz w:val="24"/>
              </w:rPr>
            </w:pPr>
            <w:r>
              <w:rPr>
                <w:spacing w:val="-10"/>
                <w:sz w:val="24"/>
              </w:rPr>
              <w:t>-</w:t>
            </w:r>
          </w:p>
        </w:tc>
        <w:tc>
          <w:tcPr>
            <w:tcW w:w="730" w:type="dxa"/>
          </w:tcPr>
          <w:p>
            <w:pPr>
              <w:pStyle w:val="TableParagraph"/>
              <w:rPr>
                <w:b/>
                <w:sz w:val="24"/>
              </w:rPr>
            </w:pPr>
          </w:p>
          <w:p>
            <w:pPr>
              <w:pStyle w:val="TableParagraph"/>
              <w:spacing w:line="256" w:lineRule="exact"/>
              <w:ind w:left="321"/>
              <w:rPr>
                <w:sz w:val="24"/>
              </w:rPr>
            </w:pPr>
            <w:r>
              <w:rPr>
                <w:spacing w:val="-5"/>
                <w:sz w:val="24"/>
              </w:rPr>
              <w:t>94</w:t>
            </w:r>
          </w:p>
        </w:tc>
      </w:tr>
      <w:tr>
        <w:trPr>
          <w:trHeight w:val="552" w:hRule="atLeast"/>
        </w:trPr>
        <w:tc>
          <w:tcPr>
            <w:tcW w:w="652" w:type="dxa"/>
          </w:tcPr>
          <w:p>
            <w:pPr>
              <w:pStyle w:val="TableParagraph"/>
              <w:rPr>
                <w:b/>
                <w:sz w:val="24"/>
              </w:rPr>
            </w:pPr>
          </w:p>
          <w:p>
            <w:pPr>
              <w:pStyle w:val="TableParagraph"/>
              <w:spacing w:line="256" w:lineRule="exact"/>
              <w:ind w:left="50"/>
              <w:rPr>
                <w:sz w:val="24"/>
              </w:rPr>
            </w:pPr>
            <w:r>
              <w:rPr>
                <w:spacing w:val="-2"/>
                <w:sz w:val="24"/>
              </w:rPr>
              <w:t>4.2.1</w:t>
            </w:r>
          </w:p>
        </w:tc>
        <w:tc>
          <w:tcPr>
            <w:tcW w:w="3400" w:type="dxa"/>
            <w:gridSpan w:val="4"/>
          </w:tcPr>
          <w:p>
            <w:pPr>
              <w:pStyle w:val="TableParagraph"/>
              <w:rPr>
                <w:b/>
                <w:sz w:val="24"/>
              </w:rPr>
            </w:pPr>
          </w:p>
          <w:p>
            <w:pPr>
              <w:pStyle w:val="TableParagraph"/>
              <w:spacing w:line="256" w:lineRule="exact"/>
              <w:ind w:left="118"/>
              <w:rPr>
                <w:sz w:val="24"/>
              </w:rPr>
            </w:pPr>
            <w:r>
              <w:rPr>
                <w:sz w:val="24"/>
              </w:rPr>
              <w:t>Answer</w:t>
            </w:r>
            <w:r>
              <w:rPr>
                <w:spacing w:val="-1"/>
                <w:sz w:val="24"/>
              </w:rPr>
              <w:t> </w:t>
            </w:r>
            <w:r>
              <w:rPr>
                <w:sz w:val="24"/>
              </w:rPr>
              <w:t>to Research</w:t>
            </w:r>
            <w:r>
              <w:rPr>
                <w:spacing w:val="-5"/>
                <w:sz w:val="24"/>
              </w:rPr>
              <w:t> </w:t>
            </w:r>
            <w:r>
              <w:rPr>
                <w:spacing w:val="-2"/>
                <w:sz w:val="24"/>
              </w:rPr>
              <w:t>Questions</w:t>
            </w:r>
          </w:p>
        </w:tc>
        <w:tc>
          <w:tcPr>
            <w:tcW w:w="765" w:type="dxa"/>
          </w:tcPr>
          <w:p>
            <w:pPr>
              <w:pStyle w:val="TableParagraph"/>
              <w:rPr>
                <w:b/>
                <w:sz w:val="24"/>
              </w:rPr>
            </w:pPr>
          </w:p>
          <w:p>
            <w:pPr>
              <w:pStyle w:val="TableParagraph"/>
              <w:spacing w:line="256" w:lineRule="exact"/>
              <w:ind w:right="44"/>
              <w:jc w:val="center"/>
              <w:rPr>
                <w:sz w:val="24"/>
              </w:rPr>
            </w:pPr>
            <w:r>
              <w:rPr>
                <w:spacing w:val="-10"/>
                <w:sz w:val="24"/>
              </w:rPr>
              <w:t>-</w:t>
            </w:r>
          </w:p>
        </w:tc>
        <w:tc>
          <w:tcPr>
            <w:tcW w:w="675" w:type="dxa"/>
          </w:tcPr>
          <w:p>
            <w:pPr>
              <w:pStyle w:val="TableParagraph"/>
              <w:rPr>
                <w:b/>
                <w:sz w:val="24"/>
              </w:rPr>
            </w:pPr>
          </w:p>
          <w:p>
            <w:pPr>
              <w:pStyle w:val="TableParagraph"/>
              <w:spacing w:line="256" w:lineRule="exact"/>
              <w:ind w:right="43"/>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right="1"/>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right="1"/>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jc w:val="center"/>
              <w:rPr>
                <w:sz w:val="24"/>
              </w:rPr>
            </w:pPr>
            <w:r>
              <w:rPr>
                <w:spacing w:val="-10"/>
                <w:sz w:val="24"/>
              </w:rPr>
              <w:t>-</w:t>
            </w:r>
          </w:p>
        </w:tc>
        <w:tc>
          <w:tcPr>
            <w:tcW w:w="730" w:type="dxa"/>
          </w:tcPr>
          <w:p>
            <w:pPr>
              <w:pStyle w:val="TableParagraph"/>
              <w:rPr>
                <w:b/>
                <w:sz w:val="24"/>
              </w:rPr>
            </w:pPr>
          </w:p>
          <w:p>
            <w:pPr>
              <w:pStyle w:val="TableParagraph"/>
              <w:spacing w:line="256" w:lineRule="exact"/>
              <w:ind w:left="321"/>
              <w:rPr>
                <w:sz w:val="24"/>
              </w:rPr>
            </w:pPr>
            <w:r>
              <w:rPr>
                <w:spacing w:val="-5"/>
                <w:sz w:val="24"/>
              </w:rPr>
              <w:t>94</w:t>
            </w:r>
          </w:p>
        </w:tc>
      </w:tr>
      <w:tr>
        <w:trPr>
          <w:trHeight w:val="552" w:hRule="atLeast"/>
        </w:trPr>
        <w:tc>
          <w:tcPr>
            <w:tcW w:w="652" w:type="dxa"/>
          </w:tcPr>
          <w:p>
            <w:pPr>
              <w:pStyle w:val="TableParagraph"/>
              <w:rPr>
                <w:b/>
                <w:sz w:val="24"/>
              </w:rPr>
            </w:pPr>
          </w:p>
          <w:p>
            <w:pPr>
              <w:pStyle w:val="TableParagraph"/>
              <w:spacing w:line="256" w:lineRule="exact"/>
              <w:ind w:left="50"/>
              <w:rPr>
                <w:sz w:val="24"/>
              </w:rPr>
            </w:pPr>
            <w:r>
              <w:rPr>
                <w:spacing w:val="-2"/>
                <w:sz w:val="24"/>
              </w:rPr>
              <w:t>4.2.2</w:t>
            </w:r>
          </w:p>
        </w:tc>
        <w:tc>
          <w:tcPr>
            <w:tcW w:w="2750" w:type="dxa"/>
            <w:gridSpan w:val="3"/>
          </w:tcPr>
          <w:p>
            <w:pPr>
              <w:pStyle w:val="TableParagraph"/>
              <w:rPr>
                <w:b/>
                <w:sz w:val="24"/>
              </w:rPr>
            </w:pPr>
          </w:p>
          <w:p>
            <w:pPr>
              <w:pStyle w:val="TableParagraph"/>
              <w:spacing w:line="256" w:lineRule="exact"/>
              <w:ind w:left="118"/>
              <w:rPr>
                <w:sz w:val="24"/>
              </w:rPr>
            </w:pPr>
            <w:r>
              <w:rPr>
                <w:sz w:val="24"/>
              </w:rPr>
              <w:t>Null</w:t>
            </w:r>
            <w:r>
              <w:rPr>
                <w:spacing w:val="-6"/>
                <w:sz w:val="24"/>
              </w:rPr>
              <w:t> </w:t>
            </w:r>
            <w:r>
              <w:rPr>
                <w:sz w:val="24"/>
              </w:rPr>
              <w:t>Hypotheses</w:t>
            </w:r>
            <w:r>
              <w:rPr>
                <w:spacing w:val="2"/>
                <w:sz w:val="24"/>
              </w:rPr>
              <w:t> </w:t>
            </w:r>
            <w:r>
              <w:rPr>
                <w:spacing w:val="-2"/>
                <w:sz w:val="24"/>
              </w:rPr>
              <w:t>Testing</w:t>
            </w:r>
          </w:p>
        </w:tc>
        <w:tc>
          <w:tcPr>
            <w:tcW w:w="650" w:type="dxa"/>
          </w:tcPr>
          <w:p>
            <w:pPr>
              <w:pStyle w:val="TableParagraph"/>
              <w:rPr>
                <w:b/>
                <w:sz w:val="24"/>
              </w:rPr>
            </w:pPr>
          </w:p>
          <w:p>
            <w:pPr>
              <w:pStyle w:val="TableParagraph"/>
              <w:spacing w:line="256" w:lineRule="exact"/>
              <w:ind w:right="69"/>
              <w:jc w:val="center"/>
              <w:rPr>
                <w:sz w:val="24"/>
              </w:rPr>
            </w:pPr>
            <w:r>
              <w:rPr>
                <w:spacing w:val="-10"/>
                <w:sz w:val="24"/>
              </w:rPr>
              <w:t>-</w:t>
            </w:r>
          </w:p>
        </w:tc>
        <w:tc>
          <w:tcPr>
            <w:tcW w:w="765" w:type="dxa"/>
          </w:tcPr>
          <w:p>
            <w:pPr>
              <w:pStyle w:val="TableParagraph"/>
              <w:rPr>
                <w:b/>
                <w:sz w:val="24"/>
              </w:rPr>
            </w:pPr>
          </w:p>
          <w:p>
            <w:pPr>
              <w:pStyle w:val="TableParagraph"/>
              <w:spacing w:line="256" w:lineRule="exact"/>
              <w:ind w:right="44"/>
              <w:jc w:val="center"/>
              <w:rPr>
                <w:sz w:val="24"/>
              </w:rPr>
            </w:pPr>
            <w:r>
              <w:rPr>
                <w:spacing w:val="-10"/>
                <w:sz w:val="24"/>
              </w:rPr>
              <w:t>-</w:t>
            </w:r>
          </w:p>
        </w:tc>
        <w:tc>
          <w:tcPr>
            <w:tcW w:w="675" w:type="dxa"/>
          </w:tcPr>
          <w:p>
            <w:pPr>
              <w:pStyle w:val="TableParagraph"/>
              <w:rPr>
                <w:b/>
                <w:sz w:val="24"/>
              </w:rPr>
            </w:pPr>
          </w:p>
          <w:p>
            <w:pPr>
              <w:pStyle w:val="TableParagraph"/>
              <w:spacing w:line="256" w:lineRule="exact"/>
              <w:ind w:right="43"/>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right="1"/>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right="1"/>
              <w:jc w:val="center"/>
              <w:rPr>
                <w:sz w:val="24"/>
              </w:rPr>
            </w:pPr>
            <w:r>
              <w:rPr>
                <w:spacing w:val="-10"/>
                <w:sz w:val="24"/>
              </w:rPr>
              <w:t>-</w:t>
            </w:r>
          </w:p>
        </w:tc>
        <w:tc>
          <w:tcPr>
            <w:tcW w:w="720" w:type="dxa"/>
          </w:tcPr>
          <w:p>
            <w:pPr>
              <w:pStyle w:val="TableParagraph"/>
              <w:rPr>
                <w:b/>
                <w:sz w:val="24"/>
              </w:rPr>
            </w:pPr>
          </w:p>
          <w:p>
            <w:pPr>
              <w:pStyle w:val="TableParagraph"/>
              <w:spacing w:line="256" w:lineRule="exact"/>
              <w:ind w:left="1"/>
              <w:jc w:val="center"/>
              <w:rPr>
                <w:sz w:val="24"/>
              </w:rPr>
            </w:pPr>
            <w:r>
              <w:rPr>
                <w:spacing w:val="-10"/>
                <w:sz w:val="24"/>
              </w:rPr>
              <w:t>-</w:t>
            </w:r>
          </w:p>
        </w:tc>
        <w:tc>
          <w:tcPr>
            <w:tcW w:w="730" w:type="dxa"/>
          </w:tcPr>
          <w:p>
            <w:pPr>
              <w:pStyle w:val="TableParagraph"/>
              <w:rPr>
                <w:b/>
                <w:sz w:val="24"/>
              </w:rPr>
            </w:pPr>
          </w:p>
          <w:p>
            <w:pPr>
              <w:pStyle w:val="TableParagraph"/>
              <w:spacing w:line="256" w:lineRule="exact"/>
              <w:ind w:left="321"/>
              <w:rPr>
                <w:sz w:val="24"/>
              </w:rPr>
            </w:pPr>
            <w:r>
              <w:rPr>
                <w:spacing w:val="-5"/>
                <w:sz w:val="24"/>
              </w:rPr>
              <w:t>98</w:t>
            </w:r>
          </w:p>
        </w:tc>
      </w:tr>
      <w:tr>
        <w:trPr>
          <w:trHeight w:val="695" w:hRule="atLeast"/>
        </w:trPr>
        <w:tc>
          <w:tcPr>
            <w:tcW w:w="652" w:type="dxa"/>
          </w:tcPr>
          <w:p>
            <w:pPr>
              <w:pStyle w:val="TableParagraph"/>
              <w:rPr>
                <w:b/>
                <w:sz w:val="24"/>
              </w:rPr>
            </w:pPr>
          </w:p>
          <w:p>
            <w:pPr>
              <w:pStyle w:val="TableParagraph"/>
              <w:ind w:left="50"/>
              <w:rPr>
                <w:sz w:val="24"/>
              </w:rPr>
            </w:pPr>
            <w:r>
              <w:rPr>
                <w:spacing w:val="-5"/>
                <w:sz w:val="24"/>
              </w:rPr>
              <w:t>4.3</w:t>
            </w:r>
          </w:p>
        </w:tc>
        <w:tc>
          <w:tcPr>
            <w:tcW w:w="1433" w:type="dxa"/>
          </w:tcPr>
          <w:p>
            <w:pPr>
              <w:pStyle w:val="TableParagraph"/>
              <w:rPr>
                <w:b/>
                <w:sz w:val="24"/>
              </w:rPr>
            </w:pPr>
          </w:p>
          <w:p>
            <w:pPr>
              <w:pStyle w:val="TableParagraph"/>
              <w:ind w:left="118"/>
              <w:rPr>
                <w:sz w:val="24"/>
              </w:rPr>
            </w:pPr>
            <w:r>
              <w:rPr>
                <w:spacing w:val="-2"/>
                <w:sz w:val="24"/>
              </w:rPr>
              <w:t>Findings</w:t>
            </w:r>
          </w:p>
        </w:tc>
        <w:tc>
          <w:tcPr>
            <w:tcW w:w="526" w:type="dxa"/>
          </w:tcPr>
          <w:p>
            <w:pPr>
              <w:pStyle w:val="TableParagraph"/>
              <w:rPr>
                <w:b/>
                <w:sz w:val="24"/>
              </w:rPr>
            </w:pPr>
          </w:p>
          <w:p>
            <w:pPr>
              <w:pStyle w:val="TableParagraph"/>
              <w:ind w:left="125"/>
              <w:rPr>
                <w:sz w:val="24"/>
              </w:rPr>
            </w:pPr>
            <w:r>
              <w:rPr>
                <w:spacing w:val="-10"/>
                <w:sz w:val="24"/>
              </w:rPr>
              <w:t>-</w:t>
            </w:r>
          </w:p>
        </w:tc>
        <w:tc>
          <w:tcPr>
            <w:tcW w:w="791" w:type="dxa"/>
          </w:tcPr>
          <w:p>
            <w:pPr>
              <w:pStyle w:val="TableParagraph"/>
              <w:rPr>
                <w:b/>
                <w:sz w:val="24"/>
              </w:rPr>
            </w:pPr>
          </w:p>
          <w:p>
            <w:pPr>
              <w:pStyle w:val="TableParagraph"/>
              <w:ind w:right="69"/>
              <w:jc w:val="center"/>
              <w:rPr>
                <w:sz w:val="24"/>
              </w:rPr>
            </w:pPr>
            <w:r>
              <w:rPr>
                <w:spacing w:val="-10"/>
                <w:sz w:val="24"/>
              </w:rPr>
              <w:t>-</w:t>
            </w:r>
          </w:p>
        </w:tc>
        <w:tc>
          <w:tcPr>
            <w:tcW w:w="650" w:type="dxa"/>
          </w:tcPr>
          <w:p>
            <w:pPr>
              <w:pStyle w:val="TableParagraph"/>
              <w:rPr>
                <w:b/>
                <w:sz w:val="24"/>
              </w:rPr>
            </w:pPr>
          </w:p>
          <w:p>
            <w:pPr>
              <w:pStyle w:val="TableParagraph"/>
              <w:ind w:right="69"/>
              <w:jc w:val="center"/>
              <w:rPr>
                <w:sz w:val="24"/>
              </w:rPr>
            </w:pPr>
            <w:r>
              <w:rPr>
                <w:spacing w:val="-10"/>
                <w:sz w:val="24"/>
              </w:rPr>
              <w:t>-</w:t>
            </w:r>
          </w:p>
        </w:tc>
        <w:tc>
          <w:tcPr>
            <w:tcW w:w="765" w:type="dxa"/>
          </w:tcPr>
          <w:p>
            <w:pPr>
              <w:pStyle w:val="TableParagraph"/>
              <w:rPr>
                <w:b/>
                <w:sz w:val="24"/>
              </w:rPr>
            </w:pPr>
          </w:p>
          <w:p>
            <w:pPr>
              <w:pStyle w:val="TableParagraph"/>
              <w:ind w:right="44"/>
              <w:jc w:val="center"/>
              <w:rPr>
                <w:sz w:val="24"/>
              </w:rPr>
            </w:pPr>
            <w:r>
              <w:rPr>
                <w:spacing w:val="-10"/>
                <w:sz w:val="24"/>
              </w:rPr>
              <w:t>-</w:t>
            </w:r>
          </w:p>
        </w:tc>
        <w:tc>
          <w:tcPr>
            <w:tcW w:w="675" w:type="dxa"/>
          </w:tcPr>
          <w:p>
            <w:pPr>
              <w:pStyle w:val="TableParagraph"/>
              <w:rPr>
                <w:b/>
                <w:sz w:val="24"/>
              </w:rPr>
            </w:pPr>
          </w:p>
          <w:p>
            <w:pPr>
              <w:pStyle w:val="TableParagraph"/>
              <w:ind w:right="43"/>
              <w:jc w:val="center"/>
              <w:rPr>
                <w:sz w:val="24"/>
              </w:rPr>
            </w:pPr>
            <w:r>
              <w:rPr>
                <w:spacing w:val="-10"/>
                <w:sz w:val="24"/>
              </w:rPr>
              <w:t>-</w:t>
            </w:r>
          </w:p>
        </w:tc>
        <w:tc>
          <w:tcPr>
            <w:tcW w:w="720" w:type="dxa"/>
          </w:tcPr>
          <w:p>
            <w:pPr>
              <w:pStyle w:val="TableParagraph"/>
              <w:rPr>
                <w:b/>
                <w:sz w:val="24"/>
              </w:rPr>
            </w:pPr>
          </w:p>
          <w:p>
            <w:pPr>
              <w:pStyle w:val="TableParagraph"/>
              <w:ind w:left="1" w:right="1"/>
              <w:jc w:val="center"/>
              <w:rPr>
                <w:sz w:val="24"/>
              </w:rPr>
            </w:pPr>
            <w:r>
              <w:rPr>
                <w:spacing w:val="-10"/>
                <w:sz w:val="24"/>
              </w:rPr>
              <w:t>-</w:t>
            </w:r>
          </w:p>
        </w:tc>
        <w:tc>
          <w:tcPr>
            <w:tcW w:w="720" w:type="dxa"/>
          </w:tcPr>
          <w:p>
            <w:pPr>
              <w:pStyle w:val="TableParagraph"/>
              <w:rPr>
                <w:b/>
                <w:sz w:val="24"/>
              </w:rPr>
            </w:pPr>
          </w:p>
          <w:p>
            <w:pPr>
              <w:pStyle w:val="TableParagraph"/>
              <w:ind w:left="1" w:right="1"/>
              <w:jc w:val="center"/>
              <w:rPr>
                <w:sz w:val="24"/>
              </w:rPr>
            </w:pPr>
            <w:r>
              <w:rPr>
                <w:spacing w:val="-10"/>
                <w:sz w:val="24"/>
              </w:rPr>
              <w:t>-</w:t>
            </w:r>
          </w:p>
        </w:tc>
        <w:tc>
          <w:tcPr>
            <w:tcW w:w="720" w:type="dxa"/>
          </w:tcPr>
          <w:p>
            <w:pPr>
              <w:pStyle w:val="TableParagraph"/>
              <w:rPr>
                <w:b/>
                <w:sz w:val="24"/>
              </w:rPr>
            </w:pPr>
          </w:p>
          <w:p>
            <w:pPr>
              <w:pStyle w:val="TableParagraph"/>
              <w:ind w:left="1"/>
              <w:jc w:val="center"/>
              <w:rPr>
                <w:sz w:val="24"/>
              </w:rPr>
            </w:pPr>
            <w:r>
              <w:rPr>
                <w:spacing w:val="-10"/>
                <w:sz w:val="24"/>
              </w:rPr>
              <w:t>-</w:t>
            </w:r>
          </w:p>
        </w:tc>
        <w:tc>
          <w:tcPr>
            <w:tcW w:w="730" w:type="dxa"/>
          </w:tcPr>
          <w:p>
            <w:pPr>
              <w:pStyle w:val="TableParagraph"/>
              <w:rPr>
                <w:b/>
                <w:sz w:val="24"/>
              </w:rPr>
            </w:pPr>
          </w:p>
          <w:p>
            <w:pPr>
              <w:pStyle w:val="TableParagraph"/>
              <w:ind w:left="321"/>
              <w:rPr>
                <w:sz w:val="24"/>
              </w:rPr>
            </w:pPr>
            <w:r>
              <w:rPr>
                <w:spacing w:val="-5"/>
                <w:sz w:val="24"/>
              </w:rPr>
              <w:t>102</w:t>
            </w:r>
          </w:p>
        </w:tc>
      </w:tr>
      <w:tr>
        <w:trPr>
          <w:trHeight w:val="408" w:hRule="atLeast"/>
        </w:trPr>
        <w:tc>
          <w:tcPr>
            <w:tcW w:w="652" w:type="dxa"/>
          </w:tcPr>
          <w:p>
            <w:pPr>
              <w:pStyle w:val="TableParagraph"/>
              <w:spacing w:line="256" w:lineRule="exact" w:before="133"/>
              <w:ind w:left="50"/>
              <w:rPr>
                <w:sz w:val="24"/>
              </w:rPr>
            </w:pPr>
            <w:r>
              <w:rPr>
                <w:spacing w:val="-5"/>
                <w:sz w:val="24"/>
              </w:rPr>
              <w:t>4.4</w:t>
            </w:r>
          </w:p>
        </w:tc>
        <w:tc>
          <w:tcPr>
            <w:tcW w:w="1433" w:type="dxa"/>
          </w:tcPr>
          <w:p>
            <w:pPr>
              <w:pStyle w:val="TableParagraph"/>
              <w:spacing w:line="256" w:lineRule="exact" w:before="133"/>
              <w:ind w:left="118"/>
              <w:rPr>
                <w:sz w:val="24"/>
              </w:rPr>
            </w:pPr>
            <w:r>
              <w:rPr>
                <w:sz w:val="24"/>
              </w:rPr>
              <w:t>Discussion</w:t>
            </w:r>
            <w:r>
              <w:rPr>
                <w:spacing w:val="-9"/>
                <w:sz w:val="24"/>
              </w:rPr>
              <w:t> </w:t>
            </w:r>
            <w:r>
              <w:rPr>
                <w:spacing w:val="-10"/>
                <w:sz w:val="24"/>
              </w:rPr>
              <w:t>-</w:t>
            </w:r>
          </w:p>
        </w:tc>
        <w:tc>
          <w:tcPr>
            <w:tcW w:w="526" w:type="dxa"/>
          </w:tcPr>
          <w:p>
            <w:pPr>
              <w:pStyle w:val="TableParagraph"/>
              <w:spacing w:line="256" w:lineRule="exact" w:before="133"/>
              <w:ind w:left="125"/>
              <w:rPr>
                <w:sz w:val="24"/>
              </w:rPr>
            </w:pPr>
            <w:r>
              <w:rPr>
                <w:spacing w:val="-10"/>
                <w:sz w:val="24"/>
              </w:rPr>
              <w:t>-</w:t>
            </w:r>
          </w:p>
        </w:tc>
        <w:tc>
          <w:tcPr>
            <w:tcW w:w="791" w:type="dxa"/>
          </w:tcPr>
          <w:p>
            <w:pPr>
              <w:pStyle w:val="TableParagraph"/>
              <w:spacing w:line="256" w:lineRule="exact" w:before="133"/>
              <w:ind w:right="69"/>
              <w:jc w:val="center"/>
              <w:rPr>
                <w:sz w:val="24"/>
              </w:rPr>
            </w:pPr>
            <w:r>
              <w:rPr>
                <w:spacing w:val="-10"/>
                <w:sz w:val="24"/>
              </w:rPr>
              <w:t>-</w:t>
            </w:r>
          </w:p>
        </w:tc>
        <w:tc>
          <w:tcPr>
            <w:tcW w:w="650" w:type="dxa"/>
          </w:tcPr>
          <w:p>
            <w:pPr>
              <w:pStyle w:val="TableParagraph"/>
              <w:spacing w:line="256" w:lineRule="exact" w:before="133"/>
              <w:ind w:right="69"/>
              <w:jc w:val="center"/>
              <w:rPr>
                <w:sz w:val="24"/>
              </w:rPr>
            </w:pPr>
            <w:r>
              <w:rPr>
                <w:spacing w:val="-10"/>
                <w:sz w:val="24"/>
              </w:rPr>
              <w:t>-</w:t>
            </w:r>
          </w:p>
        </w:tc>
        <w:tc>
          <w:tcPr>
            <w:tcW w:w="765" w:type="dxa"/>
          </w:tcPr>
          <w:p>
            <w:pPr>
              <w:pStyle w:val="TableParagraph"/>
              <w:spacing w:line="256" w:lineRule="exact" w:before="133"/>
              <w:ind w:right="44"/>
              <w:jc w:val="center"/>
              <w:rPr>
                <w:sz w:val="24"/>
              </w:rPr>
            </w:pPr>
            <w:r>
              <w:rPr>
                <w:spacing w:val="-10"/>
                <w:sz w:val="24"/>
              </w:rPr>
              <w:t>-</w:t>
            </w:r>
          </w:p>
        </w:tc>
        <w:tc>
          <w:tcPr>
            <w:tcW w:w="675" w:type="dxa"/>
          </w:tcPr>
          <w:p>
            <w:pPr>
              <w:pStyle w:val="TableParagraph"/>
              <w:spacing w:line="256" w:lineRule="exact" w:before="133"/>
              <w:ind w:right="43"/>
              <w:jc w:val="center"/>
              <w:rPr>
                <w:sz w:val="24"/>
              </w:rPr>
            </w:pPr>
            <w:r>
              <w:rPr>
                <w:spacing w:val="-10"/>
                <w:sz w:val="24"/>
              </w:rPr>
              <w:t>-</w:t>
            </w:r>
          </w:p>
        </w:tc>
        <w:tc>
          <w:tcPr>
            <w:tcW w:w="720" w:type="dxa"/>
          </w:tcPr>
          <w:p>
            <w:pPr>
              <w:pStyle w:val="TableParagraph"/>
              <w:spacing w:line="256" w:lineRule="exact" w:before="133"/>
              <w:ind w:left="1" w:right="1"/>
              <w:jc w:val="center"/>
              <w:rPr>
                <w:sz w:val="24"/>
              </w:rPr>
            </w:pPr>
            <w:r>
              <w:rPr>
                <w:spacing w:val="-10"/>
                <w:sz w:val="24"/>
              </w:rPr>
              <w:t>-</w:t>
            </w:r>
          </w:p>
        </w:tc>
        <w:tc>
          <w:tcPr>
            <w:tcW w:w="720" w:type="dxa"/>
          </w:tcPr>
          <w:p>
            <w:pPr>
              <w:pStyle w:val="TableParagraph"/>
              <w:spacing w:line="256" w:lineRule="exact" w:before="133"/>
              <w:ind w:left="1" w:right="1"/>
              <w:jc w:val="center"/>
              <w:rPr>
                <w:sz w:val="24"/>
              </w:rPr>
            </w:pPr>
            <w:r>
              <w:rPr>
                <w:spacing w:val="-10"/>
                <w:sz w:val="24"/>
              </w:rPr>
              <w:t>-</w:t>
            </w:r>
          </w:p>
        </w:tc>
        <w:tc>
          <w:tcPr>
            <w:tcW w:w="720" w:type="dxa"/>
          </w:tcPr>
          <w:p>
            <w:pPr>
              <w:pStyle w:val="TableParagraph"/>
              <w:spacing w:line="256" w:lineRule="exact" w:before="133"/>
              <w:ind w:left="1"/>
              <w:jc w:val="center"/>
              <w:rPr>
                <w:sz w:val="24"/>
              </w:rPr>
            </w:pPr>
            <w:r>
              <w:rPr>
                <w:spacing w:val="-10"/>
                <w:sz w:val="24"/>
              </w:rPr>
              <w:t>-</w:t>
            </w:r>
          </w:p>
        </w:tc>
        <w:tc>
          <w:tcPr>
            <w:tcW w:w="730" w:type="dxa"/>
          </w:tcPr>
          <w:p>
            <w:pPr>
              <w:pStyle w:val="TableParagraph"/>
              <w:spacing w:line="256" w:lineRule="exact" w:before="133"/>
              <w:ind w:left="321"/>
              <w:rPr>
                <w:sz w:val="24"/>
              </w:rPr>
            </w:pPr>
            <w:r>
              <w:rPr>
                <w:spacing w:val="-5"/>
                <w:sz w:val="24"/>
              </w:rPr>
              <w:t>103</w:t>
            </w:r>
          </w:p>
        </w:tc>
      </w:tr>
    </w:tbl>
    <w:p>
      <w:pPr>
        <w:pStyle w:val="BodyText"/>
        <w:spacing w:before="7"/>
        <w:ind w:left="0"/>
        <w:jc w:val="left"/>
        <w:rPr>
          <w:b/>
        </w:rPr>
      </w:pPr>
    </w:p>
    <w:p>
      <w:pPr>
        <w:spacing w:before="0"/>
        <w:ind w:left="480" w:right="0" w:firstLine="0"/>
        <w:jc w:val="left"/>
        <w:rPr>
          <w:b/>
          <w:sz w:val="24"/>
        </w:rPr>
      </w:pPr>
      <w:r>
        <w:rPr>
          <w:b/>
          <w:sz w:val="24"/>
        </w:rPr>
        <w:t>CHAPTER</w:t>
      </w:r>
      <w:r>
        <w:rPr>
          <w:b/>
          <w:spacing w:val="-4"/>
          <w:sz w:val="24"/>
        </w:rPr>
        <w:t> </w:t>
      </w:r>
      <w:r>
        <w:rPr>
          <w:b/>
          <w:sz w:val="24"/>
        </w:rPr>
        <w:t>FIVE: SUMMARY,</w:t>
      </w:r>
      <w:r>
        <w:rPr>
          <w:b/>
          <w:spacing w:val="-4"/>
          <w:sz w:val="24"/>
        </w:rPr>
        <w:t> </w:t>
      </w:r>
      <w:r>
        <w:rPr>
          <w:b/>
          <w:sz w:val="24"/>
        </w:rPr>
        <w:t>CONCLUSION</w:t>
      </w:r>
      <w:r>
        <w:rPr>
          <w:b/>
          <w:spacing w:val="-1"/>
          <w:sz w:val="24"/>
        </w:rPr>
        <w:t> </w:t>
      </w:r>
      <w:r>
        <w:rPr>
          <w:b/>
          <w:sz w:val="24"/>
        </w:rPr>
        <w:t>AND</w:t>
      </w:r>
      <w:r>
        <w:rPr>
          <w:b/>
          <w:spacing w:val="-1"/>
          <w:sz w:val="24"/>
        </w:rPr>
        <w:t> </w:t>
      </w:r>
      <w:r>
        <w:rPr>
          <w:b/>
          <w:spacing w:val="-2"/>
          <w:sz w:val="24"/>
        </w:rPr>
        <w:t>RECOMMENDATIONS</w:t>
      </w:r>
    </w:p>
    <w:p>
      <w:pPr>
        <w:pStyle w:val="BodyText"/>
        <w:spacing w:before="52"/>
        <w:ind w:left="0"/>
        <w:jc w:val="left"/>
        <w:rPr>
          <w:b/>
          <w:sz w:val="20"/>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1"/>
        <w:gridCol w:w="7092"/>
        <w:gridCol w:w="730"/>
      </w:tblGrid>
      <w:tr>
        <w:trPr>
          <w:trHeight w:val="408" w:hRule="atLeast"/>
        </w:trPr>
        <w:tc>
          <w:tcPr>
            <w:tcW w:w="561" w:type="dxa"/>
          </w:tcPr>
          <w:p>
            <w:pPr>
              <w:pStyle w:val="TableParagraph"/>
              <w:spacing w:line="266" w:lineRule="exact"/>
              <w:ind w:right="156"/>
              <w:jc w:val="center"/>
              <w:rPr>
                <w:sz w:val="24"/>
              </w:rPr>
            </w:pPr>
            <w:r>
              <w:rPr>
                <w:spacing w:val="-5"/>
                <w:sz w:val="24"/>
              </w:rPr>
              <w:t>5.1</w:t>
            </w:r>
          </w:p>
        </w:tc>
        <w:tc>
          <w:tcPr>
            <w:tcW w:w="7092" w:type="dxa"/>
          </w:tcPr>
          <w:p>
            <w:pPr>
              <w:pStyle w:val="TableParagraph"/>
              <w:tabs>
                <w:tab w:pos="1440" w:val="left" w:leader="none"/>
                <w:tab w:pos="2160" w:val="left" w:leader="none"/>
                <w:tab w:pos="2881" w:val="left" w:leader="none"/>
                <w:tab w:pos="3601" w:val="left" w:leader="none"/>
                <w:tab w:pos="4321" w:val="left" w:leader="none"/>
                <w:tab w:pos="5042" w:val="left" w:leader="none"/>
                <w:tab w:pos="5762" w:val="left" w:leader="none"/>
                <w:tab w:pos="6482" w:val="left" w:leader="none"/>
              </w:tabs>
              <w:spacing w:line="266" w:lineRule="exact"/>
              <w:ind w:right="109"/>
              <w:jc w:val="center"/>
              <w:rPr>
                <w:sz w:val="24"/>
              </w:rPr>
            </w:pPr>
            <w:r>
              <w:rPr>
                <w:spacing w:val="-2"/>
                <w:sz w:val="24"/>
              </w:rPr>
              <w:t>Introduction</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line="266" w:lineRule="exact"/>
              <w:ind w:right="47"/>
              <w:jc w:val="right"/>
              <w:rPr>
                <w:sz w:val="24"/>
              </w:rPr>
            </w:pPr>
            <w:r>
              <w:rPr>
                <w:spacing w:val="-5"/>
                <w:sz w:val="24"/>
              </w:rPr>
              <w:t>110</w:t>
            </w:r>
          </w:p>
        </w:tc>
      </w:tr>
      <w:tr>
        <w:trPr>
          <w:trHeight w:val="552" w:hRule="atLeast"/>
        </w:trPr>
        <w:tc>
          <w:tcPr>
            <w:tcW w:w="561" w:type="dxa"/>
          </w:tcPr>
          <w:p>
            <w:pPr>
              <w:pStyle w:val="TableParagraph"/>
              <w:spacing w:before="133"/>
              <w:ind w:right="156"/>
              <w:jc w:val="center"/>
              <w:rPr>
                <w:sz w:val="24"/>
              </w:rPr>
            </w:pPr>
            <w:r>
              <w:rPr>
                <w:spacing w:val="-5"/>
                <w:sz w:val="24"/>
              </w:rPr>
              <w:t>5.2</w:t>
            </w:r>
          </w:p>
        </w:tc>
        <w:tc>
          <w:tcPr>
            <w:tcW w:w="7092" w:type="dxa"/>
          </w:tcPr>
          <w:p>
            <w:pPr>
              <w:pStyle w:val="TableParagraph"/>
              <w:tabs>
                <w:tab w:pos="1440" w:val="left" w:leader="none"/>
                <w:tab w:pos="2160" w:val="left" w:leader="none"/>
                <w:tab w:pos="2881" w:val="left" w:leader="none"/>
                <w:tab w:pos="3601" w:val="left" w:leader="none"/>
                <w:tab w:pos="4321" w:val="left" w:leader="none"/>
                <w:tab w:pos="5042" w:val="left" w:leader="none"/>
                <w:tab w:pos="5762" w:val="left" w:leader="none"/>
                <w:tab w:pos="6482" w:val="left" w:leader="none"/>
              </w:tabs>
              <w:spacing w:before="133"/>
              <w:ind w:right="109"/>
              <w:jc w:val="center"/>
              <w:rPr>
                <w:sz w:val="24"/>
              </w:rPr>
            </w:pPr>
            <w:r>
              <w:rPr>
                <w:spacing w:val="-2"/>
                <w:sz w:val="24"/>
              </w:rPr>
              <w:t>Summary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before="133"/>
              <w:ind w:right="47"/>
              <w:jc w:val="right"/>
              <w:rPr>
                <w:sz w:val="24"/>
              </w:rPr>
            </w:pPr>
            <w:r>
              <w:rPr>
                <w:spacing w:val="-5"/>
                <w:sz w:val="24"/>
              </w:rPr>
              <w:t>110</w:t>
            </w:r>
          </w:p>
        </w:tc>
      </w:tr>
      <w:tr>
        <w:trPr>
          <w:trHeight w:val="552" w:hRule="atLeast"/>
        </w:trPr>
        <w:tc>
          <w:tcPr>
            <w:tcW w:w="561" w:type="dxa"/>
          </w:tcPr>
          <w:p>
            <w:pPr>
              <w:pStyle w:val="TableParagraph"/>
              <w:spacing w:before="133"/>
              <w:ind w:right="156"/>
              <w:jc w:val="center"/>
              <w:rPr>
                <w:sz w:val="24"/>
              </w:rPr>
            </w:pPr>
            <w:r>
              <w:rPr>
                <w:spacing w:val="-5"/>
                <w:sz w:val="24"/>
              </w:rPr>
              <w:t>5.3</w:t>
            </w:r>
          </w:p>
        </w:tc>
        <w:tc>
          <w:tcPr>
            <w:tcW w:w="7092" w:type="dxa"/>
          </w:tcPr>
          <w:p>
            <w:pPr>
              <w:pStyle w:val="TableParagraph"/>
              <w:tabs>
                <w:tab w:pos="1440" w:val="left" w:leader="none"/>
                <w:tab w:pos="2160" w:val="left" w:leader="none"/>
                <w:tab w:pos="2881" w:val="left" w:leader="none"/>
                <w:tab w:pos="3601" w:val="left" w:leader="none"/>
                <w:tab w:pos="4321" w:val="left" w:leader="none"/>
                <w:tab w:pos="5042" w:val="left" w:leader="none"/>
                <w:tab w:pos="5762" w:val="left" w:leader="none"/>
                <w:tab w:pos="6482" w:val="left" w:leader="none"/>
              </w:tabs>
              <w:spacing w:before="133"/>
              <w:ind w:right="109"/>
              <w:jc w:val="center"/>
              <w:rPr>
                <w:sz w:val="24"/>
              </w:rPr>
            </w:pPr>
            <w:r>
              <w:rPr>
                <w:spacing w:val="-2"/>
                <w:sz w:val="24"/>
              </w:rPr>
              <w:t>Conclusions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before="133"/>
              <w:ind w:right="47"/>
              <w:jc w:val="right"/>
              <w:rPr>
                <w:sz w:val="24"/>
              </w:rPr>
            </w:pPr>
            <w:r>
              <w:rPr>
                <w:spacing w:val="-5"/>
                <w:sz w:val="24"/>
              </w:rPr>
              <w:t>112</w:t>
            </w:r>
          </w:p>
        </w:tc>
      </w:tr>
      <w:tr>
        <w:trPr>
          <w:trHeight w:val="552" w:hRule="atLeast"/>
        </w:trPr>
        <w:tc>
          <w:tcPr>
            <w:tcW w:w="561" w:type="dxa"/>
          </w:tcPr>
          <w:p>
            <w:pPr>
              <w:pStyle w:val="TableParagraph"/>
              <w:spacing w:before="133"/>
              <w:ind w:right="156"/>
              <w:jc w:val="center"/>
              <w:rPr>
                <w:sz w:val="24"/>
              </w:rPr>
            </w:pPr>
            <w:r>
              <w:rPr>
                <w:spacing w:val="-5"/>
                <w:sz w:val="24"/>
              </w:rPr>
              <w:t>5.4</w:t>
            </w:r>
          </w:p>
        </w:tc>
        <w:tc>
          <w:tcPr>
            <w:tcW w:w="7092" w:type="dxa"/>
          </w:tcPr>
          <w:p>
            <w:pPr>
              <w:pStyle w:val="TableParagraph"/>
              <w:tabs>
                <w:tab w:pos="2160" w:val="left" w:leader="none"/>
                <w:tab w:pos="2881" w:val="left" w:leader="none"/>
                <w:tab w:pos="3601" w:val="left" w:leader="none"/>
                <w:tab w:pos="4321" w:val="left" w:leader="none"/>
                <w:tab w:pos="5042" w:val="left" w:leader="none"/>
                <w:tab w:pos="5762" w:val="left" w:leader="none"/>
                <w:tab w:pos="6482" w:val="left" w:leader="none"/>
              </w:tabs>
              <w:spacing w:before="133"/>
              <w:ind w:right="109"/>
              <w:jc w:val="center"/>
              <w:rPr>
                <w:sz w:val="24"/>
              </w:rPr>
            </w:pPr>
            <w:r>
              <w:rPr>
                <w:spacing w:val="-2"/>
                <w:sz w:val="24"/>
              </w:rPr>
              <w:t>Recommendations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before="133"/>
              <w:ind w:right="47"/>
              <w:jc w:val="right"/>
              <w:rPr>
                <w:sz w:val="24"/>
              </w:rPr>
            </w:pPr>
            <w:r>
              <w:rPr>
                <w:spacing w:val="-5"/>
                <w:sz w:val="24"/>
              </w:rPr>
              <w:t>113</w:t>
            </w:r>
          </w:p>
        </w:tc>
      </w:tr>
      <w:tr>
        <w:trPr>
          <w:trHeight w:val="552" w:hRule="atLeast"/>
        </w:trPr>
        <w:tc>
          <w:tcPr>
            <w:tcW w:w="561" w:type="dxa"/>
          </w:tcPr>
          <w:p>
            <w:pPr>
              <w:pStyle w:val="TableParagraph"/>
              <w:spacing w:before="133"/>
              <w:ind w:right="156"/>
              <w:jc w:val="center"/>
              <w:rPr>
                <w:sz w:val="24"/>
              </w:rPr>
            </w:pPr>
            <w:r>
              <w:rPr>
                <w:spacing w:val="-5"/>
                <w:sz w:val="24"/>
              </w:rPr>
              <w:t>5.5</w:t>
            </w:r>
          </w:p>
        </w:tc>
        <w:tc>
          <w:tcPr>
            <w:tcW w:w="7092" w:type="dxa"/>
          </w:tcPr>
          <w:p>
            <w:pPr>
              <w:pStyle w:val="TableParagraph"/>
              <w:tabs>
                <w:tab w:pos="2881" w:val="left" w:leader="none"/>
                <w:tab w:pos="3601" w:val="left" w:leader="none"/>
                <w:tab w:pos="4321" w:val="left" w:leader="none"/>
                <w:tab w:pos="5042" w:val="left" w:leader="none"/>
                <w:tab w:pos="5762" w:val="left" w:leader="none"/>
                <w:tab w:pos="6482" w:val="left" w:leader="none"/>
              </w:tabs>
              <w:spacing w:before="133"/>
              <w:ind w:right="109"/>
              <w:jc w:val="center"/>
              <w:rPr>
                <w:sz w:val="24"/>
              </w:rPr>
            </w:pPr>
            <w:r>
              <w:rPr>
                <w:sz w:val="24"/>
              </w:rPr>
              <w:t>Limitation</w:t>
            </w:r>
            <w:r>
              <w:rPr>
                <w:spacing w:val="-3"/>
                <w:sz w:val="24"/>
              </w:rPr>
              <w:t> </w:t>
            </w:r>
            <w:r>
              <w:rPr>
                <w:sz w:val="24"/>
              </w:rPr>
              <w:t>of</w:t>
            </w:r>
            <w:r>
              <w:rPr>
                <w:spacing w:val="-6"/>
                <w:sz w:val="24"/>
              </w:rPr>
              <w:t> </w:t>
            </w:r>
            <w:r>
              <w:rPr>
                <w:sz w:val="24"/>
              </w:rPr>
              <w:t>the</w:t>
            </w:r>
            <w:r>
              <w:rPr>
                <w:spacing w:val="1"/>
                <w:sz w:val="24"/>
              </w:rPr>
              <w:t> </w:t>
            </w:r>
            <w:r>
              <w:rPr>
                <w:spacing w:val="-4"/>
                <w:sz w:val="24"/>
              </w:rPr>
              <w:t>Study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before="133"/>
              <w:ind w:right="47"/>
              <w:jc w:val="right"/>
              <w:rPr>
                <w:sz w:val="24"/>
              </w:rPr>
            </w:pPr>
            <w:r>
              <w:rPr>
                <w:spacing w:val="-5"/>
                <w:sz w:val="24"/>
              </w:rPr>
              <w:t>114</w:t>
            </w:r>
          </w:p>
        </w:tc>
      </w:tr>
      <w:tr>
        <w:trPr>
          <w:trHeight w:val="552" w:hRule="atLeast"/>
        </w:trPr>
        <w:tc>
          <w:tcPr>
            <w:tcW w:w="561" w:type="dxa"/>
          </w:tcPr>
          <w:p>
            <w:pPr>
              <w:pStyle w:val="TableParagraph"/>
              <w:spacing w:before="133"/>
              <w:ind w:right="156"/>
              <w:jc w:val="center"/>
              <w:rPr>
                <w:sz w:val="24"/>
              </w:rPr>
            </w:pPr>
            <w:r>
              <w:rPr>
                <w:spacing w:val="-5"/>
                <w:sz w:val="24"/>
              </w:rPr>
              <w:t>5.6</w:t>
            </w:r>
          </w:p>
        </w:tc>
        <w:tc>
          <w:tcPr>
            <w:tcW w:w="7092" w:type="dxa"/>
          </w:tcPr>
          <w:p>
            <w:pPr>
              <w:pStyle w:val="TableParagraph"/>
              <w:tabs>
                <w:tab w:pos="2881" w:val="left" w:leader="none"/>
                <w:tab w:pos="3601" w:val="left" w:leader="none"/>
                <w:tab w:pos="4321" w:val="left" w:leader="none"/>
                <w:tab w:pos="5042" w:val="left" w:leader="none"/>
                <w:tab w:pos="5762" w:val="left" w:leader="none"/>
                <w:tab w:pos="6482" w:val="left" w:leader="none"/>
              </w:tabs>
              <w:spacing w:before="133"/>
              <w:ind w:right="109"/>
              <w:jc w:val="center"/>
              <w:rPr>
                <w:sz w:val="24"/>
              </w:rPr>
            </w:pPr>
            <w:r>
              <w:rPr>
                <w:sz w:val="24"/>
              </w:rPr>
              <w:t>Implication</w:t>
            </w:r>
            <w:r>
              <w:rPr>
                <w:spacing w:val="-3"/>
                <w:sz w:val="24"/>
              </w:rPr>
              <w:t> </w:t>
            </w:r>
            <w:r>
              <w:rPr>
                <w:sz w:val="24"/>
              </w:rPr>
              <w:t>of</w:t>
            </w:r>
            <w:r>
              <w:rPr>
                <w:spacing w:val="-6"/>
                <w:sz w:val="24"/>
              </w:rPr>
              <w:t> </w:t>
            </w:r>
            <w:r>
              <w:rPr>
                <w:sz w:val="24"/>
              </w:rPr>
              <w:t>the</w:t>
            </w:r>
            <w:r>
              <w:rPr>
                <w:spacing w:val="2"/>
                <w:sz w:val="24"/>
              </w:rPr>
              <w:t> </w:t>
            </w:r>
            <w:r>
              <w:rPr>
                <w:spacing w:val="-4"/>
                <w:sz w:val="24"/>
              </w:rPr>
              <w:t>Study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before="133"/>
              <w:ind w:right="47"/>
              <w:jc w:val="right"/>
              <w:rPr>
                <w:sz w:val="24"/>
              </w:rPr>
            </w:pPr>
            <w:r>
              <w:rPr>
                <w:spacing w:val="-5"/>
                <w:sz w:val="24"/>
              </w:rPr>
              <w:t>115</w:t>
            </w:r>
          </w:p>
        </w:tc>
      </w:tr>
      <w:tr>
        <w:trPr>
          <w:trHeight w:val="552" w:hRule="atLeast"/>
        </w:trPr>
        <w:tc>
          <w:tcPr>
            <w:tcW w:w="561" w:type="dxa"/>
          </w:tcPr>
          <w:p>
            <w:pPr>
              <w:pStyle w:val="TableParagraph"/>
              <w:spacing w:before="133"/>
              <w:ind w:right="156"/>
              <w:jc w:val="center"/>
              <w:rPr>
                <w:sz w:val="24"/>
              </w:rPr>
            </w:pPr>
            <w:r>
              <w:rPr>
                <w:spacing w:val="-5"/>
                <w:sz w:val="24"/>
              </w:rPr>
              <w:t>5.7</w:t>
            </w:r>
          </w:p>
        </w:tc>
        <w:tc>
          <w:tcPr>
            <w:tcW w:w="7092" w:type="dxa"/>
          </w:tcPr>
          <w:p>
            <w:pPr>
              <w:pStyle w:val="TableParagraph"/>
              <w:tabs>
                <w:tab w:pos="3601" w:val="left" w:leader="none"/>
                <w:tab w:pos="4321" w:val="left" w:leader="none"/>
                <w:tab w:pos="5042" w:val="left" w:leader="none"/>
                <w:tab w:pos="5762" w:val="left" w:leader="none"/>
                <w:tab w:pos="6482" w:val="left" w:leader="none"/>
              </w:tabs>
              <w:spacing w:before="133"/>
              <w:ind w:right="109"/>
              <w:jc w:val="center"/>
              <w:rPr>
                <w:sz w:val="24"/>
              </w:rPr>
            </w:pPr>
            <w:r>
              <w:rPr>
                <w:sz w:val="24"/>
              </w:rPr>
              <w:t>Suggestions</w:t>
            </w:r>
            <w:r>
              <w:rPr>
                <w:spacing w:val="-3"/>
                <w:sz w:val="24"/>
              </w:rPr>
              <w:t> </w:t>
            </w:r>
            <w:r>
              <w:rPr>
                <w:sz w:val="24"/>
              </w:rPr>
              <w:t>for</w:t>
            </w:r>
            <w:r>
              <w:rPr>
                <w:spacing w:val="-3"/>
                <w:sz w:val="24"/>
              </w:rPr>
              <w:t> </w:t>
            </w:r>
            <w:r>
              <w:rPr>
                <w:sz w:val="24"/>
              </w:rPr>
              <w:t>Further</w:t>
            </w:r>
            <w:r>
              <w:rPr>
                <w:spacing w:val="-2"/>
                <w:sz w:val="24"/>
              </w:rPr>
              <w:t> Study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before="133"/>
              <w:ind w:right="47"/>
              <w:jc w:val="right"/>
              <w:rPr>
                <w:sz w:val="24"/>
              </w:rPr>
            </w:pPr>
            <w:r>
              <w:rPr>
                <w:spacing w:val="-5"/>
                <w:sz w:val="24"/>
              </w:rPr>
              <w:t>115</w:t>
            </w:r>
          </w:p>
        </w:tc>
      </w:tr>
      <w:tr>
        <w:trPr>
          <w:trHeight w:val="551" w:hRule="atLeast"/>
        </w:trPr>
        <w:tc>
          <w:tcPr>
            <w:tcW w:w="561" w:type="dxa"/>
          </w:tcPr>
          <w:p>
            <w:pPr>
              <w:pStyle w:val="TableParagraph"/>
              <w:rPr>
                <w:sz w:val="24"/>
              </w:rPr>
            </w:pPr>
          </w:p>
        </w:tc>
        <w:tc>
          <w:tcPr>
            <w:tcW w:w="7092" w:type="dxa"/>
          </w:tcPr>
          <w:p>
            <w:pPr>
              <w:pStyle w:val="TableParagraph"/>
              <w:tabs>
                <w:tab w:pos="1440" w:val="left" w:leader="none"/>
                <w:tab w:pos="2160" w:val="left" w:leader="none"/>
                <w:tab w:pos="2881" w:val="left" w:leader="none"/>
                <w:tab w:pos="3601" w:val="left" w:leader="none"/>
                <w:tab w:pos="4321" w:val="left" w:leader="none"/>
                <w:tab w:pos="5042" w:val="left" w:leader="none"/>
                <w:tab w:pos="5762" w:val="left" w:leader="none"/>
                <w:tab w:pos="6482" w:val="left" w:leader="none"/>
              </w:tabs>
              <w:spacing w:before="133"/>
              <w:ind w:right="109"/>
              <w:jc w:val="center"/>
              <w:rPr>
                <w:sz w:val="24"/>
              </w:rPr>
            </w:pPr>
            <w:r>
              <w:rPr>
                <w:spacing w:val="-2"/>
                <w:sz w:val="24"/>
              </w:rPr>
              <w:t>References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before="133"/>
              <w:ind w:right="47"/>
              <w:jc w:val="right"/>
              <w:rPr>
                <w:sz w:val="24"/>
              </w:rPr>
            </w:pPr>
            <w:r>
              <w:rPr>
                <w:spacing w:val="-5"/>
                <w:sz w:val="24"/>
              </w:rPr>
              <w:t>117</w:t>
            </w:r>
          </w:p>
        </w:tc>
      </w:tr>
      <w:tr>
        <w:trPr>
          <w:trHeight w:val="408" w:hRule="atLeast"/>
        </w:trPr>
        <w:tc>
          <w:tcPr>
            <w:tcW w:w="561" w:type="dxa"/>
          </w:tcPr>
          <w:p>
            <w:pPr>
              <w:pStyle w:val="TableParagraph"/>
              <w:rPr>
                <w:sz w:val="24"/>
              </w:rPr>
            </w:pPr>
          </w:p>
        </w:tc>
        <w:tc>
          <w:tcPr>
            <w:tcW w:w="7092" w:type="dxa"/>
          </w:tcPr>
          <w:p>
            <w:pPr>
              <w:pStyle w:val="TableParagraph"/>
              <w:tabs>
                <w:tab w:pos="1440" w:val="left" w:leader="none"/>
                <w:tab w:pos="2160" w:val="left" w:leader="none"/>
                <w:tab w:pos="2881" w:val="left" w:leader="none"/>
                <w:tab w:pos="3601" w:val="left" w:leader="none"/>
                <w:tab w:pos="4321" w:val="left" w:leader="none"/>
                <w:tab w:pos="5042" w:val="left" w:leader="none"/>
                <w:tab w:pos="5762" w:val="left" w:leader="none"/>
                <w:tab w:pos="6482" w:val="left" w:leader="none"/>
              </w:tabs>
              <w:spacing w:line="256" w:lineRule="exact" w:before="133"/>
              <w:ind w:right="109"/>
              <w:jc w:val="center"/>
              <w:rPr>
                <w:sz w:val="24"/>
              </w:rPr>
            </w:pPr>
            <w:r>
              <w:rPr>
                <w:spacing w:val="-2"/>
                <w:sz w:val="24"/>
              </w:rPr>
              <w:t>Appendices</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tc>
        <w:tc>
          <w:tcPr>
            <w:tcW w:w="730" w:type="dxa"/>
          </w:tcPr>
          <w:p>
            <w:pPr>
              <w:pStyle w:val="TableParagraph"/>
              <w:spacing w:line="256" w:lineRule="exact" w:before="133"/>
              <w:ind w:right="47"/>
              <w:jc w:val="right"/>
              <w:rPr>
                <w:sz w:val="24"/>
              </w:rPr>
            </w:pPr>
            <w:r>
              <w:rPr>
                <w:spacing w:val="-5"/>
                <w:sz w:val="24"/>
              </w:rPr>
              <w:t>134</w:t>
            </w:r>
          </w:p>
        </w:tc>
      </w:tr>
    </w:tbl>
    <w:p>
      <w:pPr>
        <w:spacing w:after="0" w:line="256" w:lineRule="exact"/>
        <w:jc w:val="right"/>
        <w:rPr>
          <w:sz w:val="24"/>
        </w:rPr>
        <w:sectPr>
          <w:pgSz w:w="11910" w:h="16840"/>
          <w:pgMar w:header="0" w:footer="1012" w:top="1340" w:bottom="1200" w:left="1680" w:right="280"/>
        </w:sectPr>
      </w:pPr>
    </w:p>
    <w:p>
      <w:pPr>
        <w:pStyle w:val="Heading2"/>
        <w:ind w:left="2642" w:right="3326"/>
      </w:pPr>
      <w:bookmarkStart w:name="_TOC_250022" w:id="6"/>
      <w:r>
        <w:rPr/>
        <w:t>LIST</w:t>
      </w:r>
      <w:r>
        <w:rPr>
          <w:spacing w:val="-3"/>
        </w:rPr>
        <w:t> </w:t>
      </w:r>
      <w:r>
        <w:rPr/>
        <w:t>OF</w:t>
      </w:r>
      <w:bookmarkEnd w:id="6"/>
      <w:r>
        <w:rPr>
          <w:spacing w:val="-2"/>
        </w:rPr>
        <w:t> TABLES</w:t>
      </w:r>
    </w:p>
    <w:p>
      <w:pPr>
        <w:pStyle w:val="BodyText"/>
        <w:tabs>
          <w:tab w:pos="8404" w:val="left" w:leader="none"/>
        </w:tabs>
        <w:spacing w:before="272"/>
        <w:jc w:val="left"/>
      </w:pPr>
      <w:r>
        <w:rPr>
          <w:spacing w:val="-2"/>
        </w:rPr>
        <w:t>TABLE</w:t>
      </w:r>
      <w:r>
        <w:rPr/>
        <w:tab/>
      </w:r>
      <w:r>
        <w:rPr>
          <w:spacing w:val="-4"/>
        </w:rPr>
        <w:t>PAGE</w:t>
      </w:r>
    </w:p>
    <w:p>
      <w:pPr>
        <w:pStyle w:val="BodyText"/>
        <w:tabs>
          <w:tab w:pos="1200" w:val="left" w:leader="none"/>
          <w:tab w:pos="5522" w:val="left" w:leader="none"/>
          <w:tab w:pos="6243" w:val="left" w:leader="none"/>
          <w:tab w:pos="6963" w:val="left" w:leader="none"/>
          <w:tab w:pos="7683" w:val="left" w:leader="none"/>
          <w:tab w:pos="8404" w:val="left" w:leader="none"/>
        </w:tabs>
        <w:spacing w:before="276"/>
        <w:jc w:val="left"/>
      </w:pPr>
      <w:r>
        <w:rPr>
          <w:spacing w:val="-5"/>
        </w:rPr>
        <w:t>1:</w:t>
      </w:r>
      <w:r>
        <w:rPr/>
        <w:tab/>
        <w:t>Bar-On‘s</w:t>
      </w:r>
      <w:r>
        <w:rPr>
          <w:spacing w:val="-1"/>
        </w:rPr>
        <w:t> </w:t>
      </w:r>
      <w:r>
        <w:rPr/>
        <w:t>Model</w:t>
      </w:r>
      <w:r>
        <w:rPr>
          <w:spacing w:val="-6"/>
        </w:rPr>
        <w:t> </w:t>
      </w:r>
      <w:r>
        <w:rPr/>
        <w:t>of</w:t>
      </w:r>
      <w:r>
        <w:rPr>
          <w:spacing w:val="-4"/>
        </w:rPr>
        <w:t> </w:t>
      </w:r>
      <w:r>
        <w:rPr/>
        <w:t>emotional</w:t>
      </w:r>
      <w:r>
        <w:rPr>
          <w:spacing w:val="-6"/>
        </w:rPr>
        <w:t> </w:t>
      </w:r>
      <w:r>
        <w:rPr>
          <w:spacing w:val="-2"/>
        </w:rPr>
        <w:t>Intelligence</w:t>
      </w:r>
      <w:r>
        <w:rPr/>
        <w:tab/>
      </w:r>
      <w:r>
        <w:rPr>
          <w:spacing w:val="-10"/>
        </w:rPr>
        <w:t>-</w:t>
      </w:r>
      <w:r>
        <w:rPr/>
        <w:tab/>
      </w:r>
      <w:r>
        <w:rPr>
          <w:spacing w:val="-10"/>
        </w:rPr>
        <w:t>-</w:t>
      </w:r>
      <w:r>
        <w:rPr/>
        <w:tab/>
      </w:r>
      <w:r>
        <w:rPr>
          <w:spacing w:val="-10"/>
        </w:rPr>
        <w:t>-</w:t>
      </w:r>
      <w:r>
        <w:rPr/>
        <w:tab/>
      </w:r>
      <w:r>
        <w:rPr>
          <w:spacing w:val="-10"/>
        </w:rPr>
        <w:t>-</w:t>
      </w:r>
      <w:r>
        <w:rPr/>
        <w:tab/>
      </w:r>
      <w:r>
        <w:rPr>
          <w:spacing w:val="-5"/>
        </w:rPr>
        <w:t>56</w:t>
      </w:r>
    </w:p>
    <w:p>
      <w:pPr>
        <w:pStyle w:val="BodyText"/>
        <w:tabs>
          <w:tab w:pos="1200" w:val="left" w:leader="none"/>
          <w:tab w:pos="6963" w:val="left" w:leader="none"/>
          <w:tab w:pos="7683" w:val="left" w:leader="none"/>
          <w:tab w:pos="8404" w:val="left" w:leader="none"/>
        </w:tabs>
        <w:spacing w:before="276"/>
        <w:jc w:val="left"/>
      </w:pPr>
      <w:r>
        <w:rPr>
          <w:spacing w:val="-5"/>
        </w:rPr>
        <w:t>2:</w:t>
      </w:r>
      <w:r>
        <w:rPr/>
        <w:tab/>
        <w:t>Goleman's</w:t>
      </w:r>
      <w:r>
        <w:rPr>
          <w:spacing w:val="-7"/>
        </w:rPr>
        <w:t> </w:t>
      </w:r>
      <w:r>
        <w:rPr/>
        <w:t>(2001)</w:t>
      </w:r>
      <w:r>
        <w:rPr>
          <w:spacing w:val="-2"/>
        </w:rPr>
        <w:t> </w:t>
      </w:r>
      <w:r>
        <w:rPr/>
        <w:t>Emotional</w:t>
      </w:r>
      <w:r>
        <w:rPr>
          <w:spacing w:val="-8"/>
        </w:rPr>
        <w:t> </w:t>
      </w:r>
      <w:r>
        <w:rPr/>
        <w:t>Intelligence</w:t>
      </w:r>
      <w:r>
        <w:rPr>
          <w:spacing w:val="-3"/>
        </w:rPr>
        <w:t> </w:t>
      </w:r>
      <w:r>
        <w:rPr>
          <w:spacing w:val="-2"/>
        </w:rPr>
        <w:t>Competencies</w:t>
      </w:r>
      <w:r>
        <w:rPr/>
        <w:tab/>
      </w:r>
      <w:r>
        <w:rPr>
          <w:spacing w:val="-10"/>
        </w:rPr>
        <w:t>-</w:t>
      </w:r>
      <w:r>
        <w:rPr/>
        <w:tab/>
      </w:r>
      <w:r>
        <w:rPr>
          <w:spacing w:val="-10"/>
        </w:rPr>
        <w:t>-</w:t>
      </w:r>
      <w:r>
        <w:rPr/>
        <w:tab/>
      </w:r>
      <w:r>
        <w:rPr>
          <w:spacing w:val="-5"/>
        </w:rPr>
        <w:t>57</w:t>
      </w:r>
    </w:p>
    <w:p>
      <w:pPr>
        <w:pStyle w:val="BodyText"/>
        <w:tabs>
          <w:tab w:pos="1200" w:val="left" w:leader="none"/>
        </w:tabs>
        <w:spacing w:before="276"/>
        <w:jc w:val="left"/>
      </w:pPr>
      <w:r>
        <w:rPr>
          <w:spacing w:val="-5"/>
        </w:rPr>
        <w:t>3:</w:t>
      </w:r>
      <w:r>
        <w:rPr/>
        <w:tab/>
        <w:t>Females</w:t>
      </w:r>
      <w:r>
        <w:rPr>
          <w:spacing w:val="-4"/>
        </w:rPr>
        <w:t> </w:t>
      </w:r>
      <w:r>
        <w:rPr/>
        <w:t>as</w:t>
      </w:r>
      <w:r>
        <w:rPr>
          <w:spacing w:val="-2"/>
        </w:rPr>
        <w:t> </w:t>
      </w:r>
      <w:r>
        <w:rPr/>
        <w:t>Percentage</w:t>
      </w:r>
      <w:r>
        <w:rPr>
          <w:spacing w:val="-1"/>
        </w:rPr>
        <w:t> </w:t>
      </w:r>
      <w:r>
        <w:rPr/>
        <w:t>of</w:t>
      </w:r>
      <w:r>
        <w:rPr>
          <w:spacing w:val="-7"/>
        </w:rPr>
        <w:t> </w:t>
      </w:r>
      <w:r>
        <w:rPr/>
        <w:t>Males</w:t>
      </w:r>
      <w:r>
        <w:rPr>
          <w:spacing w:val="2"/>
        </w:rPr>
        <w:t> </w:t>
      </w:r>
      <w:r>
        <w:rPr/>
        <w:t>in</w:t>
      </w:r>
      <w:r>
        <w:rPr>
          <w:spacing w:val="-5"/>
        </w:rPr>
        <w:t> </w:t>
      </w:r>
      <w:r>
        <w:rPr/>
        <w:t>Primary</w:t>
      </w:r>
      <w:r>
        <w:rPr>
          <w:spacing w:val="-4"/>
        </w:rPr>
        <w:t> </w:t>
      </w:r>
      <w:r>
        <w:rPr/>
        <w:t>and Secondary</w:t>
      </w:r>
      <w:r>
        <w:rPr>
          <w:spacing w:val="-4"/>
        </w:rPr>
        <w:t> </w:t>
      </w:r>
      <w:r>
        <w:rPr>
          <w:spacing w:val="-5"/>
        </w:rPr>
        <w:t>in</w:t>
      </w:r>
    </w:p>
    <w:p>
      <w:pPr>
        <w:tabs>
          <w:tab w:pos="4802" w:val="left" w:leader="none"/>
          <w:tab w:pos="5522" w:val="left" w:leader="none"/>
          <w:tab w:pos="6243" w:val="left" w:leader="none"/>
          <w:tab w:pos="6963" w:val="left" w:leader="none"/>
          <w:tab w:pos="7683" w:val="left" w:leader="none"/>
          <w:tab w:pos="8404" w:val="left" w:leader="none"/>
        </w:tabs>
        <w:spacing w:before="277"/>
        <w:ind w:left="1201" w:right="0" w:firstLine="0"/>
        <w:jc w:val="left"/>
        <w:rPr>
          <w:sz w:val="24"/>
        </w:rPr>
      </w:pPr>
      <w:r>
        <w:rPr>
          <w:sz w:val="24"/>
        </w:rPr>
        <w:t>Selected</w:t>
      </w:r>
      <w:r>
        <w:rPr>
          <w:spacing w:val="-3"/>
          <w:sz w:val="24"/>
        </w:rPr>
        <w:t> </w:t>
      </w:r>
      <w:r>
        <w:rPr>
          <w:sz w:val="24"/>
        </w:rPr>
        <w:t>African</w:t>
      </w:r>
      <w:r>
        <w:rPr>
          <w:spacing w:val="-8"/>
          <w:sz w:val="24"/>
        </w:rPr>
        <w:t> </w:t>
      </w:r>
      <w:r>
        <w:rPr>
          <w:sz w:val="24"/>
        </w:rPr>
        <w:t>Countries</w:t>
      </w:r>
      <w:r>
        <w:rPr>
          <w:spacing w:val="-4"/>
          <w:sz w:val="24"/>
        </w:rPr>
        <w:t> 2004</w:t>
      </w:r>
      <w:r>
        <w:rPr>
          <w:sz w:val="24"/>
        </w:rPr>
        <w:tab/>
      </w:r>
      <w:r>
        <w:rPr>
          <w:i/>
          <w:spacing w:val="-10"/>
          <w:sz w:val="24"/>
        </w:rPr>
        <w:t>-</w:t>
      </w:r>
      <w:r>
        <w:rPr>
          <w:i/>
          <w:sz w:val="24"/>
        </w:rPr>
        <w:tab/>
      </w:r>
      <w:r>
        <w:rPr>
          <w:i/>
          <w:spacing w:val="-10"/>
          <w:sz w:val="24"/>
        </w:rPr>
        <w:t>-</w:t>
      </w:r>
      <w:r>
        <w:rPr>
          <w:i/>
          <w:sz w:val="24"/>
        </w:rPr>
        <w:tab/>
      </w:r>
      <w:r>
        <w:rPr>
          <w:i/>
          <w:spacing w:val="-10"/>
          <w:sz w:val="24"/>
        </w:rPr>
        <w:t>-</w:t>
      </w:r>
      <w:r>
        <w:rPr>
          <w:i/>
          <w:sz w:val="24"/>
        </w:rPr>
        <w:tab/>
      </w:r>
      <w:r>
        <w:rPr>
          <w:i/>
          <w:spacing w:val="-10"/>
          <w:sz w:val="24"/>
        </w:rPr>
        <w:t>-</w:t>
      </w:r>
      <w:r>
        <w:rPr>
          <w:i/>
          <w:sz w:val="24"/>
        </w:rPr>
        <w:tab/>
      </w:r>
      <w:r>
        <w:rPr>
          <w:i/>
          <w:spacing w:val="-10"/>
          <w:sz w:val="24"/>
        </w:rPr>
        <w:t>-</w:t>
      </w:r>
      <w:r>
        <w:rPr>
          <w:i/>
          <w:sz w:val="24"/>
        </w:rPr>
        <w:tab/>
      </w:r>
      <w:r>
        <w:rPr>
          <w:spacing w:val="-5"/>
          <w:sz w:val="24"/>
        </w:rPr>
        <w:t>70</w:t>
      </w:r>
    </w:p>
    <w:p>
      <w:pPr>
        <w:pStyle w:val="ListParagraph"/>
        <w:numPr>
          <w:ilvl w:val="1"/>
          <w:numId w:val="3"/>
        </w:numPr>
        <w:tabs>
          <w:tab w:pos="782" w:val="left" w:leader="none"/>
          <w:tab w:pos="1200" w:val="left" w:leader="none"/>
          <w:tab w:pos="4082" w:val="left" w:leader="none"/>
          <w:tab w:pos="4802" w:val="left" w:leader="none"/>
          <w:tab w:pos="5522" w:val="left" w:leader="none"/>
          <w:tab w:pos="6243" w:val="left" w:leader="none"/>
          <w:tab w:pos="6963" w:val="left" w:leader="none"/>
          <w:tab w:pos="7683" w:val="left" w:leader="none"/>
          <w:tab w:pos="8404" w:val="left" w:leader="none"/>
        </w:tabs>
        <w:spacing w:line="240" w:lineRule="auto" w:before="276" w:after="0"/>
        <w:ind w:left="782" w:right="0" w:hanging="302"/>
        <w:jc w:val="left"/>
        <w:rPr>
          <w:sz w:val="24"/>
        </w:rPr>
      </w:pPr>
      <w:r>
        <w:rPr>
          <w:spacing w:val="-10"/>
          <w:sz w:val="24"/>
        </w:rPr>
        <w:t>:</w:t>
      </w:r>
      <w:r>
        <w:rPr>
          <w:sz w:val="24"/>
        </w:rPr>
        <w:tab/>
        <w:t>Population</w:t>
      </w:r>
      <w:r>
        <w:rPr>
          <w:spacing w:val="-3"/>
          <w:sz w:val="24"/>
        </w:rPr>
        <w:t> </w:t>
      </w:r>
      <w:r>
        <w:rPr>
          <w:sz w:val="24"/>
        </w:rPr>
        <w:t>of</w:t>
      </w:r>
      <w:r>
        <w:rPr>
          <w:spacing w:val="-6"/>
          <w:sz w:val="24"/>
        </w:rPr>
        <w:t> </w:t>
      </w:r>
      <w:r>
        <w:rPr>
          <w:sz w:val="24"/>
        </w:rPr>
        <w:t>the</w:t>
      </w:r>
      <w:r>
        <w:rPr>
          <w:spacing w:val="1"/>
          <w:sz w:val="24"/>
        </w:rPr>
        <w:t> </w:t>
      </w:r>
      <w:r>
        <w:rPr>
          <w:spacing w:val="-4"/>
          <w:sz w:val="24"/>
        </w:rPr>
        <w:t>Study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87</w:t>
      </w:r>
    </w:p>
    <w:p>
      <w:pPr>
        <w:pStyle w:val="ListParagraph"/>
        <w:numPr>
          <w:ilvl w:val="1"/>
          <w:numId w:val="3"/>
        </w:numPr>
        <w:tabs>
          <w:tab w:pos="782" w:val="left" w:leader="none"/>
          <w:tab w:pos="1200" w:val="left" w:leader="none"/>
          <w:tab w:pos="4802" w:val="left" w:leader="none"/>
          <w:tab w:pos="5522" w:val="left" w:leader="none"/>
          <w:tab w:pos="6243" w:val="left" w:leader="none"/>
          <w:tab w:pos="6963" w:val="left" w:leader="none"/>
          <w:tab w:pos="7683" w:val="left" w:leader="none"/>
          <w:tab w:pos="8404" w:val="left" w:leader="none"/>
        </w:tabs>
        <w:spacing w:line="240" w:lineRule="auto" w:before="276" w:after="0"/>
        <w:ind w:left="782" w:right="0" w:hanging="302"/>
        <w:jc w:val="left"/>
        <w:rPr>
          <w:sz w:val="24"/>
        </w:rPr>
      </w:pPr>
      <w:r>
        <w:rPr>
          <w:spacing w:val="-10"/>
          <w:sz w:val="24"/>
        </w:rPr>
        <w:t>:</w:t>
      </w:r>
      <w:r>
        <w:rPr>
          <w:sz w:val="24"/>
        </w:rPr>
        <w:tab/>
        <w:t>Sampled</w:t>
      </w:r>
      <w:r>
        <w:rPr>
          <w:spacing w:val="-3"/>
          <w:sz w:val="24"/>
        </w:rPr>
        <w:t> </w:t>
      </w:r>
      <w:r>
        <w:rPr>
          <w:sz w:val="24"/>
        </w:rPr>
        <w:t>Schools for</w:t>
      </w:r>
      <w:r>
        <w:rPr>
          <w:spacing w:val="-5"/>
          <w:sz w:val="24"/>
        </w:rPr>
        <w:t> </w:t>
      </w:r>
      <w:r>
        <w:rPr>
          <w:sz w:val="24"/>
        </w:rPr>
        <w:t>the</w:t>
      </w:r>
      <w:r>
        <w:rPr>
          <w:spacing w:val="-2"/>
          <w:sz w:val="24"/>
        </w:rPr>
        <w:t> </w:t>
      </w:r>
      <w:r>
        <w:rPr>
          <w:spacing w:val="-4"/>
          <w:sz w:val="24"/>
        </w:rPr>
        <w:t>Study</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88</w:t>
      </w:r>
    </w:p>
    <w:p>
      <w:pPr>
        <w:pStyle w:val="ListParagraph"/>
        <w:numPr>
          <w:ilvl w:val="1"/>
          <w:numId w:val="4"/>
        </w:numPr>
        <w:tabs>
          <w:tab w:pos="782" w:val="left" w:leader="none"/>
          <w:tab w:pos="1200" w:val="left" w:leader="none"/>
          <w:tab w:pos="6963" w:val="left" w:leader="none"/>
          <w:tab w:pos="7683" w:val="left" w:leader="none"/>
          <w:tab w:pos="8404" w:val="left" w:leader="none"/>
        </w:tabs>
        <w:spacing w:line="240" w:lineRule="auto" w:before="276" w:after="0"/>
        <w:ind w:left="782" w:right="0" w:hanging="302"/>
        <w:jc w:val="left"/>
        <w:rPr>
          <w:sz w:val="24"/>
        </w:rPr>
      </w:pPr>
      <w:r>
        <w:rPr>
          <w:spacing w:val="-10"/>
          <w:sz w:val="24"/>
        </w:rPr>
        <w:t>:</w:t>
      </w:r>
      <w:r>
        <w:rPr>
          <w:sz w:val="24"/>
        </w:rPr>
        <w:tab/>
        <w:t>Mean</w:t>
      </w:r>
      <w:r>
        <w:rPr>
          <w:spacing w:val="-6"/>
          <w:sz w:val="24"/>
        </w:rPr>
        <w:t> </w:t>
      </w:r>
      <w:r>
        <w:rPr>
          <w:sz w:val="24"/>
        </w:rPr>
        <w:t>and</w:t>
      </w:r>
      <w:r>
        <w:rPr>
          <w:spacing w:val="1"/>
          <w:sz w:val="24"/>
        </w:rPr>
        <w:t> </w:t>
      </w:r>
      <w:r>
        <w:rPr>
          <w:sz w:val="24"/>
        </w:rPr>
        <w:t>standard</w:t>
      </w:r>
      <w:r>
        <w:rPr>
          <w:spacing w:val="1"/>
          <w:sz w:val="24"/>
        </w:rPr>
        <w:t> </w:t>
      </w:r>
      <w:r>
        <w:rPr>
          <w:sz w:val="24"/>
        </w:rPr>
        <w:t>deviation</w:t>
      </w:r>
      <w:r>
        <w:rPr>
          <w:spacing w:val="-2"/>
          <w:sz w:val="24"/>
        </w:rPr>
        <w:t> </w:t>
      </w:r>
      <w:r>
        <w:rPr>
          <w:sz w:val="24"/>
        </w:rPr>
        <w:t>of</w:t>
      </w:r>
      <w:r>
        <w:rPr>
          <w:spacing w:val="-7"/>
          <w:sz w:val="24"/>
        </w:rPr>
        <w:t> </w:t>
      </w:r>
      <w:r>
        <w:rPr>
          <w:sz w:val="24"/>
        </w:rPr>
        <w:t>students‘</w:t>
      </w:r>
      <w:r>
        <w:rPr>
          <w:spacing w:val="-2"/>
          <w:sz w:val="24"/>
        </w:rPr>
        <w:t> </w:t>
      </w:r>
      <w:r>
        <w:rPr>
          <w:sz w:val="24"/>
        </w:rPr>
        <w:t>chemistry</w:t>
      </w:r>
      <w:r>
        <w:rPr>
          <w:spacing w:val="9"/>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95</w:t>
      </w:r>
    </w:p>
    <w:p>
      <w:pPr>
        <w:pStyle w:val="ListParagraph"/>
        <w:numPr>
          <w:ilvl w:val="1"/>
          <w:numId w:val="4"/>
        </w:numPr>
        <w:tabs>
          <w:tab w:pos="783" w:val="left" w:leader="none"/>
          <w:tab w:pos="1201" w:val="left" w:leader="none"/>
          <w:tab w:pos="8404" w:val="left" w:leader="none"/>
        </w:tabs>
        <w:spacing w:line="480" w:lineRule="auto" w:before="276" w:after="0"/>
        <w:ind w:left="1201" w:right="1160" w:hanging="720"/>
        <w:jc w:val="left"/>
        <w:rPr>
          <w:sz w:val="24"/>
        </w:rPr>
      </w:pPr>
      <w:r>
        <w:rPr>
          <w:spacing w:val="-10"/>
          <w:sz w:val="24"/>
        </w:rPr>
        <w:t>:</w:t>
      </w:r>
      <w:r>
        <w:rPr>
          <w:sz w:val="24"/>
        </w:rPr>
        <w:tab/>
        <w:t>Mean and standard deviation of male students‘ in chemistry achievement test scores, emotional-intelligence, reasoning ability, and self efficacy</w:t>
      </w:r>
      <w:r>
        <w:rPr>
          <w:spacing w:val="80"/>
          <w:sz w:val="24"/>
        </w:rPr>
        <w:t> </w:t>
      </w:r>
      <w:r>
        <w:rPr>
          <w:sz w:val="24"/>
        </w:rPr>
        <w:t>-</w:t>
        <w:tab/>
      </w:r>
      <w:r>
        <w:rPr>
          <w:spacing w:val="-6"/>
          <w:sz w:val="24"/>
        </w:rPr>
        <w:t>95</w:t>
      </w:r>
    </w:p>
    <w:p>
      <w:pPr>
        <w:pStyle w:val="ListParagraph"/>
        <w:numPr>
          <w:ilvl w:val="1"/>
          <w:numId w:val="4"/>
        </w:numPr>
        <w:tabs>
          <w:tab w:pos="1201" w:val="left" w:leader="none"/>
          <w:tab w:pos="8404" w:val="left" w:leader="none"/>
        </w:tabs>
        <w:spacing w:line="480" w:lineRule="auto" w:before="1" w:after="0"/>
        <w:ind w:left="1201" w:right="1169" w:hanging="720"/>
        <w:jc w:val="left"/>
        <w:rPr>
          <w:sz w:val="24"/>
        </w:rPr>
      </w:pPr>
      <w:r>
        <w:rPr>
          <w:sz w:val="24"/>
        </w:rPr>
        <w:t>Mean</w:t>
      </w:r>
      <w:r>
        <w:rPr>
          <w:spacing w:val="31"/>
          <w:sz w:val="24"/>
        </w:rPr>
        <w:t> </w:t>
      </w:r>
      <w:r>
        <w:rPr>
          <w:sz w:val="24"/>
        </w:rPr>
        <w:t>and</w:t>
      </w:r>
      <w:r>
        <w:rPr>
          <w:spacing w:val="40"/>
          <w:sz w:val="24"/>
        </w:rPr>
        <w:t> </w:t>
      </w:r>
      <w:r>
        <w:rPr>
          <w:sz w:val="24"/>
        </w:rPr>
        <w:t>standard</w:t>
      </w:r>
      <w:r>
        <w:rPr>
          <w:spacing w:val="36"/>
          <w:sz w:val="24"/>
        </w:rPr>
        <w:t> </w:t>
      </w:r>
      <w:r>
        <w:rPr>
          <w:sz w:val="24"/>
        </w:rPr>
        <w:t>deviation</w:t>
      </w:r>
      <w:r>
        <w:rPr>
          <w:spacing w:val="40"/>
          <w:sz w:val="24"/>
        </w:rPr>
        <w:t> </w:t>
      </w:r>
      <w:r>
        <w:rPr>
          <w:sz w:val="24"/>
        </w:rPr>
        <w:t>of</w:t>
      </w:r>
      <w:r>
        <w:rPr>
          <w:spacing w:val="38"/>
          <w:sz w:val="24"/>
        </w:rPr>
        <w:t> </w:t>
      </w:r>
      <w:r>
        <w:rPr>
          <w:sz w:val="24"/>
        </w:rPr>
        <w:t>female</w:t>
      </w:r>
      <w:r>
        <w:rPr>
          <w:spacing w:val="40"/>
          <w:sz w:val="24"/>
        </w:rPr>
        <w:t> </w:t>
      </w:r>
      <w:r>
        <w:rPr>
          <w:sz w:val="24"/>
        </w:rPr>
        <w:t>students‘</w:t>
      </w:r>
      <w:r>
        <w:rPr>
          <w:spacing w:val="38"/>
          <w:sz w:val="24"/>
        </w:rPr>
        <w:t> </w:t>
      </w:r>
      <w:r>
        <w:rPr>
          <w:sz w:val="24"/>
        </w:rPr>
        <w:t>in</w:t>
      </w:r>
      <w:r>
        <w:rPr>
          <w:spacing w:val="36"/>
          <w:sz w:val="24"/>
        </w:rPr>
        <w:t> </w:t>
      </w:r>
      <w:r>
        <w:rPr>
          <w:sz w:val="24"/>
        </w:rPr>
        <w:t>chemistry</w:t>
      </w:r>
      <w:r>
        <w:rPr>
          <w:spacing w:val="31"/>
          <w:sz w:val="24"/>
        </w:rPr>
        <w:t> </w:t>
      </w:r>
      <w:r>
        <w:rPr>
          <w:sz w:val="24"/>
        </w:rPr>
        <w:t>achievement test scores, emotional-intelligence, reasoning ability, and self efficacy-</w:t>
        <w:tab/>
      </w:r>
      <w:r>
        <w:rPr>
          <w:spacing w:val="-6"/>
          <w:sz w:val="24"/>
        </w:rPr>
        <w:t>96</w:t>
      </w:r>
    </w:p>
    <w:p>
      <w:pPr>
        <w:pStyle w:val="ListParagraph"/>
        <w:numPr>
          <w:ilvl w:val="1"/>
          <w:numId w:val="4"/>
        </w:numPr>
        <w:tabs>
          <w:tab w:pos="782" w:val="left" w:leader="none"/>
          <w:tab w:pos="1200" w:val="left" w:leader="none"/>
          <w:tab w:pos="7683" w:val="left" w:leader="none"/>
          <w:tab w:pos="8404" w:val="left" w:leader="none"/>
        </w:tabs>
        <w:spacing w:line="240" w:lineRule="auto" w:before="0" w:after="0"/>
        <w:ind w:left="782" w:right="0" w:hanging="302"/>
        <w:jc w:val="left"/>
        <w:rPr>
          <w:sz w:val="24"/>
        </w:rPr>
      </w:pPr>
      <w:r>
        <w:rPr>
          <w:spacing w:val="-10"/>
          <w:sz w:val="24"/>
        </w:rPr>
        <w:t>:</w:t>
      </w:r>
      <w:r>
        <w:rPr>
          <w:sz w:val="24"/>
        </w:rPr>
        <w:tab/>
        <w:t>Mean</w:t>
      </w:r>
      <w:r>
        <w:rPr>
          <w:spacing w:val="-8"/>
          <w:sz w:val="24"/>
        </w:rPr>
        <w:t> </w:t>
      </w:r>
      <w:r>
        <w:rPr>
          <w:sz w:val="24"/>
        </w:rPr>
        <w:t>and</w:t>
      </w:r>
      <w:r>
        <w:rPr>
          <w:spacing w:val="-2"/>
          <w:sz w:val="24"/>
        </w:rPr>
        <w:t> </w:t>
      </w:r>
      <w:r>
        <w:rPr>
          <w:sz w:val="24"/>
        </w:rPr>
        <w:t>standard</w:t>
      </w:r>
      <w:r>
        <w:rPr>
          <w:spacing w:val="-1"/>
          <w:sz w:val="24"/>
        </w:rPr>
        <w:t> </w:t>
      </w:r>
      <w:r>
        <w:rPr>
          <w:sz w:val="24"/>
        </w:rPr>
        <w:t>deviation</w:t>
      </w:r>
      <w:r>
        <w:rPr>
          <w:spacing w:val="-7"/>
          <w:sz w:val="24"/>
        </w:rPr>
        <w:t> </w:t>
      </w:r>
      <w:r>
        <w:rPr>
          <w:sz w:val="24"/>
        </w:rPr>
        <w:t>of</w:t>
      </w:r>
      <w:r>
        <w:rPr>
          <w:spacing w:val="-4"/>
          <w:sz w:val="24"/>
        </w:rPr>
        <w:t> </w:t>
      </w:r>
      <w:r>
        <w:rPr>
          <w:sz w:val="24"/>
        </w:rPr>
        <w:t>male</w:t>
      </w:r>
      <w:r>
        <w:rPr>
          <w:spacing w:val="-3"/>
          <w:sz w:val="24"/>
        </w:rPr>
        <w:t> </w:t>
      </w:r>
      <w:r>
        <w:rPr>
          <w:sz w:val="24"/>
        </w:rPr>
        <w:t>and</w:t>
      </w:r>
      <w:r>
        <w:rPr>
          <w:spacing w:val="2"/>
          <w:sz w:val="24"/>
        </w:rPr>
        <w:t> </w:t>
      </w:r>
      <w:r>
        <w:rPr>
          <w:sz w:val="24"/>
        </w:rPr>
        <w:t>female</w:t>
      </w:r>
      <w:r>
        <w:rPr>
          <w:spacing w:val="2"/>
          <w:sz w:val="24"/>
        </w:rPr>
        <w:t> </w:t>
      </w:r>
      <w:r>
        <w:rPr>
          <w:sz w:val="24"/>
        </w:rPr>
        <w:t>in</w:t>
      </w:r>
      <w:r>
        <w:rPr>
          <w:spacing w:val="-6"/>
          <w:sz w:val="24"/>
        </w:rPr>
        <w:t> </w:t>
      </w:r>
      <w:r>
        <w:rPr>
          <w:spacing w:val="-2"/>
          <w:sz w:val="24"/>
        </w:rPr>
        <w:t>chemistry</w:t>
      </w:r>
      <w:r>
        <w:rPr>
          <w:sz w:val="24"/>
        </w:rPr>
        <w:tab/>
      </w:r>
      <w:r>
        <w:rPr>
          <w:spacing w:val="-10"/>
          <w:sz w:val="24"/>
        </w:rPr>
        <w:t>-</w:t>
      </w:r>
      <w:r>
        <w:rPr>
          <w:sz w:val="24"/>
        </w:rPr>
        <w:tab/>
      </w:r>
      <w:r>
        <w:rPr>
          <w:spacing w:val="-5"/>
          <w:sz w:val="24"/>
        </w:rPr>
        <w:t>97</w:t>
      </w:r>
    </w:p>
    <w:p>
      <w:pPr>
        <w:pStyle w:val="ListParagraph"/>
        <w:numPr>
          <w:ilvl w:val="1"/>
          <w:numId w:val="4"/>
        </w:numPr>
        <w:tabs>
          <w:tab w:pos="783" w:val="left" w:leader="none"/>
          <w:tab w:pos="1201" w:val="left" w:leader="none"/>
          <w:tab w:pos="3361" w:val="left" w:leader="none"/>
          <w:tab w:pos="4082" w:val="left" w:leader="none"/>
          <w:tab w:pos="4802" w:val="left" w:leader="none"/>
          <w:tab w:pos="5522" w:val="left" w:leader="none"/>
          <w:tab w:pos="6243" w:val="left" w:leader="none"/>
          <w:tab w:pos="6963" w:val="left" w:leader="none"/>
          <w:tab w:pos="7683" w:val="left" w:leader="none"/>
        </w:tabs>
        <w:spacing w:line="480" w:lineRule="auto" w:before="276" w:after="0"/>
        <w:ind w:left="1201" w:right="1162" w:hanging="720"/>
        <w:jc w:val="both"/>
        <w:rPr>
          <w:sz w:val="24"/>
        </w:rPr>
      </w:pPr>
      <w:r>
        <w:rPr>
          <w:sz w:val="24"/>
        </w:rPr>
        <w:t>:</w:t>
      </w:r>
      <w:r>
        <w:rPr>
          <w:spacing w:val="80"/>
          <w:sz w:val="24"/>
        </w:rPr>
        <w:t> </w:t>
      </w:r>
      <w:r>
        <w:rPr>
          <w:sz w:val="24"/>
        </w:rPr>
        <w:t>Summary of Pearson Product Moment Correlation on emotional-intelligence, reasoning ability, self efficacy and academic achievement of students‘ in chemistry</w:t>
      </w:r>
      <w:r>
        <w:rPr>
          <w:spacing w:val="80"/>
          <w:w w:val="150"/>
          <w:sz w:val="24"/>
        </w:rPr>
        <w:t>  </w:t>
      </w:r>
      <w:r>
        <w:rPr>
          <w:sz w:val="24"/>
        </w:rPr>
        <w:t>-</w:t>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t>-</w:t>
      </w:r>
      <w:r>
        <w:rPr>
          <w:spacing w:val="80"/>
          <w:w w:val="150"/>
          <w:sz w:val="24"/>
        </w:rPr>
        <w:t>   </w:t>
      </w:r>
      <w:r>
        <w:rPr>
          <w:sz w:val="24"/>
        </w:rPr>
        <w:t>99</w:t>
      </w:r>
    </w:p>
    <w:p>
      <w:pPr>
        <w:pStyle w:val="ListParagraph"/>
        <w:numPr>
          <w:ilvl w:val="1"/>
          <w:numId w:val="4"/>
        </w:numPr>
        <w:tabs>
          <w:tab w:pos="782" w:val="left" w:leader="none"/>
        </w:tabs>
        <w:spacing w:line="240" w:lineRule="auto" w:before="1" w:after="0"/>
        <w:ind w:left="782" w:right="0" w:hanging="302"/>
        <w:jc w:val="both"/>
        <w:rPr>
          <w:sz w:val="24"/>
        </w:rPr>
      </w:pPr>
      <w:r>
        <w:rPr>
          <w:sz w:val="24"/>
        </w:rPr>
        <w:t>:</w:t>
      </w:r>
      <w:r>
        <w:rPr>
          <w:spacing w:val="52"/>
          <w:sz w:val="24"/>
        </w:rPr>
        <w:t>   </w:t>
      </w:r>
      <w:r>
        <w:rPr>
          <w:sz w:val="24"/>
        </w:rPr>
        <w:t>Summary</w:t>
      </w:r>
      <w:r>
        <w:rPr>
          <w:spacing w:val="-7"/>
          <w:sz w:val="24"/>
        </w:rPr>
        <w:t> </w:t>
      </w:r>
      <w:r>
        <w:rPr>
          <w:sz w:val="24"/>
        </w:rPr>
        <w:t>of</w:t>
      </w:r>
      <w:r>
        <w:rPr>
          <w:spacing w:val="-7"/>
          <w:sz w:val="24"/>
        </w:rPr>
        <w:t> </w:t>
      </w:r>
      <w:r>
        <w:rPr>
          <w:sz w:val="24"/>
        </w:rPr>
        <w:t>Pearson</w:t>
      </w:r>
      <w:r>
        <w:rPr>
          <w:spacing w:val="-2"/>
          <w:sz w:val="24"/>
        </w:rPr>
        <w:t> </w:t>
      </w:r>
      <w:r>
        <w:rPr>
          <w:sz w:val="24"/>
        </w:rPr>
        <w:t>Product</w:t>
      </w:r>
      <w:r>
        <w:rPr>
          <w:spacing w:val="6"/>
          <w:sz w:val="24"/>
        </w:rPr>
        <w:t> </w:t>
      </w:r>
      <w:r>
        <w:rPr>
          <w:sz w:val="24"/>
        </w:rPr>
        <w:t>Moment</w:t>
      </w:r>
      <w:r>
        <w:rPr>
          <w:spacing w:val="6"/>
          <w:sz w:val="24"/>
        </w:rPr>
        <w:t> </w:t>
      </w:r>
      <w:r>
        <w:rPr>
          <w:sz w:val="24"/>
        </w:rPr>
        <w:t>Correlation</w:t>
      </w:r>
      <w:r>
        <w:rPr>
          <w:spacing w:val="1"/>
          <w:sz w:val="24"/>
        </w:rPr>
        <w:t> </w:t>
      </w:r>
      <w:r>
        <w:rPr>
          <w:sz w:val="24"/>
        </w:rPr>
        <w:t>on</w:t>
      </w:r>
      <w:r>
        <w:rPr>
          <w:spacing w:val="-4"/>
          <w:sz w:val="24"/>
        </w:rPr>
        <w:t> </w:t>
      </w:r>
      <w:r>
        <w:rPr>
          <w:spacing w:val="-2"/>
          <w:sz w:val="24"/>
        </w:rPr>
        <w:t>emotional</w:t>
      </w:r>
    </w:p>
    <w:p>
      <w:pPr>
        <w:pStyle w:val="BodyText"/>
        <w:spacing w:before="276"/>
        <w:ind w:left="1201"/>
        <w:jc w:val="left"/>
      </w:pPr>
      <w:r>
        <w:rPr/>
        <w:t>-intelligence,</w:t>
      </w:r>
      <w:r>
        <w:rPr>
          <w:spacing w:val="-4"/>
        </w:rPr>
        <w:t> </w:t>
      </w:r>
      <w:r>
        <w:rPr/>
        <w:t>reasoning</w:t>
      </w:r>
      <w:r>
        <w:rPr>
          <w:spacing w:val="-3"/>
        </w:rPr>
        <w:t> </w:t>
      </w:r>
      <w:r>
        <w:rPr/>
        <w:t>ability,</w:t>
      </w:r>
      <w:r>
        <w:rPr>
          <w:spacing w:val="-1"/>
        </w:rPr>
        <w:t> </w:t>
      </w:r>
      <w:r>
        <w:rPr/>
        <w:t>self</w:t>
      </w:r>
      <w:r>
        <w:rPr>
          <w:spacing w:val="-11"/>
        </w:rPr>
        <w:t> </w:t>
      </w:r>
      <w:r>
        <w:rPr/>
        <w:t>efficacy</w:t>
      </w:r>
      <w:r>
        <w:rPr>
          <w:spacing w:val="-8"/>
        </w:rPr>
        <w:t> </w:t>
      </w:r>
      <w:r>
        <w:rPr/>
        <w:t>and</w:t>
      </w:r>
      <w:r>
        <w:rPr>
          <w:spacing w:val="-3"/>
        </w:rPr>
        <w:t> </w:t>
      </w:r>
      <w:r>
        <w:rPr/>
        <w:t>academic</w:t>
      </w:r>
      <w:r>
        <w:rPr>
          <w:spacing w:val="5"/>
        </w:rPr>
        <w:t> </w:t>
      </w:r>
      <w:r>
        <w:rPr>
          <w:spacing w:val="-2"/>
        </w:rPr>
        <w:t>achievement</w:t>
      </w:r>
    </w:p>
    <w:p>
      <w:pPr>
        <w:pStyle w:val="BodyText"/>
        <w:tabs>
          <w:tab w:pos="3361" w:val="left" w:leader="none"/>
          <w:tab w:pos="4082" w:val="left" w:leader="none"/>
          <w:tab w:pos="4802" w:val="left" w:leader="none"/>
          <w:tab w:pos="5522" w:val="left" w:leader="none"/>
          <w:tab w:pos="6243" w:val="left" w:leader="none"/>
          <w:tab w:pos="6963" w:val="left" w:leader="none"/>
          <w:tab w:pos="7683" w:val="left" w:leader="none"/>
          <w:tab w:pos="8404" w:val="left" w:leader="none"/>
        </w:tabs>
        <w:spacing w:before="276"/>
        <w:ind w:left="1201"/>
        <w:jc w:val="left"/>
      </w:pPr>
      <w:r>
        <w:rPr/>
        <w:t>of</w:t>
      </w:r>
      <w:r>
        <w:rPr>
          <w:spacing w:val="-5"/>
        </w:rPr>
        <w:t> </w:t>
      </w:r>
      <w:r>
        <w:rPr/>
        <w:t>male</w:t>
      </w:r>
      <w:r>
        <w:rPr>
          <w:spacing w:val="-3"/>
        </w:rPr>
        <w:t> </w:t>
      </w:r>
      <w:r>
        <w:rPr>
          <w:spacing w:val="-2"/>
        </w:rPr>
        <w:t>students‘</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100</w:t>
      </w:r>
    </w:p>
    <w:p>
      <w:pPr>
        <w:pStyle w:val="ListParagraph"/>
        <w:numPr>
          <w:ilvl w:val="1"/>
          <w:numId w:val="4"/>
        </w:numPr>
        <w:tabs>
          <w:tab w:pos="782" w:val="left" w:leader="none"/>
        </w:tabs>
        <w:spacing w:line="240" w:lineRule="auto" w:before="277" w:after="0"/>
        <w:ind w:left="782" w:right="0" w:hanging="302"/>
        <w:jc w:val="both"/>
        <w:rPr>
          <w:sz w:val="24"/>
        </w:rPr>
      </w:pPr>
      <w:r>
        <w:rPr>
          <w:sz w:val="24"/>
        </w:rPr>
        <w:t>:</w:t>
      </w:r>
      <w:r>
        <w:rPr>
          <w:spacing w:val="54"/>
          <w:sz w:val="24"/>
        </w:rPr>
        <w:t>   </w:t>
      </w:r>
      <w:r>
        <w:rPr>
          <w:sz w:val="24"/>
        </w:rPr>
        <w:t>Summary</w:t>
      </w:r>
      <w:r>
        <w:rPr>
          <w:spacing w:val="-8"/>
          <w:sz w:val="24"/>
        </w:rPr>
        <w:t> </w:t>
      </w:r>
      <w:r>
        <w:rPr>
          <w:sz w:val="24"/>
        </w:rPr>
        <w:t>of</w:t>
      </w:r>
      <w:r>
        <w:rPr>
          <w:spacing w:val="-6"/>
          <w:sz w:val="24"/>
        </w:rPr>
        <w:t> </w:t>
      </w:r>
      <w:r>
        <w:rPr>
          <w:sz w:val="24"/>
        </w:rPr>
        <w:t>Pearson</w:t>
      </w:r>
      <w:r>
        <w:rPr>
          <w:spacing w:val="-3"/>
          <w:sz w:val="24"/>
        </w:rPr>
        <w:t> </w:t>
      </w:r>
      <w:r>
        <w:rPr>
          <w:sz w:val="24"/>
        </w:rPr>
        <w:t>correlation</w:t>
      </w:r>
      <w:r>
        <w:rPr>
          <w:spacing w:val="-4"/>
          <w:sz w:val="24"/>
        </w:rPr>
        <w:t> </w:t>
      </w:r>
      <w:r>
        <w:rPr>
          <w:sz w:val="24"/>
        </w:rPr>
        <w:t>on</w:t>
      </w:r>
      <w:r>
        <w:rPr>
          <w:spacing w:val="-3"/>
          <w:sz w:val="24"/>
        </w:rPr>
        <w:t> </w:t>
      </w:r>
      <w:r>
        <w:rPr>
          <w:sz w:val="24"/>
        </w:rPr>
        <w:t>emotional-intelligence,</w:t>
      </w:r>
      <w:r>
        <w:rPr>
          <w:spacing w:val="4"/>
          <w:sz w:val="24"/>
        </w:rPr>
        <w:t> </w:t>
      </w:r>
      <w:r>
        <w:rPr>
          <w:spacing w:val="-2"/>
          <w:sz w:val="24"/>
        </w:rPr>
        <w:t>reasoning</w:t>
      </w:r>
    </w:p>
    <w:p>
      <w:pPr>
        <w:pStyle w:val="BodyText"/>
        <w:tabs>
          <w:tab w:pos="7683" w:val="left" w:leader="none"/>
          <w:tab w:pos="8404" w:val="left" w:leader="none"/>
        </w:tabs>
        <w:spacing w:before="276"/>
        <w:ind w:left="1201"/>
        <w:jc w:val="left"/>
      </w:pPr>
      <w:r>
        <w:rPr/>
        <w:t>ability,</w:t>
      </w:r>
      <w:r>
        <w:rPr>
          <w:spacing w:val="-3"/>
        </w:rPr>
        <w:t> </w:t>
      </w:r>
      <w:r>
        <w:rPr/>
        <w:t>self</w:t>
      </w:r>
      <w:r>
        <w:rPr>
          <w:spacing w:val="-5"/>
        </w:rPr>
        <w:t> </w:t>
      </w:r>
      <w:r>
        <w:rPr/>
        <w:t>efficacy</w:t>
      </w:r>
      <w:r>
        <w:rPr>
          <w:spacing w:val="-6"/>
        </w:rPr>
        <w:t> </w:t>
      </w:r>
      <w:r>
        <w:rPr/>
        <w:t>and</w:t>
      </w:r>
      <w:r>
        <w:rPr>
          <w:spacing w:val="-2"/>
        </w:rPr>
        <w:t> </w:t>
      </w:r>
      <w:r>
        <w:rPr/>
        <w:t>academic</w:t>
      </w:r>
      <w:r>
        <w:rPr>
          <w:spacing w:val="-3"/>
        </w:rPr>
        <w:t> </w:t>
      </w:r>
      <w:r>
        <w:rPr/>
        <w:t>achievement</w:t>
      </w:r>
      <w:r>
        <w:rPr>
          <w:spacing w:val="2"/>
        </w:rPr>
        <w:t> </w:t>
      </w:r>
      <w:r>
        <w:rPr/>
        <w:t>of</w:t>
      </w:r>
      <w:r>
        <w:rPr>
          <w:spacing w:val="-9"/>
        </w:rPr>
        <w:t> </w:t>
      </w:r>
      <w:r>
        <w:rPr/>
        <w:t>male</w:t>
      </w:r>
      <w:r>
        <w:rPr>
          <w:spacing w:val="-3"/>
        </w:rPr>
        <w:t> </w:t>
      </w:r>
      <w:r>
        <w:rPr>
          <w:spacing w:val="-2"/>
        </w:rPr>
        <w:t>students‘</w:t>
      </w:r>
      <w:r>
        <w:rPr/>
        <w:tab/>
      </w:r>
      <w:r>
        <w:rPr>
          <w:spacing w:val="-10"/>
        </w:rPr>
        <w:t>-</w:t>
      </w:r>
      <w:r>
        <w:rPr/>
        <w:tab/>
      </w:r>
      <w:r>
        <w:rPr>
          <w:spacing w:val="-5"/>
        </w:rPr>
        <w:t>101</w:t>
      </w:r>
    </w:p>
    <w:p>
      <w:pPr>
        <w:pStyle w:val="ListParagraph"/>
        <w:numPr>
          <w:ilvl w:val="1"/>
          <w:numId w:val="4"/>
        </w:numPr>
        <w:tabs>
          <w:tab w:pos="782" w:val="left" w:leader="none"/>
          <w:tab w:pos="1200" w:val="left" w:leader="none"/>
          <w:tab w:pos="7683" w:val="left" w:leader="none"/>
          <w:tab w:pos="8404" w:val="left" w:leader="none"/>
        </w:tabs>
        <w:spacing w:line="240" w:lineRule="auto" w:before="276" w:after="0"/>
        <w:ind w:left="782" w:right="0" w:hanging="302"/>
        <w:jc w:val="left"/>
        <w:rPr>
          <w:sz w:val="24"/>
        </w:rPr>
      </w:pPr>
      <w:r>
        <w:rPr>
          <w:spacing w:val="-10"/>
          <w:sz w:val="24"/>
        </w:rPr>
        <w:t>:</w:t>
      </w:r>
      <w:r>
        <w:rPr>
          <w:sz w:val="24"/>
        </w:rPr>
        <w:tab/>
        <w:t>Summary</w:t>
      </w:r>
      <w:r>
        <w:rPr>
          <w:spacing w:val="-10"/>
          <w:sz w:val="24"/>
        </w:rPr>
        <w:t> </w:t>
      </w:r>
      <w:r>
        <w:rPr>
          <w:sz w:val="24"/>
        </w:rPr>
        <w:t>of</w:t>
      </w:r>
      <w:r>
        <w:rPr>
          <w:spacing w:val="-3"/>
          <w:sz w:val="24"/>
        </w:rPr>
        <w:t> </w:t>
      </w:r>
      <w:r>
        <w:rPr>
          <w:sz w:val="24"/>
        </w:rPr>
        <w:t>MANOVA</w:t>
      </w:r>
      <w:r>
        <w:rPr>
          <w:spacing w:val="-3"/>
          <w:sz w:val="24"/>
        </w:rPr>
        <w:t> </w:t>
      </w:r>
      <w:r>
        <w:rPr>
          <w:sz w:val="24"/>
        </w:rPr>
        <w:t>of</w:t>
      </w:r>
      <w:r>
        <w:rPr>
          <w:spacing w:val="-5"/>
          <w:sz w:val="24"/>
        </w:rPr>
        <w:t> </w:t>
      </w:r>
      <w:r>
        <w:rPr>
          <w:sz w:val="24"/>
        </w:rPr>
        <w:t>academic</w:t>
      </w:r>
      <w:r>
        <w:rPr>
          <w:spacing w:val="7"/>
          <w:sz w:val="24"/>
        </w:rPr>
        <w:t> </w:t>
      </w:r>
      <w:r>
        <w:rPr>
          <w:sz w:val="24"/>
        </w:rPr>
        <w:t>in</w:t>
      </w:r>
      <w:r>
        <w:rPr>
          <w:spacing w:val="-2"/>
          <w:sz w:val="24"/>
        </w:rPr>
        <w:t> </w:t>
      </w:r>
      <w:r>
        <w:rPr>
          <w:sz w:val="24"/>
        </w:rPr>
        <w:t>chemistry</w:t>
      </w:r>
      <w:r>
        <w:rPr>
          <w:spacing w:val="-2"/>
          <w:sz w:val="24"/>
        </w:rPr>
        <w:t> </w:t>
      </w:r>
      <w:r>
        <w:rPr>
          <w:sz w:val="24"/>
        </w:rPr>
        <w:t>by</w:t>
      </w:r>
      <w:r>
        <w:rPr>
          <w:spacing w:val="-7"/>
          <w:sz w:val="24"/>
        </w:rPr>
        <w:t> </w:t>
      </w:r>
      <w:r>
        <w:rPr>
          <w:spacing w:val="-2"/>
          <w:sz w:val="24"/>
        </w:rPr>
        <w:t>gender</w:t>
      </w:r>
      <w:r>
        <w:rPr>
          <w:sz w:val="24"/>
        </w:rPr>
        <w:tab/>
      </w:r>
      <w:r>
        <w:rPr>
          <w:spacing w:val="-10"/>
          <w:sz w:val="24"/>
        </w:rPr>
        <w:t>-</w:t>
      </w:r>
      <w:r>
        <w:rPr>
          <w:sz w:val="24"/>
        </w:rPr>
        <w:tab/>
      </w:r>
      <w:r>
        <w:rPr>
          <w:spacing w:val="-5"/>
          <w:sz w:val="24"/>
        </w:rPr>
        <w:t>102</w:t>
      </w:r>
    </w:p>
    <w:p>
      <w:pPr>
        <w:spacing w:after="0" w:line="240" w:lineRule="auto"/>
        <w:jc w:val="left"/>
        <w:rPr>
          <w:sz w:val="24"/>
        </w:rPr>
        <w:sectPr>
          <w:pgSz w:w="11910" w:h="16840"/>
          <w:pgMar w:header="0" w:footer="1012" w:top="1340" w:bottom="1200" w:left="1680" w:right="280"/>
        </w:sectPr>
      </w:pPr>
    </w:p>
    <w:p>
      <w:pPr>
        <w:pStyle w:val="Heading2"/>
        <w:ind w:right="680"/>
      </w:pPr>
      <w:bookmarkStart w:name="_TOC_250021" w:id="7"/>
      <w:r>
        <w:rPr/>
        <w:t>LIST</w:t>
      </w:r>
      <w:r>
        <w:rPr>
          <w:spacing w:val="-3"/>
        </w:rPr>
        <w:t> </w:t>
      </w:r>
      <w:r>
        <w:rPr/>
        <w:t>OF</w:t>
      </w:r>
      <w:bookmarkEnd w:id="7"/>
      <w:r>
        <w:rPr>
          <w:spacing w:val="-2"/>
        </w:rPr>
        <w:t> FIGURES</w:t>
      </w:r>
    </w:p>
    <w:p>
      <w:pPr>
        <w:pStyle w:val="BodyText"/>
        <w:tabs>
          <w:tab w:pos="8404" w:val="left" w:leader="none"/>
        </w:tabs>
        <w:spacing w:before="272"/>
        <w:jc w:val="left"/>
      </w:pPr>
      <w:r>
        <w:rPr>
          <w:spacing w:val="-2"/>
        </w:rPr>
        <w:t>Figure</w:t>
      </w:r>
      <w:r>
        <w:rPr/>
        <w:tab/>
      </w:r>
      <w:r>
        <w:rPr>
          <w:spacing w:val="-4"/>
        </w:rPr>
        <w:t>PAGE</w:t>
      </w:r>
    </w:p>
    <w:p>
      <w:pPr>
        <w:pStyle w:val="BodyText"/>
        <w:ind w:left="0"/>
        <w:jc w:val="left"/>
      </w:pPr>
    </w:p>
    <w:p>
      <w:pPr>
        <w:pStyle w:val="BodyText"/>
        <w:tabs>
          <w:tab w:pos="8404" w:val="left" w:leader="none"/>
        </w:tabs>
        <w:jc w:val="left"/>
      </w:pPr>
      <w:r>
        <w:rPr/>
        <w:t>1:</w:t>
      </w:r>
      <w:r>
        <w:rPr>
          <w:spacing w:val="58"/>
        </w:rPr>
        <w:t> </w:t>
      </w:r>
      <w:r>
        <w:rPr/>
        <w:t>Mayer</w:t>
      </w:r>
      <w:r>
        <w:rPr>
          <w:spacing w:val="1"/>
        </w:rPr>
        <w:t> </w:t>
      </w:r>
      <w:r>
        <w:rPr/>
        <w:t>and Salovey‘s</w:t>
      </w:r>
      <w:r>
        <w:rPr>
          <w:spacing w:val="-2"/>
        </w:rPr>
        <w:t> </w:t>
      </w:r>
      <w:r>
        <w:rPr/>
        <w:t>(1997)</w:t>
      </w:r>
      <w:r>
        <w:rPr>
          <w:spacing w:val="1"/>
        </w:rPr>
        <w:t> </w:t>
      </w:r>
      <w:r>
        <w:rPr/>
        <w:t>Four-branch</w:t>
      </w:r>
      <w:r>
        <w:rPr>
          <w:spacing w:val="-5"/>
        </w:rPr>
        <w:t> </w:t>
      </w:r>
      <w:r>
        <w:rPr/>
        <w:t>Model</w:t>
      </w:r>
      <w:r>
        <w:rPr>
          <w:spacing w:val="-8"/>
        </w:rPr>
        <w:t> </w:t>
      </w:r>
      <w:r>
        <w:rPr/>
        <w:t>of</w:t>
      </w:r>
      <w:r>
        <w:rPr>
          <w:spacing w:val="-8"/>
        </w:rPr>
        <w:t> </w:t>
      </w:r>
      <w:r>
        <w:rPr/>
        <w:t>emotional</w:t>
      </w:r>
      <w:r>
        <w:rPr>
          <w:spacing w:val="-8"/>
        </w:rPr>
        <w:t> </w:t>
      </w:r>
      <w:r>
        <w:rPr>
          <w:spacing w:val="-2"/>
        </w:rPr>
        <w:t>Intelligence</w:t>
      </w:r>
      <w:r>
        <w:rPr/>
        <w:tab/>
      </w:r>
      <w:r>
        <w:rPr>
          <w:spacing w:val="-5"/>
        </w:rPr>
        <w:t>54</w:t>
      </w:r>
    </w:p>
    <w:p>
      <w:pPr>
        <w:spacing w:after="0"/>
        <w:jc w:val="left"/>
        <w:sectPr>
          <w:pgSz w:w="11910" w:h="16840"/>
          <w:pgMar w:header="0" w:footer="1012" w:top="1340" w:bottom="1200" w:left="1680" w:right="280"/>
        </w:sectPr>
      </w:pPr>
    </w:p>
    <w:p>
      <w:pPr>
        <w:pStyle w:val="Heading2"/>
        <w:ind w:left="502" w:right="1187"/>
      </w:pPr>
      <w:bookmarkStart w:name="_TOC_250020" w:id="8"/>
      <w:r>
        <w:rPr/>
        <w:t>LIST</w:t>
      </w:r>
      <w:r>
        <w:rPr>
          <w:spacing w:val="-3"/>
        </w:rPr>
        <w:t> </w:t>
      </w:r>
      <w:r>
        <w:rPr/>
        <w:t>OF</w:t>
      </w:r>
      <w:bookmarkEnd w:id="8"/>
      <w:r>
        <w:rPr>
          <w:spacing w:val="-2"/>
        </w:rPr>
        <w:t> APPENDICES</w:t>
      </w:r>
    </w:p>
    <w:p>
      <w:pPr>
        <w:pStyle w:val="BodyText"/>
        <w:tabs>
          <w:tab w:pos="8404" w:val="left" w:leader="none"/>
        </w:tabs>
        <w:spacing w:before="272"/>
        <w:jc w:val="left"/>
      </w:pPr>
      <w:r>
        <w:rPr>
          <w:spacing w:val="-2"/>
        </w:rPr>
        <w:t>APPENDIX</w:t>
      </w:r>
      <w:r>
        <w:rPr/>
        <w:tab/>
      </w:r>
      <w:r>
        <w:rPr>
          <w:spacing w:val="-4"/>
        </w:rPr>
        <w:t>PAGE</w:t>
      </w:r>
    </w:p>
    <w:p>
      <w:pPr>
        <w:pStyle w:val="BodyText"/>
        <w:tabs>
          <w:tab w:pos="1200" w:val="left" w:leader="none"/>
          <w:tab w:pos="6963" w:val="left" w:leader="none"/>
          <w:tab w:pos="7683" w:val="left" w:leader="none"/>
          <w:tab w:pos="8764" w:val="right" w:leader="none"/>
        </w:tabs>
        <w:spacing w:before="276"/>
        <w:jc w:val="left"/>
      </w:pPr>
      <w:r>
        <w:rPr>
          <w:spacing w:val="-5"/>
        </w:rPr>
        <w:t>A:</w:t>
      </w:r>
      <w:r>
        <w:rPr/>
        <w:tab/>
        <w:t>Trait</w:t>
      </w:r>
      <w:r>
        <w:rPr>
          <w:spacing w:val="-1"/>
        </w:rPr>
        <w:t> </w:t>
      </w:r>
      <w:r>
        <w:rPr/>
        <w:t>Emotional</w:t>
      </w:r>
      <w:r>
        <w:rPr>
          <w:spacing w:val="-13"/>
        </w:rPr>
        <w:t> </w:t>
      </w:r>
      <w:r>
        <w:rPr/>
        <w:t>Intelligence</w:t>
      </w:r>
      <w:r>
        <w:rPr>
          <w:spacing w:val="-6"/>
        </w:rPr>
        <w:t> </w:t>
      </w:r>
      <w:r>
        <w:rPr/>
        <w:t>Questionnaire</w:t>
      </w:r>
      <w:r>
        <w:rPr>
          <w:spacing w:val="-5"/>
        </w:rPr>
        <w:t> </w:t>
      </w:r>
      <w:r>
        <w:rPr>
          <w:spacing w:val="-2"/>
        </w:rPr>
        <w:t>(TEIQue)</w:t>
      </w:r>
      <w:r>
        <w:rPr/>
        <w:tab/>
      </w:r>
      <w:r>
        <w:rPr>
          <w:spacing w:val="-10"/>
        </w:rPr>
        <w:t>-</w:t>
      </w:r>
      <w:r>
        <w:rPr/>
        <w:tab/>
      </w:r>
      <w:r>
        <w:rPr>
          <w:spacing w:val="-10"/>
        </w:rPr>
        <w:t>-</w:t>
      </w:r>
      <w:r>
        <w:rPr/>
        <w:tab/>
      </w:r>
      <w:r>
        <w:rPr>
          <w:spacing w:val="-5"/>
        </w:rPr>
        <w:t>134</w:t>
      </w:r>
    </w:p>
    <w:p>
      <w:pPr>
        <w:pStyle w:val="BodyText"/>
        <w:tabs>
          <w:tab w:pos="1200" w:val="left" w:leader="none"/>
          <w:tab w:pos="6243" w:val="left" w:leader="none"/>
          <w:tab w:pos="6963" w:val="left" w:leader="none"/>
          <w:tab w:pos="7683" w:val="left" w:leader="none"/>
          <w:tab w:pos="8764" w:val="right" w:leader="none"/>
        </w:tabs>
        <w:spacing w:before="276"/>
        <w:jc w:val="left"/>
      </w:pPr>
      <w:r>
        <w:rPr>
          <w:spacing w:val="-5"/>
        </w:rPr>
        <w:t>B:</w:t>
      </w:r>
      <w:r>
        <w:rPr/>
        <w:tab/>
        <w:t>Group</w:t>
      </w:r>
      <w:r>
        <w:rPr>
          <w:spacing w:val="-9"/>
        </w:rPr>
        <w:t> </w:t>
      </w:r>
      <w:r>
        <w:rPr/>
        <w:t>Assessment</w:t>
      </w:r>
      <w:r>
        <w:rPr>
          <w:spacing w:val="4"/>
        </w:rPr>
        <w:t> </w:t>
      </w:r>
      <w:r>
        <w:rPr/>
        <w:t>of</w:t>
      </w:r>
      <w:r>
        <w:rPr>
          <w:spacing w:val="-9"/>
        </w:rPr>
        <w:t> </w:t>
      </w:r>
      <w:r>
        <w:rPr/>
        <w:t>Logical</w:t>
      </w:r>
      <w:r>
        <w:rPr>
          <w:spacing w:val="-10"/>
        </w:rPr>
        <w:t> </w:t>
      </w:r>
      <w:r>
        <w:rPr/>
        <w:t>Thinking</w:t>
      </w:r>
      <w:r>
        <w:rPr>
          <w:spacing w:val="-1"/>
        </w:rPr>
        <w:t> </w:t>
      </w:r>
      <w:r>
        <w:rPr>
          <w:spacing w:val="-2"/>
        </w:rPr>
        <w:t>(GALT)</w:t>
      </w:r>
      <w:r>
        <w:rPr/>
        <w:tab/>
      </w:r>
      <w:r>
        <w:rPr>
          <w:spacing w:val="-10"/>
        </w:rPr>
        <w:t>-</w:t>
      </w:r>
      <w:r>
        <w:rPr/>
        <w:tab/>
      </w:r>
      <w:r>
        <w:rPr>
          <w:spacing w:val="-10"/>
        </w:rPr>
        <w:t>-</w:t>
      </w:r>
      <w:r>
        <w:rPr/>
        <w:tab/>
      </w:r>
      <w:r>
        <w:rPr>
          <w:spacing w:val="-10"/>
        </w:rPr>
        <w:t>-</w:t>
      </w:r>
      <w:r>
        <w:rPr/>
        <w:tab/>
      </w:r>
      <w:r>
        <w:rPr>
          <w:spacing w:val="-5"/>
        </w:rPr>
        <w:t>135</w:t>
      </w:r>
    </w:p>
    <w:p>
      <w:pPr>
        <w:pStyle w:val="BodyText"/>
        <w:tabs>
          <w:tab w:pos="1200" w:val="left" w:leader="none"/>
          <w:tab w:pos="8764" w:val="right" w:leader="none"/>
        </w:tabs>
        <w:spacing w:before="276"/>
        <w:jc w:val="left"/>
      </w:pPr>
      <w:r>
        <w:rPr>
          <w:spacing w:val="-5"/>
        </w:rPr>
        <w:t>C:</w:t>
      </w:r>
      <w:r>
        <w:rPr/>
        <w:tab/>
        <w:t>Group</w:t>
      </w:r>
      <w:r>
        <w:rPr>
          <w:spacing w:val="-9"/>
        </w:rPr>
        <w:t> </w:t>
      </w:r>
      <w:r>
        <w:rPr/>
        <w:t>Assessment</w:t>
      </w:r>
      <w:r>
        <w:rPr>
          <w:spacing w:val="3"/>
        </w:rPr>
        <w:t> </w:t>
      </w:r>
      <w:r>
        <w:rPr/>
        <w:t>of</w:t>
      </w:r>
      <w:r>
        <w:rPr>
          <w:spacing w:val="-9"/>
        </w:rPr>
        <w:t> </w:t>
      </w:r>
      <w:r>
        <w:rPr/>
        <w:t>Logical</w:t>
      </w:r>
      <w:r>
        <w:rPr>
          <w:spacing w:val="-10"/>
        </w:rPr>
        <w:t> </w:t>
      </w:r>
      <w:r>
        <w:rPr/>
        <w:t>Thinking</w:t>
      </w:r>
      <w:r>
        <w:rPr>
          <w:spacing w:val="-2"/>
        </w:rPr>
        <w:t> </w:t>
      </w:r>
      <w:r>
        <w:rPr/>
        <w:t>(GALT) Marking</w:t>
      </w:r>
      <w:r>
        <w:rPr>
          <w:spacing w:val="-2"/>
        </w:rPr>
        <w:t> </w:t>
      </w:r>
      <w:r>
        <w:rPr/>
        <w:t>Scheme</w:t>
      </w:r>
      <w:r>
        <w:rPr>
          <w:spacing w:val="61"/>
        </w:rPr>
        <w:t> </w:t>
      </w:r>
      <w:r>
        <w:rPr>
          <w:spacing w:val="-10"/>
        </w:rPr>
        <w:t>-</w:t>
      </w:r>
      <w:r>
        <w:rPr/>
        <w:tab/>
      </w:r>
      <w:r>
        <w:rPr>
          <w:spacing w:val="-5"/>
        </w:rPr>
        <w:t>150</w:t>
      </w:r>
    </w:p>
    <w:p>
      <w:pPr>
        <w:pStyle w:val="BodyText"/>
        <w:tabs>
          <w:tab w:pos="1200" w:val="left" w:leader="none"/>
          <w:tab w:pos="5522" w:val="left" w:leader="none"/>
          <w:tab w:pos="6243" w:val="left" w:leader="none"/>
          <w:tab w:pos="6963" w:val="left" w:leader="none"/>
          <w:tab w:pos="7683" w:val="left" w:leader="none"/>
          <w:tab w:pos="8764" w:val="right" w:leader="none"/>
        </w:tabs>
        <w:spacing w:before="277"/>
        <w:jc w:val="left"/>
      </w:pPr>
      <w:r>
        <w:rPr>
          <w:spacing w:val="-5"/>
        </w:rPr>
        <w:t>D:</w:t>
      </w:r>
      <w:r>
        <w:rPr/>
        <w:tab/>
        <w:t>Chemistry</w:t>
      </w:r>
      <w:r>
        <w:rPr>
          <w:spacing w:val="-10"/>
        </w:rPr>
        <w:t> </w:t>
      </w:r>
      <w:r>
        <w:rPr/>
        <w:t>Self-efficacy</w:t>
      </w:r>
      <w:r>
        <w:rPr>
          <w:spacing w:val="-10"/>
        </w:rPr>
        <w:t> </w:t>
      </w:r>
      <w:r>
        <w:rPr/>
        <w:t>Instrument</w:t>
      </w:r>
      <w:r>
        <w:rPr>
          <w:spacing w:val="8"/>
        </w:rPr>
        <w:t> </w:t>
      </w:r>
      <w:r>
        <w:rPr>
          <w:spacing w:val="-4"/>
        </w:rPr>
        <w:t>(CSI)</w:t>
      </w:r>
      <w:r>
        <w:rPr/>
        <w:tab/>
      </w:r>
      <w:r>
        <w:rPr>
          <w:spacing w:val="-10"/>
        </w:rPr>
        <w:t>-</w:t>
      </w:r>
      <w:r>
        <w:rPr/>
        <w:tab/>
      </w:r>
      <w:r>
        <w:rPr>
          <w:spacing w:val="-10"/>
        </w:rPr>
        <w:t>-</w:t>
      </w:r>
      <w:r>
        <w:rPr/>
        <w:tab/>
      </w:r>
      <w:r>
        <w:rPr>
          <w:spacing w:val="-10"/>
        </w:rPr>
        <w:t>-</w:t>
      </w:r>
      <w:r>
        <w:rPr/>
        <w:tab/>
      </w:r>
      <w:r>
        <w:rPr>
          <w:spacing w:val="-10"/>
        </w:rPr>
        <w:t>-</w:t>
      </w:r>
      <w:r>
        <w:rPr/>
        <w:tab/>
      </w:r>
      <w:r>
        <w:rPr>
          <w:spacing w:val="-5"/>
        </w:rPr>
        <w:t>152</w:t>
      </w:r>
    </w:p>
    <w:p>
      <w:pPr>
        <w:pStyle w:val="BodyText"/>
        <w:tabs>
          <w:tab w:pos="1200" w:val="left" w:leader="none"/>
          <w:tab w:pos="5522" w:val="left" w:leader="none"/>
          <w:tab w:pos="6243" w:val="left" w:leader="none"/>
          <w:tab w:pos="6963" w:val="left" w:leader="none"/>
          <w:tab w:pos="7683" w:val="left" w:leader="none"/>
          <w:tab w:pos="8764" w:val="right" w:leader="none"/>
        </w:tabs>
        <w:spacing w:before="276"/>
        <w:ind w:left="543"/>
        <w:jc w:val="left"/>
      </w:pPr>
      <w:r>
        <w:rPr>
          <w:spacing w:val="-5"/>
        </w:rPr>
        <w:t>E:</w:t>
      </w:r>
      <w:r>
        <w:rPr/>
        <w:tab/>
        <w:t>Descriptive</w:t>
      </w:r>
      <w:r>
        <w:rPr>
          <w:spacing w:val="-3"/>
        </w:rPr>
        <w:t> </w:t>
      </w:r>
      <w:r>
        <w:rPr/>
        <w:t>Statistics</w:t>
      </w:r>
      <w:r>
        <w:rPr>
          <w:spacing w:val="-3"/>
        </w:rPr>
        <w:t> </w:t>
      </w:r>
      <w:r>
        <w:rPr/>
        <w:t>of</w:t>
      </w:r>
      <w:r>
        <w:rPr>
          <w:spacing w:val="-8"/>
        </w:rPr>
        <w:t> </w:t>
      </w:r>
      <w:r>
        <w:rPr/>
        <w:t>Male</w:t>
      </w:r>
      <w:r>
        <w:rPr>
          <w:spacing w:val="-2"/>
        </w:rPr>
        <w:t> </w:t>
      </w:r>
      <w:r>
        <w:rPr/>
        <w:t>and</w:t>
      </w:r>
      <w:r>
        <w:rPr>
          <w:spacing w:val="-1"/>
        </w:rPr>
        <w:t> </w:t>
      </w:r>
      <w:r>
        <w:rPr>
          <w:spacing w:val="-2"/>
        </w:rPr>
        <w:t>Female</w:t>
      </w:r>
      <w:r>
        <w:rPr/>
        <w:tab/>
      </w:r>
      <w:r>
        <w:rPr>
          <w:spacing w:val="-10"/>
        </w:rPr>
        <w:t>-</w:t>
      </w:r>
      <w:r>
        <w:rPr/>
        <w:tab/>
      </w:r>
      <w:r>
        <w:rPr>
          <w:spacing w:val="-10"/>
        </w:rPr>
        <w:t>-</w:t>
      </w:r>
      <w:r>
        <w:rPr/>
        <w:tab/>
      </w:r>
      <w:r>
        <w:rPr>
          <w:spacing w:val="-10"/>
        </w:rPr>
        <w:t>-</w:t>
      </w:r>
      <w:r>
        <w:rPr/>
        <w:tab/>
      </w:r>
      <w:r>
        <w:rPr>
          <w:spacing w:val="-10"/>
        </w:rPr>
        <w:t>-</w:t>
      </w:r>
      <w:r>
        <w:rPr/>
        <w:tab/>
      </w:r>
      <w:r>
        <w:rPr>
          <w:spacing w:val="-5"/>
        </w:rPr>
        <w:t>154</w:t>
      </w:r>
    </w:p>
    <w:p>
      <w:pPr>
        <w:pStyle w:val="BodyText"/>
        <w:tabs>
          <w:tab w:pos="1200" w:val="left" w:leader="none"/>
          <w:tab w:pos="4802" w:val="left" w:leader="none"/>
          <w:tab w:pos="5522" w:val="left" w:leader="none"/>
          <w:tab w:pos="6243" w:val="left" w:leader="none"/>
          <w:tab w:pos="6963" w:val="left" w:leader="none"/>
          <w:tab w:pos="7683" w:val="left" w:leader="none"/>
          <w:tab w:pos="8764" w:val="right" w:leader="none"/>
        </w:tabs>
        <w:spacing w:before="276"/>
        <w:ind w:left="543"/>
        <w:jc w:val="left"/>
      </w:pPr>
      <w:r>
        <w:rPr>
          <w:spacing w:val="-5"/>
        </w:rPr>
        <w:t>F:</w:t>
      </w:r>
      <w:r>
        <w:rPr/>
        <w:tab/>
        <w:t>Descriptive</w:t>
      </w:r>
      <w:r>
        <w:rPr>
          <w:spacing w:val="-2"/>
        </w:rPr>
        <w:t> </w:t>
      </w:r>
      <w:r>
        <w:rPr/>
        <w:t>Statistics</w:t>
      </w:r>
      <w:r>
        <w:rPr>
          <w:spacing w:val="-2"/>
        </w:rPr>
        <w:t> </w:t>
      </w:r>
      <w:r>
        <w:rPr/>
        <w:t>of</w:t>
      </w:r>
      <w:r>
        <w:rPr>
          <w:spacing w:val="-7"/>
        </w:rPr>
        <w:t> </w:t>
      </w:r>
      <w:r>
        <w:rPr>
          <w:spacing w:val="-4"/>
        </w:rPr>
        <w:t>Male-</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155</w:t>
      </w:r>
    </w:p>
    <w:p>
      <w:pPr>
        <w:pStyle w:val="BodyText"/>
        <w:tabs>
          <w:tab w:pos="1200" w:val="left" w:leader="none"/>
          <w:tab w:pos="4802" w:val="left" w:leader="none"/>
          <w:tab w:pos="5522" w:val="left" w:leader="none"/>
          <w:tab w:pos="6243" w:val="left" w:leader="none"/>
          <w:tab w:pos="6963" w:val="left" w:leader="none"/>
          <w:tab w:pos="7683" w:val="left" w:leader="none"/>
          <w:tab w:pos="8764" w:val="right" w:leader="none"/>
        </w:tabs>
        <w:spacing w:before="276"/>
        <w:jc w:val="left"/>
      </w:pPr>
      <w:r>
        <w:rPr>
          <w:spacing w:val="-5"/>
        </w:rPr>
        <w:t>G:</w:t>
      </w:r>
      <w:r>
        <w:rPr/>
        <w:tab/>
        <w:t>Descriptive</w:t>
      </w:r>
      <w:r>
        <w:rPr>
          <w:spacing w:val="-4"/>
        </w:rPr>
        <w:t> </w:t>
      </w:r>
      <w:r>
        <w:rPr/>
        <w:t>Statistics</w:t>
      </w:r>
      <w:r>
        <w:rPr>
          <w:spacing w:val="-4"/>
        </w:rPr>
        <w:t> </w:t>
      </w:r>
      <w:r>
        <w:rPr/>
        <w:t>of</w:t>
      </w:r>
      <w:r>
        <w:rPr>
          <w:spacing w:val="-9"/>
        </w:rPr>
        <w:t> </w:t>
      </w:r>
      <w:r>
        <w:rPr/>
        <w:t>Female</w:t>
      </w:r>
      <w:r>
        <w:rPr>
          <w:spacing w:val="2"/>
        </w:rPr>
        <w:t> </w:t>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10"/>
        </w:rPr>
        <w:t>-</w:t>
      </w:r>
      <w:r>
        <w:rPr/>
        <w:tab/>
      </w:r>
      <w:r>
        <w:rPr>
          <w:spacing w:val="-5"/>
        </w:rPr>
        <w:t>156</w:t>
      </w:r>
    </w:p>
    <w:p>
      <w:pPr>
        <w:pStyle w:val="BodyText"/>
        <w:tabs>
          <w:tab w:pos="1200" w:val="left" w:leader="none"/>
          <w:tab w:pos="6243" w:val="left" w:leader="none"/>
          <w:tab w:pos="6963" w:val="left" w:leader="none"/>
          <w:tab w:pos="7683" w:val="left" w:leader="none"/>
          <w:tab w:pos="8764" w:val="right" w:leader="none"/>
        </w:tabs>
        <w:spacing w:before="276"/>
        <w:jc w:val="left"/>
      </w:pPr>
      <w:r>
        <w:rPr>
          <w:spacing w:val="-5"/>
        </w:rPr>
        <w:t>H:</w:t>
      </w:r>
      <w:r>
        <w:rPr/>
        <w:tab/>
        <w:t>Descriptive</w:t>
      </w:r>
      <w:r>
        <w:rPr>
          <w:spacing w:val="2"/>
        </w:rPr>
        <w:t> </w:t>
      </w:r>
      <w:r>
        <w:rPr/>
        <w:t>Analysis</w:t>
      </w:r>
      <w:r>
        <w:rPr>
          <w:spacing w:val="-4"/>
        </w:rPr>
        <w:t> </w:t>
      </w:r>
      <w:r>
        <w:rPr/>
        <w:t>of</w:t>
      </w:r>
      <w:r>
        <w:rPr>
          <w:spacing w:val="-9"/>
        </w:rPr>
        <w:t> </w:t>
      </w:r>
      <w:r>
        <w:rPr/>
        <w:t>One</w:t>
      </w:r>
      <w:r>
        <w:rPr>
          <w:spacing w:val="3"/>
        </w:rPr>
        <w:t> </w:t>
      </w:r>
      <w:r>
        <w:rPr/>
        <w:t>Way</w:t>
      </w:r>
      <w:r>
        <w:rPr>
          <w:spacing w:val="-6"/>
        </w:rPr>
        <w:t> </w:t>
      </w:r>
      <w:r>
        <w:rPr>
          <w:spacing w:val="-2"/>
        </w:rPr>
        <w:t>MANOVA</w:t>
      </w:r>
      <w:r>
        <w:rPr/>
        <w:tab/>
      </w:r>
      <w:r>
        <w:rPr>
          <w:spacing w:val="-10"/>
        </w:rPr>
        <w:t>-</w:t>
      </w:r>
      <w:r>
        <w:rPr/>
        <w:tab/>
      </w:r>
      <w:r>
        <w:rPr>
          <w:spacing w:val="-10"/>
        </w:rPr>
        <w:t>-</w:t>
      </w:r>
      <w:r>
        <w:rPr/>
        <w:tab/>
      </w:r>
      <w:r>
        <w:rPr>
          <w:spacing w:val="-10"/>
        </w:rPr>
        <w:t>-</w:t>
      </w:r>
      <w:r>
        <w:rPr/>
        <w:tab/>
      </w:r>
      <w:r>
        <w:rPr>
          <w:spacing w:val="-5"/>
        </w:rPr>
        <w:t>157</w:t>
      </w:r>
    </w:p>
    <w:p>
      <w:pPr>
        <w:spacing w:after="0"/>
        <w:jc w:val="left"/>
        <w:sectPr>
          <w:pgSz w:w="11910" w:h="16840"/>
          <w:pgMar w:header="0" w:footer="1012" w:top="1340" w:bottom="1200" w:left="1680" w:right="280"/>
        </w:sectPr>
      </w:pPr>
    </w:p>
    <w:p>
      <w:pPr>
        <w:pStyle w:val="Heading2"/>
        <w:ind w:right="675"/>
      </w:pPr>
      <w:r>
        <w:rPr>
          <w:spacing w:val="-2"/>
        </w:rPr>
        <w:t>ABBREVIATIONS</w:t>
      </w:r>
    </w:p>
    <w:p>
      <w:pPr>
        <w:pStyle w:val="BodyText"/>
        <w:spacing w:before="4" w:after="1"/>
        <w:ind w:left="0"/>
        <w:jc w:val="left"/>
        <w:rPr>
          <w:b/>
          <w:sz w:val="12"/>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6"/>
        <w:gridCol w:w="5831"/>
      </w:tblGrid>
      <w:tr>
        <w:trPr>
          <w:trHeight w:val="339" w:hRule="atLeast"/>
        </w:trPr>
        <w:tc>
          <w:tcPr>
            <w:tcW w:w="1256" w:type="dxa"/>
          </w:tcPr>
          <w:p>
            <w:pPr>
              <w:pStyle w:val="TableParagraph"/>
              <w:spacing w:line="266" w:lineRule="exact"/>
              <w:ind w:left="50"/>
              <w:rPr>
                <w:b/>
                <w:sz w:val="24"/>
              </w:rPr>
            </w:pPr>
            <w:r>
              <w:rPr>
                <w:b/>
                <w:spacing w:val="-5"/>
                <w:sz w:val="24"/>
              </w:rPr>
              <w:t>IQ:</w:t>
            </w:r>
          </w:p>
        </w:tc>
        <w:tc>
          <w:tcPr>
            <w:tcW w:w="5831" w:type="dxa"/>
          </w:tcPr>
          <w:p>
            <w:pPr>
              <w:pStyle w:val="TableParagraph"/>
              <w:spacing w:line="266" w:lineRule="exact"/>
              <w:ind w:left="234"/>
              <w:rPr>
                <w:sz w:val="24"/>
              </w:rPr>
            </w:pPr>
            <w:r>
              <w:rPr>
                <w:sz w:val="24"/>
              </w:rPr>
              <w:t>Intelligence</w:t>
            </w:r>
            <w:r>
              <w:rPr>
                <w:spacing w:val="-9"/>
                <w:sz w:val="24"/>
              </w:rPr>
              <w:t> </w:t>
            </w:r>
            <w:r>
              <w:rPr>
                <w:spacing w:val="-2"/>
                <w:sz w:val="24"/>
              </w:rPr>
              <w:t>Quotient</w:t>
            </w:r>
          </w:p>
        </w:tc>
      </w:tr>
      <w:tr>
        <w:trPr>
          <w:trHeight w:val="415" w:hRule="atLeast"/>
        </w:trPr>
        <w:tc>
          <w:tcPr>
            <w:tcW w:w="1256" w:type="dxa"/>
          </w:tcPr>
          <w:p>
            <w:pPr>
              <w:pStyle w:val="TableParagraph"/>
              <w:spacing w:before="63"/>
              <w:ind w:left="50"/>
              <w:rPr>
                <w:b/>
                <w:sz w:val="24"/>
              </w:rPr>
            </w:pPr>
            <w:r>
              <w:rPr>
                <w:b/>
                <w:spacing w:val="-5"/>
                <w:sz w:val="24"/>
              </w:rPr>
              <w:t>EI:</w:t>
            </w:r>
          </w:p>
        </w:tc>
        <w:tc>
          <w:tcPr>
            <w:tcW w:w="5831" w:type="dxa"/>
          </w:tcPr>
          <w:p>
            <w:pPr>
              <w:pStyle w:val="TableParagraph"/>
              <w:spacing w:before="63"/>
              <w:ind w:left="234"/>
              <w:rPr>
                <w:sz w:val="24"/>
              </w:rPr>
            </w:pPr>
            <w:r>
              <w:rPr>
                <w:sz w:val="24"/>
              </w:rPr>
              <w:t>Emotional</w:t>
            </w:r>
            <w:r>
              <w:rPr>
                <w:spacing w:val="-11"/>
                <w:sz w:val="24"/>
              </w:rPr>
              <w:t> </w:t>
            </w:r>
            <w:r>
              <w:rPr>
                <w:spacing w:val="-2"/>
                <w:sz w:val="24"/>
              </w:rPr>
              <w:t>Intelligence</w:t>
            </w:r>
          </w:p>
        </w:tc>
      </w:tr>
      <w:tr>
        <w:trPr>
          <w:trHeight w:val="415" w:hRule="atLeast"/>
        </w:trPr>
        <w:tc>
          <w:tcPr>
            <w:tcW w:w="1256" w:type="dxa"/>
          </w:tcPr>
          <w:p>
            <w:pPr>
              <w:pStyle w:val="TableParagraph"/>
              <w:spacing w:before="66"/>
              <w:ind w:left="50"/>
              <w:rPr>
                <w:b/>
                <w:sz w:val="24"/>
              </w:rPr>
            </w:pPr>
            <w:r>
              <w:rPr>
                <w:b/>
                <w:spacing w:val="-5"/>
                <w:sz w:val="24"/>
              </w:rPr>
              <w:t>PA:</w:t>
            </w:r>
          </w:p>
        </w:tc>
        <w:tc>
          <w:tcPr>
            <w:tcW w:w="5831" w:type="dxa"/>
          </w:tcPr>
          <w:p>
            <w:pPr>
              <w:pStyle w:val="TableParagraph"/>
              <w:spacing w:before="66"/>
              <w:ind w:left="234"/>
              <w:rPr>
                <w:sz w:val="24"/>
              </w:rPr>
            </w:pPr>
            <w:r>
              <w:rPr>
                <w:sz w:val="24"/>
              </w:rPr>
              <w:t>Positive</w:t>
            </w:r>
            <w:r>
              <w:rPr>
                <w:spacing w:val="-11"/>
                <w:sz w:val="24"/>
              </w:rPr>
              <w:t> </w:t>
            </w:r>
            <w:r>
              <w:rPr>
                <w:sz w:val="24"/>
              </w:rPr>
              <w:t>Emotions/Positive</w:t>
            </w:r>
            <w:r>
              <w:rPr>
                <w:spacing w:val="-5"/>
                <w:sz w:val="24"/>
              </w:rPr>
              <w:t> </w:t>
            </w:r>
            <w:r>
              <w:rPr>
                <w:spacing w:val="-2"/>
                <w:sz w:val="24"/>
              </w:rPr>
              <w:t>Affectively</w:t>
            </w:r>
          </w:p>
        </w:tc>
      </w:tr>
      <w:tr>
        <w:trPr>
          <w:trHeight w:val="412" w:hRule="atLeast"/>
        </w:trPr>
        <w:tc>
          <w:tcPr>
            <w:tcW w:w="1256" w:type="dxa"/>
          </w:tcPr>
          <w:p>
            <w:pPr>
              <w:pStyle w:val="TableParagraph"/>
              <w:spacing w:before="63"/>
              <w:ind w:left="50"/>
              <w:rPr>
                <w:b/>
                <w:sz w:val="24"/>
              </w:rPr>
            </w:pPr>
            <w:r>
              <w:rPr>
                <w:b/>
                <w:spacing w:val="-5"/>
                <w:sz w:val="24"/>
              </w:rPr>
              <w:t>NA:</w:t>
            </w:r>
          </w:p>
        </w:tc>
        <w:tc>
          <w:tcPr>
            <w:tcW w:w="5831" w:type="dxa"/>
          </w:tcPr>
          <w:p>
            <w:pPr>
              <w:pStyle w:val="TableParagraph"/>
              <w:spacing w:before="63"/>
              <w:ind w:left="234"/>
              <w:rPr>
                <w:sz w:val="24"/>
              </w:rPr>
            </w:pPr>
            <w:r>
              <w:rPr>
                <w:sz w:val="24"/>
              </w:rPr>
              <w:t>Negative</w:t>
            </w:r>
            <w:r>
              <w:rPr>
                <w:spacing w:val="-7"/>
                <w:sz w:val="24"/>
              </w:rPr>
              <w:t> </w:t>
            </w:r>
            <w:r>
              <w:rPr>
                <w:sz w:val="24"/>
              </w:rPr>
              <w:t>Emotions/Negative</w:t>
            </w:r>
            <w:r>
              <w:rPr>
                <w:spacing w:val="-1"/>
                <w:sz w:val="24"/>
              </w:rPr>
              <w:t> </w:t>
            </w:r>
            <w:r>
              <w:rPr>
                <w:spacing w:val="-2"/>
                <w:sz w:val="24"/>
              </w:rPr>
              <w:t>Affectively</w:t>
            </w:r>
          </w:p>
        </w:tc>
      </w:tr>
      <w:tr>
        <w:trPr>
          <w:trHeight w:val="412" w:hRule="atLeast"/>
        </w:trPr>
        <w:tc>
          <w:tcPr>
            <w:tcW w:w="1256" w:type="dxa"/>
          </w:tcPr>
          <w:p>
            <w:pPr>
              <w:pStyle w:val="TableParagraph"/>
              <w:spacing w:before="63"/>
              <w:ind w:left="50"/>
              <w:rPr>
                <w:b/>
                <w:sz w:val="24"/>
              </w:rPr>
            </w:pPr>
            <w:r>
              <w:rPr>
                <w:b/>
                <w:spacing w:val="-5"/>
                <w:sz w:val="24"/>
              </w:rPr>
              <w:t>EQ:</w:t>
            </w:r>
          </w:p>
        </w:tc>
        <w:tc>
          <w:tcPr>
            <w:tcW w:w="5831" w:type="dxa"/>
          </w:tcPr>
          <w:p>
            <w:pPr>
              <w:pStyle w:val="TableParagraph"/>
              <w:spacing w:before="63"/>
              <w:ind w:left="234"/>
              <w:rPr>
                <w:sz w:val="24"/>
              </w:rPr>
            </w:pPr>
            <w:r>
              <w:rPr>
                <w:sz w:val="24"/>
              </w:rPr>
              <w:t>Emotional</w:t>
            </w:r>
            <w:r>
              <w:rPr>
                <w:spacing w:val="-11"/>
                <w:sz w:val="24"/>
              </w:rPr>
              <w:t> </w:t>
            </w:r>
            <w:r>
              <w:rPr>
                <w:spacing w:val="-2"/>
                <w:sz w:val="24"/>
              </w:rPr>
              <w:t>Quotient</w:t>
            </w:r>
          </w:p>
        </w:tc>
      </w:tr>
      <w:tr>
        <w:trPr>
          <w:trHeight w:val="415" w:hRule="atLeast"/>
        </w:trPr>
        <w:tc>
          <w:tcPr>
            <w:tcW w:w="1256" w:type="dxa"/>
          </w:tcPr>
          <w:p>
            <w:pPr>
              <w:pStyle w:val="TableParagraph"/>
              <w:spacing w:before="63"/>
              <w:ind w:left="50"/>
              <w:rPr>
                <w:b/>
                <w:sz w:val="24"/>
              </w:rPr>
            </w:pPr>
            <w:r>
              <w:rPr>
                <w:b/>
                <w:spacing w:val="-2"/>
                <w:sz w:val="24"/>
              </w:rPr>
              <w:t>EQ-</w:t>
            </w:r>
            <w:r>
              <w:rPr>
                <w:b/>
                <w:spacing w:val="-5"/>
                <w:sz w:val="24"/>
              </w:rPr>
              <w:t>I:</w:t>
            </w:r>
          </w:p>
        </w:tc>
        <w:tc>
          <w:tcPr>
            <w:tcW w:w="5831" w:type="dxa"/>
          </w:tcPr>
          <w:p>
            <w:pPr>
              <w:pStyle w:val="TableParagraph"/>
              <w:spacing w:before="63"/>
              <w:ind w:left="234"/>
              <w:rPr>
                <w:sz w:val="24"/>
              </w:rPr>
            </w:pPr>
            <w:r>
              <w:rPr>
                <w:sz w:val="24"/>
              </w:rPr>
              <w:t>Emotional</w:t>
            </w:r>
            <w:r>
              <w:rPr>
                <w:spacing w:val="-9"/>
                <w:sz w:val="24"/>
              </w:rPr>
              <w:t> </w:t>
            </w:r>
            <w:r>
              <w:rPr>
                <w:sz w:val="24"/>
              </w:rPr>
              <w:t>Quotient</w:t>
            </w:r>
            <w:r>
              <w:rPr>
                <w:spacing w:val="2"/>
                <w:sz w:val="24"/>
              </w:rPr>
              <w:t> </w:t>
            </w:r>
            <w:r>
              <w:rPr>
                <w:spacing w:val="-2"/>
                <w:sz w:val="24"/>
              </w:rPr>
              <w:t>Inventory</w:t>
            </w:r>
          </w:p>
        </w:tc>
      </w:tr>
      <w:tr>
        <w:trPr>
          <w:trHeight w:val="415" w:hRule="atLeast"/>
        </w:trPr>
        <w:tc>
          <w:tcPr>
            <w:tcW w:w="1256" w:type="dxa"/>
          </w:tcPr>
          <w:p>
            <w:pPr>
              <w:pStyle w:val="TableParagraph"/>
              <w:spacing w:before="66"/>
              <w:ind w:left="50"/>
              <w:rPr>
                <w:b/>
                <w:sz w:val="24"/>
              </w:rPr>
            </w:pPr>
            <w:r>
              <w:rPr>
                <w:b/>
                <w:spacing w:val="-2"/>
                <w:sz w:val="24"/>
              </w:rPr>
              <w:t>SREIT:</w:t>
            </w:r>
          </w:p>
        </w:tc>
        <w:tc>
          <w:tcPr>
            <w:tcW w:w="5831" w:type="dxa"/>
          </w:tcPr>
          <w:p>
            <w:pPr>
              <w:pStyle w:val="TableParagraph"/>
              <w:spacing w:before="66"/>
              <w:ind w:left="234"/>
              <w:rPr>
                <w:sz w:val="24"/>
              </w:rPr>
            </w:pPr>
            <w:r>
              <w:rPr>
                <w:sz w:val="24"/>
              </w:rPr>
              <w:t>Self-Report</w:t>
            </w:r>
            <w:r>
              <w:rPr>
                <w:spacing w:val="-6"/>
                <w:sz w:val="24"/>
              </w:rPr>
              <w:t> </w:t>
            </w:r>
            <w:r>
              <w:rPr>
                <w:sz w:val="24"/>
              </w:rPr>
              <w:t>Emotional</w:t>
            </w:r>
            <w:r>
              <w:rPr>
                <w:spacing w:val="-11"/>
                <w:sz w:val="24"/>
              </w:rPr>
              <w:t> </w:t>
            </w:r>
            <w:r>
              <w:rPr>
                <w:sz w:val="24"/>
              </w:rPr>
              <w:t>Intelligence</w:t>
            </w:r>
            <w:r>
              <w:rPr>
                <w:spacing w:val="-6"/>
                <w:sz w:val="24"/>
              </w:rPr>
              <w:t> </w:t>
            </w:r>
            <w:r>
              <w:rPr>
                <w:spacing w:val="-4"/>
                <w:sz w:val="24"/>
              </w:rPr>
              <w:t>Test</w:t>
            </w:r>
          </w:p>
        </w:tc>
      </w:tr>
      <w:tr>
        <w:trPr>
          <w:trHeight w:val="412" w:hRule="atLeast"/>
        </w:trPr>
        <w:tc>
          <w:tcPr>
            <w:tcW w:w="1256" w:type="dxa"/>
          </w:tcPr>
          <w:p>
            <w:pPr>
              <w:pStyle w:val="TableParagraph"/>
              <w:spacing w:before="63"/>
              <w:ind w:left="50"/>
              <w:rPr>
                <w:b/>
                <w:sz w:val="24"/>
              </w:rPr>
            </w:pPr>
            <w:r>
              <w:rPr>
                <w:b/>
                <w:spacing w:val="-2"/>
                <w:sz w:val="24"/>
              </w:rPr>
              <w:t>TEIQue:</w:t>
            </w:r>
          </w:p>
        </w:tc>
        <w:tc>
          <w:tcPr>
            <w:tcW w:w="5831" w:type="dxa"/>
          </w:tcPr>
          <w:p>
            <w:pPr>
              <w:pStyle w:val="TableParagraph"/>
              <w:spacing w:before="63"/>
              <w:ind w:left="234"/>
              <w:rPr>
                <w:sz w:val="24"/>
              </w:rPr>
            </w:pPr>
            <w:r>
              <w:rPr>
                <w:sz w:val="24"/>
              </w:rPr>
              <w:t>Trait</w:t>
            </w:r>
            <w:r>
              <w:rPr>
                <w:spacing w:val="-1"/>
                <w:sz w:val="24"/>
              </w:rPr>
              <w:t> </w:t>
            </w:r>
            <w:r>
              <w:rPr>
                <w:sz w:val="24"/>
              </w:rPr>
              <w:t>Emotional</w:t>
            </w:r>
            <w:r>
              <w:rPr>
                <w:spacing w:val="-13"/>
                <w:sz w:val="24"/>
              </w:rPr>
              <w:t> </w:t>
            </w:r>
            <w:r>
              <w:rPr>
                <w:sz w:val="24"/>
              </w:rPr>
              <w:t>Intelligence</w:t>
            </w:r>
            <w:r>
              <w:rPr>
                <w:spacing w:val="-5"/>
                <w:sz w:val="24"/>
              </w:rPr>
              <w:t> </w:t>
            </w:r>
            <w:r>
              <w:rPr>
                <w:spacing w:val="-2"/>
                <w:sz w:val="24"/>
              </w:rPr>
              <w:t>Questionnaire</w:t>
            </w:r>
          </w:p>
        </w:tc>
      </w:tr>
      <w:tr>
        <w:trPr>
          <w:trHeight w:val="412" w:hRule="atLeast"/>
        </w:trPr>
        <w:tc>
          <w:tcPr>
            <w:tcW w:w="1256" w:type="dxa"/>
          </w:tcPr>
          <w:p>
            <w:pPr>
              <w:pStyle w:val="TableParagraph"/>
              <w:spacing w:before="63"/>
              <w:ind w:left="50"/>
              <w:rPr>
                <w:b/>
                <w:sz w:val="24"/>
              </w:rPr>
            </w:pPr>
            <w:r>
              <w:rPr>
                <w:b/>
                <w:spacing w:val="-2"/>
                <w:sz w:val="24"/>
              </w:rPr>
              <w:t>GALT:</w:t>
            </w:r>
          </w:p>
        </w:tc>
        <w:tc>
          <w:tcPr>
            <w:tcW w:w="5831" w:type="dxa"/>
          </w:tcPr>
          <w:p>
            <w:pPr>
              <w:pStyle w:val="TableParagraph"/>
              <w:spacing w:before="63"/>
              <w:ind w:left="234"/>
              <w:rPr>
                <w:sz w:val="24"/>
              </w:rPr>
            </w:pPr>
            <w:r>
              <w:rPr>
                <w:sz w:val="24"/>
              </w:rPr>
              <w:t>Group</w:t>
            </w:r>
            <w:r>
              <w:rPr>
                <w:spacing w:val="-6"/>
                <w:sz w:val="24"/>
              </w:rPr>
              <w:t> </w:t>
            </w:r>
            <w:r>
              <w:rPr>
                <w:sz w:val="24"/>
              </w:rPr>
              <w:t>Assessment</w:t>
            </w:r>
            <w:r>
              <w:rPr>
                <w:spacing w:val="4"/>
                <w:sz w:val="24"/>
              </w:rPr>
              <w:t> </w:t>
            </w:r>
            <w:r>
              <w:rPr>
                <w:sz w:val="24"/>
              </w:rPr>
              <w:t>of</w:t>
            </w:r>
            <w:r>
              <w:rPr>
                <w:spacing w:val="-9"/>
                <w:sz w:val="24"/>
              </w:rPr>
              <w:t> </w:t>
            </w:r>
            <w:r>
              <w:rPr>
                <w:sz w:val="24"/>
              </w:rPr>
              <w:t>Logical</w:t>
            </w:r>
            <w:r>
              <w:rPr>
                <w:spacing w:val="-9"/>
                <w:sz w:val="24"/>
              </w:rPr>
              <w:t> </w:t>
            </w:r>
            <w:r>
              <w:rPr>
                <w:spacing w:val="-2"/>
                <w:sz w:val="24"/>
              </w:rPr>
              <w:t>Thinking</w:t>
            </w:r>
          </w:p>
        </w:tc>
      </w:tr>
      <w:tr>
        <w:trPr>
          <w:trHeight w:val="415" w:hRule="atLeast"/>
        </w:trPr>
        <w:tc>
          <w:tcPr>
            <w:tcW w:w="1256" w:type="dxa"/>
          </w:tcPr>
          <w:p>
            <w:pPr>
              <w:pStyle w:val="TableParagraph"/>
              <w:spacing w:before="63"/>
              <w:ind w:left="50"/>
              <w:rPr>
                <w:b/>
                <w:sz w:val="24"/>
              </w:rPr>
            </w:pPr>
            <w:r>
              <w:rPr>
                <w:b/>
                <w:spacing w:val="-4"/>
                <w:sz w:val="24"/>
              </w:rPr>
              <w:t>CSI:</w:t>
            </w:r>
          </w:p>
        </w:tc>
        <w:tc>
          <w:tcPr>
            <w:tcW w:w="5831" w:type="dxa"/>
          </w:tcPr>
          <w:p>
            <w:pPr>
              <w:pStyle w:val="TableParagraph"/>
              <w:spacing w:before="63"/>
              <w:ind w:left="234"/>
              <w:rPr>
                <w:sz w:val="24"/>
              </w:rPr>
            </w:pPr>
            <w:r>
              <w:rPr>
                <w:sz w:val="24"/>
              </w:rPr>
              <w:t>Chemistry</w:t>
            </w:r>
            <w:r>
              <w:rPr>
                <w:spacing w:val="-10"/>
                <w:sz w:val="24"/>
              </w:rPr>
              <w:t> </w:t>
            </w:r>
            <w:r>
              <w:rPr>
                <w:sz w:val="24"/>
              </w:rPr>
              <w:t>Self-Efficacy</w:t>
            </w:r>
            <w:r>
              <w:rPr>
                <w:spacing w:val="-5"/>
                <w:sz w:val="24"/>
              </w:rPr>
              <w:t> </w:t>
            </w:r>
            <w:r>
              <w:rPr>
                <w:spacing w:val="-2"/>
                <w:sz w:val="24"/>
              </w:rPr>
              <w:t>Instrument</w:t>
            </w:r>
          </w:p>
        </w:tc>
      </w:tr>
      <w:tr>
        <w:trPr>
          <w:trHeight w:val="415" w:hRule="atLeast"/>
        </w:trPr>
        <w:tc>
          <w:tcPr>
            <w:tcW w:w="1256" w:type="dxa"/>
          </w:tcPr>
          <w:p>
            <w:pPr>
              <w:pStyle w:val="TableParagraph"/>
              <w:spacing w:before="66"/>
              <w:ind w:left="50"/>
              <w:rPr>
                <w:b/>
                <w:sz w:val="24"/>
              </w:rPr>
            </w:pPr>
            <w:r>
              <w:rPr>
                <w:b/>
                <w:spacing w:val="-4"/>
                <w:sz w:val="24"/>
              </w:rPr>
              <w:t>CAS:</w:t>
            </w:r>
          </w:p>
        </w:tc>
        <w:tc>
          <w:tcPr>
            <w:tcW w:w="5831" w:type="dxa"/>
          </w:tcPr>
          <w:p>
            <w:pPr>
              <w:pStyle w:val="TableParagraph"/>
              <w:spacing w:before="66"/>
              <w:ind w:left="234"/>
              <w:rPr>
                <w:sz w:val="24"/>
              </w:rPr>
            </w:pPr>
            <w:r>
              <w:rPr>
                <w:sz w:val="24"/>
              </w:rPr>
              <w:t>Chemistry</w:t>
            </w:r>
            <w:r>
              <w:rPr>
                <w:spacing w:val="-8"/>
                <w:sz w:val="24"/>
              </w:rPr>
              <w:t> </w:t>
            </w:r>
            <w:r>
              <w:rPr>
                <w:sz w:val="24"/>
              </w:rPr>
              <w:t>Achievement</w:t>
            </w:r>
            <w:r>
              <w:rPr>
                <w:spacing w:val="63"/>
                <w:sz w:val="24"/>
              </w:rPr>
              <w:t> </w:t>
            </w:r>
            <w:r>
              <w:rPr>
                <w:spacing w:val="-4"/>
                <w:sz w:val="24"/>
              </w:rPr>
              <w:t>Score</w:t>
            </w:r>
          </w:p>
        </w:tc>
      </w:tr>
      <w:tr>
        <w:trPr>
          <w:trHeight w:val="412" w:hRule="atLeast"/>
        </w:trPr>
        <w:tc>
          <w:tcPr>
            <w:tcW w:w="1256" w:type="dxa"/>
          </w:tcPr>
          <w:p>
            <w:pPr>
              <w:pStyle w:val="TableParagraph"/>
              <w:spacing w:before="63"/>
              <w:ind w:left="50"/>
              <w:rPr>
                <w:b/>
                <w:sz w:val="24"/>
              </w:rPr>
            </w:pPr>
            <w:r>
              <w:rPr>
                <w:b/>
                <w:spacing w:val="-2"/>
                <w:sz w:val="24"/>
              </w:rPr>
              <w:t>NERDC:</w:t>
            </w:r>
          </w:p>
        </w:tc>
        <w:tc>
          <w:tcPr>
            <w:tcW w:w="5831" w:type="dxa"/>
          </w:tcPr>
          <w:p>
            <w:pPr>
              <w:pStyle w:val="TableParagraph"/>
              <w:spacing w:before="63"/>
              <w:ind w:left="234"/>
              <w:rPr>
                <w:sz w:val="24"/>
              </w:rPr>
            </w:pPr>
            <w:r>
              <w:rPr>
                <w:sz w:val="24"/>
              </w:rPr>
              <w:t>Nigeria</w:t>
            </w:r>
            <w:r>
              <w:rPr>
                <w:spacing w:val="-5"/>
                <w:sz w:val="24"/>
              </w:rPr>
              <w:t> </w:t>
            </w:r>
            <w:r>
              <w:rPr>
                <w:sz w:val="24"/>
              </w:rPr>
              <w:t>Educational</w:t>
            </w:r>
            <w:r>
              <w:rPr>
                <w:spacing w:val="-7"/>
                <w:sz w:val="24"/>
              </w:rPr>
              <w:t> </w:t>
            </w:r>
            <w:r>
              <w:rPr>
                <w:sz w:val="24"/>
              </w:rPr>
              <w:t>Research</w:t>
            </w:r>
            <w:r>
              <w:rPr>
                <w:spacing w:val="-6"/>
                <w:sz w:val="24"/>
              </w:rPr>
              <w:t> </w:t>
            </w:r>
            <w:r>
              <w:rPr>
                <w:sz w:val="24"/>
              </w:rPr>
              <w:t>and</w:t>
            </w:r>
            <w:r>
              <w:rPr>
                <w:spacing w:val="-2"/>
                <w:sz w:val="24"/>
              </w:rPr>
              <w:t> </w:t>
            </w:r>
            <w:r>
              <w:rPr>
                <w:sz w:val="24"/>
              </w:rPr>
              <w:t>Development</w:t>
            </w:r>
            <w:r>
              <w:rPr>
                <w:spacing w:val="3"/>
                <w:sz w:val="24"/>
              </w:rPr>
              <w:t> </w:t>
            </w:r>
            <w:r>
              <w:rPr>
                <w:spacing w:val="-2"/>
                <w:sz w:val="24"/>
              </w:rPr>
              <w:t>Council</w:t>
            </w:r>
          </w:p>
        </w:tc>
      </w:tr>
      <w:tr>
        <w:trPr>
          <w:trHeight w:val="412" w:hRule="atLeast"/>
        </w:trPr>
        <w:tc>
          <w:tcPr>
            <w:tcW w:w="1256" w:type="dxa"/>
          </w:tcPr>
          <w:p>
            <w:pPr>
              <w:pStyle w:val="TableParagraph"/>
              <w:spacing w:before="63"/>
              <w:ind w:left="50"/>
              <w:rPr>
                <w:b/>
                <w:sz w:val="24"/>
              </w:rPr>
            </w:pPr>
            <w:r>
              <w:rPr>
                <w:b/>
                <w:spacing w:val="-2"/>
                <w:sz w:val="24"/>
              </w:rPr>
              <w:t>STAN:</w:t>
            </w:r>
          </w:p>
        </w:tc>
        <w:tc>
          <w:tcPr>
            <w:tcW w:w="5831" w:type="dxa"/>
          </w:tcPr>
          <w:p>
            <w:pPr>
              <w:pStyle w:val="TableParagraph"/>
              <w:spacing w:before="63"/>
              <w:ind w:left="234"/>
              <w:rPr>
                <w:sz w:val="24"/>
              </w:rPr>
            </w:pPr>
            <w:r>
              <w:rPr>
                <w:sz w:val="24"/>
              </w:rPr>
              <w:t>Science</w:t>
            </w:r>
            <w:r>
              <w:rPr>
                <w:spacing w:val="-4"/>
                <w:sz w:val="24"/>
              </w:rPr>
              <w:t> </w:t>
            </w:r>
            <w:r>
              <w:rPr>
                <w:sz w:val="24"/>
              </w:rPr>
              <w:t>Teachers Association</w:t>
            </w:r>
            <w:r>
              <w:rPr>
                <w:spacing w:val="-8"/>
                <w:sz w:val="24"/>
              </w:rPr>
              <w:t> </w:t>
            </w:r>
            <w:r>
              <w:rPr>
                <w:sz w:val="24"/>
              </w:rPr>
              <w:t>of</w:t>
            </w:r>
            <w:r>
              <w:rPr>
                <w:spacing w:val="-9"/>
                <w:sz w:val="24"/>
              </w:rPr>
              <w:t> </w:t>
            </w:r>
            <w:r>
              <w:rPr>
                <w:spacing w:val="-2"/>
                <w:sz w:val="24"/>
              </w:rPr>
              <w:t>Nigeria</w:t>
            </w:r>
          </w:p>
        </w:tc>
      </w:tr>
      <w:tr>
        <w:trPr>
          <w:trHeight w:val="415" w:hRule="atLeast"/>
        </w:trPr>
        <w:tc>
          <w:tcPr>
            <w:tcW w:w="1256" w:type="dxa"/>
          </w:tcPr>
          <w:p>
            <w:pPr>
              <w:pStyle w:val="TableParagraph"/>
              <w:spacing w:before="63"/>
              <w:ind w:left="50"/>
              <w:rPr>
                <w:b/>
                <w:sz w:val="24"/>
              </w:rPr>
            </w:pPr>
            <w:r>
              <w:rPr>
                <w:b/>
                <w:spacing w:val="-4"/>
                <w:sz w:val="24"/>
              </w:rPr>
              <w:t>FME:</w:t>
            </w:r>
          </w:p>
        </w:tc>
        <w:tc>
          <w:tcPr>
            <w:tcW w:w="5831" w:type="dxa"/>
          </w:tcPr>
          <w:p>
            <w:pPr>
              <w:pStyle w:val="TableParagraph"/>
              <w:spacing w:before="63"/>
              <w:ind w:left="234"/>
              <w:rPr>
                <w:sz w:val="24"/>
              </w:rPr>
            </w:pPr>
            <w:r>
              <w:rPr>
                <w:sz w:val="24"/>
              </w:rPr>
              <w:t>Federal</w:t>
            </w:r>
            <w:r>
              <w:rPr>
                <w:spacing w:val="-1"/>
                <w:sz w:val="24"/>
              </w:rPr>
              <w:t> </w:t>
            </w:r>
            <w:r>
              <w:rPr>
                <w:sz w:val="24"/>
              </w:rPr>
              <w:t>Ministry</w:t>
            </w:r>
            <w:r>
              <w:rPr>
                <w:spacing w:val="-6"/>
                <w:sz w:val="24"/>
              </w:rPr>
              <w:t> </w:t>
            </w:r>
            <w:r>
              <w:rPr>
                <w:sz w:val="24"/>
              </w:rPr>
              <w:t>of</w:t>
            </w:r>
            <w:r>
              <w:rPr>
                <w:spacing w:val="-4"/>
                <w:sz w:val="24"/>
              </w:rPr>
              <w:t> </w:t>
            </w:r>
            <w:r>
              <w:rPr>
                <w:spacing w:val="-2"/>
                <w:sz w:val="24"/>
              </w:rPr>
              <w:t>Education</w:t>
            </w:r>
          </w:p>
        </w:tc>
      </w:tr>
      <w:tr>
        <w:trPr>
          <w:trHeight w:val="415" w:hRule="atLeast"/>
        </w:trPr>
        <w:tc>
          <w:tcPr>
            <w:tcW w:w="1256" w:type="dxa"/>
          </w:tcPr>
          <w:p>
            <w:pPr>
              <w:pStyle w:val="TableParagraph"/>
              <w:spacing w:before="66"/>
              <w:ind w:left="50"/>
              <w:rPr>
                <w:b/>
                <w:sz w:val="24"/>
              </w:rPr>
            </w:pPr>
            <w:r>
              <w:rPr>
                <w:b/>
                <w:spacing w:val="-2"/>
                <w:sz w:val="24"/>
              </w:rPr>
              <w:t>NCTM:</w:t>
            </w:r>
          </w:p>
        </w:tc>
        <w:tc>
          <w:tcPr>
            <w:tcW w:w="5831" w:type="dxa"/>
          </w:tcPr>
          <w:p>
            <w:pPr>
              <w:pStyle w:val="TableParagraph"/>
              <w:spacing w:before="66"/>
              <w:ind w:left="234"/>
              <w:rPr>
                <w:sz w:val="24"/>
              </w:rPr>
            </w:pPr>
            <w:r>
              <w:rPr>
                <w:sz w:val="24"/>
              </w:rPr>
              <w:t>National</w:t>
            </w:r>
            <w:r>
              <w:rPr>
                <w:spacing w:val="-4"/>
                <w:sz w:val="24"/>
              </w:rPr>
              <w:t> </w:t>
            </w:r>
            <w:r>
              <w:rPr>
                <w:sz w:val="24"/>
              </w:rPr>
              <w:t>Council</w:t>
            </w:r>
            <w:r>
              <w:rPr>
                <w:spacing w:val="-7"/>
                <w:sz w:val="24"/>
              </w:rPr>
              <w:t> </w:t>
            </w:r>
            <w:r>
              <w:rPr>
                <w:sz w:val="24"/>
              </w:rPr>
              <w:t>of</w:t>
            </w:r>
            <w:r>
              <w:rPr>
                <w:spacing w:val="-6"/>
                <w:sz w:val="24"/>
              </w:rPr>
              <w:t> </w:t>
            </w:r>
            <w:r>
              <w:rPr>
                <w:sz w:val="24"/>
              </w:rPr>
              <w:t>Mathematics </w:t>
            </w:r>
            <w:r>
              <w:rPr>
                <w:spacing w:val="-2"/>
                <w:sz w:val="24"/>
              </w:rPr>
              <w:t>Teachers</w:t>
            </w:r>
          </w:p>
        </w:tc>
      </w:tr>
      <w:tr>
        <w:trPr>
          <w:trHeight w:val="412" w:hRule="atLeast"/>
        </w:trPr>
        <w:tc>
          <w:tcPr>
            <w:tcW w:w="1256" w:type="dxa"/>
          </w:tcPr>
          <w:p>
            <w:pPr>
              <w:pStyle w:val="TableParagraph"/>
              <w:spacing w:before="63"/>
              <w:ind w:left="50"/>
              <w:rPr>
                <w:b/>
                <w:sz w:val="24"/>
              </w:rPr>
            </w:pPr>
            <w:r>
              <w:rPr>
                <w:b/>
                <w:spacing w:val="-2"/>
                <w:sz w:val="24"/>
              </w:rPr>
              <w:t>FEMSA:</w:t>
            </w:r>
          </w:p>
        </w:tc>
        <w:tc>
          <w:tcPr>
            <w:tcW w:w="5831" w:type="dxa"/>
          </w:tcPr>
          <w:p>
            <w:pPr>
              <w:pStyle w:val="TableParagraph"/>
              <w:spacing w:before="63"/>
              <w:ind w:left="234"/>
              <w:rPr>
                <w:sz w:val="24"/>
              </w:rPr>
            </w:pPr>
            <w:r>
              <w:rPr>
                <w:sz w:val="24"/>
              </w:rPr>
              <w:t>Federal</w:t>
            </w:r>
            <w:r>
              <w:rPr>
                <w:spacing w:val="-10"/>
                <w:sz w:val="24"/>
              </w:rPr>
              <w:t> </w:t>
            </w:r>
            <w:r>
              <w:rPr>
                <w:sz w:val="24"/>
              </w:rPr>
              <w:t>Education</w:t>
            </w:r>
            <w:r>
              <w:rPr>
                <w:spacing w:val="-1"/>
                <w:sz w:val="24"/>
              </w:rPr>
              <w:t> </w:t>
            </w:r>
            <w:r>
              <w:rPr>
                <w:sz w:val="24"/>
              </w:rPr>
              <w:t>in</w:t>
            </w:r>
            <w:r>
              <w:rPr>
                <w:spacing w:val="-6"/>
                <w:sz w:val="24"/>
              </w:rPr>
              <w:t> </w:t>
            </w:r>
            <w:r>
              <w:rPr>
                <w:sz w:val="24"/>
              </w:rPr>
              <w:t>Mathematics</w:t>
            </w:r>
            <w:r>
              <w:rPr>
                <w:spacing w:val="-3"/>
                <w:sz w:val="24"/>
              </w:rPr>
              <w:t> </w:t>
            </w:r>
            <w:r>
              <w:rPr>
                <w:sz w:val="24"/>
              </w:rPr>
              <w:t>and</w:t>
            </w:r>
            <w:r>
              <w:rPr>
                <w:spacing w:val="-1"/>
                <w:sz w:val="24"/>
              </w:rPr>
              <w:t> </w:t>
            </w:r>
            <w:r>
              <w:rPr>
                <w:sz w:val="24"/>
              </w:rPr>
              <w:t>Science</w:t>
            </w:r>
            <w:r>
              <w:rPr>
                <w:spacing w:val="3"/>
                <w:sz w:val="24"/>
              </w:rPr>
              <w:t> </w:t>
            </w:r>
            <w:r>
              <w:rPr>
                <w:sz w:val="24"/>
              </w:rPr>
              <w:t>in</w:t>
            </w:r>
            <w:r>
              <w:rPr>
                <w:spacing w:val="-1"/>
                <w:sz w:val="24"/>
              </w:rPr>
              <w:t> </w:t>
            </w:r>
            <w:r>
              <w:rPr>
                <w:spacing w:val="-2"/>
                <w:sz w:val="24"/>
              </w:rPr>
              <w:t>African</w:t>
            </w:r>
          </w:p>
        </w:tc>
      </w:tr>
      <w:tr>
        <w:trPr>
          <w:trHeight w:val="412" w:hRule="atLeast"/>
        </w:trPr>
        <w:tc>
          <w:tcPr>
            <w:tcW w:w="1256" w:type="dxa"/>
          </w:tcPr>
          <w:p>
            <w:pPr>
              <w:pStyle w:val="TableParagraph"/>
              <w:spacing w:before="63"/>
              <w:ind w:left="50"/>
              <w:rPr>
                <w:b/>
                <w:sz w:val="24"/>
              </w:rPr>
            </w:pPr>
            <w:r>
              <w:rPr>
                <w:b/>
                <w:spacing w:val="-2"/>
                <w:sz w:val="24"/>
              </w:rPr>
              <w:t>GESAT:</w:t>
            </w:r>
          </w:p>
        </w:tc>
        <w:tc>
          <w:tcPr>
            <w:tcW w:w="5831" w:type="dxa"/>
          </w:tcPr>
          <w:p>
            <w:pPr>
              <w:pStyle w:val="TableParagraph"/>
              <w:spacing w:before="63"/>
              <w:ind w:left="234"/>
              <w:rPr>
                <w:sz w:val="24"/>
              </w:rPr>
            </w:pPr>
            <w:r>
              <w:rPr>
                <w:sz w:val="24"/>
              </w:rPr>
              <w:t>Gender</w:t>
            </w:r>
            <w:r>
              <w:rPr>
                <w:spacing w:val="2"/>
                <w:sz w:val="24"/>
              </w:rPr>
              <w:t> </w:t>
            </w:r>
            <w:r>
              <w:rPr>
                <w:sz w:val="24"/>
              </w:rPr>
              <w:t>in</w:t>
            </w:r>
            <w:r>
              <w:rPr>
                <w:spacing w:val="-8"/>
                <w:sz w:val="24"/>
              </w:rPr>
              <w:t> </w:t>
            </w:r>
            <w:r>
              <w:rPr>
                <w:sz w:val="24"/>
              </w:rPr>
              <w:t>Science</w:t>
            </w:r>
            <w:r>
              <w:rPr>
                <w:spacing w:val="-3"/>
                <w:sz w:val="24"/>
              </w:rPr>
              <w:t> </w:t>
            </w:r>
            <w:r>
              <w:rPr>
                <w:sz w:val="24"/>
              </w:rPr>
              <w:t>and</w:t>
            </w:r>
            <w:r>
              <w:rPr>
                <w:spacing w:val="-3"/>
                <w:sz w:val="24"/>
              </w:rPr>
              <w:t> </w:t>
            </w:r>
            <w:r>
              <w:rPr>
                <w:spacing w:val="-2"/>
                <w:sz w:val="24"/>
              </w:rPr>
              <w:t>Technology</w:t>
            </w:r>
          </w:p>
        </w:tc>
      </w:tr>
      <w:tr>
        <w:trPr>
          <w:trHeight w:val="415" w:hRule="atLeast"/>
        </w:trPr>
        <w:tc>
          <w:tcPr>
            <w:tcW w:w="1256" w:type="dxa"/>
          </w:tcPr>
          <w:p>
            <w:pPr>
              <w:pStyle w:val="TableParagraph"/>
              <w:spacing w:before="63"/>
              <w:ind w:left="50"/>
              <w:rPr>
                <w:b/>
                <w:sz w:val="24"/>
              </w:rPr>
            </w:pPr>
            <w:r>
              <w:rPr>
                <w:b/>
                <w:spacing w:val="-2"/>
                <w:sz w:val="24"/>
              </w:rPr>
              <w:t>NAEP:</w:t>
            </w:r>
          </w:p>
        </w:tc>
        <w:tc>
          <w:tcPr>
            <w:tcW w:w="5831" w:type="dxa"/>
          </w:tcPr>
          <w:p>
            <w:pPr>
              <w:pStyle w:val="TableParagraph"/>
              <w:spacing w:before="63"/>
              <w:ind w:left="234"/>
              <w:rPr>
                <w:sz w:val="24"/>
              </w:rPr>
            </w:pPr>
            <w:r>
              <w:rPr>
                <w:sz w:val="24"/>
              </w:rPr>
              <w:t>National</w:t>
            </w:r>
            <w:r>
              <w:rPr>
                <w:spacing w:val="-3"/>
                <w:sz w:val="24"/>
              </w:rPr>
              <w:t> </w:t>
            </w:r>
            <w:r>
              <w:rPr>
                <w:sz w:val="24"/>
              </w:rPr>
              <w:t>Assessment</w:t>
            </w:r>
            <w:r>
              <w:rPr>
                <w:spacing w:val="-2"/>
                <w:sz w:val="24"/>
              </w:rPr>
              <w:t> </w:t>
            </w:r>
            <w:r>
              <w:rPr>
                <w:sz w:val="24"/>
              </w:rPr>
              <w:t>of</w:t>
            </w:r>
            <w:r>
              <w:rPr>
                <w:spacing w:val="-10"/>
                <w:sz w:val="24"/>
              </w:rPr>
              <w:t> </w:t>
            </w:r>
            <w:r>
              <w:rPr>
                <w:sz w:val="24"/>
              </w:rPr>
              <w:t>Educational</w:t>
            </w:r>
            <w:r>
              <w:rPr>
                <w:spacing w:val="-6"/>
                <w:sz w:val="24"/>
              </w:rPr>
              <w:t> </w:t>
            </w:r>
            <w:r>
              <w:rPr>
                <w:spacing w:val="-2"/>
                <w:sz w:val="24"/>
              </w:rPr>
              <w:t>Progress</w:t>
            </w:r>
          </w:p>
        </w:tc>
      </w:tr>
      <w:tr>
        <w:trPr>
          <w:trHeight w:val="415" w:hRule="atLeast"/>
        </w:trPr>
        <w:tc>
          <w:tcPr>
            <w:tcW w:w="1256" w:type="dxa"/>
          </w:tcPr>
          <w:p>
            <w:pPr>
              <w:pStyle w:val="TableParagraph"/>
              <w:spacing w:before="66"/>
              <w:ind w:left="50"/>
              <w:rPr>
                <w:b/>
                <w:sz w:val="24"/>
              </w:rPr>
            </w:pPr>
            <w:r>
              <w:rPr>
                <w:b/>
                <w:spacing w:val="-4"/>
                <w:sz w:val="24"/>
              </w:rPr>
              <w:t>APP:</w:t>
            </w:r>
          </w:p>
        </w:tc>
        <w:tc>
          <w:tcPr>
            <w:tcW w:w="5831" w:type="dxa"/>
          </w:tcPr>
          <w:p>
            <w:pPr>
              <w:pStyle w:val="TableParagraph"/>
              <w:spacing w:before="66"/>
              <w:ind w:left="234"/>
              <w:rPr>
                <w:sz w:val="24"/>
              </w:rPr>
            </w:pPr>
            <w:r>
              <w:rPr>
                <w:sz w:val="24"/>
              </w:rPr>
              <w:t>Advanced</w:t>
            </w:r>
            <w:r>
              <w:rPr>
                <w:spacing w:val="-7"/>
                <w:sz w:val="24"/>
              </w:rPr>
              <w:t> </w:t>
            </w:r>
            <w:r>
              <w:rPr>
                <w:sz w:val="24"/>
              </w:rPr>
              <w:t>Placement</w:t>
            </w:r>
            <w:r>
              <w:rPr>
                <w:spacing w:val="-2"/>
                <w:sz w:val="24"/>
              </w:rPr>
              <w:t> Program</w:t>
            </w:r>
          </w:p>
        </w:tc>
      </w:tr>
      <w:tr>
        <w:trPr>
          <w:trHeight w:val="412" w:hRule="atLeast"/>
        </w:trPr>
        <w:tc>
          <w:tcPr>
            <w:tcW w:w="1256" w:type="dxa"/>
          </w:tcPr>
          <w:p>
            <w:pPr>
              <w:pStyle w:val="TableParagraph"/>
              <w:spacing w:before="63"/>
              <w:ind w:left="50"/>
              <w:rPr>
                <w:b/>
                <w:sz w:val="24"/>
              </w:rPr>
            </w:pPr>
            <w:r>
              <w:rPr>
                <w:b/>
                <w:spacing w:val="-4"/>
                <w:sz w:val="24"/>
              </w:rPr>
              <w:t>IEA:</w:t>
            </w:r>
          </w:p>
        </w:tc>
        <w:tc>
          <w:tcPr>
            <w:tcW w:w="5831" w:type="dxa"/>
          </w:tcPr>
          <w:p>
            <w:pPr>
              <w:pStyle w:val="TableParagraph"/>
              <w:spacing w:before="63"/>
              <w:ind w:left="234"/>
              <w:rPr>
                <w:sz w:val="24"/>
              </w:rPr>
            </w:pPr>
            <w:r>
              <w:rPr>
                <w:sz w:val="24"/>
              </w:rPr>
              <w:t>International</w:t>
            </w:r>
            <w:r>
              <w:rPr>
                <w:spacing w:val="-7"/>
                <w:sz w:val="24"/>
              </w:rPr>
              <w:t> </w:t>
            </w:r>
            <w:r>
              <w:rPr>
                <w:sz w:val="24"/>
              </w:rPr>
              <w:t>Evaluation</w:t>
            </w:r>
            <w:r>
              <w:rPr>
                <w:spacing w:val="-3"/>
                <w:sz w:val="24"/>
              </w:rPr>
              <w:t> </w:t>
            </w:r>
            <w:r>
              <w:rPr>
                <w:sz w:val="24"/>
              </w:rPr>
              <w:t>of</w:t>
            </w:r>
            <w:r>
              <w:rPr>
                <w:spacing w:val="-6"/>
                <w:sz w:val="24"/>
              </w:rPr>
              <w:t> </w:t>
            </w:r>
            <w:r>
              <w:rPr>
                <w:sz w:val="24"/>
              </w:rPr>
              <w:t>Education</w:t>
            </w:r>
            <w:r>
              <w:rPr>
                <w:spacing w:val="-2"/>
                <w:sz w:val="24"/>
              </w:rPr>
              <w:t> Progress</w:t>
            </w:r>
          </w:p>
        </w:tc>
      </w:tr>
      <w:tr>
        <w:trPr>
          <w:trHeight w:val="412" w:hRule="atLeast"/>
        </w:trPr>
        <w:tc>
          <w:tcPr>
            <w:tcW w:w="1256" w:type="dxa"/>
          </w:tcPr>
          <w:p>
            <w:pPr>
              <w:pStyle w:val="TableParagraph"/>
              <w:spacing w:before="63"/>
              <w:ind w:left="50"/>
              <w:rPr>
                <w:b/>
                <w:sz w:val="24"/>
              </w:rPr>
            </w:pPr>
            <w:r>
              <w:rPr>
                <w:b/>
                <w:spacing w:val="-2"/>
                <w:sz w:val="24"/>
              </w:rPr>
              <w:t>FISS:</w:t>
            </w:r>
          </w:p>
        </w:tc>
        <w:tc>
          <w:tcPr>
            <w:tcW w:w="5831" w:type="dxa"/>
          </w:tcPr>
          <w:p>
            <w:pPr>
              <w:pStyle w:val="TableParagraph"/>
              <w:spacing w:before="63"/>
              <w:ind w:left="234"/>
              <w:rPr>
                <w:sz w:val="24"/>
              </w:rPr>
            </w:pPr>
            <w:r>
              <w:rPr>
                <w:sz w:val="24"/>
              </w:rPr>
              <w:t>First</w:t>
            </w:r>
            <w:r>
              <w:rPr>
                <w:spacing w:val="1"/>
                <w:sz w:val="24"/>
              </w:rPr>
              <w:t> </w:t>
            </w:r>
            <w:r>
              <w:rPr>
                <w:sz w:val="24"/>
              </w:rPr>
              <w:t>International</w:t>
            </w:r>
            <w:r>
              <w:rPr>
                <w:spacing w:val="-12"/>
                <w:sz w:val="24"/>
              </w:rPr>
              <w:t> </w:t>
            </w:r>
            <w:r>
              <w:rPr>
                <w:sz w:val="24"/>
              </w:rPr>
              <w:t>Science</w:t>
            </w:r>
            <w:r>
              <w:rPr>
                <w:spacing w:val="-4"/>
                <w:sz w:val="24"/>
              </w:rPr>
              <w:t> </w:t>
            </w:r>
            <w:r>
              <w:rPr>
                <w:spacing w:val="-2"/>
                <w:sz w:val="24"/>
              </w:rPr>
              <w:t>Studies</w:t>
            </w:r>
          </w:p>
        </w:tc>
      </w:tr>
      <w:tr>
        <w:trPr>
          <w:trHeight w:val="415" w:hRule="atLeast"/>
        </w:trPr>
        <w:tc>
          <w:tcPr>
            <w:tcW w:w="1256" w:type="dxa"/>
          </w:tcPr>
          <w:p>
            <w:pPr>
              <w:pStyle w:val="TableParagraph"/>
              <w:spacing w:before="63"/>
              <w:ind w:left="50"/>
              <w:rPr>
                <w:b/>
                <w:sz w:val="24"/>
              </w:rPr>
            </w:pPr>
            <w:r>
              <w:rPr>
                <w:b/>
                <w:spacing w:val="-2"/>
                <w:sz w:val="24"/>
              </w:rPr>
              <w:t>SISS:</w:t>
            </w:r>
          </w:p>
        </w:tc>
        <w:tc>
          <w:tcPr>
            <w:tcW w:w="5831" w:type="dxa"/>
          </w:tcPr>
          <w:p>
            <w:pPr>
              <w:pStyle w:val="TableParagraph"/>
              <w:spacing w:before="63"/>
              <w:ind w:left="234"/>
              <w:rPr>
                <w:sz w:val="24"/>
              </w:rPr>
            </w:pPr>
            <w:r>
              <w:rPr>
                <w:sz w:val="24"/>
              </w:rPr>
              <w:t>Second</w:t>
            </w:r>
            <w:r>
              <w:rPr>
                <w:spacing w:val="-4"/>
                <w:sz w:val="24"/>
              </w:rPr>
              <w:t> </w:t>
            </w:r>
            <w:r>
              <w:rPr>
                <w:sz w:val="24"/>
              </w:rPr>
              <w:t>International</w:t>
            </w:r>
            <w:r>
              <w:rPr>
                <w:spacing w:val="-8"/>
                <w:sz w:val="24"/>
              </w:rPr>
              <w:t> </w:t>
            </w:r>
            <w:r>
              <w:rPr>
                <w:sz w:val="24"/>
              </w:rPr>
              <w:t>Science</w:t>
            </w:r>
            <w:r>
              <w:rPr>
                <w:spacing w:val="-4"/>
                <w:sz w:val="24"/>
              </w:rPr>
              <w:t> </w:t>
            </w:r>
            <w:r>
              <w:rPr>
                <w:spacing w:val="-2"/>
                <w:sz w:val="24"/>
              </w:rPr>
              <w:t>Studies</w:t>
            </w:r>
          </w:p>
        </w:tc>
      </w:tr>
      <w:tr>
        <w:trPr>
          <w:trHeight w:val="415" w:hRule="atLeast"/>
        </w:trPr>
        <w:tc>
          <w:tcPr>
            <w:tcW w:w="1256" w:type="dxa"/>
          </w:tcPr>
          <w:p>
            <w:pPr>
              <w:pStyle w:val="TableParagraph"/>
              <w:spacing w:before="66"/>
              <w:ind w:left="50"/>
              <w:rPr>
                <w:b/>
                <w:sz w:val="24"/>
              </w:rPr>
            </w:pPr>
            <w:r>
              <w:rPr>
                <w:b/>
                <w:spacing w:val="-2"/>
                <w:sz w:val="24"/>
              </w:rPr>
              <w:t>TIMSS:</w:t>
            </w:r>
          </w:p>
        </w:tc>
        <w:tc>
          <w:tcPr>
            <w:tcW w:w="5831" w:type="dxa"/>
          </w:tcPr>
          <w:p>
            <w:pPr>
              <w:pStyle w:val="TableParagraph"/>
              <w:spacing w:before="66"/>
              <w:ind w:left="234"/>
              <w:rPr>
                <w:sz w:val="24"/>
              </w:rPr>
            </w:pPr>
            <w:r>
              <w:rPr>
                <w:sz w:val="24"/>
              </w:rPr>
              <w:t>Third</w:t>
            </w:r>
            <w:r>
              <w:rPr>
                <w:spacing w:val="-4"/>
                <w:sz w:val="24"/>
              </w:rPr>
              <w:t> </w:t>
            </w:r>
            <w:r>
              <w:rPr>
                <w:sz w:val="24"/>
              </w:rPr>
              <w:t>International</w:t>
            </w:r>
            <w:r>
              <w:rPr>
                <w:spacing w:val="-8"/>
                <w:sz w:val="24"/>
              </w:rPr>
              <w:t> </w:t>
            </w:r>
            <w:r>
              <w:rPr>
                <w:sz w:val="24"/>
              </w:rPr>
              <w:t>Mathematics</w:t>
            </w:r>
            <w:r>
              <w:rPr>
                <w:spacing w:val="-1"/>
                <w:sz w:val="24"/>
              </w:rPr>
              <w:t> </w:t>
            </w:r>
            <w:r>
              <w:rPr>
                <w:sz w:val="24"/>
              </w:rPr>
              <w:t>and</w:t>
            </w:r>
            <w:r>
              <w:rPr>
                <w:spacing w:val="-4"/>
                <w:sz w:val="24"/>
              </w:rPr>
              <w:t> </w:t>
            </w:r>
            <w:r>
              <w:rPr>
                <w:sz w:val="24"/>
              </w:rPr>
              <w:t>Science</w:t>
            </w:r>
            <w:r>
              <w:rPr>
                <w:spacing w:val="-2"/>
                <w:sz w:val="24"/>
              </w:rPr>
              <w:t> </w:t>
            </w:r>
            <w:r>
              <w:rPr>
                <w:spacing w:val="-4"/>
                <w:sz w:val="24"/>
              </w:rPr>
              <w:t>Study</w:t>
            </w:r>
          </w:p>
        </w:tc>
      </w:tr>
      <w:tr>
        <w:trPr>
          <w:trHeight w:val="412" w:hRule="atLeast"/>
        </w:trPr>
        <w:tc>
          <w:tcPr>
            <w:tcW w:w="1256" w:type="dxa"/>
          </w:tcPr>
          <w:p>
            <w:pPr>
              <w:pStyle w:val="TableParagraph"/>
              <w:spacing w:before="63"/>
              <w:ind w:left="50"/>
              <w:rPr>
                <w:b/>
                <w:sz w:val="24"/>
              </w:rPr>
            </w:pPr>
            <w:r>
              <w:rPr>
                <w:b/>
                <w:spacing w:val="-2"/>
                <w:sz w:val="24"/>
              </w:rPr>
              <w:t>DMCTE:</w:t>
            </w:r>
          </w:p>
        </w:tc>
        <w:tc>
          <w:tcPr>
            <w:tcW w:w="5831" w:type="dxa"/>
          </w:tcPr>
          <w:p>
            <w:pPr>
              <w:pStyle w:val="TableParagraph"/>
              <w:spacing w:before="63"/>
              <w:ind w:left="234"/>
              <w:rPr>
                <w:sz w:val="24"/>
              </w:rPr>
            </w:pPr>
            <w:r>
              <w:rPr>
                <w:sz w:val="24"/>
              </w:rPr>
              <w:t>Debre</w:t>
            </w:r>
            <w:r>
              <w:rPr>
                <w:spacing w:val="-2"/>
                <w:sz w:val="24"/>
              </w:rPr>
              <w:t> </w:t>
            </w:r>
            <w:r>
              <w:rPr>
                <w:sz w:val="24"/>
              </w:rPr>
              <w:t>Markos</w:t>
            </w:r>
            <w:r>
              <w:rPr>
                <w:spacing w:val="-3"/>
                <w:sz w:val="24"/>
              </w:rPr>
              <w:t> </w:t>
            </w:r>
            <w:r>
              <w:rPr>
                <w:sz w:val="24"/>
              </w:rPr>
              <w:t>College</w:t>
            </w:r>
            <w:r>
              <w:rPr>
                <w:spacing w:val="-1"/>
                <w:sz w:val="24"/>
              </w:rPr>
              <w:t> </w:t>
            </w:r>
            <w:r>
              <w:rPr>
                <w:sz w:val="24"/>
              </w:rPr>
              <w:t>of</w:t>
            </w:r>
            <w:r>
              <w:rPr>
                <w:spacing w:val="-9"/>
                <w:sz w:val="24"/>
              </w:rPr>
              <w:t> </w:t>
            </w:r>
            <w:r>
              <w:rPr>
                <w:sz w:val="24"/>
              </w:rPr>
              <w:t>Teachers</w:t>
            </w:r>
            <w:r>
              <w:rPr>
                <w:spacing w:val="-2"/>
                <w:sz w:val="24"/>
              </w:rPr>
              <w:t> Education</w:t>
            </w:r>
          </w:p>
        </w:tc>
      </w:tr>
      <w:tr>
        <w:trPr>
          <w:trHeight w:val="412" w:hRule="atLeast"/>
        </w:trPr>
        <w:tc>
          <w:tcPr>
            <w:tcW w:w="1256" w:type="dxa"/>
          </w:tcPr>
          <w:p>
            <w:pPr>
              <w:pStyle w:val="TableParagraph"/>
              <w:spacing w:before="63"/>
              <w:ind w:left="50"/>
              <w:rPr>
                <w:b/>
                <w:sz w:val="24"/>
              </w:rPr>
            </w:pPr>
            <w:r>
              <w:rPr>
                <w:b/>
                <w:spacing w:val="-2"/>
                <w:sz w:val="24"/>
              </w:rPr>
              <w:t>MSLQ:</w:t>
            </w:r>
          </w:p>
        </w:tc>
        <w:tc>
          <w:tcPr>
            <w:tcW w:w="5831" w:type="dxa"/>
          </w:tcPr>
          <w:p>
            <w:pPr>
              <w:pStyle w:val="TableParagraph"/>
              <w:spacing w:before="63"/>
              <w:ind w:left="234"/>
              <w:rPr>
                <w:sz w:val="24"/>
              </w:rPr>
            </w:pPr>
            <w:r>
              <w:rPr>
                <w:sz w:val="24"/>
              </w:rPr>
              <w:t>Motivated</w:t>
            </w:r>
            <w:r>
              <w:rPr>
                <w:spacing w:val="-5"/>
                <w:sz w:val="24"/>
              </w:rPr>
              <w:t> </w:t>
            </w:r>
            <w:r>
              <w:rPr>
                <w:sz w:val="24"/>
              </w:rPr>
              <w:t>Strategies</w:t>
            </w:r>
            <w:r>
              <w:rPr>
                <w:spacing w:val="-2"/>
                <w:sz w:val="24"/>
              </w:rPr>
              <w:t> </w:t>
            </w:r>
            <w:r>
              <w:rPr>
                <w:sz w:val="24"/>
              </w:rPr>
              <w:t>for</w:t>
            </w:r>
            <w:r>
              <w:rPr>
                <w:spacing w:val="-3"/>
                <w:sz w:val="24"/>
              </w:rPr>
              <w:t> </w:t>
            </w:r>
            <w:r>
              <w:rPr>
                <w:sz w:val="24"/>
              </w:rPr>
              <w:t>Learning</w:t>
            </w:r>
            <w:r>
              <w:rPr>
                <w:spacing w:val="-4"/>
                <w:sz w:val="24"/>
              </w:rPr>
              <w:t> </w:t>
            </w:r>
            <w:r>
              <w:rPr>
                <w:spacing w:val="-2"/>
                <w:sz w:val="24"/>
              </w:rPr>
              <w:t>Questionnaire</w:t>
            </w:r>
          </w:p>
        </w:tc>
      </w:tr>
      <w:tr>
        <w:trPr>
          <w:trHeight w:val="339" w:hRule="atLeast"/>
        </w:trPr>
        <w:tc>
          <w:tcPr>
            <w:tcW w:w="1256" w:type="dxa"/>
          </w:tcPr>
          <w:p>
            <w:pPr>
              <w:pStyle w:val="TableParagraph"/>
              <w:spacing w:line="256" w:lineRule="exact" w:before="63"/>
              <w:ind w:left="50"/>
              <w:rPr>
                <w:b/>
                <w:sz w:val="24"/>
              </w:rPr>
            </w:pPr>
            <w:r>
              <w:rPr>
                <w:b/>
                <w:spacing w:val="-2"/>
                <w:sz w:val="24"/>
              </w:rPr>
              <w:t>TOLT:</w:t>
            </w:r>
          </w:p>
        </w:tc>
        <w:tc>
          <w:tcPr>
            <w:tcW w:w="5831" w:type="dxa"/>
          </w:tcPr>
          <w:p>
            <w:pPr>
              <w:pStyle w:val="TableParagraph"/>
              <w:spacing w:line="256" w:lineRule="exact" w:before="63"/>
              <w:ind w:left="234"/>
              <w:rPr>
                <w:sz w:val="24"/>
              </w:rPr>
            </w:pPr>
            <w:r>
              <w:rPr>
                <w:sz w:val="24"/>
              </w:rPr>
              <w:t>Test</w:t>
            </w:r>
            <w:r>
              <w:rPr>
                <w:spacing w:val="1"/>
                <w:sz w:val="24"/>
              </w:rPr>
              <w:t> </w:t>
            </w:r>
            <w:r>
              <w:rPr>
                <w:sz w:val="24"/>
              </w:rPr>
              <w:t>of</w:t>
            </w:r>
            <w:r>
              <w:rPr>
                <w:spacing w:val="-7"/>
                <w:sz w:val="24"/>
              </w:rPr>
              <w:t> </w:t>
            </w:r>
            <w:r>
              <w:rPr>
                <w:sz w:val="24"/>
              </w:rPr>
              <w:t>Logical</w:t>
            </w:r>
            <w:r>
              <w:rPr>
                <w:spacing w:val="-7"/>
                <w:sz w:val="24"/>
              </w:rPr>
              <w:t> </w:t>
            </w:r>
            <w:r>
              <w:rPr>
                <w:spacing w:val="-2"/>
                <w:sz w:val="24"/>
              </w:rPr>
              <w:t>Thinking</w:t>
            </w:r>
          </w:p>
        </w:tc>
      </w:tr>
    </w:tbl>
    <w:p>
      <w:pPr>
        <w:spacing w:after="0" w:line="256" w:lineRule="exact"/>
        <w:rPr>
          <w:sz w:val="24"/>
        </w:rPr>
        <w:sectPr>
          <w:pgSz w:w="11910" w:h="16840"/>
          <w:pgMar w:header="0" w:footer="1012" w:top="1340" w:bottom="1200" w:left="1680" w:right="280"/>
        </w:sectPr>
      </w:pPr>
    </w:p>
    <w:p>
      <w:pPr>
        <w:pStyle w:val="Heading2"/>
        <w:ind w:left="36"/>
      </w:pPr>
      <w:bookmarkStart w:name="_TOC_250019" w:id="9"/>
      <w:r>
        <w:rPr/>
        <w:t>OPERATIONAL</w:t>
      </w:r>
      <w:r>
        <w:rPr>
          <w:spacing w:val="-4"/>
        </w:rPr>
        <w:t> </w:t>
      </w:r>
      <w:r>
        <w:rPr/>
        <w:t>DEFINITION</w:t>
      </w:r>
      <w:r>
        <w:rPr>
          <w:spacing w:val="-2"/>
        </w:rPr>
        <w:t> </w:t>
      </w:r>
      <w:r>
        <w:rPr/>
        <w:t>OF</w:t>
      </w:r>
      <w:r>
        <w:rPr>
          <w:spacing w:val="-3"/>
        </w:rPr>
        <w:t> </w:t>
      </w:r>
      <w:bookmarkEnd w:id="9"/>
      <w:r>
        <w:rPr>
          <w:spacing w:val="-4"/>
        </w:rPr>
        <w:t>TERMS</w:t>
      </w:r>
    </w:p>
    <w:p>
      <w:pPr>
        <w:tabs>
          <w:tab w:pos="4173" w:val="left" w:leader="none"/>
        </w:tabs>
        <w:spacing w:before="272"/>
        <w:ind w:left="480" w:right="0" w:firstLine="0"/>
        <w:jc w:val="both"/>
        <w:rPr>
          <w:sz w:val="24"/>
        </w:rPr>
      </w:pPr>
      <w:r>
        <w:rPr>
          <w:b/>
          <w:sz w:val="24"/>
        </w:rPr>
        <w:t>Achievement</w:t>
      </w:r>
      <w:r>
        <w:rPr>
          <w:b/>
          <w:spacing w:val="-2"/>
          <w:sz w:val="24"/>
        </w:rPr>
        <w:t> </w:t>
      </w:r>
      <w:r>
        <w:rPr>
          <w:b/>
          <w:sz w:val="24"/>
        </w:rPr>
        <w:t>in</w:t>
      </w:r>
      <w:r>
        <w:rPr>
          <w:b/>
          <w:spacing w:val="-1"/>
          <w:sz w:val="24"/>
        </w:rPr>
        <w:t> </w:t>
      </w:r>
      <w:r>
        <w:rPr>
          <w:b/>
          <w:spacing w:val="-2"/>
          <w:sz w:val="24"/>
        </w:rPr>
        <w:t>Chemistry:</w:t>
      </w:r>
      <w:r>
        <w:rPr>
          <w:b/>
          <w:sz w:val="24"/>
        </w:rPr>
        <w:tab/>
      </w:r>
      <w:r>
        <w:rPr>
          <w:sz w:val="24"/>
        </w:rPr>
        <w:t>Refers</w:t>
      </w:r>
      <w:r>
        <w:rPr>
          <w:spacing w:val="56"/>
          <w:sz w:val="24"/>
        </w:rPr>
        <w:t>  </w:t>
      </w:r>
      <w:r>
        <w:rPr>
          <w:sz w:val="24"/>
        </w:rPr>
        <w:t>to</w:t>
      </w:r>
      <w:r>
        <w:rPr>
          <w:spacing w:val="63"/>
          <w:sz w:val="24"/>
        </w:rPr>
        <w:t>  </w:t>
      </w:r>
      <w:r>
        <w:rPr>
          <w:sz w:val="24"/>
        </w:rPr>
        <w:t>a</w:t>
      </w:r>
      <w:r>
        <w:rPr>
          <w:spacing w:val="59"/>
          <w:sz w:val="24"/>
        </w:rPr>
        <w:t>  </w:t>
      </w:r>
      <w:r>
        <w:rPr>
          <w:sz w:val="24"/>
        </w:rPr>
        <w:t>cumulative</w:t>
      </w:r>
      <w:r>
        <w:rPr>
          <w:spacing w:val="59"/>
          <w:sz w:val="24"/>
        </w:rPr>
        <w:t>  </w:t>
      </w:r>
      <w:r>
        <w:rPr>
          <w:sz w:val="24"/>
        </w:rPr>
        <w:t>assessment</w:t>
      </w:r>
      <w:r>
        <w:rPr>
          <w:spacing w:val="63"/>
          <w:sz w:val="24"/>
        </w:rPr>
        <w:t>  </w:t>
      </w:r>
      <w:r>
        <w:rPr>
          <w:spacing w:val="-5"/>
          <w:sz w:val="24"/>
        </w:rPr>
        <w:t>and</w:t>
      </w:r>
    </w:p>
    <w:p>
      <w:pPr>
        <w:pStyle w:val="BodyText"/>
        <w:ind w:left="0"/>
        <w:jc w:val="left"/>
      </w:pPr>
    </w:p>
    <w:p>
      <w:pPr>
        <w:pStyle w:val="BodyText"/>
        <w:spacing w:line="480" w:lineRule="auto"/>
        <w:ind w:left="4173" w:right="1154"/>
      </w:pPr>
      <w:r>
        <w:rPr/>
        <w:t>measurement of educational Performance of an individual in chemistry.</w:t>
      </w:r>
    </w:p>
    <w:p>
      <w:pPr>
        <w:tabs>
          <w:tab w:pos="4082" w:val="left" w:leader="none"/>
        </w:tabs>
        <w:spacing w:before="0"/>
        <w:ind w:left="480" w:right="0" w:firstLine="0"/>
        <w:jc w:val="both"/>
        <w:rPr>
          <w:sz w:val="24"/>
        </w:rPr>
      </w:pPr>
      <w:r>
        <w:rPr>
          <w:b/>
          <w:sz w:val="24"/>
        </w:rPr>
        <w:t>Emotional-Intelligence</w:t>
      </w:r>
      <w:r>
        <w:rPr>
          <w:b/>
          <w:spacing w:val="-8"/>
          <w:sz w:val="24"/>
        </w:rPr>
        <w:t> </w:t>
      </w:r>
      <w:r>
        <w:rPr>
          <w:b/>
          <w:spacing w:val="-4"/>
          <w:sz w:val="24"/>
        </w:rPr>
        <w:t>(EI):</w:t>
      </w:r>
      <w:r>
        <w:rPr>
          <w:b/>
          <w:sz w:val="24"/>
        </w:rPr>
        <w:tab/>
      </w:r>
      <w:r>
        <w:rPr>
          <w:sz w:val="24"/>
        </w:rPr>
        <w:t>Refers</w:t>
      </w:r>
      <w:r>
        <w:rPr>
          <w:spacing w:val="61"/>
          <w:w w:val="150"/>
          <w:sz w:val="24"/>
        </w:rPr>
        <w:t> </w:t>
      </w:r>
      <w:r>
        <w:rPr>
          <w:sz w:val="24"/>
        </w:rPr>
        <w:t>to</w:t>
      </w:r>
      <w:r>
        <w:rPr>
          <w:spacing w:val="66"/>
          <w:w w:val="150"/>
          <w:sz w:val="24"/>
        </w:rPr>
        <w:t> </w:t>
      </w:r>
      <w:r>
        <w:rPr>
          <w:sz w:val="24"/>
        </w:rPr>
        <w:t>a</w:t>
      </w:r>
      <w:r>
        <w:rPr>
          <w:spacing w:val="61"/>
          <w:w w:val="150"/>
          <w:sz w:val="24"/>
        </w:rPr>
        <w:t> </w:t>
      </w:r>
      <w:r>
        <w:rPr>
          <w:sz w:val="24"/>
        </w:rPr>
        <w:t>form</w:t>
      </w:r>
      <w:r>
        <w:rPr>
          <w:spacing w:val="52"/>
          <w:w w:val="150"/>
          <w:sz w:val="24"/>
        </w:rPr>
        <w:t> </w:t>
      </w:r>
      <w:r>
        <w:rPr>
          <w:sz w:val="24"/>
        </w:rPr>
        <w:t>of</w:t>
      </w:r>
      <w:r>
        <w:rPr>
          <w:spacing w:val="59"/>
          <w:w w:val="150"/>
          <w:sz w:val="24"/>
        </w:rPr>
        <w:t> </w:t>
      </w:r>
      <w:r>
        <w:rPr>
          <w:sz w:val="24"/>
        </w:rPr>
        <w:t>social</w:t>
      </w:r>
      <w:r>
        <w:rPr>
          <w:spacing w:val="62"/>
          <w:w w:val="150"/>
          <w:sz w:val="24"/>
        </w:rPr>
        <w:t> </w:t>
      </w:r>
      <w:r>
        <w:rPr>
          <w:sz w:val="24"/>
        </w:rPr>
        <w:t>intelligence</w:t>
      </w:r>
      <w:r>
        <w:rPr>
          <w:spacing w:val="65"/>
          <w:w w:val="150"/>
          <w:sz w:val="24"/>
        </w:rPr>
        <w:t> </w:t>
      </w:r>
      <w:r>
        <w:rPr>
          <w:spacing w:val="-4"/>
          <w:sz w:val="24"/>
        </w:rPr>
        <w:t>that</w:t>
      </w:r>
    </w:p>
    <w:p>
      <w:pPr>
        <w:pStyle w:val="BodyText"/>
        <w:spacing w:before="1"/>
        <w:ind w:left="0"/>
        <w:jc w:val="left"/>
      </w:pPr>
    </w:p>
    <w:p>
      <w:pPr>
        <w:pStyle w:val="BodyText"/>
        <w:spacing w:line="480" w:lineRule="auto"/>
        <w:ind w:left="4082" w:right="1159"/>
      </w:pPr>
      <w:r>
        <w:rPr/>
        <w:t>involves the ability to monitor one‘s own emotion and others feelings and emotions to discriminate among them, and to use this information to guide one‘s thinking and action.</w:t>
      </w:r>
    </w:p>
    <w:p>
      <w:pPr>
        <w:tabs>
          <w:tab w:pos="4082" w:val="left" w:leader="none"/>
        </w:tabs>
        <w:spacing w:before="1"/>
        <w:ind w:left="480" w:right="0" w:firstLine="0"/>
        <w:jc w:val="both"/>
        <w:rPr>
          <w:sz w:val="24"/>
        </w:rPr>
      </w:pPr>
      <w:r>
        <w:rPr>
          <w:b/>
          <w:sz w:val="24"/>
        </w:rPr>
        <w:t>Gender</w:t>
      </w:r>
      <w:r>
        <w:rPr>
          <w:b/>
          <w:spacing w:val="-4"/>
          <w:sz w:val="24"/>
        </w:rPr>
        <w:t> </w:t>
      </w:r>
      <w:r>
        <w:rPr>
          <w:b/>
          <w:spacing w:val="-2"/>
          <w:sz w:val="24"/>
        </w:rPr>
        <w:t>Differences:</w:t>
      </w:r>
      <w:r>
        <w:rPr>
          <w:b/>
          <w:sz w:val="24"/>
        </w:rPr>
        <w:tab/>
      </w:r>
      <w:r>
        <w:rPr>
          <w:sz w:val="24"/>
        </w:rPr>
        <w:t>These</w:t>
      </w:r>
      <w:r>
        <w:rPr>
          <w:spacing w:val="-5"/>
          <w:sz w:val="24"/>
        </w:rPr>
        <w:t> </w:t>
      </w:r>
      <w:r>
        <w:rPr>
          <w:sz w:val="24"/>
        </w:rPr>
        <w:t>are</w:t>
      </w:r>
      <w:r>
        <w:rPr>
          <w:spacing w:val="-2"/>
          <w:sz w:val="24"/>
        </w:rPr>
        <w:t> </w:t>
      </w:r>
      <w:r>
        <w:rPr>
          <w:sz w:val="24"/>
        </w:rPr>
        <w:t>differences</w:t>
      </w:r>
      <w:r>
        <w:rPr>
          <w:spacing w:val="-3"/>
          <w:sz w:val="24"/>
        </w:rPr>
        <w:t> </w:t>
      </w:r>
      <w:r>
        <w:rPr>
          <w:sz w:val="24"/>
        </w:rPr>
        <w:t>as</w:t>
      </w:r>
      <w:r>
        <w:rPr>
          <w:spacing w:val="-3"/>
          <w:sz w:val="24"/>
        </w:rPr>
        <w:t> </w:t>
      </w:r>
      <w:r>
        <w:rPr>
          <w:sz w:val="24"/>
        </w:rPr>
        <w:t>a</w:t>
      </w:r>
      <w:r>
        <w:rPr>
          <w:spacing w:val="-2"/>
          <w:sz w:val="24"/>
        </w:rPr>
        <w:t> </w:t>
      </w:r>
      <w:r>
        <w:rPr>
          <w:sz w:val="24"/>
        </w:rPr>
        <w:t>result</w:t>
      </w:r>
      <w:r>
        <w:rPr>
          <w:spacing w:val="3"/>
          <w:sz w:val="24"/>
        </w:rPr>
        <w:t> </w:t>
      </w:r>
      <w:r>
        <w:rPr>
          <w:sz w:val="24"/>
        </w:rPr>
        <w:t>of</w:t>
      </w:r>
      <w:r>
        <w:rPr>
          <w:spacing w:val="-4"/>
          <w:sz w:val="24"/>
        </w:rPr>
        <w:t> </w:t>
      </w:r>
      <w:r>
        <w:rPr>
          <w:sz w:val="24"/>
        </w:rPr>
        <w:t>being</w:t>
      </w:r>
      <w:r>
        <w:rPr>
          <w:spacing w:val="-1"/>
          <w:sz w:val="24"/>
        </w:rPr>
        <w:t> </w:t>
      </w:r>
      <w:r>
        <w:rPr>
          <w:sz w:val="24"/>
        </w:rPr>
        <w:t>either </w:t>
      </w:r>
      <w:r>
        <w:rPr>
          <w:spacing w:val="-10"/>
          <w:sz w:val="24"/>
        </w:rPr>
        <w:t>a</w:t>
      </w:r>
    </w:p>
    <w:p>
      <w:pPr>
        <w:pStyle w:val="BodyText"/>
        <w:spacing w:line="480" w:lineRule="auto" w:before="276"/>
        <w:ind w:left="4082" w:right="1158"/>
      </w:pPr>
      <w:r>
        <w:rPr/>
        <w:t>female or male arising from</w:t>
      </w:r>
      <w:r>
        <w:rPr>
          <w:spacing w:val="-7"/>
        </w:rPr>
        <w:t> </w:t>
      </w:r>
      <w:r>
        <w:rPr/>
        <w:t>social</w:t>
      </w:r>
      <w:r>
        <w:rPr>
          <w:spacing w:val="-7"/>
        </w:rPr>
        <w:t> </w:t>
      </w:r>
      <w:r>
        <w:rPr/>
        <w:t>and a cultural construction of roles associated with these sex </w:t>
      </w:r>
      <w:r>
        <w:rPr>
          <w:spacing w:val="-2"/>
        </w:rPr>
        <w:t>differences.</w:t>
      </w:r>
    </w:p>
    <w:p>
      <w:pPr>
        <w:pStyle w:val="BodyText"/>
        <w:tabs>
          <w:tab w:pos="4082" w:val="left" w:leader="none"/>
        </w:tabs>
        <w:spacing w:line="480" w:lineRule="auto"/>
        <w:ind w:left="4082" w:right="1160" w:hanging="3602"/>
      </w:pPr>
      <w:r>
        <w:rPr>
          <w:b/>
        </w:rPr>
        <w:t>Reasoning Ability:</w:t>
        <w:tab/>
      </w:r>
      <w:r>
        <w:rPr/>
        <w:t>Refers to a logical thought patterns which are employed during a process of scientific inquiry that enable an individual to propose relationship between observed phenomena.</w:t>
      </w:r>
    </w:p>
    <w:p>
      <w:pPr>
        <w:pStyle w:val="BodyText"/>
        <w:tabs>
          <w:tab w:pos="4082" w:val="left" w:leader="none"/>
        </w:tabs>
        <w:spacing w:line="480" w:lineRule="auto" w:before="1"/>
        <w:ind w:left="4082" w:right="1154" w:hanging="3602"/>
      </w:pPr>
      <w:r>
        <w:rPr>
          <w:b/>
          <w:spacing w:val="-2"/>
        </w:rPr>
        <w:t>Self-efficacy:</w:t>
      </w:r>
      <w:r>
        <w:rPr>
          <w:b/>
        </w:rPr>
        <w:tab/>
      </w:r>
      <w:r>
        <w:rPr/>
        <w:t>Refers to subjective judgment of one‘s capabilities to organize and execute course of action to attain a designated goal.</w:t>
      </w:r>
    </w:p>
    <w:p>
      <w:pPr>
        <w:spacing w:after="0" w:line="480" w:lineRule="auto"/>
        <w:sectPr>
          <w:pgSz w:w="11910" w:h="16840"/>
          <w:pgMar w:header="0" w:footer="1012" w:top="1340" w:bottom="1200" w:left="1680" w:right="280"/>
        </w:sectPr>
      </w:pPr>
    </w:p>
    <w:p>
      <w:pPr>
        <w:pStyle w:val="Heading2"/>
        <w:spacing w:line="480" w:lineRule="auto"/>
        <w:ind w:left="3746" w:right="4424" w:firstLine="1"/>
      </w:pPr>
      <w:bookmarkStart w:name="_TOC_250018" w:id="10"/>
      <w:r>
        <w:rPr/>
        <w:t>CHAPTER</w:t>
      </w:r>
      <w:r>
        <w:rPr>
          <w:spacing w:val="-15"/>
        </w:rPr>
        <w:t> </w:t>
      </w:r>
      <w:r>
        <w:rPr/>
        <w:t>ONE THE</w:t>
      </w:r>
      <w:r>
        <w:rPr>
          <w:spacing w:val="-2"/>
        </w:rPr>
        <w:t> </w:t>
      </w:r>
      <w:bookmarkEnd w:id="10"/>
      <w:r>
        <w:rPr>
          <w:spacing w:val="-2"/>
        </w:rPr>
        <w:t>PROBLEM</w:t>
      </w:r>
    </w:p>
    <w:p>
      <w:pPr>
        <w:pStyle w:val="Heading3"/>
        <w:numPr>
          <w:ilvl w:val="1"/>
          <w:numId w:val="5"/>
        </w:numPr>
        <w:tabs>
          <w:tab w:pos="1199" w:val="left" w:leader="none"/>
        </w:tabs>
        <w:spacing w:line="240" w:lineRule="auto" w:before="1" w:after="0"/>
        <w:ind w:left="1199" w:right="0" w:hanging="719"/>
        <w:jc w:val="both"/>
      </w:pPr>
      <w:bookmarkStart w:name="_TOC_250017" w:id="11"/>
      <w:bookmarkEnd w:id="11"/>
      <w:r>
        <w:rPr>
          <w:spacing w:val="-2"/>
        </w:rPr>
        <w:t>Introduction</w:t>
      </w:r>
    </w:p>
    <w:p>
      <w:pPr>
        <w:pStyle w:val="BodyText"/>
        <w:spacing w:line="480" w:lineRule="auto" w:before="271"/>
        <w:ind w:right="1156" w:firstLine="720"/>
      </w:pPr>
      <w:r>
        <w:rPr/>
        <w:t>Chemistry has become one of the most important disciplines in the school curriculum; its</w:t>
      </w:r>
      <w:r>
        <w:rPr>
          <w:spacing w:val="-1"/>
        </w:rPr>
        <w:t> </w:t>
      </w:r>
      <w:r>
        <w:rPr/>
        <w:t>importance in</w:t>
      </w:r>
      <w:r>
        <w:rPr>
          <w:spacing w:val="-9"/>
        </w:rPr>
        <w:t> </w:t>
      </w:r>
      <w:r>
        <w:rPr/>
        <w:t>the</w:t>
      </w:r>
      <w:r>
        <w:rPr>
          <w:spacing w:val="-5"/>
        </w:rPr>
        <w:t> </w:t>
      </w:r>
      <w:r>
        <w:rPr/>
        <w:t>general</w:t>
      </w:r>
      <w:r>
        <w:rPr>
          <w:spacing w:val="-9"/>
        </w:rPr>
        <w:t> </w:t>
      </w:r>
      <w:r>
        <w:rPr/>
        <w:t>education</w:t>
      </w:r>
      <w:r>
        <w:rPr>
          <w:spacing w:val="-4"/>
        </w:rPr>
        <w:t> </w:t>
      </w:r>
      <w:r>
        <w:rPr/>
        <w:t>has</w:t>
      </w:r>
      <w:r>
        <w:rPr>
          <w:spacing w:val="-1"/>
        </w:rPr>
        <w:t> </w:t>
      </w:r>
      <w:r>
        <w:rPr/>
        <w:t>gained</w:t>
      </w:r>
      <w:r>
        <w:rPr>
          <w:spacing w:val="-4"/>
        </w:rPr>
        <w:t> </w:t>
      </w:r>
      <w:r>
        <w:rPr/>
        <w:t>world-wide</w:t>
      </w:r>
      <w:r>
        <w:rPr>
          <w:spacing w:val="-5"/>
        </w:rPr>
        <w:t> </w:t>
      </w:r>
      <w:r>
        <w:rPr/>
        <w:t>recognition (Ejidike and Oyelana, 2015).</w:t>
      </w:r>
      <w:r>
        <w:rPr>
          <w:spacing w:val="40"/>
        </w:rPr>
        <w:t> </w:t>
      </w:r>
      <w:r>
        <w:rPr/>
        <w:t>Chemistry</w:t>
      </w:r>
      <w:r>
        <w:rPr>
          <w:spacing w:val="-5"/>
        </w:rPr>
        <w:t> </w:t>
      </w:r>
      <w:r>
        <w:rPr/>
        <w:t>as a branch</w:t>
      </w:r>
      <w:r>
        <w:rPr>
          <w:spacing w:val="-1"/>
        </w:rPr>
        <w:t> </w:t>
      </w:r>
      <w:r>
        <w:rPr/>
        <w:t>of</w:t>
      </w:r>
      <w:r>
        <w:rPr>
          <w:spacing w:val="-3"/>
        </w:rPr>
        <w:t> </w:t>
      </w:r>
      <w:r>
        <w:rPr/>
        <w:t>science is a basic requirement for economic, scientific and technological development of any nation, especially in</w:t>
      </w:r>
      <w:r>
        <w:rPr>
          <w:spacing w:val="40"/>
        </w:rPr>
        <w:t> </w:t>
      </w:r>
      <w:r>
        <w:rPr/>
        <w:t>the manufacturing</w:t>
      </w:r>
      <w:r>
        <w:rPr>
          <w:spacing w:val="-2"/>
        </w:rPr>
        <w:t> </w:t>
      </w:r>
      <w:r>
        <w:rPr/>
        <w:t>sector</w:t>
      </w:r>
      <w:r>
        <w:rPr>
          <w:spacing w:val="-2"/>
        </w:rPr>
        <w:t> </w:t>
      </w:r>
      <w:r>
        <w:rPr/>
        <w:t>where materials,</w:t>
      </w:r>
      <w:r>
        <w:rPr>
          <w:spacing w:val="-1"/>
        </w:rPr>
        <w:t> </w:t>
      </w:r>
      <w:r>
        <w:rPr/>
        <w:t>coloured</w:t>
      </w:r>
      <w:r>
        <w:rPr>
          <w:spacing w:val="-2"/>
        </w:rPr>
        <w:t> </w:t>
      </w:r>
      <w:r>
        <w:rPr/>
        <w:t>and attractive</w:t>
      </w:r>
      <w:r>
        <w:rPr>
          <w:spacing w:val="-3"/>
        </w:rPr>
        <w:t> </w:t>
      </w:r>
      <w:r>
        <w:rPr/>
        <w:t>clothing,</w:t>
      </w:r>
      <w:r>
        <w:rPr>
          <w:spacing w:val="-1"/>
        </w:rPr>
        <w:t> </w:t>
      </w:r>
      <w:r>
        <w:rPr/>
        <w:t>chemicals, plastic material and other useful household equipment are made available to man.</w:t>
      </w:r>
      <w:r>
        <w:rPr>
          <w:spacing w:val="40"/>
        </w:rPr>
        <w:t> </w:t>
      </w:r>
      <w:r>
        <w:rPr/>
        <w:t>Also chemical products such as fertilizers and herbicides, also products of chemistry, help to scale up farming activities, achieve suitable food production and reduce food importation (Bamikole, &amp; Abiodun, 2013).</w:t>
      </w:r>
      <w:r>
        <w:rPr>
          <w:spacing w:val="40"/>
        </w:rPr>
        <w:t> </w:t>
      </w:r>
      <w:r>
        <w:rPr/>
        <w:t>Chemistry occupies a unique position in the sciences as a result of its requirement and pre-requisite to the study of courses</w:t>
      </w:r>
      <w:r>
        <w:rPr>
          <w:spacing w:val="40"/>
        </w:rPr>
        <w:t> </w:t>
      </w:r>
      <w:r>
        <w:rPr/>
        <w:t>such as pharmacy, medicine, biochemistry, agricultural science, engineering among </w:t>
      </w:r>
      <w:r>
        <w:rPr>
          <w:spacing w:val="-2"/>
        </w:rPr>
        <w:t>others.</w:t>
      </w:r>
    </w:p>
    <w:p>
      <w:pPr>
        <w:pStyle w:val="BodyText"/>
        <w:spacing w:line="480" w:lineRule="auto" w:before="3"/>
        <w:ind w:right="1155" w:firstLine="720"/>
      </w:pPr>
      <w:r>
        <w:rPr/>
        <mc:AlternateContent>
          <mc:Choice Requires="wps">
            <w:drawing>
              <wp:anchor distT="0" distB="0" distL="0" distR="0" allowOverlap="1" layoutInCell="1" locked="0" behindDoc="1" simplePos="0" relativeHeight="487588864">
                <wp:simplePos x="0" y="0"/>
                <wp:positionH relativeFrom="page">
                  <wp:posOffset>3939540</wp:posOffset>
                </wp:positionH>
                <wp:positionV relativeFrom="paragraph">
                  <wp:posOffset>3511887</wp:posOffset>
                </wp:positionV>
                <wp:extent cx="914400" cy="871855"/>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914400" cy="871855"/>
                          <a:chExt cx="914400" cy="871855"/>
                        </a:xfrm>
                      </wpg:grpSpPr>
                      <wps:wsp>
                        <wps:cNvPr id="5" name="Graphic 5"/>
                        <wps:cNvSpPr/>
                        <wps:spPr>
                          <a:xfrm>
                            <a:off x="0" y="331470"/>
                            <a:ext cx="572770" cy="540385"/>
                          </a:xfrm>
                          <a:custGeom>
                            <a:avLst/>
                            <a:gdLst/>
                            <a:ahLst/>
                            <a:cxnLst/>
                            <a:rect l="l" t="t" r="r" b="b"/>
                            <a:pathLst>
                              <a:path w="572770" h="540385">
                                <a:moveTo>
                                  <a:pt x="572770" y="0"/>
                                </a:moveTo>
                                <a:lnTo>
                                  <a:pt x="0" y="0"/>
                                </a:lnTo>
                                <a:lnTo>
                                  <a:pt x="0" y="540384"/>
                                </a:lnTo>
                                <a:lnTo>
                                  <a:pt x="572770" y="540384"/>
                                </a:lnTo>
                                <a:lnTo>
                                  <a:pt x="572770"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0" y="0"/>
                            <a:ext cx="914400" cy="523875"/>
                          </a:xfrm>
                          <a:custGeom>
                            <a:avLst/>
                            <a:gdLst/>
                            <a:ahLst/>
                            <a:cxnLst/>
                            <a:rect l="l" t="t" r="r" b="b"/>
                            <a:pathLst>
                              <a:path w="914400" h="523875">
                                <a:moveTo>
                                  <a:pt x="914400" y="0"/>
                                </a:moveTo>
                                <a:lnTo>
                                  <a:pt x="0" y="0"/>
                                </a:lnTo>
                                <a:lnTo>
                                  <a:pt x="0" y="523874"/>
                                </a:lnTo>
                                <a:lnTo>
                                  <a:pt x="914400" y="523874"/>
                                </a:lnTo>
                                <a:lnTo>
                                  <a:pt x="914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10.200012pt;margin-top:276.52655pt;width:72pt;height:68.650pt;mso-position-horizontal-relative:page;mso-position-vertical-relative:paragraph;z-index:-15727616;mso-wrap-distance-left:0;mso-wrap-distance-right:0" id="docshapegroup4" coordorigin="6204,5531" coordsize="1440,1373">
                <v:rect style="position:absolute;left:6204;top:6052;width:902;height:851" id="docshape5" filled="true" fillcolor="#ffffff" stroked="false">
                  <v:fill type="solid"/>
                </v:rect>
                <v:rect style="position:absolute;left:6204;top:5530;width:1440;height:825" id="docshape6" filled="true" fillcolor="#ffffff" stroked="false">
                  <v:fill type="solid"/>
                </v:rect>
                <w10:wrap type="topAndBottom"/>
              </v:group>
            </w:pict>
          </mc:Fallback>
        </mc:AlternateContent>
      </w:r>
      <w:r>
        <w:rPr/>
        <mc:AlternateContent>
          <mc:Choice Requires="wps">
            <w:drawing>
              <wp:anchor distT="0" distB="0" distL="0" distR="0" allowOverlap="1" layoutInCell="1" locked="0" behindDoc="1" simplePos="0" relativeHeight="484149760">
                <wp:simplePos x="0" y="0"/>
                <wp:positionH relativeFrom="page">
                  <wp:posOffset>3976115</wp:posOffset>
                </wp:positionH>
                <wp:positionV relativeFrom="paragraph">
                  <wp:posOffset>3755516</wp:posOffset>
                </wp:positionV>
                <wp:extent cx="71120" cy="14033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711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1</w:t>
                            </w:r>
                          </w:p>
                        </w:txbxContent>
                      </wps:txbx>
                      <wps:bodyPr wrap="square" lIns="0" tIns="0" rIns="0" bIns="0" rtlCol="0">
                        <a:noAutofit/>
                      </wps:bodyPr>
                    </wps:wsp>
                  </a:graphicData>
                </a:graphic>
              </wp:anchor>
            </w:drawing>
          </mc:Choice>
          <mc:Fallback>
            <w:pict>
              <v:shape style="position:absolute;margin-left:313.079987pt;margin-top:295.709991pt;width:5.6pt;height:11.05pt;mso-position-horizontal-relative:page;mso-position-vertical-relative:paragraph;z-index:-19166720" type="#_x0000_t202" id="docshape7"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w:pict>
          </mc:Fallback>
        </mc:AlternateContent>
      </w:r>
      <w:r>
        <w:rPr/>
        <w:t>Chemistry is a branch of pure science that deals with the composition, properties and uses of matter.</w:t>
      </w:r>
      <w:r>
        <w:rPr>
          <w:spacing w:val="80"/>
        </w:rPr>
        <w:t> </w:t>
      </w:r>
      <w:r>
        <w:rPr/>
        <w:t>Chemistry has always been viewed as an abstract course which is very difficult to understand by learners. For example concepts like mole, volumetric analysis, quantitative analysis and qualitative analysis among others if not properly taught and understood by the learner may lead to various misconceptions.</w:t>
      </w:r>
      <w:r>
        <w:rPr>
          <w:spacing w:val="40"/>
        </w:rPr>
        <w:t> </w:t>
      </w:r>
      <w:r>
        <w:rPr/>
        <w:t>Special attention is required to ensure alot of concrete examples which are used to teach students who have low emotional intelligence, low formal reasoning (low reasoning ability) and low self-efficacy.</w:t>
      </w:r>
      <w:r>
        <w:rPr>
          <w:spacing w:val="40"/>
        </w:rPr>
        <w:t> </w:t>
      </w:r>
      <w:r>
        <w:rPr/>
        <w:t>This is because researchers tends to show that abstract concepts can only be learnt meaningfully by students who have</w:t>
      </w:r>
      <w:r>
        <w:rPr>
          <w:spacing w:val="40"/>
        </w:rPr>
        <w:t> </w:t>
      </w:r>
      <w:r>
        <w:rPr/>
        <w:t>acquired</w:t>
      </w:r>
      <w:r>
        <w:rPr>
          <w:spacing w:val="65"/>
        </w:rPr>
        <w:t> </w:t>
      </w:r>
      <w:r>
        <w:rPr/>
        <w:t>formal,</w:t>
      </w:r>
      <w:r>
        <w:rPr>
          <w:spacing w:val="62"/>
        </w:rPr>
        <w:t> </w:t>
      </w:r>
      <w:r>
        <w:rPr/>
        <w:t>reasoning</w:t>
      </w:r>
      <w:r>
        <w:rPr>
          <w:spacing w:val="60"/>
        </w:rPr>
        <w:t> </w:t>
      </w:r>
      <w:r>
        <w:rPr/>
        <w:t>ability</w:t>
      </w:r>
      <w:r>
        <w:rPr>
          <w:spacing w:val="40"/>
        </w:rPr>
        <w:t> </w:t>
      </w:r>
      <w:r>
        <w:rPr/>
        <w:t>and</w:t>
      </w:r>
      <w:r>
        <w:rPr>
          <w:spacing w:val="62"/>
        </w:rPr>
        <w:t> </w:t>
      </w:r>
      <w:r>
        <w:rPr/>
        <w:t>good</w:t>
      </w:r>
      <w:r>
        <w:rPr>
          <w:spacing w:val="61"/>
        </w:rPr>
        <w:t> </w:t>
      </w:r>
      <w:r>
        <w:rPr/>
        <w:t>self-efficacy</w:t>
      </w:r>
      <w:r>
        <w:rPr>
          <w:spacing w:val="40"/>
        </w:rPr>
        <w:t> </w:t>
      </w:r>
      <w:r>
        <w:rPr/>
        <w:t>(Sirajo,</w:t>
      </w:r>
      <w:r>
        <w:rPr>
          <w:spacing w:val="62"/>
        </w:rPr>
        <w:t> </w:t>
      </w:r>
      <w:r>
        <w:rPr/>
        <w:t>Mari</w:t>
      </w:r>
      <w:r>
        <w:rPr>
          <w:spacing w:val="40"/>
        </w:rPr>
        <w:t> </w:t>
      </w:r>
      <w:r>
        <w:rPr/>
        <w:t>and</w:t>
      </w:r>
    </w:p>
    <w:p>
      <w:pPr>
        <w:spacing w:after="0" w:line="480" w:lineRule="auto"/>
        <w:sectPr>
          <w:footerReference w:type="default" r:id="rId6"/>
          <w:pgSz w:w="11910" w:h="16840"/>
          <w:pgMar w:header="0" w:footer="0" w:top="1340" w:bottom="0" w:left="1680" w:right="280"/>
        </w:sectPr>
      </w:pPr>
    </w:p>
    <w:p>
      <w:pPr>
        <w:pStyle w:val="BodyText"/>
        <w:spacing w:line="480" w:lineRule="auto" w:before="74"/>
        <w:ind w:right="1155"/>
      </w:pPr>
      <w:r>
        <w:rPr/>
        <w:t>Olorukooba, 2013).This could be an indication that learning could be related to emotional-intelligence, reasoning ability and self-efficacy.</w:t>
      </w:r>
    </w:p>
    <w:p>
      <w:pPr>
        <w:pStyle w:val="BodyText"/>
        <w:spacing w:line="480" w:lineRule="auto"/>
        <w:ind w:right="1159" w:firstLine="720"/>
      </w:pPr>
      <w:r>
        <w:rPr/>
        <w:t>In the early 1940, David Wechsler discussed the concept of intelligence that encompasses both elements of the intelligence quotient of cognitive (intellectual) and non-cognitive intelligence</w:t>
      </w:r>
      <w:r>
        <w:rPr>
          <w:spacing w:val="-1"/>
        </w:rPr>
        <w:t> </w:t>
      </w:r>
      <w:r>
        <w:rPr/>
        <w:t>(emotionally). Actually, earlier in the year 1920</w:t>
      </w:r>
      <w:r>
        <w:rPr>
          <w:spacing w:val="-1"/>
        </w:rPr>
        <w:t> </w:t>
      </w:r>
      <w:r>
        <w:rPr/>
        <w:t>Thorndike talked about the concept of social intelligence that has been considered as</w:t>
      </w:r>
      <w:r>
        <w:rPr>
          <w:spacing w:val="32"/>
        </w:rPr>
        <w:t> </w:t>
      </w:r>
      <w:r>
        <w:rPr/>
        <w:t>the basic</w:t>
      </w:r>
      <w:r>
        <w:rPr>
          <w:spacing w:val="40"/>
        </w:rPr>
        <w:t> </w:t>
      </w:r>
      <w:r>
        <w:rPr/>
        <w:t>for the development of the theory of emotional intelligence (Goleman, 1995). Social intelligence is essentially</w:t>
      </w:r>
      <w:r>
        <w:rPr>
          <w:spacing w:val="-2"/>
        </w:rPr>
        <w:t> </w:t>
      </w:r>
      <w:r>
        <w:rPr/>
        <w:t>the ability</w:t>
      </w:r>
      <w:r>
        <w:rPr>
          <w:spacing w:val="-2"/>
        </w:rPr>
        <w:t> </w:t>
      </w:r>
      <w:r>
        <w:rPr/>
        <w:t>to understand other people, what motivates them, how they work, how to work with them and the ability to act wisely in relationship between human beings. Thus, self – awareness, empathy and dealing with interpersonal relationships are the core of emotional intelligence and the basic elements of social intelligence.</w:t>
      </w:r>
    </w:p>
    <w:p>
      <w:pPr>
        <w:pStyle w:val="BodyText"/>
        <w:spacing w:line="480" w:lineRule="auto" w:before="2"/>
        <w:ind w:right="1149" w:firstLine="720"/>
      </w:pPr>
      <w:r>
        <w:rPr/>
        <w:t>The term emotional intelligence was first described by Mayer and Salovey (1990) as a form of social intelligence that involves the ability to monitor one‘s own and others feelings and emotions, to discriminate among them, and to use this information to guide one‘s thinking and action.</w:t>
      </w:r>
      <w:r>
        <w:rPr>
          <w:spacing w:val="40"/>
        </w:rPr>
        <w:t> </w:t>
      </w:r>
      <w:r>
        <w:rPr/>
        <w:t>It was made popular by Goleman (1995)who referred to it as the ability to sense, understand, value and effectively</w:t>
      </w:r>
      <w:r>
        <w:rPr>
          <w:spacing w:val="40"/>
        </w:rPr>
        <w:t> </w:t>
      </w:r>
      <w:r>
        <w:rPr/>
        <w:t>apply the power and acumen of emotions as a source of human energy, information, trust, creativity</w:t>
      </w:r>
      <w:r>
        <w:rPr>
          <w:spacing w:val="-1"/>
        </w:rPr>
        <w:t> </w:t>
      </w:r>
      <w:r>
        <w:rPr/>
        <w:t>and influence.</w:t>
      </w:r>
      <w:r>
        <w:rPr>
          <w:spacing w:val="40"/>
        </w:rPr>
        <w:t> </w:t>
      </w:r>
      <w:r>
        <w:rPr/>
        <w:t>Later, Mayer and</w:t>
      </w:r>
      <w:r>
        <w:rPr>
          <w:spacing w:val="-1"/>
        </w:rPr>
        <w:t> </w:t>
      </w:r>
      <w:r>
        <w:rPr/>
        <w:t>Salovey</w:t>
      </w:r>
      <w:r>
        <w:rPr>
          <w:spacing w:val="-1"/>
        </w:rPr>
        <w:t> </w:t>
      </w:r>
      <w:r>
        <w:rPr/>
        <w:t>(1997) refined</w:t>
      </w:r>
      <w:r>
        <w:rPr>
          <w:spacing w:val="-1"/>
        </w:rPr>
        <w:t> </w:t>
      </w:r>
      <w:r>
        <w:rPr/>
        <w:t>the</w:t>
      </w:r>
      <w:r>
        <w:rPr>
          <w:spacing w:val="-2"/>
        </w:rPr>
        <w:t> </w:t>
      </w:r>
      <w:r>
        <w:rPr/>
        <w:t>definition of emotional intelligence as ―the ability to detect emotions, to enter and create emotions that help thinking, to understand emotions and emotional knowledge acquired, always thought to control emotions to promote emotional</w:t>
      </w:r>
      <w:r>
        <w:rPr>
          <w:spacing w:val="40"/>
        </w:rPr>
        <w:t> </w:t>
      </w:r>
      <w:r>
        <w:rPr/>
        <w:t>and intellectual development‖ (Azizi, Noordin, Yusuf, Sherin &amp; Goh, 2012). They believe the combination of the idea that emotions make thinking smart and intelligent thinking about emotions.</w:t>
      </w:r>
      <w:r>
        <w:rPr>
          <w:spacing w:val="80"/>
        </w:rPr>
        <w:t> </w:t>
      </w:r>
      <w:r>
        <w:rPr/>
        <w:t>Again, Mayer and Salovey (2008) stated that some individuals have</w:t>
      </w:r>
    </w:p>
    <w:p>
      <w:pPr>
        <w:spacing w:after="0" w:line="480" w:lineRule="auto"/>
        <w:sectPr>
          <w:footerReference w:type="default" r:id="rId7"/>
          <w:pgSz w:w="11910" w:h="16840"/>
          <w:pgMar w:header="0" w:footer="1012" w:top="1340" w:bottom="1200" w:left="1680" w:right="280"/>
          <w:pgNumType w:start="2"/>
        </w:sectPr>
      </w:pPr>
    </w:p>
    <w:p>
      <w:pPr>
        <w:pStyle w:val="BodyText"/>
        <w:spacing w:line="480" w:lineRule="auto" w:before="74"/>
        <w:ind w:right="1159"/>
      </w:pPr>
      <w:r>
        <w:rPr/>
        <w:t>a greater capacity than others to carry out sophisticated information processing about emotions and emotion-relevant stimuli and to use this information as a guide to thinking and behaviour.</w:t>
      </w:r>
      <w:r>
        <w:rPr>
          <w:spacing w:val="40"/>
        </w:rPr>
        <w:t> </w:t>
      </w:r>
      <w:r>
        <w:rPr/>
        <w:t>Derived from</w:t>
      </w:r>
      <w:r>
        <w:rPr>
          <w:spacing w:val="-10"/>
        </w:rPr>
        <w:t> </w:t>
      </w:r>
      <w:r>
        <w:rPr/>
        <w:t>this statement, individuals</w:t>
      </w:r>
      <w:r>
        <w:rPr>
          <w:spacing w:val="-3"/>
        </w:rPr>
        <w:t> </w:t>
      </w:r>
      <w:r>
        <w:rPr/>
        <w:t>with</w:t>
      </w:r>
      <w:r>
        <w:rPr>
          <w:spacing w:val="-1"/>
        </w:rPr>
        <w:t> </w:t>
      </w:r>
      <w:r>
        <w:rPr/>
        <w:t>high</w:t>
      </w:r>
      <w:r>
        <w:rPr>
          <w:spacing w:val="-6"/>
        </w:rPr>
        <w:t> </w:t>
      </w:r>
      <w:r>
        <w:rPr/>
        <w:t>emotional intelligence pay attention to use, understand, and manage emotions, and these skills serve adaptive functions that potentially benefit themselves and others.</w:t>
      </w:r>
    </w:p>
    <w:p>
      <w:pPr>
        <w:pStyle w:val="BodyText"/>
        <w:spacing w:line="480" w:lineRule="auto" w:before="1"/>
        <w:ind w:right="1155" w:firstLine="720"/>
      </w:pPr>
      <w:r>
        <w:rPr/>
        <w:t>Emotionwas classified as positive and negative emotions (Abdullah, Elias, &amp; Uli 2004).</w:t>
      </w:r>
      <w:r>
        <w:rPr>
          <w:spacing w:val="40"/>
        </w:rPr>
        <w:t> </w:t>
      </w:r>
      <w:r>
        <w:rPr/>
        <w:t>Positive emotions, also known as positive affectivity (PA) refers to emotion that range from high energy, enthusiasm and excitement, to calm, quite and withdrawn.</w:t>
      </w:r>
      <w:r>
        <w:rPr>
          <w:spacing w:val="40"/>
        </w:rPr>
        <w:t> </w:t>
      </w:r>
      <w:r>
        <w:rPr/>
        <w:t>Examples of PA are joy, happiness, and laughter.</w:t>
      </w:r>
      <w:r>
        <w:rPr>
          <w:spacing w:val="40"/>
        </w:rPr>
        <w:t> </w:t>
      </w:r>
      <w:r>
        <w:rPr/>
        <w:t>Negative affectivity (NA) involves emotions that are negatively toned, such as anxiety, anger, guilt, and sadness.</w:t>
      </w:r>
      <w:r>
        <w:rPr>
          <w:spacing w:val="40"/>
        </w:rPr>
        <w:t> </w:t>
      </w:r>
      <w:r>
        <w:rPr/>
        <w:t>These emotions are very important to the educative process as the drive attention, and consequently learning and memory (Abdullah et al, 2004).The impact</w:t>
      </w:r>
      <w:r>
        <w:rPr>
          <w:spacing w:val="40"/>
        </w:rPr>
        <w:t> </w:t>
      </w:r>
      <w:r>
        <w:rPr/>
        <w:t>of negative emotions on academic achievement can be examined through the relationship between emotion and learning processes.</w:t>
      </w:r>
      <w:r>
        <w:rPr>
          <w:spacing w:val="40"/>
        </w:rPr>
        <w:t> </w:t>
      </w:r>
      <w:r>
        <w:rPr/>
        <w:t>For instance, emotional maladjustment could result in inattention and poor memorization resulting in poor school work. According to Kanhai (2014), the relationship between emotional maladjustment and school</w:t>
      </w:r>
      <w:r>
        <w:rPr>
          <w:spacing w:val="-3"/>
        </w:rPr>
        <w:t> </w:t>
      </w:r>
      <w:r>
        <w:rPr/>
        <w:t>failure actually is</w:t>
      </w:r>
      <w:r>
        <w:rPr>
          <w:spacing w:val="-1"/>
        </w:rPr>
        <w:t> </w:t>
      </w:r>
      <w:r>
        <w:rPr/>
        <w:t>a circular one.</w:t>
      </w:r>
      <w:r>
        <w:rPr>
          <w:spacing w:val="40"/>
        </w:rPr>
        <w:t> </w:t>
      </w:r>
      <w:r>
        <w:rPr/>
        <w:t>Emotional maladjustment affects children‘s ability to concentrate and to remember, resulting in poor school work which later increases the child‘s anxiety and frustration causing the child to be emotionally disturbed.</w:t>
      </w:r>
    </w:p>
    <w:p>
      <w:pPr>
        <w:pStyle w:val="BodyText"/>
        <w:spacing w:line="480" w:lineRule="auto" w:before="3"/>
        <w:ind w:right="1158" w:firstLine="720"/>
      </w:pPr>
      <w:r>
        <w:rPr/>
        <w:t>Anything that affects the child‘s emotional state is likely to affect his school achievement. Anxious, unhappy, and angry youngsters do not make ideal students (Kanhai, 2014) and people who are caught in these states do not take in information efficiently or deal with it well (Abdullah et al, 2004).</w:t>
      </w:r>
      <w:r>
        <w:rPr>
          <w:spacing w:val="40"/>
        </w:rPr>
        <w:t> </w:t>
      </w:r>
      <w:r>
        <w:rPr/>
        <w:t>The link between the child‘s emotional</w:t>
      </w:r>
      <w:r>
        <w:rPr>
          <w:spacing w:val="16"/>
        </w:rPr>
        <w:t> </w:t>
      </w:r>
      <w:r>
        <w:rPr/>
        <w:t>life</w:t>
      </w:r>
      <w:r>
        <w:rPr>
          <w:spacing w:val="22"/>
        </w:rPr>
        <w:t> </w:t>
      </w:r>
      <w:r>
        <w:rPr/>
        <w:t>and</w:t>
      </w:r>
      <w:r>
        <w:rPr>
          <w:spacing w:val="18"/>
        </w:rPr>
        <w:t> </w:t>
      </w:r>
      <w:r>
        <w:rPr/>
        <w:t>academic</w:t>
      </w:r>
      <w:r>
        <w:rPr>
          <w:spacing w:val="17"/>
        </w:rPr>
        <w:t> </w:t>
      </w:r>
      <w:r>
        <w:rPr/>
        <w:t>performance</w:t>
      </w:r>
      <w:r>
        <w:rPr>
          <w:spacing w:val="23"/>
        </w:rPr>
        <w:t> </w:t>
      </w:r>
      <w:r>
        <w:rPr/>
        <w:t>is</w:t>
      </w:r>
      <w:r>
        <w:rPr>
          <w:spacing w:val="16"/>
        </w:rPr>
        <w:t> </w:t>
      </w:r>
      <w:r>
        <w:rPr/>
        <w:t>clearly</w:t>
      </w:r>
      <w:r>
        <w:rPr>
          <w:spacing w:val="14"/>
        </w:rPr>
        <w:t> </w:t>
      </w:r>
      <w:r>
        <w:rPr/>
        <w:t>seen</w:t>
      </w:r>
      <w:r>
        <w:rPr>
          <w:spacing w:val="18"/>
        </w:rPr>
        <w:t> </w:t>
      </w:r>
      <w:r>
        <w:rPr/>
        <w:t>if</w:t>
      </w:r>
      <w:r>
        <w:rPr>
          <w:spacing w:val="16"/>
        </w:rPr>
        <w:t> </w:t>
      </w:r>
      <w:r>
        <w:rPr/>
        <w:t>we</w:t>
      </w:r>
      <w:r>
        <w:rPr>
          <w:spacing w:val="21"/>
        </w:rPr>
        <w:t> </w:t>
      </w:r>
      <w:r>
        <w:rPr/>
        <w:t>consider</w:t>
      </w:r>
      <w:r>
        <w:rPr>
          <w:spacing w:val="19"/>
        </w:rPr>
        <w:t> </w:t>
      </w:r>
      <w:r>
        <w:rPr/>
        <w:t>the</w:t>
      </w:r>
      <w:r>
        <w:rPr>
          <w:spacing w:val="18"/>
        </w:rPr>
        <w:t> </w:t>
      </w:r>
      <w:r>
        <w:rPr>
          <w:spacing w:val="-2"/>
        </w:rPr>
        <w:t>question</w:t>
      </w:r>
    </w:p>
    <w:p>
      <w:pPr>
        <w:spacing w:after="0" w:line="480" w:lineRule="auto"/>
        <w:sectPr>
          <w:pgSz w:w="11910" w:h="16840"/>
          <w:pgMar w:header="0" w:footer="1012" w:top="1340" w:bottom="1200" w:left="1680" w:right="280"/>
        </w:sectPr>
      </w:pPr>
    </w:p>
    <w:p>
      <w:pPr>
        <w:pStyle w:val="BodyText"/>
        <w:spacing w:line="480" w:lineRule="auto" w:before="74"/>
        <w:ind w:right="1155"/>
      </w:pPr>
      <w:r>
        <w:rPr/>
        <w:t>of anxiety.</w:t>
      </w:r>
      <w:r>
        <w:rPr>
          <w:spacing w:val="40"/>
        </w:rPr>
        <w:t> </w:t>
      </w:r>
      <w:r>
        <w:rPr/>
        <w:t>Over-anxiety can inhibit learning or hinder performance.</w:t>
      </w:r>
      <w:r>
        <w:rPr>
          <w:spacing w:val="40"/>
        </w:rPr>
        <w:t> </w:t>
      </w:r>
      <w:r>
        <w:rPr/>
        <w:t>Take the example of a child who is too anxious to pass an examination to please his parents who have high expectations on him/her.</w:t>
      </w:r>
      <w:r>
        <w:rPr>
          <w:spacing w:val="40"/>
        </w:rPr>
        <w:t> </w:t>
      </w:r>
      <w:r>
        <w:rPr/>
        <w:t>He/she might become so nervous thinking about the consequences of failing his parents that he/she may lose focus to the tasks he/she is attending to. On the other hand, a child who suffers from</w:t>
      </w:r>
      <w:r>
        <w:rPr>
          <w:spacing w:val="-2"/>
        </w:rPr>
        <w:t> </w:t>
      </w:r>
      <w:r>
        <w:rPr/>
        <w:t>‗under-anxiety‘ is not anxious to learn and would not be concerned at his own failure or is not bothered whether learns or not and he is unlikely to progress in school. Other negative effects that portray</w:t>
      </w:r>
      <w:r>
        <w:rPr>
          <w:spacing w:val="-13"/>
        </w:rPr>
        <w:t> </w:t>
      </w:r>
      <w:r>
        <w:rPr/>
        <w:t>similar</w:t>
      </w:r>
      <w:r>
        <w:rPr>
          <w:spacing w:val="-2"/>
        </w:rPr>
        <w:t> </w:t>
      </w:r>
      <w:r>
        <w:rPr/>
        <w:t>affects</w:t>
      </w:r>
      <w:r>
        <w:rPr>
          <w:spacing w:val="-5"/>
        </w:rPr>
        <w:t> </w:t>
      </w:r>
      <w:r>
        <w:rPr/>
        <w:t>on</w:t>
      </w:r>
      <w:r>
        <w:rPr>
          <w:spacing w:val="-3"/>
        </w:rPr>
        <w:t> </w:t>
      </w:r>
      <w:r>
        <w:rPr/>
        <w:t>learning</w:t>
      </w:r>
      <w:r>
        <w:rPr>
          <w:spacing w:val="-3"/>
        </w:rPr>
        <w:t> </w:t>
      </w:r>
      <w:r>
        <w:rPr/>
        <w:t>are</w:t>
      </w:r>
      <w:r>
        <w:rPr>
          <w:spacing w:val="-4"/>
        </w:rPr>
        <w:t> </w:t>
      </w:r>
      <w:r>
        <w:rPr/>
        <w:t>anger, frustration,</w:t>
      </w:r>
      <w:r>
        <w:rPr>
          <w:spacing w:val="-1"/>
        </w:rPr>
        <w:t> </w:t>
      </w:r>
      <w:r>
        <w:rPr/>
        <w:t>and</w:t>
      </w:r>
      <w:r>
        <w:rPr>
          <w:spacing w:val="-3"/>
        </w:rPr>
        <w:t> </w:t>
      </w:r>
      <w:r>
        <w:rPr/>
        <w:t>sadness. As</w:t>
      </w:r>
      <w:r>
        <w:rPr>
          <w:spacing w:val="-5"/>
        </w:rPr>
        <w:t> </w:t>
      </w:r>
      <w:r>
        <w:rPr/>
        <w:t>attention and memorization</w:t>
      </w:r>
      <w:r>
        <w:rPr>
          <w:spacing w:val="-1"/>
        </w:rPr>
        <w:t> </w:t>
      </w:r>
      <w:r>
        <w:rPr/>
        <w:t>are crucial in learning and influenced by</w:t>
      </w:r>
      <w:r>
        <w:rPr>
          <w:spacing w:val="-1"/>
        </w:rPr>
        <w:t> </w:t>
      </w:r>
      <w:r>
        <w:rPr/>
        <w:t>emotional</w:t>
      </w:r>
      <w:r>
        <w:rPr>
          <w:spacing w:val="-1"/>
        </w:rPr>
        <w:t> </w:t>
      </w:r>
      <w:r>
        <w:rPr/>
        <w:t>adjustment, the ability to regulate one‘s emotion can serve as a tool for adolescents to cope with negative affects when they encounter them in learning situations. Therefore, Emotional Intelligence (EI) plays an important role in students‘ academic</w:t>
      </w:r>
      <w:r>
        <w:rPr>
          <w:spacing w:val="40"/>
        </w:rPr>
        <w:t> </w:t>
      </w:r>
      <w:r>
        <w:rPr/>
        <w:t>performance above and beyond their cognitive ability.</w:t>
      </w:r>
    </w:p>
    <w:p>
      <w:pPr>
        <w:pStyle w:val="BodyText"/>
        <w:spacing w:line="480" w:lineRule="auto" w:before="2"/>
        <w:ind w:right="1156" w:firstLine="720"/>
      </w:pPr>
      <w:r>
        <w:rPr/>
        <w:t>The connection between emotion and cognition can be explained by the way emotion interacts with cognition.</w:t>
      </w:r>
      <w:r>
        <w:rPr>
          <w:spacing w:val="40"/>
        </w:rPr>
        <w:t> </w:t>
      </w:r>
      <w:r>
        <w:rPr/>
        <w:t>A person who is in good mood tends to think positively and productively and vice versa. As such, the term emotional intelligence quotient. (EQ)implies that emotion and intelligence are interrelated and complementary given rise to emotional intelligence (Mayer, 2001).Belief in the validity</w:t>
      </w:r>
      <w:r>
        <w:rPr>
          <w:spacing w:val="-5"/>
        </w:rPr>
        <w:t> </w:t>
      </w:r>
      <w:r>
        <w:rPr/>
        <w:t>of</w:t>
      </w:r>
      <w:r>
        <w:rPr>
          <w:spacing w:val="-8"/>
        </w:rPr>
        <w:t> </w:t>
      </w:r>
      <w:r>
        <w:rPr/>
        <w:t>a statement and the</w:t>
      </w:r>
      <w:r>
        <w:rPr>
          <w:spacing w:val="-1"/>
        </w:rPr>
        <w:t> </w:t>
      </w:r>
      <w:r>
        <w:rPr/>
        <w:t>ability</w:t>
      </w:r>
      <w:r>
        <w:rPr>
          <w:spacing w:val="-5"/>
        </w:rPr>
        <w:t> </w:t>
      </w:r>
      <w:r>
        <w:rPr/>
        <w:t>to reason</w:t>
      </w:r>
      <w:r>
        <w:rPr>
          <w:spacing w:val="-5"/>
        </w:rPr>
        <w:t> </w:t>
      </w:r>
      <w:r>
        <w:rPr/>
        <w:t>are</w:t>
      </w:r>
      <w:r>
        <w:rPr>
          <w:spacing w:val="-1"/>
        </w:rPr>
        <w:t> </w:t>
      </w:r>
      <w:r>
        <w:rPr/>
        <w:t>also directly</w:t>
      </w:r>
      <w:r>
        <w:rPr>
          <w:spacing w:val="-5"/>
        </w:rPr>
        <w:t> </w:t>
      </w:r>
      <w:r>
        <w:rPr/>
        <w:t>connected to emotion. As shown in the Lavins (2011) study where participants‘ beliefs became more polarized when exposed to arguments disconfirming their beliefs, certain information or</w:t>
      </w:r>
      <w:r>
        <w:rPr>
          <w:spacing w:val="-2"/>
        </w:rPr>
        <w:t> </w:t>
      </w:r>
      <w:r>
        <w:rPr/>
        <w:t>topics can elicit emotions in participants, holding the potential</w:t>
      </w:r>
      <w:r>
        <w:rPr>
          <w:spacing w:val="-4"/>
        </w:rPr>
        <w:t> </w:t>
      </w:r>
      <w:r>
        <w:rPr/>
        <w:t>to interfere with and bias reasoning as well.</w:t>
      </w:r>
    </w:p>
    <w:p>
      <w:pPr>
        <w:pStyle w:val="BodyText"/>
        <w:spacing w:line="480" w:lineRule="auto" w:before="3"/>
        <w:ind w:right="1159" w:firstLine="720"/>
      </w:pPr>
      <w:r>
        <w:rPr/>
        <w:t>More specifically, further research has focused on how emotions may influence</w:t>
      </w:r>
      <w:r>
        <w:rPr>
          <w:spacing w:val="41"/>
        </w:rPr>
        <w:t> </w:t>
      </w:r>
      <w:r>
        <w:rPr/>
        <w:t>the</w:t>
      </w:r>
      <w:r>
        <w:rPr>
          <w:spacing w:val="44"/>
        </w:rPr>
        <w:t> </w:t>
      </w:r>
      <w:r>
        <w:rPr/>
        <w:t>way</w:t>
      </w:r>
      <w:r>
        <w:rPr>
          <w:spacing w:val="45"/>
        </w:rPr>
        <w:t> </w:t>
      </w:r>
      <w:r>
        <w:rPr/>
        <w:t>in</w:t>
      </w:r>
      <w:r>
        <w:rPr>
          <w:spacing w:val="44"/>
        </w:rPr>
        <w:t> </w:t>
      </w:r>
      <w:r>
        <w:rPr/>
        <w:t>which</w:t>
      </w:r>
      <w:r>
        <w:rPr>
          <w:spacing w:val="40"/>
        </w:rPr>
        <w:t> </w:t>
      </w:r>
      <w:r>
        <w:rPr/>
        <w:t>a</w:t>
      </w:r>
      <w:r>
        <w:rPr>
          <w:spacing w:val="44"/>
        </w:rPr>
        <w:t> </w:t>
      </w:r>
      <w:r>
        <w:rPr/>
        <w:t>person</w:t>
      </w:r>
      <w:r>
        <w:rPr>
          <w:spacing w:val="39"/>
        </w:rPr>
        <w:t> </w:t>
      </w:r>
      <w:r>
        <w:rPr/>
        <w:t>reasons</w:t>
      </w:r>
      <w:r>
        <w:rPr>
          <w:spacing w:val="43"/>
        </w:rPr>
        <w:t> </w:t>
      </w:r>
      <w:r>
        <w:rPr/>
        <w:t>with</w:t>
      </w:r>
      <w:r>
        <w:rPr>
          <w:spacing w:val="40"/>
        </w:rPr>
        <w:t> </w:t>
      </w:r>
      <w:r>
        <w:rPr/>
        <w:t>the</w:t>
      </w:r>
      <w:r>
        <w:rPr>
          <w:spacing w:val="48"/>
        </w:rPr>
        <w:t> </w:t>
      </w:r>
      <w:r>
        <w:rPr/>
        <w:t>information</w:t>
      </w:r>
      <w:r>
        <w:rPr>
          <w:spacing w:val="40"/>
        </w:rPr>
        <w:t> </w:t>
      </w:r>
      <w:r>
        <w:rPr/>
        <w:t>given</w:t>
      </w:r>
      <w:r>
        <w:rPr>
          <w:spacing w:val="52"/>
        </w:rPr>
        <w:t> </w:t>
      </w:r>
      <w:r>
        <w:rPr/>
        <w:t>to</w:t>
      </w:r>
      <w:r>
        <w:rPr>
          <w:spacing w:val="45"/>
        </w:rPr>
        <w:t> </w:t>
      </w:r>
      <w:r>
        <w:rPr>
          <w:spacing w:val="-2"/>
        </w:rPr>
        <w:t>them.</w:t>
      </w:r>
    </w:p>
    <w:p>
      <w:pPr>
        <w:spacing w:after="0" w:line="480" w:lineRule="auto"/>
        <w:sectPr>
          <w:pgSz w:w="11910" w:h="16840"/>
          <w:pgMar w:header="0" w:footer="1012" w:top="1340" w:bottom="1200" w:left="1680" w:right="280"/>
        </w:sectPr>
      </w:pPr>
    </w:p>
    <w:p>
      <w:pPr>
        <w:pStyle w:val="BodyText"/>
        <w:spacing w:line="480" w:lineRule="auto" w:before="74"/>
        <w:ind w:right="1155"/>
      </w:pPr>
      <w:r>
        <w:rPr/>
        <w:t>Research by Kaufman – Lavins (2011) has found that extremes in emotional arousal can</w:t>
      </w:r>
      <w:r>
        <w:rPr>
          <w:spacing w:val="-12"/>
        </w:rPr>
        <w:t> </w:t>
      </w:r>
      <w:r>
        <w:rPr/>
        <w:t>lead</w:t>
      </w:r>
      <w:r>
        <w:rPr>
          <w:spacing w:val="-10"/>
        </w:rPr>
        <w:t> </w:t>
      </w:r>
      <w:r>
        <w:rPr/>
        <w:t>to</w:t>
      </w:r>
      <w:r>
        <w:rPr>
          <w:spacing w:val="-10"/>
        </w:rPr>
        <w:t> </w:t>
      </w:r>
      <w:r>
        <w:rPr/>
        <w:t>a</w:t>
      </w:r>
      <w:r>
        <w:rPr>
          <w:spacing w:val="-11"/>
        </w:rPr>
        <w:t> </w:t>
      </w:r>
      <w:r>
        <w:rPr/>
        <w:t>state</w:t>
      </w:r>
      <w:r>
        <w:rPr>
          <w:spacing w:val="-15"/>
        </w:rPr>
        <w:t> </w:t>
      </w:r>
      <w:r>
        <w:rPr/>
        <w:t>of</w:t>
      </w:r>
      <w:r>
        <w:rPr>
          <w:spacing w:val="-15"/>
        </w:rPr>
        <w:t> </w:t>
      </w:r>
      <w:r>
        <w:rPr/>
        <w:t>bounded</w:t>
      </w:r>
      <w:r>
        <w:rPr>
          <w:spacing w:val="-10"/>
        </w:rPr>
        <w:t> </w:t>
      </w:r>
      <w:r>
        <w:rPr/>
        <w:t>rationality,</w:t>
      </w:r>
      <w:r>
        <w:rPr>
          <w:spacing w:val="-8"/>
        </w:rPr>
        <w:t> </w:t>
      </w:r>
      <w:r>
        <w:rPr/>
        <w:t>defined</w:t>
      </w:r>
      <w:r>
        <w:rPr>
          <w:spacing w:val="-10"/>
        </w:rPr>
        <w:t> </w:t>
      </w:r>
      <w:r>
        <w:rPr/>
        <w:t>as</w:t>
      </w:r>
      <w:r>
        <w:rPr>
          <w:spacing w:val="-11"/>
        </w:rPr>
        <w:t> </w:t>
      </w:r>
      <w:r>
        <w:rPr/>
        <w:t>a</w:t>
      </w:r>
      <w:r>
        <w:rPr>
          <w:spacing w:val="-11"/>
        </w:rPr>
        <w:t> </w:t>
      </w:r>
      <w:r>
        <w:rPr/>
        <w:t>person‘s,</w:t>
      </w:r>
      <w:r>
        <w:rPr>
          <w:spacing w:val="-8"/>
        </w:rPr>
        <w:t> </w:t>
      </w:r>
      <w:r>
        <w:rPr/>
        <w:t>―...tendency</w:t>
      </w:r>
      <w:r>
        <w:rPr>
          <w:spacing w:val="-14"/>
        </w:rPr>
        <w:t> </w:t>
      </w:r>
      <w:r>
        <w:rPr/>
        <w:t>to</w:t>
      </w:r>
      <w:r>
        <w:rPr>
          <w:spacing w:val="-10"/>
        </w:rPr>
        <w:t> </w:t>
      </w:r>
      <w:r>
        <w:rPr/>
        <w:t>call</w:t>
      </w:r>
      <w:r>
        <w:rPr>
          <w:spacing w:val="-15"/>
        </w:rPr>
        <w:t> </w:t>
      </w:r>
      <w:r>
        <w:rPr/>
        <w:t>off a search once something is found‖ (Croskerry, 2002). This is significant for reasoning ability in that individuals in a state of emotionally aroused bounded rationality may fail to consider other important information presented once they have reviewed information that satisfies their own interest (Croskerry, 2002). Thus, when in a heightened emotional state, a person may cease to process information effectively,</w:t>
      </w:r>
      <w:r>
        <w:rPr>
          <w:spacing w:val="40"/>
        </w:rPr>
        <w:t> </w:t>
      </w:r>
      <w:r>
        <w:rPr/>
        <w:t>and thus be unable to reach a logical conclusion.</w:t>
      </w:r>
    </w:p>
    <w:p>
      <w:pPr>
        <w:pStyle w:val="BodyText"/>
        <w:spacing w:line="480" w:lineRule="auto" w:before="2"/>
        <w:ind w:right="1159" w:firstLine="720"/>
      </w:pPr>
      <w:r>
        <w:rPr/>
        <w:t>The ability to reason logically is critical for decision makers and people in everyday life and involves the way we use given knowledge and facts to reach a conclusion. Its application is of crucial importance for advances in the sciences and mathematics, as the scientific method relies heavily on deductive reasoning (a type of logical reasoning in which a conclusion is derived from a premise) and reasoning plays a strong role in a person‘s ability to make informed, educated and accurate decisions (Lavins, 2011).</w:t>
      </w:r>
    </w:p>
    <w:p>
      <w:pPr>
        <w:pStyle w:val="BodyText"/>
        <w:spacing w:line="480" w:lineRule="auto" w:before="1"/>
        <w:ind w:right="1164" w:firstLine="720"/>
      </w:pPr>
      <w:r>
        <w:rPr/>
        <w:t>Daily functioning and the ability to make important life decisions depend on the person‘s ability to accurately understand a situation, acknowledge their subjective interpretation of</w:t>
      </w:r>
      <w:r>
        <w:rPr>
          <w:spacing w:val="-3"/>
        </w:rPr>
        <w:t> </w:t>
      </w:r>
      <w:r>
        <w:rPr/>
        <w:t>the situation, and reach a logical conclusion based on this supporting knowledge. However, research has consistently shown that people fail to reason logically, and they do so in systematic ways (Lavins, 2011).</w:t>
      </w:r>
    </w:p>
    <w:p>
      <w:pPr>
        <w:pStyle w:val="BodyText"/>
        <w:spacing w:line="480" w:lineRule="auto" w:before="1"/>
        <w:ind w:right="1159" w:firstLine="720"/>
      </w:pPr>
      <w:r>
        <w:rPr/>
        <w:t>Logical reasoning is commonly assessed by evaluating a person‘s ability to employ deductive reasoning. Deductive reasoning is defined as a closed system in which an individual derives conclusions from preexisting premises and judges truthfulness of a statement though normative logic (e.g., Alldogs are black. Tucker isadog.</w:t>
      </w:r>
      <w:r>
        <w:rPr>
          <w:spacing w:val="33"/>
        </w:rPr>
        <w:t> </w:t>
      </w:r>
      <w:r>
        <w:rPr/>
        <w:t>Therefore,</w:t>
      </w:r>
      <w:r>
        <w:rPr>
          <w:spacing w:val="35"/>
        </w:rPr>
        <w:t> </w:t>
      </w:r>
      <w:r>
        <w:rPr/>
        <w:t>Tucker</w:t>
      </w:r>
      <w:r>
        <w:rPr>
          <w:spacing w:val="35"/>
        </w:rPr>
        <w:t> </w:t>
      </w:r>
      <w:r>
        <w:rPr/>
        <w:t>is</w:t>
      </w:r>
      <w:r>
        <w:rPr>
          <w:spacing w:val="41"/>
        </w:rPr>
        <w:t> </w:t>
      </w:r>
      <w:r>
        <w:rPr/>
        <w:t>black)</w:t>
      </w:r>
      <w:r>
        <w:rPr>
          <w:spacing w:val="35"/>
        </w:rPr>
        <w:t> </w:t>
      </w:r>
      <w:r>
        <w:rPr/>
        <w:t>(Blanchette,</w:t>
      </w:r>
      <w:r>
        <w:rPr>
          <w:spacing w:val="31"/>
        </w:rPr>
        <w:t> </w:t>
      </w:r>
      <w:r>
        <w:rPr/>
        <w:t>2006).</w:t>
      </w:r>
      <w:r>
        <w:rPr>
          <w:spacing w:val="36"/>
        </w:rPr>
        <w:t> </w:t>
      </w:r>
      <w:r>
        <w:rPr/>
        <w:t>This</w:t>
      </w:r>
      <w:r>
        <w:rPr>
          <w:spacing w:val="36"/>
        </w:rPr>
        <w:t> </w:t>
      </w:r>
      <w:r>
        <w:rPr/>
        <w:t>differs</w:t>
      </w:r>
      <w:r>
        <w:rPr>
          <w:spacing w:val="36"/>
        </w:rPr>
        <w:t> </w:t>
      </w:r>
      <w:r>
        <w:rPr/>
        <w:t>from</w:t>
      </w:r>
      <w:r>
        <w:rPr>
          <w:spacing w:val="30"/>
        </w:rPr>
        <w:t> </w:t>
      </w:r>
      <w:r>
        <w:rPr>
          <w:spacing w:val="-2"/>
        </w:rPr>
        <w:t>inductive</w:t>
      </w:r>
    </w:p>
    <w:p>
      <w:pPr>
        <w:spacing w:after="0" w:line="480" w:lineRule="auto"/>
        <w:sectPr>
          <w:pgSz w:w="11910" w:h="16840"/>
          <w:pgMar w:header="0" w:footer="1012" w:top="1340" w:bottom="1200" w:left="1680" w:right="280"/>
        </w:sectPr>
      </w:pPr>
    </w:p>
    <w:p>
      <w:pPr>
        <w:pStyle w:val="BodyText"/>
        <w:spacing w:line="480" w:lineRule="auto" w:before="74"/>
        <w:ind w:right="1157"/>
      </w:pPr>
      <w:r>
        <w:rPr/>
        <w:t>reasoning, in which an individual</w:t>
      </w:r>
      <w:r>
        <w:rPr>
          <w:spacing w:val="-5"/>
        </w:rPr>
        <w:t> </w:t>
      </w:r>
      <w:r>
        <w:rPr/>
        <w:t>generalizes from</w:t>
      </w:r>
      <w:r>
        <w:rPr>
          <w:spacing w:val="-5"/>
        </w:rPr>
        <w:t> </w:t>
      </w:r>
      <w:r>
        <w:rPr/>
        <w:t>a</w:t>
      </w:r>
      <w:r>
        <w:rPr>
          <w:spacing w:val="-1"/>
        </w:rPr>
        <w:t> </w:t>
      </w:r>
      <w:r>
        <w:rPr/>
        <w:t>specific assumption</w:t>
      </w:r>
      <w:r>
        <w:rPr>
          <w:spacing w:val="-5"/>
        </w:rPr>
        <w:t> </w:t>
      </w:r>
      <w:r>
        <w:rPr/>
        <w:t>(e.g., All</w:t>
      </w:r>
      <w:r>
        <w:rPr>
          <w:spacing w:val="-4"/>
        </w:rPr>
        <w:t> </w:t>
      </w:r>
      <w:r>
        <w:rPr/>
        <w:t>the birds I have seen can fly, so all birds can fly).</w:t>
      </w:r>
    </w:p>
    <w:p>
      <w:pPr>
        <w:pStyle w:val="BodyText"/>
        <w:spacing w:line="480" w:lineRule="auto"/>
        <w:ind w:right="1150" w:firstLine="720"/>
      </w:pPr>
      <w:r>
        <w:rPr/>
        <w:t>Students who have acquired formal reasoning ability have deep working memory that enable them solve abstract problems in logical fashion. They are also able to apply scientific thinking in solving problems such as stating and testing hypotheses, isolation-of-variables, analyzing data, and ability to keep concepts and their interrelationships in the mind while considering answers. According to developmental</w:t>
      </w:r>
      <w:r>
        <w:rPr>
          <w:spacing w:val="-4"/>
        </w:rPr>
        <w:t> </w:t>
      </w:r>
      <w:r>
        <w:rPr/>
        <w:t>theory, descriptive and theoretical concepts constructions are linked to intellectual development because the process depends on reasoning patterns and also reasoning ability relies on not only maturation but also individual self- regulatory mechanisms</w:t>
      </w:r>
      <w:r>
        <w:rPr>
          <w:spacing w:val="-4"/>
        </w:rPr>
        <w:t> </w:t>
      </w:r>
      <w:r>
        <w:rPr/>
        <w:t>that are</w:t>
      </w:r>
      <w:r>
        <w:rPr>
          <w:spacing w:val="-4"/>
        </w:rPr>
        <w:t> </w:t>
      </w:r>
      <w:r>
        <w:rPr/>
        <w:t>known</w:t>
      </w:r>
      <w:r>
        <w:rPr>
          <w:spacing w:val="-8"/>
        </w:rPr>
        <w:t> </w:t>
      </w:r>
      <w:r>
        <w:rPr/>
        <w:t>to enhance</w:t>
      </w:r>
      <w:r>
        <w:rPr>
          <w:spacing w:val="-4"/>
        </w:rPr>
        <w:t> </w:t>
      </w:r>
      <w:r>
        <w:rPr/>
        <w:t>purposive and meaningful</w:t>
      </w:r>
      <w:r>
        <w:rPr>
          <w:spacing w:val="-7"/>
        </w:rPr>
        <w:t> </w:t>
      </w:r>
      <w:r>
        <w:rPr/>
        <w:t>learning. This</w:t>
      </w:r>
      <w:r>
        <w:rPr>
          <w:spacing w:val="-4"/>
        </w:rPr>
        <w:t> </w:t>
      </w:r>
      <w:r>
        <w:rPr/>
        <w:t>tends to suggest that concept acquisition is dependent on students‘ reasoning ability. Empirical study in support of this was provided by Lawson – Mari (2012) who reported that reasoning ability highly correlated with performance on concepts acquisition</w:t>
      </w:r>
      <w:r>
        <w:rPr>
          <w:spacing w:val="-5"/>
        </w:rPr>
        <w:t> </w:t>
      </w:r>
      <w:r>
        <w:rPr/>
        <w:t>tasks for school</w:t>
      </w:r>
      <w:r>
        <w:rPr>
          <w:spacing w:val="-9"/>
        </w:rPr>
        <w:t> </w:t>
      </w:r>
      <w:r>
        <w:rPr/>
        <w:t>Biology</w:t>
      </w:r>
      <w:r>
        <w:rPr>
          <w:spacing w:val="-5"/>
        </w:rPr>
        <w:t> </w:t>
      </w:r>
      <w:r>
        <w:rPr/>
        <w:t>and chemistry</w:t>
      </w:r>
      <w:r>
        <w:rPr>
          <w:spacing w:val="-5"/>
        </w:rPr>
        <w:t> </w:t>
      </w:r>
      <w:r>
        <w:rPr/>
        <w:t>students. Bitner – Mari</w:t>
      </w:r>
      <w:r>
        <w:rPr>
          <w:spacing w:val="-5"/>
        </w:rPr>
        <w:t> </w:t>
      </w:r>
      <w:r>
        <w:rPr/>
        <w:t>(2012) also showed that reasoning ability explained 62% of the variance in high school science grades. Herron– Mari (2012) provides the following generalizations that link misconceptions with reasoning ability:</w:t>
      </w:r>
    </w:p>
    <w:p>
      <w:pPr>
        <w:pStyle w:val="ListParagraph"/>
        <w:numPr>
          <w:ilvl w:val="0"/>
          <w:numId w:val="6"/>
        </w:numPr>
        <w:tabs>
          <w:tab w:pos="839" w:val="left" w:leader="none"/>
          <w:tab w:pos="841" w:val="left" w:leader="none"/>
        </w:tabs>
        <w:spacing w:line="480" w:lineRule="auto" w:before="3" w:after="0"/>
        <w:ind w:left="841" w:right="1152" w:hanging="360"/>
        <w:jc w:val="both"/>
        <w:rPr>
          <w:sz w:val="24"/>
        </w:rPr>
      </w:pPr>
      <w:r>
        <w:rPr>
          <w:sz w:val="24"/>
        </w:rPr>
        <w:t>Many misconceptions are related to concepts that involve proportional relationships: density, equilibrium, mole, acceleration, and rates of various kinds.</w:t>
      </w:r>
    </w:p>
    <w:p>
      <w:pPr>
        <w:pStyle w:val="ListParagraph"/>
        <w:numPr>
          <w:ilvl w:val="0"/>
          <w:numId w:val="6"/>
        </w:numPr>
        <w:tabs>
          <w:tab w:pos="841" w:val="left" w:leader="none"/>
        </w:tabs>
        <w:spacing w:line="480" w:lineRule="auto" w:before="1" w:after="0"/>
        <w:ind w:left="841" w:right="1152" w:hanging="360"/>
        <w:jc w:val="both"/>
        <w:rPr>
          <w:sz w:val="24"/>
        </w:rPr>
      </w:pPr>
      <w:r>
        <w:rPr>
          <w:sz w:val="24"/>
        </w:rPr>
        <w:t>Many misconceptions are related to theoretical models that require the student to interpret observations in</w:t>
      </w:r>
      <w:r>
        <w:rPr>
          <w:spacing w:val="-5"/>
          <w:sz w:val="24"/>
        </w:rPr>
        <w:t> </w:t>
      </w:r>
      <w:r>
        <w:rPr>
          <w:sz w:val="24"/>
        </w:rPr>
        <w:t>terms</w:t>
      </w:r>
      <w:r>
        <w:rPr>
          <w:spacing w:val="-2"/>
          <w:sz w:val="24"/>
        </w:rPr>
        <w:t> </w:t>
      </w:r>
      <w:r>
        <w:rPr>
          <w:sz w:val="24"/>
        </w:rPr>
        <w:t>of</w:t>
      </w:r>
      <w:r>
        <w:rPr>
          <w:spacing w:val="-8"/>
          <w:sz w:val="24"/>
        </w:rPr>
        <w:t> </w:t>
      </w:r>
      <w:r>
        <w:rPr>
          <w:sz w:val="24"/>
        </w:rPr>
        <w:t>something</w:t>
      </w:r>
      <w:r>
        <w:rPr>
          <w:spacing w:val="40"/>
          <w:sz w:val="24"/>
        </w:rPr>
        <w:t>  </w:t>
      </w:r>
      <w:r>
        <w:rPr>
          <w:sz w:val="24"/>
        </w:rPr>
        <w:t>that</w:t>
      </w:r>
      <w:r>
        <w:rPr>
          <w:spacing w:val="80"/>
          <w:sz w:val="24"/>
        </w:rPr>
        <w:t> </w:t>
      </w:r>
      <w:r>
        <w:rPr>
          <w:sz w:val="24"/>
        </w:rPr>
        <w:t>cannot</w:t>
      </w:r>
      <w:r>
        <w:rPr>
          <w:spacing w:val="80"/>
          <w:sz w:val="24"/>
        </w:rPr>
        <w:t> </w:t>
      </w:r>
      <w:r>
        <w:rPr>
          <w:sz w:val="24"/>
        </w:rPr>
        <w:t>be</w:t>
      </w:r>
      <w:r>
        <w:rPr>
          <w:spacing w:val="80"/>
          <w:sz w:val="24"/>
        </w:rPr>
        <w:t> </w:t>
      </w:r>
      <w:r>
        <w:rPr>
          <w:sz w:val="24"/>
        </w:rPr>
        <w:t>experienced directly: explanations in terms of genetics and evolution, explanations in terms of an atomic model, and explanations in terms of probabilistic models.</w:t>
      </w:r>
    </w:p>
    <w:p>
      <w:pPr>
        <w:spacing w:after="0" w:line="480" w:lineRule="auto"/>
        <w:jc w:val="both"/>
        <w:rPr>
          <w:sz w:val="24"/>
        </w:rPr>
        <w:sectPr>
          <w:pgSz w:w="11910" w:h="16840"/>
          <w:pgMar w:header="0" w:footer="1012" w:top="1340" w:bottom="1200" w:left="1680" w:right="280"/>
        </w:sectPr>
      </w:pPr>
    </w:p>
    <w:p>
      <w:pPr>
        <w:pStyle w:val="ListParagraph"/>
        <w:numPr>
          <w:ilvl w:val="0"/>
          <w:numId w:val="6"/>
        </w:numPr>
        <w:tabs>
          <w:tab w:pos="839" w:val="left" w:leader="none"/>
          <w:tab w:pos="841" w:val="left" w:leader="none"/>
        </w:tabs>
        <w:spacing w:line="480" w:lineRule="auto" w:before="74" w:after="0"/>
        <w:ind w:left="841" w:right="1161" w:hanging="360"/>
        <w:jc w:val="both"/>
        <w:rPr>
          <w:sz w:val="24"/>
        </w:rPr>
      </w:pPr>
      <w:r>
        <w:rPr>
          <w:sz w:val="24"/>
        </w:rPr>
        <w:t>Many misconceptions are related to difficulty in following chains of logical </w:t>
      </w:r>
      <w:r>
        <w:rPr>
          <w:spacing w:val="-2"/>
          <w:sz w:val="24"/>
        </w:rPr>
        <w:t>inference.</w:t>
      </w:r>
    </w:p>
    <w:p>
      <w:pPr>
        <w:pStyle w:val="BodyText"/>
        <w:spacing w:line="480" w:lineRule="auto"/>
        <w:ind w:left="841" w:right="1163" w:hanging="360"/>
      </w:pPr>
      <w:r>
        <w:rPr/>
        <w:t>All these arguments point to the significance of reasoning ability to concepts acquisition in science and could also be indication why girls who happen to lag behind boys in reasoning ability perform lower and show less preference for science compared to boy.</w:t>
      </w:r>
    </w:p>
    <w:p>
      <w:pPr>
        <w:pStyle w:val="BodyText"/>
        <w:spacing w:line="480" w:lineRule="auto" w:before="1"/>
        <w:ind w:left="841" w:right="1159" w:hanging="360"/>
      </w:pPr>
      <w:r>
        <w:rPr/>
        <w:t>When people reason, they must, Bruner, Lohman &amp; Lakin (2009), go ―beyond the information given‖.</w:t>
      </w:r>
      <w:r>
        <w:rPr>
          <w:spacing w:val="40"/>
        </w:rPr>
        <w:t> </w:t>
      </w:r>
      <w:r>
        <w:rPr/>
        <w:t>They do this in one or both of the following ways:</w:t>
      </w:r>
    </w:p>
    <w:p>
      <w:pPr>
        <w:pStyle w:val="ListParagraph"/>
        <w:numPr>
          <w:ilvl w:val="0"/>
          <w:numId w:val="7"/>
        </w:numPr>
        <w:tabs>
          <w:tab w:pos="841" w:val="left" w:leader="none"/>
        </w:tabs>
        <w:spacing w:line="480" w:lineRule="auto" w:before="1" w:after="0"/>
        <w:ind w:left="841" w:right="1157" w:hanging="360"/>
        <w:jc w:val="both"/>
        <w:rPr>
          <w:sz w:val="24"/>
        </w:rPr>
      </w:pPr>
      <w:r>
        <w:rPr>
          <w:sz w:val="24"/>
        </w:rPr>
        <w:t>They attempt to infer (either automatically or deliberately) concepts, patterns, or rules that best (i.e., most uniquely) characterize the relationships or patterns they perceive among all the elements (e.g., words, symbols, figures, sounds, movements) in a stimulus set. Better reasoning is characterized by the use of concepts</w:t>
      </w:r>
      <w:r>
        <w:rPr>
          <w:spacing w:val="-4"/>
          <w:sz w:val="24"/>
        </w:rPr>
        <w:t> </w:t>
      </w:r>
      <w:r>
        <w:rPr>
          <w:sz w:val="24"/>
        </w:rPr>
        <w:t>or</w:t>
      </w:r>
      <w:r>
        <w:rPr>
          <w:spacing w:val="-1"/>
          <w:sz w:val="24"/>
        </w:rPr>
        <w:t> </w:t>
      </w:r>
      <w:r>
        <w:rPr>
          <w:sz w:val="24"/>
        </w:rPr>
        <w:t>rules</w:t>
      </w:r>
      <w:r>
        <w:rPr>
          <w:spacing w:val="-4"/>
          <w:sz w:val="24"/>
        </w:rPr>
        <w:t> </w:t>
      </w:r>
      <w:r>
        <w:rPr>
          <w:sz w:val="24"/>
        </w:rPr>
        <w:t>that simultaneously</w:t>
      </w:r>
      <w:r>
        <w:rPr>
          <w:spacing w:val="-7"/>
          <w:sz w:val="24"/>
        </w:rPr>
        <w:t> </w:t>
      </w:r>
      <w:r>
        <w:rPr>
          <w:sz w:val="24"/>
        </w:rPr>
        <w:t>satisfy</w:t>
      </w:r>
      <w:r>
        <w:rPr>
          <w:spacing w:val="-7"/>
          <w:sz w:val="24"/>
        </w:rPr>
        <w:t> </w:t>
      </w:r>
      <w:r>
        <w:rPr>
          <w:sz w:val="24"/>
        </w:rPr>
        <w:t>the</w:t>
      </w:r>
      <w:r>
        <w:rPr>
          <w:spacing w:val="-3"/>
          <w:sz w:val="24"/>
        </w:rPr>
        <w:t> </w:t>
      </w:r>
      <w:r>
        <w:rPr>
          <w:sz w:val="24"/>
        </w:rPr>
        <w:t>opposing needs for</w:t>
      </w:r>
      <w:r>
        <w:rPr>
          <w:spacing w:val="-1"/>
          <w:sz w:val="24"/>
        </w:rPr>
        <w:t> </w:t>
      </w:r>
      <w:r>
        <w:rPr>
          <w:sz w:val="24"/>
        </w:rPr>
        <w:t>abstraction</w:t>
      </w:r>
      <w:r>
        <w:rPr>
          <w:spacing w:val="-7"/>
          <w:sz w:val="24"/>
        </w:rPr>
        <w:t> </w:t>
      </w:r>
      <w:r>
        <w:rPr>
          <w:sz w:val="24"/>
        </w:rPr>
        <w:t>(or generalization) and specificity. Such concepts or rules tend to be at least moderately abstract yet precisely tuned. Put differently, a poor inference is often vague and captures only a subset of the relationships among the elements in the </w:t>
      </w:r>
      <w:r>
        <w:rPr>
          <w:spacing w:val="-4"/>
          <w:sz w:val="24"/>
        </w:rPr>
        <w:t>set.</w:t>
      </w:r>
    </w:p>
    <w:p>
      <w:pPr>
        <w:pStyle w:val="ListParagraph"/>
        <w:numPr>
          <w:ilvl w:val="0"/>
          <w:numId w:val="7"/>
        </w:numPr>
        <w:tabs>
          <w:tab w:pos="839" w:val="left" w:leader="none"/>
          <w:tab w:pos="841" w:val="left" w:leader="none"/>
        </w:tabs>
        <w:spacing w:line="477" w:lineRule="auto" w:before="0" w:after="0"/>
        <w:ind w:left="841" w:right="1158" w:hanging="360"/>
        <w:jc w:val="both"/>
        <w:rPr>
          <w:sz w:val="24"/>
        </w:rPr>
      </w:pPr>
      <w:r>
        <w:rPr>
          <w:sz w:val="24"/>
        </w:rPr>
        <w:t>They attempt to deduce the consequences or implications of a rule, set of</w:t>
      </w:r>
      <w:r>
        <w:rPr>
          <w:spacing w:val="40"/>
          <w:sz w:val="24"/>
        </w:rPr>
        <w:t> </w:t>
      </w:r>
      <w:r>
        <w:rPr>
          <w:sz w:val="24"/>
        </w:rPr>
        <w:t>premises, or statements using warrants that are rendered plausible by logic or by information that is either given in the problem or assumed to be true within the community of</w:t>
      </w:r>
      <w:r>
        <w:rPr>
          <w:spacing w:val="-3"/>
          <w:sz w:val="24"/>
        </w:rPr>
        <w:t> </w:t>
      </w:r>
      <w:r>
        <w:rPr>
          <w:sz w:val="24"/>
        </w:rPr>
        <w:t>discourse. They often seem to do this by creating and manipulating mental</w:t>
      </w:r>
      <w:r>
        <w:rPr>
          <w:spacing w:val="-4"/>
          <w:sz w:val="24"/>
        </w:rPr>
        <w:t> </w:t>
      </w:r>
      <w:r>
        <w:rPr>
          <w:sz w:val="24"/>
        </w:rPr>
        <w:t>models of</w:t>
      </w:r>
      <w:r>
        <w:rPr>
          <w:spacing w:val="-7"/>
          <w:sz w:val="24"/>
        </w:rPr>
        <w:t> </w:t>
      </w:r>
      <w:r>
        <w:rPr>
          <w:sz w:val="24"/>
        </w:rPr>
        <w:t>the situation. Such models tend to represent explicitly</w:t>
      </w:r>
      <w:r>
        <w:rPr>
          <w:spacing w:val="-4"/>
          <w:sz w:val="24"/>
        </w:rPr>
        <w:t> </w:t>
      </w:r>
      <w:r>
        <w:rPr>
          <w:sz w:val="24"/>
        </w:rPr>
        <w:t>only</w:t>
      </w:r>
      <w:r>
        <w:rPr>
          <w:spacing w:val="-4"/>
          <w:sz w:val="24"/>
        </w:rPr>
        <w:t> </w:t>
      </w:r>
      <w:r>
        <w:rPr>
          <w:sz w:val="24"/>
        </w:rPr>
        <w:t>what is assumed to be true about the situation. Better reasoning involves providing warrants that are more plausible or consistent with the rules of logic or the conditions</w:t>
      </w:r>
      <w:r>
        <w:rPr>
          <w:spacing w:val="-1"/>
          <w:sz w:val="24"/>
        </w:rPr>
        <w:t> </w:t>
      </w:r>
      <w:r>
        <w:rPr>
          <w:sz w:val="24"/>
        </w:rPr>
        <w:t>embodied in a comprehensive mental</w:t>
      </w:r>
      <w:r>
        <w:rPr>
          <w:spacing w:val="-7"/>
          <w:sz w:val="24"/>
        </w:rPr>
        <w:t> </w:t>
      </w:r>
      <w:r>
        <w:rPr>
          <w:sz w:val="24"/>
        </w:rPr>
        <w:t>model. More</w:t>
      </w:r>
      <w:r>
        <w:rPr>
          <w:spacing w:val="-3"/>
          <w:sz w:val="24"/>
        </w:rPr>
        <w:t> </w:t>
      </w:r>
      <w:r>
        <w:rPr>
          <w:sz w:val="24"/>
        </w:rPr>
        <w:t>advanced deductive</w:t>
      </w:r>
    </w:p>
    <w:p>
      <w:pPr>
        <w:spacing w:after="0" w:line="477" w:lineRule="auto"/>
        <w:jc w:val="both"/>
        <w:rPr>
          <w:sz w:val="24"/>
        </w:rPr>
        <w:sectPr>
          <w:pgSz w:w="11910" w:h="16840"/>
          <w:pgMar w:header="0" w:footer="1012" w:top="1340" w:bottom="1200" w:left="1680" w:right="280"/>
        </w:sectPr>
      </w:pPr>
    </w:p>
    <w:p>
      <w:pPr>
        <w:pStyle w:val="BodyText"/>
        <w:spacing w:line="480" w:lineRule="auto" w:before="74"/>
        <w:ind w:left="841" w:right="1156"/>
      </w:pPr>
      <w:r>
        <w:rPr/>
        <w:t>reasoning involves providing either multiple (possible divergent) warrants for a single claim or an increasingly sophisticated chain of logically connected and separately warranted assertions.</w:t>
      </w:r>
    </w:p>
    <w:p>
      <w:pPr>
        <w:pStyle w:val="BodyText"/>
        <w:spacing w:line="480" w:lineRule="auto"/>
        <w:ind w:right="1154" w:firstLine="720"/>
      </w:pPr>
      <w:r>
        <w:rPr/>
        <w:t>Reasoning is the process of thinking about things in logical way. Understanding and high performance is an abstract concept is in consonants with formal reasoning ability, since students with a higher level of formal reasoning perform significantly better and understand certain concept faster than concrete learners.</w:t>
      </w:r>
      <w:r>
        <w:rPr>
          <w:spacing w:val="40"/>
        </w:rPr>
        <w:t> </w:t>
      </w:r>
      <w:r>
        <w:rPr/>
        <w:t>Herron (1975) pointed out that abstract concept can only be leant meaningfully by learners that have acquired formal reasoning.</w:t>
      </w:r>
      <w:r>
        <w:rPr>
          <w:spacing w:val="40"/>
        </w:rPr>
        <w:t> </w:t>
      </w:r>
      <w:r>
        <w:rPr/>
        <w:t>This suggested that students</w:t>
      </w:r>
      <w:r>
        <w:rPr>
          <w:spacing w:val="-1"/>
        </w:rPr>
        <w:t> </w:t>
      </w:r>
      <w:r>
        <w:rPr/>
        <w:t>who have advance in their reasoning ability</w:t>
      </w:r>
      <w:r>
        <w:rPr>
          <w:spacing w:val="-4"/>
        </w:rPr>
        <w:t> </w:t>
      </w:r>
      <w:r>
        <w:rPr/>
        <w:t>are expected to outperform</w:t>
      </w:r>
      <w:r>
        <w:rPr>
          <w:spacing w:val="-4"/>
        </w:rPr>
        <w:t> </w:t>
      </w:r>
      <w:r>
        <w:rPr/>
        <w:t>those with low reasoning ability. Many of the concepts that are traditionally covered in school</w:t>
      </w:r>
      <w:r>
        <w:rPr>
          <w:spacing w:val="-8"/>
        </w:rPr>
        <w:t> </w:t>
      </w:r>
      <w:r>
        <w:rPr/>
        <w:t>chemistry</w:t>
      </w:r>
      <w:r>
        <w:rPr>
          <w:spacing w:val="-9"/>
        </w:rPr>
        <w:t> </w:t>
      </w:r>
      <w:r>
        <w:rPr/>
        <w:t>are of</w:t>
      </w:r>
      <w:r>
        <w:rPr>
          <w:spacing w:val="-2"/>
        </w:rPr>
        <w:t> </w:t>
      </w:r>
      <w:r>
        <w:rPr/>
        <w:t>highly abstract entities</w:t>
      </w:r>
      <w:r>
        <w:rPr>
          <w:spacing w:val="-1"/>
        </w:rPr>
        <w:t> </w:t>
      </w:r>
      <w:r>
        <w:rPr/>
        <w:t>that requires students</w:t>
      </w:r>
      <w:r>
        <w:rPr>
          <w:spacing w:val="-1"/>
        </w:rPr>
        <w:t> </w:t>
      </w:r>
      <w:r>
        <w:rPr/>
        <w:t>to function</w:t>
      </w:r>
      <w:r>
        <w:rPr>
          <w:spacing w:val="-4"/>
        </w:rPr>
        <w:t> </w:t>
      </w:r>
      <w:r>
        <w:rPr/>
        <w:t>at the level of formal operations to understand the concepts and principles.</w:t>
      </w:r>
    </w:p>
    <w:p>
      <w:pPr>
        <w:pStyle w:val="BodyText"/>
        <w:spacing w:line="480" w:lineRule="auto" w:before="2"/>
        <w:ind w:right="1152" w:firstLine="720"/>
      </w:pPr>
      <w:r>
        <w:rPr/>
        <w:t>Researches in science education have also indicated that formal thought (ability</w:t>
      </w:r>
      <w:r>
        <w:rPr>
          <w:spacing w:val="-11"/>
        </w:rPr>
        <w:t> </w:t>
      </w:r>
      <w:r>
        <w:rPr/>
        <w:t>to comprehend</w:t>
      </w:r>
      <w:r>
        <w:rPr>
          <w:spacing w:val="-2"/>
        </w:rPr>
        <w:t> </w:t>
      </w:r>
      <w:r>
        <w:rPr/>
        <w:t>abstract ideas) is</w:t>
      </w:r>
      <w:r>
        <w:rPr>
          <w:spacing w:val="-4"/>
        </w:rPr>
        <w:t> </w:t>
      </w:r>
      <w:r>
        <w:rPr/>
        <w:t>essential</w:t>
      </w:r>
      <w:r>
        <w:rPr>
          <w:spacing w:val="-2"/>
        </w:rPr>
        <w:t> </w:t>
      </w:r>
      <w:r>
        <w:rPr/>
        <w:t>for</w:t>
      </w:r>
      <w:r>
        <w:rPr>
          <w:spacing w:val="-1"/>
        </w:rPr>
        <w:t> </w:t>
      </w:r>
      <w:r>
        <w:rPr/>
        <w:t>learning many</w:t>
      </w:r>
      <w:r>
        <w:rPr>
          <w:spacing w:val="-6"/>
        </w:rPr>
        <w:t> </w:t>
      </w:r>
      <w:r>
        <w:rPr/>
        <w:t>difficult scientific concepts.</w:t>
      </w:r>
      <w:r>
        <w:rPr>
          <w:spacing w:val="40"/>
        </w:rPr>
        <w:t> </w:t>
      </w:r>
      <w:r>
        <w:rPr/>
        <w:t>For instance, Sirajo, Mari and Olorukooba (2013) observed that formal reasoning ability is a reliable indicator of successful achievement in science and mathematics. Mari (2001) observed that, for students to have a deeper understanding of the key concepts and fundamental principles of science, the process involved in generating these concepts</w:t>
      </w:r>
      <w:r>
        <w:rPr>
          <w:spacing w:val="-1"/>
        </w:rPr>
        <w:t> </w:t>
      </w:r>
      <w:r>
        <w:rPr/>
        <w:t>and principles must be learnt.</w:t>
      </w:r>
      <w:r>
        <w:rPr>
          <w:spacing w:val="40"/>
        </w:rPr>
        <w:t> </w:t>
      </w:r>
      <w:r>
        <w:rPr/>
        <w:t>Mari</w:t>
      </w:r>
      <w:r>
        <w:rPr>
          <w:spacing w:val="-7"/>
        </w:rPr>
        <w:t> </w:t>
      </w:r>
      <w:r>
        <w:rPr/>
        <w:t>went further to identify that formal</w:t>
      </w:r>
      <w:r>
        <w:rPr>
          <w:spacing w:val="-7"/>
        </w:rPr>
        <w:t> </w:t>
      </w:r>
      <w:r>
        <w:rPr/>
        <w:t>reasoning ability</w:t>
      </w:r>
      <w:r>
        <w:rPr>
          <w:spacing w:val="-3"/>
        </w:rPr>
        <w:t> </w:t>
      </w:r>
      <w:r>
        <w:rPr/>
        <w:t>is</w:t>
      </w:r>
      <w:r>
        <w:rPr>
          <w:spacing w:val="-1"/>
        </w:rPr>
        <w:t> </w:t>
      </w:r>
      <w:r>
        <w:rPr/>
        <w:t>highly</w:t>
      </w:r>
      <w:r>
        <w:rPr>
          <w:spacing w:val="-7"/>
        </w:rPr>
        <w:t> </w:t>
      </w:r>
      <w:r>
        <w:rPr/>
        <w:t>relevant to science</w:t>
      </w:r>
      <w:r>
        <w:rPr>
          <w:spacing w:val="-4"/>
        </w:rPr>
        <w:t> </w:t>
      </w:r>
      <w:r>
        <w:rPr/>
        <w:t>education as</w:t>
      </w:r>
      <w:r>
        <w:rPr>
          <w:spacing w:val="-1"/>
        </w:rPr>
        <w:t> </w:t>
      </w:r>
      <w:r>
        <w:rPr/>
        <w:t>it is</w:t>
      </w:r>
      <w:r>
        <w:rPr>
          <w:spacing w:val="-1"/>
        </w:rPr>
        <w:t> </w:t>
      </w:r>
      <w:r>
        <w:rPr/>
        <w:t>involved in most of the scientific process skills.</w:t>
      </w:r>
      <w:r>
        <w:rPr>
          <w:spacing w:val="40"/>
        </w:rPr>
        <w:t> </w:t>
      </w:r>
      <w:r>
        <w:rPr/>
        <w:t>According to Lawson (2004), formal reasoning ability</w:t>
      </w:r>
      <w:r>
        <w:rPr>
          <w:spacing w:val="-1"/>
        </w:rPr>
        <w:t> </w:t>
      </w:r>
      <w:r>
        <w:rPr/>
        <w:t>is</w:t>
      </w:r>
      <w:r>
        <w:rPr>
          <w:spacing w:val="-3"/>
        </w:rPr>
        <w:t> </w:t>
      </w:r>
      <w:r>
        <w:rPr/>
        <w:t>used</w:t>
      </w:r>
      <w:r>
        <w:rPr>
          <w:spacing w:val="-1"/>
        </w:rPr>
        <w:t> </w:t>
      </w:r>
      <w:r>
        <w:rPr/>
        <w:t>to denote</w:t>
      </w:r>
      <w:r>
        <w:rPr>
          <w:spacing w:val="-2"/>
        </w:rPr>
        <w:t> </w:t>
      </w:r>
      <w:r>
        <w:rPr/>
        <w:t>consistent, social</w:t>
      </w:r>
      <w:r>
        <w:rPr>
          <w:spacing w:val="-6"/>
        </w:rPr>
        <w:t> </w:t>
      </w:r>
      <w:r>
        <w:rPr/>
        <w:t>thought patterns</w:t>
      </w:r>
      <w:r>
        <w:rPr>
          <w:spacing w:val="-3"/>
        </w:rPr>
        <w:t> </w:t>
      </w:r>
      <w:r>
        <w:rPr/>
        <w:t>which</w:t>
      </w:r>
      <w:r>
        <w:rPr>
          <w:spacing w:val="-6"/>
        </w:rPr>
        <w:t> </w:t>
      </w:r>
      <w:r>
        <w:rPr/>
        <w:t>are</w:t>
      </w:r>
      <w:r>
        <w:rPr>
          <w:spacing w:val="-2"/>
        </w:rPr>
        <w:t> </w:t>
      </w:r>
      <w:r>
        <w:rPr/>
        <w:t>employed</w:t>
      </w:r>
      <w:r>
        <w:rPr>
          <w:spacing w:val="-1"/>
        </w:rPr>
        <w:t> </w:t>
      </w:r>
      <w:r>
        <w:rPr/>
        <w:t>during the process of scientific inquiry that enable individuals propose relationships between observed</w:t>
      </w:r>
      <w:r>
        <w:rPr>
          <w:spacing w:val="45"/>
        </w:rPr>
        <w:t> </w:t>
      </w:r>
      <w:r>
        <w:rPr/>
        <w:t>phenomena;</w:t>
      </w:r>
      <w:r>
        <w:rPr>
          <w:spacing w:val="41"/>
        </w:rPr>
        <w:t> </w:t>
      </w:r>
      <w:r>
        <w:rPr/>
        <w:t>to</w:t>
      </w:r>
      <w:r>
        <w:rPr>
          <w:spacing w:val="49"/>
        </w:rPr>
        <w:t> </w:t>
      </w:r>
      <w:r>
        <w:rPr/>
        <w:t>design</w:t>
      </w:r>
      <w:r>
        <w:rPr>
          <w:spacing w:val="42"/>
        </w:rPr>
        <w:t> </w:t>
      </w:r>
      <w:r>
        <w:rPr/>
        <w:t>experiments</w:t>
      </w:r>
      <w:r>
        <w:rPr>
          <w:spacing w:val="46"/>
        </w:rPr>
        <w:t> </w:t>
      </w:r>
      <w:r>
        <w:rPr/>
        <w:t>which</w:t>
      </w:r>
      <w:r>
        <w:rPr>
          <w:spacing w:val="41"/>
        </w:rPr>
        <w:t> </w:t>
      </w:r>
      <w:r>
        <w:rPr/>
        <w:t>test</w:t>
      </w:r>
      <w:r>
        <w:rPr>
          <w:spacing w:val="52"/>
        </w:rPr>
        <w:t> </w:t>
      </w:r>
      <w:r>
        <w:rPr/>
        <w:t>hypothesis</w:t>
      </w:r>
      <w:r>
        <w:rPr>
          <w:spacing w:val="44"/>
        </w:rPr>
        <w:t> </w:t>
      </w:r>
      <w:r>
        <w:rPr/>
        <w:t>concerning</w:t>
      </w:r>
      <w:r>
        <w:rPr>
          <w:spacing w:val="47"/>
        </w:rPr>
        <w:t> </w:t>
      </w:r>
      <w:r>
        <w:rPr>
          <w:spacing w:val="-5"/>
        </w:rPr>
        <w:t>the</w:t>
      </w:r>
    </w:p>
    <w:p>
      <w:pPr>
        <w:spacing w:after="0" w:line="480" w:lineRule="auto"/>
        <w:sectPr>
          <w:pgSz w:w="11910" w:h="16840"/>
          <w:pgMar w:header="0" w:footer="1012" w:top="1340" w:bottom="1200" w:left="1680" w:right="280"/>
        </w:sectPr>
      </w:pPr>
    </w:p>
    <w:p>
      <w:pPr>
        <w:pStyle w:val="BodyText"/>
        <w:spacing w:line="480" w:lineRule="auto" w:before="74"/>
        <w:ind w:right="1154"/>
      </w:pPr>
      <w:r>
        <w:rPr/>
        <w:t>proposed relationship; to consider probabilities of occurrences; to predict logical consequences; to weigh evidence or proof, and to use a number of instances to justify a particular conclusion. Research in science education have also brought to light (revealed) the importance of the cognitive factor influencing achievement in science courses.</w:t>
      </w:r>
      <w:r>
        <w:rPr>
          <w:spacing w:val="40"/>
        </w:rPr>
        <w:t> </w:t>
      </w:r>
      <w:r>
        <w:rPr/>
        <w:t>For instance formal reasoning ability (Mari, 2001).</w:t>
      </w:r>
    </w:p>
    <w:p>
      <w:pPr>
        <w:pStyle w:val="BodyText"/>
        <w:spacing w:line="480" w:lineRule="auto" w:before="1"/>
        <w:ind w:right="1159" w:firstLine="720"/>
      </w:pPr>
      <w:r>
        <w:rPr/>
        <w:t>Self-efficacy predicts intellectual performance better than skills alone, and it directly influences academic performance through cognition. Self-efficacy also indirectly affects perseverance, (Tenaw, 2013).</w:t>
      </w:r>
      <w:r>
        <w:rPr>
          <w:spacing w:val="40"/>
        </w:rPr>
        <w:t> </w:t>
      </w:r>
      <w:r>
        <w:rPr/>
        <w:t>Although past achievement raises</w:t>
      </w:r>
      <w:r>
        <w:rPr>
          <w:spacing w:val="40"/>
        </w:rPr>
        <w:t> </w:t>
      </w:r>
      <w:r>
        <w:rPr/>
        <w:t>self-efficacy, it is student interpretation of past successes and failures that may be responsible for subsequent success. Perceived self- efficacy predicts future achievement better than past performance (Tenaw, 2013). Self- efficacy beliefs also contribute to performance since it influences thought processes, motivation, and behavior, (Britner and Pajares, 2006). Fluctuations in performance may be explained by</w:t>
      </w:r>
      <w:r>
        <w:rPr>
          <w:spacing w:val="-3"/>
        </w:rPr>
        <w:t> </w:t>
      </w:r>
      <w:r>
        <w:rPr/>
        <w:t>fluctuations</w:t>
      </w:r>
      <w:r>
        <w:rPr>
          <w:spacing w:val="-1"/>
        </w:rPr>
        <w:t> </w:t>
      </w:r>
      <w:r>
        <w:rPr/>
        <w:t>in</w:t>
      </w:r>
      <w:r>
        <w:rPr>
          <w:spacing w:val="-3"/>
        </w:rPr>
        <w:t> </w:t>
      </w:r>
      <w:r>
        <w:rPr/>
        <w:t>self-efficacy. For</w:t>
      </w:r>
      <w:r>
        <w:rPr>
          <w:spacing w:val="-2"/>
        </w:rPr>
        <w:t> </w:t>
      </w:r>
      <w:r>
        <w:rPr/>
        <w:t>example,</w:t>
      </w:r>
      <w:r>
        <w:rPr>
          <w:spacing w:val="-1"/>
        </w:rPr>
        <w:t> </w:t>
      </w:r>
      <w:r>
        <w:rPr/>
        <w:t>varying beliefs</w:t>
      </w:r>
      <w:r>
        <w:rPr>
          <w:spacing w:val="-1"/>
        </w:rPr>
        <w:t> </w:t>
      </w:r>
      <w:r>
        <w:rPr/>
        <w:t>in</w:t>
      </w:r>
      <w:r>
        <w:rPr>
          <w:spacing w:val="-3"/>
        </w:rPr>
        <w:t> </w:t>
      </w:r>
      <w:r>
        <w:rPr/>
        <w:t>self-efficacy</w:t>
      </w:r>
      <w:r>
        <w:rPr>
          <w:spacing w:val="-3"/>
        </w:rPr>
        <w:t> </w:t>
      </w:r>
      <w:r>
        <w:rPr/>
        <w:t>may</w:t>
      </w:r>
      <w:r>
        <w:rPr>
          <w:spacing w:val="-7"/>
        </w:rPr>
        <w:t> </w:t>
      </w:r>
      <w:r>
        <w:rPr/>
        <w:t>alter task</w:t>
      </w:r>
      <w:r>
        <w:rPr>
          <w:spacing w:val="-3"/>
        </w:rPr>
        <w:t> </w:t>
      </w:r>
      <w:r>
        <w:rPr/>
        <w:t>outcome,</w:t>
      </w:r>
      <w:r>
        <w:rPr>
          <w:spacing w:val="-2"/>
        </w:rPr>
        <w:t> </w:t>
      </w:r>
      <w:r>
        <w:rPr/>
        <w:t>whether it involves</w:t>
      </w:r>
      <w:r>
        <w:rPr>
          <w:spacing w:val="-5"/>
        </w:rPr>
        <w:t> </w:t>
      </w:r>
      <w:r>
        <w:rPr/>
        <w:t>two similarly-skilled individuals</w:t>
      </w:r>
      <w:r>
        <w:rPr>
          <w:spacing w:val="-5"/>
        </w:rPr>
        <w:t> </w:t>
      </w:r>
      <w:r>
        <w:rPr/>
        <w:t>or</w:t>
      </w:r>
      <w:r>
        <w:rPr>
          <w:spacing w:val="-3"/>
        </w:rPr>
        <w:t> </w:t>
      </w:r>
      <w:r>
        <w:rPr/>
        <w:t>the</w:t>
      </w:r>
      <w:r>
        <w:rPr>
          <w:spacing w:val="-4"/>
        </w:rPr>
        <w:t> </w:t>
      </w:r>
      <w:r>
        <w:rPr/>
        <w:t>same</w:t>
      </w:r>
      <w:r>
        <w:rPr>
          <w:spacing w:val="-4"/>
        </w:rPr>
        <w:t> </w:t>
      </w:r>
      <w:r>
        <w:rPr/>
        <w:t>person in two different situations (Britner and Pajares, 2006).</w:t>
      </w:r>
    </w:p>
    <w:p>
      <w:pPr>
        <w:pStyle w:val="BodyText"/>
        <w:spacing w:line="480" w:lineRule="auto" w:before="2"/>
        <w:ind w:right="1149" w:firstLine="720"/>
      </w:pPr>
      <w:r>
        <w:rPr/>
        <w:t>Individuals high in self-efficacy attempt challenging tasks more often, persist longer at them, and exert more effort. If there are failures, highly efficacious individuals attribute it to a lack of effort or an adverse environment. When they succeed, they credit their achievement to their abilities. The perception that their abilities caused the achievement affects the outcome rather than their actual abilities Bandura, (2001). ―Those who regard themselves as inefficacious shy away from difficult tasks, slacken their efforts and give up readily in the face of difficulties,</w:t>
      </w:r>
      <w:r>
        <w:rPr>
          <w:spacing w:val="80"/>
        </w:rPr>
        <w:t> </w:t>
      </w:r>
      <w:r>
        <w:rPr/>
        <w:t>dwell on their personal deficiencies, lower their aspirations, and suffer much anxiety and stress. Such self-misgivings undermine performance‖ (Bandura, 2001).</w:t>
      </w:r>
    </w:p>
    <w:p>
      <w:pPr>
        <w:spacing w:after="0" w:line="480" w:lineRule="auto"/>
        <w:sectPr>
          <w:pgSz w:w="11910" w:h="16840"/>
          <w:pgMar w:header="0" w:footer="1012" w:top="1340" w:bottom="1200" w:left="1680" w:right="280"/>
        </w:sectPr>
      </w:pPr>
    </w:p>
    <w:p>
      <w:pPr>
        <w:pStyle w:val="BodyText"/>
        <w:spacing w:line="480" w:lineRule="auto" w:before="74"/>
        <w:ind w:right="1158" w:firstLine="720"/>
      </w:pPr>
      <w:r>
        <w:rPr/>
        <w:t>Conversely, individuals with high self-efficacy frequently persevere despite difficult tasks or challenging odds and often succeed because perseverance usually results in a successful outcome (Pajares and Schunk, 2005). Numerous studies Bandura, (2001), Chemers, Hu, and Garcia, (2001)link self-efficacy to academic achievement.</w:t>
      </w:r>
      <w:r>
        <w:rPr>
          <w:spacing w:val="40"/>
        </w:rPr>
        <w:t> </w:t>
      </w:r>
      <w:r>
        <w:rPr/>
        <w:t>For example, in seventh grade Science and English classes, self- efficacy was positively related to cognitive engagement and academic performance (Pajares, 2009). Self-efficacy, self-regulated learning, and test anxiety also were</w:t>
      </w:r>
      <w:r>
        <w:rPr>
          <w:spacing w:val="40"/>
        </w:rPr>
        <w:t> </w:t>
      </w:r>
      <w:r>
        <w:rPr/>
        <w:t>found to be the best performance predictors (Pajares, 2009).</w:t>
      </w:r>
    </w:p>
    <w:p>
      <w:pPr>
        <w:pStyle w:val="BodyText"/>
        <w:spacing w:line="480" w:lineRule="auto" w:before="2"/>
        <w:ind w:right="1152" w:firstLine="720"/>
      </w:pPr>
      <w:r>
        <w:rPr/>
        <w:t>Self-efficacy is the belief in One‘s ability to perform a specific task.</w:t>
      </w:r>
      <w:r>
        <w:rPr>
          <w:spacing w:val="40"/>
        </w:rPr>
        <w:t> </w:t>
      </w:r>
      <w:r>
        <w:rPr/>
        <w:t>Self- efficacy</w:t>
      </w:r>
      <w:r>
        <w:rPr>
          <w:spacing w:val="-4"/>
        </w:rPr>
        <w:t> </w:t>
      </w:r>
      <w:r>
        <w:rPr/>
        <w:t>theory</w:t>
      </w:r>
      <w:r>
        <w:rPr>
          <w:spacing w:val="-4"/>
        </w:rPr>
        <w:t> </w:t>
      </w:r>
      <w:r>
        <w:rPr/>
        <w:t>is an important component of</w:t>
      </w:r>
      <w:r>
        <w:rPr>
          <w:spacing w:val="-7"/>
        </w:rPr>
        <w:t> </w:t>
      </w:r>
      <w:r>
        <w:rPr/>
        <w:t>Bandura‘s social cognitive theory</w:t>
      </w:r>
      <w:r>
        <w:rPr>
          <w:spacing w:val="-9"/>
        </w:rPr>
        <w:t> </w:t>
      </w:r>
      <w:r>
        <w:rPr/>
        <w:t>which suggests</w:t>
      </w:r>
      <w:r>
        <w:rPr>
          <w:spacing w:val="-1"/>
        </w:rPr>
        <w:t> </w:t>
      </w:r>
      <w:r>
        <w:rPr/>
        <w:t>high</w:t>
      </w:r>
      <w:r>
        <w:rPr>
          <w:spacing w:val="-3"/>
        </w:rPr>
        <w:t> </w:t>
      </w:r>
      <w:r>
        <w:rPr/>
        <w:t>inter-relation between individual‘s behavior,</w:t>
      </w:r>
      <w:r>
        <w:rPr>
          <w:spacing w:val="-1"/>
        </w:rPr>
        <w:t> </w:t>
      </w:r>
      <w:r>
        <w:rPr/>
        <w:t>environment and cognitive factors. According to Bandura (2001), perceived self-efficacy affects an individual in all aspects of life, including educational experiences. Beliefs about one‘s competence to successfully perform a task can affect motivation, interest and performance. The higher the perceived efficacy, the higher the goal aspirations people adopt and the firmer their commitment to achieve those goals.</w:t>
      </w:r>
      <w:r>
        <w:rPr>
          <w:spacing w:val="40"/>
        </w:rPr>
        <w:t> </w:t>
      </w:r>
      <w:r>
        <w:rPr/>
        <w:t>An important assumption of social cognitive theory is that personal determinants such as forethought and self-reflection do not have to reside unconsciously within individuals.</w:t>
      </w:r>
      <w:r>
        <w:rPr>
          <w:spacing w:val="40"/>
        </w:rPr>
        <w:t> </w:t>
      </w:r>
      <w:r>
        <w:rPr/>
        <w:t>People can consciously change and develop their cognitive functioning.</w:t>
      </w:r>
    </w:p>
    <w:p>
      <w:pPr>
        <w:pStyle w:val="BodyText"/>
        <w:spacing w:line="480" w:lineRule="auto" w:before="2"/>
        <w:ind w:right="1150" w:firstLine="720"/>
      </w:pPr>
      <w:r>
        <w:rPr/>
        <w:t>Gender is</w:t>
      </w:r>
      <w:r>
        <w:rPr>
          <w:spacing w:val="-5"/>
        </w:rPr>
        <w:t> </w:t>
      </w:r>
      <w:r>
        <w:rPr/>
        <w:t>a</w:t>
      </w:r>
      <w:r>
        <w:rPr>
          <w:spacing w:val="-4"/>
        </w:rPr>
        <w:t> </w:t>
      </w:r>
      <w:r>
        <w:rPr/>
        <w:t>socially</w:t>
      </w:r>
      <w:r>
        <w:rPr>
          <w:spacing w:val="-8"/>
        </w:rPr>
        <w:t> </w:t>
      </w:r>
      <w:r>
        <w:rPr/>
        <w:t>ascribed</w:t>
      </w:r>
      <w:r>
        <w:rPr>
          <w:spacing w:val="-3"/>
        </w:rPr>
        <w:t> </w:t>
      </w:r>
      <w:r>
        <w:rPr/>
        <w:t>attribute,</w:t>
      </w:r>
      <w:r>
        <w:rPr>
          <w:spacing w:val="-2"/>
        </w:rPr>
        <w:t> </w:t>
      </w:r>
      <w:r>
        <w:rPr/>
        <w:t>differentiating feminine from</w:t>
      </w:r>
      <w:r>
        <w:rPr>
          <w:spacing w:val="-8"/>
        </w:rPr>
        <w:t> </w:t>
      </w:r>
      <w:r>
        <w:rPr/>
        <w:t>masculine (Nwagbo and Chukelu, 2011).</w:t>
      </w:r>
      <w:r>
        <w:rPr>
          <w:spacing w:val="40"/>
        </w:rPr>
        <w:t> </w:t>
      </w:r>
      <w:r>
        <w:rPr/>
        <w:t>It has been reported as one of the factors that may interact with cognitive extent and sources of the recorded differences in the achievement of</w:t>
      </w:r>
      <w:r>
        <w:rPr>
          <w:spacing w:val="-4"/>
        </w:rPr>
        <w:t> </w:t>
      </w:r>
      <w:r>
        <w:rPr/>
        <w:t>males</w:t>
      </w:r>
      <w:r>
        <w:rPr>
          <w:spacing w:val="-3"/>
        </w:rPr>
        <w:t> </w:t>
      </w:r>
      <w:r>
        <w:rPr/>
        <w:t>and females in chemistry.</w:t>
      </w:r>
      <w:r>
        <w:rPr>
          <w:spacing w:val="40"/>
        </w:rPr>
        <w:t> </w:t>
      </w:r>
      <w:r>
        <w:rPr/>
        <w:t>While Ifeako, (2005);</w:t>
      </w:r>
      <w:r>
        <w:rPr>
          <w:spacing w:val="-3"/>
        </w:rPr>
        <w:t> </w:t>
      </w:r>
      <w:r>
        <w:rPr/>
        <w:t>Obeka</w:t>
      </w:r>
      <w:r>
        <w:rPr>
          <w:spacing w:val="-2"/>
        </w:rPr>
        <w:t> </w:t>
      </w:r>
      <w:r>
        <w:rPr/>
        <w:t>(2007); Nwagbo and Okoro (2012); reported that males achieved significantly higher than females,</w:t>
      </w:r>
      <w:r>
        <w:rPr>
          <w:spacing w:val="44"/>
        </w:rPr>
        <w:t> </w:t>
      </w:r>
      <w:r>
        <w:rPr/>
        <w:t>Ekwueme</w:t>
      </w:r>
      <w:r>
        <w:rPr>
          <w:spacing w:val="42"/>
        </w:rPr>
        <w:t> </w:t>
      </w:r>
      <w:r>
        <w:rPr/>
        <w:t>and</w:t>
      </w:r>
      <w:r>
        <w:rPr>
          <w:spacing w:val="43"/>
        </w:rPr>
        <w:t> </w:t>
      </w:r>
      <w:r>
        <w:rPr/>
        <w:t>Umoinyang</w:t>
      </w:r>
      <w:r>
        <w:rPr>
          <w:spacing w:val="43"/>
        </w:rPr>
        <w:t> </w:t>
      </w:r>
      <w:r>
        <w:rPr/>
        <w:t>(2005,</w:t>
      </w:r>
      <w:r>
        <w:rPr>
          <w:spacing w:val="45"/>
        </w:rPr>
        <w:t> </w:t>
      </w:r>
      <w:r>
        <w:rPr/>
        <w:t>Longjohn</w:t>
      </w:r>
      <w:r>
        <w:rPr>
          <w:spacing w:val="40"/>
        </w:rPr>
        <w:t> </w:t>
      </w:r>
      <w:r>
        <w:rPr/>
        <w:t>(2009)</w:t>
      </w:r>
      <w:r>
        <w:rPr>
          <w:spacing w:val="44"/>
        </w:rPr>
        <w:t> </w:t>
      </w:r>
      <w:r>
        <w:rPr/>
        <w:t>reported</w:t>
      </w:r>
      <w:r>
        <w:rPr>
          <w:spacing w:val="43"/>
        </w:rPr>
        <w:t> </w:t>
      </w:r>
      <w:r>
        <w:rPr/>
        <w:t>in</w:t>
      </w:r>
      <w:r>
        <w:rPr>
          <w:spacing w:val="43"/>
        </w:rPr>
        <w:t> </w:t>
      </w:r>
      <w:r>
        <w:rPr/>
        <w:t>favour</w:t>
      </w:r>
      <w:r>
        <w:rPr>
          <w:spacing w:val="49"/>
        </w:rPr>
        <w:t> </w:t>
      </w:r>
      <w:r>
        <w:rPr>
          <w:spacing w:val="-5"/>
        </w:rPr>
        <w:t>of</w:t>
      </w:r>
    </w:p>
    <w:p>
      <w:pPr>
        <w:spacing w:after="0" w:line="480" w:lineRule="auto"/>
        <w:sectPr>
          <w:pgSz w:w="11910" w:h="16840"/>
          <w:pgMar w:header="0" w:footer="1012" w:top="1340" w:bottom="1200" w:left="1680" w:right="280"/>
        </w:sectPr>
      </w:pPr>
    </w:p>
    <w:p>
      <w:pPr>
        <w:pStyle w:val="BodyText"/>
        <w:spacing w:line="480" w:lineRule="auto" w:before="74"/>
        <w:ind w:right="1159"/>
      </w:pPr>
      <w:r>
        <w:rPr/>
        <w:t>females. Opera (2002) did not find significant influence of gender on students‘ </w:t>
      </w:r>
      <w:r>
        <w:rPr>
          <w:spacing w:val="-2"/>
        </w:rPr>
        <w:t>achievement.</w:t>
      </w:r>
    </w:p>
    <w:p>
      <w:pPr>
        <w:pStyle w:val="BodyText"/>
        <w:spacing w:line="480" w:lineRule="auto"/>
        <w:ind w:right="1149" w:firstLine="720"/>
      </w:pPr>
      <w:r>
        <w:rPr/>
        <w:t>Gender differences in self-efficacy have been reported in several researches. For instance, Sadker and Sadker – Tenaw, (2013) reported that girls, starting in grade seven tends to underestimate their abilities in mathematics and science. Smist and Owen and Kinsella – Tenaw, (2013) have documented that female students have</w:t>
      </w:r>
      <w:r>
        <w:rPr>
          <w:spacing w:val="40"/>
        </w:rPr>
        <w:t> </w:t>
      </w:r>
      <w:r>
        <w:rPr/>
        <w:t>lower self-efficacy in mathematics and science compared to male students. Girls‘ capabilities are undermined by sex-role stereotypes in many cultures intimating that females are not as able as males, especially in such disciplines as mathematics and science (Soffa, 2006). Another contributing factor could be the lower level of expectations that parents, teachers and counselors often hold for girls, which can discourage further study in scientific and technical fields (Soffa, 2006) and American Association of University Women Educational Foundation, (1999) among others, in their study on effect of learning about gender discrimination on girls attitudes toward science,</w:t>
      </w:r>
      <w:r>
        <w:rPr>
          <w:spacing w:val="-1"/>
        </w:rPr>
        <w:t> </w:t>
      </w:r>
      <w:r>
        <w:rPr/>
        <w:t>Weisgram</w:t>
      </w:r>
      <w:r>
        <w:rPr>
          <w:spacing w:val="-11"/>
        </w:rPr>
        <w:t> </w:t>
      </w:r>
      <w:r>
        <w:rPr/>
        <w:t>and</w:t>
      </w:r>
      <w:r>
        <w:rPr>
          <w:spacing w:val="-3"/>
        </w:rPr>
        <w:t> </w:t>
      </w:r>
      <w:r>
        <w:rPr/>
        <w:t>Bigler -</w:t>
      </w:r>
      <w:r>
        <w:rPr>
          <w:spacing w:val="-1"/>
        </w:rPr>
        <w:t> </w:t>
      </w:r>
      <w:r>
        <w:rPr/>
        <w:t>Tenaw,</w:t>
      </w:r>
      <w:r>
        <w:rPr>
          <w:spacing w:val="-1"/>
        </w:rPr>
        <w:t> </w:t>
      </w:r>
      <w:r>
        <w:rPr/>
        <w:t>(2013)</w:t>
      </w:r>
      <w:r>
        <w:rPr>
          <w:spacing w:val="-1"/>
        </w:rPr>
        <w:t> </w:t>
      </w:r>
      <w:r>
        <w:rPr/>
        <w:t>mentioned</w:t>
      </w:r>
      <w:r>
        <w:rPr>
          <w:spacing w:val="-3"/>
        </w:rPr>
        <w:t> </w:t>
      </w:r>
      <w:r>
        <w:rPr/>
        <w:t>that low</w:t>
      </w:r>
      <w:r>
        <w:rPr>
          <w:spacing w:val="-4"/>
        </w:rPr>
        <w:t> </w:t>
      </w:r>
      <w:r>
        <w:rPr/>
        <w:t>confidence level</w:t>
      </w:r>
      <w:r>
        <w:rPr>
          <w:spacing w:val="-11"/>
        </w:rPr>
        <w:t> </w:t>
      </w:r>
      <w:r>
        <w:rPr/>
        <w:t>of girls toward science is partially due to prejudge that girls developed ever years: females are not as good as males in terms of science learning. Weisgram and Bigler– Tenaw, (2013) also concluded that informing girls of the discrimination would increase their self-efficacy by changing their attribution of past experience.</w:t>
      </w:r>
    </w:p>
    <w:p>
      <w:pPr>
        <w:pStyle w:val="BodyText"/>
        <w:spacing w:line="480" w:lineRule="auto" w:before="4"/>
        <w:ind w:right="1158" w:firstLine="720"/>
      </w:pPr>
      <w:r>
        <w:rPr/>
        <w:t>Gender Differences in Emotional Intelligence have Competing evidence that exists surrounding whether or not males and females differ significantly in general levels of emotional intelligence. Goleman – Stys and Shelley (2004) asserts that no gender differences in EI exist, admitting that while men and women may have different profiles of strengths and weaknesses in different areas of emotional intelligence,</w:t>
      </w:r>
      <w:r>
        <w:rPr>
          <w:spacing w:val="38"/>
        </w:rPr>
        <w:t> </w:t>
      </w:r>
      <w:r>
        <w:rPr/>
        <w:t>their</w:t>
      </w:r>
      <w:r>
        <w:rPr>
          <w:spacing w:val="38"/>
        </w:rPr>
        <w:t> </w:t>
      </w:r>
      <w:r>
        <w:rPr/>
        <w:t>overall</w:t>
      </w:r>
      <w:r>
        <w:rPr>
          <w:spacing w:val="37"/>
        </w:rPr>
        <w:t> </w:t>
      </w:r>
      <w:r>
        <w:rPr/>
        <w:t>levels</w:t>
      </w:r>
      <w:r>
        <w:rPr>
          <w:spacing w:val="34"/>
        </w:rPr>
        <w:t> </w:t>
      </w:r>
      <w:r>
        <w:rPr/>
        <w:t>of</w:t>
      </w:r>
      <w:r>
        <w:rPr>
          <w:spacing w:val="28"/>
        </w:rPr>
        <w:t> </w:t>
      </w:r>
      <w:r>
        <w:rPr/>
        <w:t>EI.</w:t>
      </w:r>
      <w:r>
        <w:rPr>
          <w:spacing w:val="38"/>
        </w:rPr>
        <w:t> </w:t>
      </w:r>
      <w:r>
        <w:rPr/>
        <w:t>are</w:t>
      </w:r>
      <w:r>
        <w:rPr>
          <w:spacing w:val="35"/>
        </w:rPr>
        <w:t> </w:t>
      </w:r>
      <w:r>
        <w:rPr/>
        <w:t>equivalent.</w:t>
      </w:r>
      <w:r>
        <w:rPr>
          <w:spacing w:val="38"/>
        </w:rPr>
        <w:t> </w:t>
      </w:r>
      <w:r>
        <w:rPr/>
        <w:t>However,</w:t>
      </w:r>
      <w:r>
        <w:rPr>
          <w:spacing w:val="38"/>
        </w:rPr>
        <w:t> </w:t>
      </w:r>
      <w:r>
        <w:rPr/>
        <w:t>studies</w:t>
      </w:r>
      <w:r>
        <w:rPr>
          <w:spacing w:val="34"/>
        </w:rPr>
        <w:t> </w:t>
      </w:r>
      <w:r>
        <w:rPr/>
        <w:t>by</w:t>
      </w:r>
      <w:r>
        <w:rPr>
          <w:spacing w:val="31"/>
        </w:rPr>
        <w:t> </w:t>
      </w:r>
      <w:r>
        <w:rPr/>
        <w:t>Mayer,</w:t>
      </w:r>
    </w:p>
    <w:p>
      <w:pPr>
        <w:spacing w:after="0" w:line="480" w:lineRule="auto"/>
        <w:sectPr>
          <w:pgSz w:w="11910" w:h="16840"/>
          <w:pgMar w:header="0" w:footer="1012" w:top="1340" w:bottom="1200" w:left="1680" w:right="280"/>
        </w:sectPr>
      </w:pPr>
    </w:p>
    <w:p>
      <w:pPr>
        <w:pStyle w:val="BodyText"/>
        <w:spacing w:line="480" w:lineRule="auto" w:before="74"/>
        <w:ind w:right="1160"/>
      </w:pPr>
      <w:r>
        <w:rPr/>
        <w:t>Caruso, and Salovey - Stys and Shelley (2004), and Mandell and Pherwani (2003) have found that women are more likely to score higher on measures of emotional intelligence than men, both in professional and personal settings.</w:t>
      </w:r>
    </w:p>
    <w:p>
      <w:pPr>
        <w:pStyle w:val="BodyText"/>
        <w:spacing w:line="480" w:lineRule="auto"/>
        <w:ind w:right="1152" w:firstLine="720"/>
      </w:pPr>
      <w:r>
        <w:rPr/>
        <w:t>Bracket and Mayer (2003) found that females scored higher than males on EI when measured by a performance measure (the Mayer-Salovey-Caruso Emotional Intelligence Test). However, when using self-report measures such as the Bar-On Emotion Quotient Inventory (EQ-i) and the Self-Report Emotional Intelligence Test (SREIT), they found no evidence for gender differences. Perhaps gender differences exist in emotional intelligence only when one defines EI in a purely cognitive manner rather than through a mixed perspective. It could also be the case that gender differences do exist but measurement artifacts such as over-estimation of ability on</w:t>
      </w:r>
      <w:r>
        <w:rPr>
          <w:spacing w:val="40"/>
        </w:rPr>
        <w:t> </w:t>
      </w:r>
      <w:r>
        <w:rPr/>
        <w:t>the part of males are more likely to occur with self-report measures. More research is required to determine whether or not gender differences do exist in emotional intelligence, reasoning ability, self-efficacy and academic achievement.</w:t>
      </w:r>
    </w:p>
    <w:p>
      <w:pPr>
        <w:pStyle w:val="BodyText"/>
        <w:spacing w:line="480" w:lineRule="auto" w:before="3"/>
        <w:ind w:right="1162" w:firstLine="720"/>
      </w:pPr>
      <w:r>
        <w:rPr/>
        <w:t>Academic achievement has become an indicator of a child‘s future in the present extremely competitive world.</w:t>
      </w:r>
      <w:r>
        <w:rPr>
          <w:spacing w:val="40"/>
        </w:rPr>
        <w:t> </w:t>
      </w:r>
      <w:r>
        <w:rPr/>
        <w:t>Many students seem not to get recognition proportionate with their known or related abilities.</w:t>
      </w:r>
      <w:r>
        <w:rPr>
          <w:spacing w:val="40"/>
        </w:rPr>
        <w:t> </w:t>
      </w:r>
      <w:r>
        <w:rPr/>
        <w:t>Generally, we find students with average abilities excel in different areas.</w:t>
      </w:r>
      <w:r>
        <w:rPr>
          <w:spacing w:val="40"/>
        </w:rPr>
        <w:t> </w:t>
      </w:r>
      <w:r>
        <w:rPr/>
        <w:t>The perplexing facts, which have come into forefront, are</w:t>
      </w:r>
      <w:r>
        <w:rPr>
          <w:spacing w:val="-13"/>
        </w:rPr>
        <w:t> </w:t>
      </w:r>
      <w:r>
        <w:rPr/>
        <w:t>that in</w:t>
      </w:r>
      <w:r>
        <w:rPr>
          <w:spacing w:val="-7"/>
        </w:rPr>
        <w:t> </w:t>
      </w:r>
      <w:r>
        <w:rPr/>
        <w:t>spite</w:t>
      </w:r>
      <w:r>
        <w:rPr>
          <w:spacing w:val="-3"/>
        </w:rPr>
        <w:t> </w:t>
      </w:r>
      <w:r>
        <w:rPr/>
        <w:t>of</w:t>
      </w:r>
      <w:r>
        <w:rPr>
          <w:spacing w:val="-10"/>
        </w:rPr>
        <w:t> </w:t>
      </w:r>
      <w:r>
        <w:rPr/>
        <w:t>having similar</w:t>
      </w:r>
      <w:r>
        <w:rPr>
          <w:spacing w:val="-1"/>
        </w:rPr>
        <w:t> </w:t>
      </w:r>
      <w:r>
        <w:rPr/>
        <w:t>educational</w:t>
      </w:r>
      <w:r>
        <w:rPr>
          <w:spacing w:val="-11"/>
        </w:rPr>
        <w:t> </w:t>
      </w:r>
      <w:r>
        <w:rPr/>
        <w:t>amenities, atmosphere, desires etc.</w:t>
      </w:r>
      <w:r>
        <w:rPr>
          <w:spacing w:val="40"/>
        </w:rPr>
        <w:t> </w:t>
      </w:r>
      <w:r>
        <w:rPr/>
        <w:t>academic achievement of students differs</w:t>
      </w:r>
      <w:r>
        <w:rPr>
          <w:spacing w:val="40"/>
        </w:rPr>
        <w:t> </w:t>
      </w:r>
      <w:r>
        <w:rPr/>
        <w:t>from</w:t>
      </w:r>
      <w:r>
        <w:rPr>
          <w:spacing w:val="-1"/>
        </w:rPr>
        <w:t> </w:t>
      </w:r>
      <w:r>
        <w:rPr/>
        <w:t>one another (Gakhar &amp; Aseema, 2014).</w:t>
      </w:r>
      <w:r>
        <w:rPr>
          <w:spacing w:val="40"/>
        </w:rPr>
        <w:t> </w:t>
      </w:r>
      <w:r>
        <w:rPr/>
        <w:t>Therefore,</w:t>
      </w:r>
      <w:r>
        <w:rPr>
          <w:spacing w:val="-4"/>
        </w:rPr>
        <w:t> </w:t>
      </w:r>
      <w:r>
        <w:rPr/>
        <w:t>the</w:t>
      </w:r>
      <w:r>
        <w:rPr>
          <w:spacing w:val="-2"/>
        </w:rPr>
        <w:t> </w:t>
      </w:r>
      <w:r>
        <w:rPr/>
        <w:t>topic</w:t>
      </w:r>
      <w:r>
        <w:rPr>
          <w:spacing w:val="-2"/>
        </w:rPr>
        <w:t> </w:t>
      </w:r>
      <w:r>
        <w:rPr/>
        <w:t>of</w:t>
      </w:r>
      <w:r>
        <w:rPr>
          <w:spacing w:val="-9"/>
        </w:rPr>
        <w:t> </w:t>
      </w:r>
      <w:r>
        <w:rPr/>
        <w:t>academic</w:t>
      </w:r>
      <w:r>
        <w:rPr>
          <w:spacing w:val="-2"/>
        </w:rPr>
        <w:t> </w:t>
      </w:r>
      <w:r>
        <w:rPr/>
        <w:t>achievement has</w:t>
      </w:r>
      <w:r>
        <w:rPr>
          <w:spacing w:val="-3"/>
        </w:rPr>
        <w:t> </w:t>
      </w:r>
      <w:r>
        <w:rPr/>
        <w:t>assumed</w:t>
      </w:r>
      <w:r>
        <w:rPr>
          <w:spacing w:val="-1"/>
        </w:rPr>
        <w:t> </w:t>
      </w:r>
      <w:r>
        <w:rPr/>
        <w:t>a lot of</w:t>
      </w:r>
      <w:r>
        <w:rPr>
          <w:spacing w:val="-4"/>
        </w:rPr>
        <w:t> </w:t>
      </w:r>
      <w:r>
        <w:rPr/>
        <w:t>meaning in the modern educational system.</w:t>
      </w:r>
    </w:p>
    <w:p>
      <w:pPr>
        <w:pStyle w:val="BodyText"/>
        <w:spacing w:line="480" w:lineRule="auto" w:before="1"/>
        <w:ind w:right="1170" w:firstLine="720"/>
      </w:pPr>
      <w:r>
        <w:rPr/>
        <w:t>In</w:t>
      </w:r>
      <w:r>
        <w:rPr>
          <w:spacing w:val="-7"/>
        </w:rPr>
        <w:t> </w:t>
      </w:r>
      <w:r>
        <w:rPr/>
        <w:t>our</w:t>
      </w:r>
      <w:r>
        <w:rPr>
          <w:spacing w:val="-1"/>
        </w:rPr>
        <w:t> </w:t>
      </w:r>
      <w:r>
        <w:rPr/>
        <w:t>social</w:t>
      </w:r>
      <w:r>
        <w:rPr>
          <w:spacing w:val="-2"/>
        </w:rPr>
        <w:t> </w:t>
      </w:r>
      <w:r>
        <w:rPr/>
        <w:t>set up, academic achievement is considered</w:t>
      </w:r>
      <w:r>
        <w:rPr>
          <w:spacing w:val="-2"/>
        </w:rPr>
        <w:t> </w:t>
      </w:r>
      <w:r>
        <w:rPr/>
        <w:t>as a main standard</w:t>
      </w:r>
      <w:r>
        <w:rPr>
          <w:spacing w:val="-2"/>
        </w:rPr>
        <w:t> </w:t>
      </w:r>
      <w:r>
        <w:rPr/>
        <w:t>to judge one‘s whole capabilities and competencies.</w:t>
      </w:r>
      <w:r>
        <w:rPr>
          <w:spacing w:val="40"/>
        </w:rPr>
        <w:t> </w:t>
      </w:r>
      <w:r>
        <w:rPr/>
        <w:t>Therefore, academic achievement occupies</w:t>
      </w:r>
      <w:r>
        <w:rPr>
          <w:spacing w:val="35"/>
        </w:rPr>
        <w:t>  </w:t>
      </w:r>
      <w:r>
        <w:rPr/>
        <w:t>an</w:t>
      </w:r>
      <w:r>
        <w:rPr>
          <w:spacing w:val="35"/>
        </w:rPr>
        <w:t>  </w:t>
      </w:r>
      <w:r>
        <w:rPr/>
        <w:t>essential</w:t>
      </w:r>
      <w:r>
        <w:rPr>
          <w:spacing w:val="35"/>
        </w:rPr>
        <w:t>  </w:t>
      </w:r>
      <w:r>
        <w:rPr/>
        <w:t>place</w:t>
      </w:r>
      <w:r>
        <w:rPr>
          <w:spacing w:val="40"/>
        </w:rPr>
        <w:t>  </w:t>
      </w:r>
      <w:r>
        <w:rPr/>
        <w:t>in</w:t>
      </w:r>
      <w:r>
        <w:rPr>
          <w:spacing w:val="37"/>
        </w:rPr>
        <w:t>  </w:t>
      </w:r>
      <w:r>
        <w:rPr/>
        <w:t>teaching</w:t>
      </w:r>
      <w:r>
        <w:rPr>
          <w:spacing w:val="40"/>
        </w:rPr>
        <w:t>  </w:t>
      </w:r>
      <w:r>
        <w:rPr/>
        <w:t>learning</w:t>
      </w:r>
      <w:r>
        <w:rPr>
          <w:spacing w:val="37"/>
        </w:rPr>
        <w:t>  </w:t>
      </w:r>
      <w:r>
        <w:rPr/>
        <w:t>process.</w:t>
      </w:r>
      <w:r>
        <w:rPr>
          <w:spacing w:val="70"/>
        </w:rPr>
        <w:t>   </w:t>
      </w:r>
      <w:r>
        <w:rPr/>
        <w:t>In</w:t>
      </w:r>
      <w:r>
        <w:rPr>
          <w:spacing w:val="35"/>
        </w:rPr>
        <w:t>  </w:t>
      </w:r>
      <w:r>
        <w:rPr/>
        <w:t>the</w:t>
      </w:r>
      <w:r>
        <w:rPr>
          <w:spacing w:val="36"/>
        </w:rPr>
        <w:t>  </w:t>
      </w:r>
      <w:r>
        <w:rPr>
          <w:spacing w:val="-2"/>
        </w:rPr>
        <w:t>present</w:t>
      </w:r>
    </w:p>
    <w:p>
      <w:pPr>
        <w:spacing w:after="0" w:line="480" w:lineRule="auto"/>
        <w:sectPr>
          <w:pgSz w:w="11910" w:h="16840"/>
          <w:pgMar w:header="0" w:footer="1012" w:top="1340" w:bottom="1200" w:left="1680" w:right="280"/>
        </w:sectPr>
      </w:pPr>
    </w:p>
    <w:p>
      <w:pPr>
        <w:pStyle w:val="BodyText"/>
        <w:spacing w:line="480" w:lineRule="auto" w:before="74"/>
        <w:ind w:right="1156"/>
      </w:pPr>
      <w:r>
        <w:rPr/>
        <w:t>socioeconomic and cultural context academic achievement is of paramount significance.</w:t>
      </w:r>
      <w:r>
        <w:rPr>
          <w:spacing w:val="40"/>
        </w:rPr>
        <w:t> </w:t>
      </w:r>
      <w:r>
        <w:rPr/>
        <w:t>Right from the beginning great stress is placed on achievement at secondary school level (Gupta, Sharma &amp; Gupta, 2012).</w:t>
      </w:r>
      <w:r>
        <w:rPr>
          <w:spacing w:val="40"/>
        </w:rPr>
        <w:t> </w:t>
      </w:r>
      <w:r>
        <w:rPr/>
        <w:t>This stage has its own organized hierarchy</w:t>
      </w:r>
      <w:r>
        <w:rPr>
          <w:spacing w:val="-2"/>
        </w:rPr>
        <w:t> </w:t>
      </w:r>
      <w:r>
        <w:rPr/>
        <w:t>which is mainly</w:t>
      </w:r>
      <w:r>
        <w:rPr>
          <w:spacing w:val="-2"/>
        </w:rPr>
        <w:t> </w:t>
      </w:r>
      <w:r>
        <w:rPr/>
        <w:t>based on</w:t>
      </w:r>
      <w:r>
        <w:rPr>
          <w:spacing w:val="-2"/>
        </w:rPr>
        <w:t> </w:t>
      </w:r>
      <w:r>
        <w:rPr/>
        <w:t>achievement and performance, because this period is a path to enter professional courses.</w:t>
      </w:r>
    </w:p>
    <w:p>
      <w:pPr>
        <w:pStyle w:val="BodyText"/>
        <w:spacing w:line="480" w:lineRule="auto" w:before="1"/>
        <w:ind w:right="1151" w:firstLine="720"/>
      </w:pPr>
      <w:r>
        <w:rPr/>
        <w:t>The academic achievement is a multidimensional and multifaceted phenomenon.</w:t>
      </w:r>
      <w:r>
        <w:rPr>
          <w:spacing w:val="40"/>
        </w:rPr>
        <w:t> </w:t>
      </w:r>
      <w:r>
        <w:rPr/>
        <w:t>There are various factors, which influence pupil‘s academic achievement namely; school climate, parental involvement, intelligence, learning experiences at schools, parental occupation, their educational level, reasoning personality, motivation, heredity, problem solving interest aptitudes, learning styles and socio-economic status of the parents and many more factors (Can, 2009). In the present times every one desires to have a high academic performance.</w:t>
      </w:r>
      <w:r>
        <w:rPr>
          <w:spacing w:val="40"/>
        </w:rPr>
        <w:t> </w:t>
      </w:r>
      <w:r>
        <w:rPr/>
        <w:t>The entire system of education is centred on students‘ academic performance.</w:t>
      </w:r>
      <w:r>
        <w:rPr>
          <w:spacing w:val="40"/>
        </w:rPr>
        <w:t> </w:t>
      </w:r>
      <w:r>
        <w:rPr/>
        <w:t>An insignificant research occurs concentrating on the roles of</w:t>
      </w:r>
      <w:r>
        <w:rPr>
          <w:spacing w:val="-2"/>
        </w:rPr>
        <w:t> </w:t>
      </w:r>
      <w:r>
        <w:rPr/>
        <w:t>emotional-intelligence, reasoning ability and self-efficacy on pupils‘ performance in science and other subjects but they are limited and inconsistent.</w:t>
      </w:r>
    </w:p>
    <w:p>
      <w:pPr>
        <w:pStyle w:val="BodyText"/>
        <w:spacing w:line="480" w:lineRule="auto" w:before="2"/>
        <w:ind w:right="1158" w:firstLine="720"/>
      </w:pPr>
      <w:r>
        <w:rPr/>
        <w:t>This study</w:t>
      </w:r>
      <w:r>
        <w:rPr>
          <w:spacing w:val="-5"/>
        </w:rPr>
        <w:t> </w:t>
      </w:r>
      <w:r>
        <w:rPr/>
        <w:t>sought to investigate</w:t>
      </w:r>
      <w:r>
        <w:rPr>
          <w:spacing w:val="-1"/>
        </w:rPr>
        <w:t> </w:t>
      </w:r>
      <w:r>
        <w:rPr/>
        <w:t>the</w:t>
      </w:r>
      <w:r>
        <w:rPr>
          <w:spacing w:val="-1"/>
        </w:rPr>
        <w:t> </w:t>
      </w:r>
      <w:r>
        <w:rPr/>
        <w:t>predictive effect of</w:t>
      </w:r>
      <w:r>
        <w:rPr>
          <w:spacing w:val="-8"/>
        </w:rPr>
        <w:t> </w:t>
      </w:r>
      <w:r>
        <w:rPr/>
        <w:t>emotional intelligence, reasoning ability, and self-efficacy on achievement of senior secondary school chemistry students in Zonkwa Education Zone.</w:t>
      </w:r>
      <w:r>
        <w:rPr>
          <w:spacing w:val="40"/>
        </w:rPr>
        <w:t> </w:t>
      </w:r>
      <w:r>
        <w:rPr/>
        <w:t>The study</w:t>
      </w:r>
      <w:r>
        <w:rPr>
          <w:spacing w:val="-4"/>
        </w:rPr>
        <w:t> </w:t>
      </w:r>
      <w:r>
        <w:rPr/>
        <w:t>used a different study</w:t>
      </w:r>
      <w:r>
        <w:rPr>
          <w:spacing w:val="-4"/>
        </w:rPr>
        <w:t> </w:t>
      </w:r>
      <w:r>
        <w:rPr/>
        <w:t>area and level of the students for better results.</w:t>
      </w:r>
    </w:p>
    <w:p>
      <w:pPr>
        <w:pStyle w:val="Heading3"/>
        <w:numPr>
          <w:ilvl w:val="2"/>
          <w:numId w:val="5"/>
        </w:numPr>
        <w:tabs>
          <w:tab w:pos="1199" w:val="left" w:leader="none"/>
        </w:tabs>
        <w:spacing w:line="240" w:lineRule="auto" w:before="6" w:after="0"/>
        <w:ind w:left="1199" w:right="0" w:hanging="719"/>
        <w:jc w:val="both"/>
      </w:pPr>
      <w:bookmarkStart w:name="_TOC_250016" w:id="12"/>
      <w:r>
        <w:rPr/>
        <w:t>Theoretical</w:t>
      </w:r>
      <w:r>
        <w:rPr>
          <w:spacing w:val="-8"/>
        </w:rPr>
        <w:t> </w:t>
      </w:r>
      <w:bookmarkEnd w:id="12"/>
      <w:r>
        <w:rPr>
          <w:spacing w:val="-2"/>
        </w:rPr>
        <w:t>Framework</w:t>
      </w:r>
    </w:p>
    <w:p>
      <w:pPr>
        <w:pStyle w:val="BodyText"/>
        <w:spacing w:line="480" w:lineRule="auto" w:before="271"/>
        <w:ind w:right="1156" w:firstLine="720"/>
      </w:pPr>
      <w:r>
        <w:rPr/>
        <w:t>The primary theory utilized in this research is Goleman's Emotional Intelligence</w:t>
      </w:r>
      <w:r>
        <w:rPr>
          <w:spacing w:val="-2"/>
        </w:rPr>
        <w:t> </w:t>
      </w:r>
      <w:r>
        <w:rPr/>
        <w:t>Theory(1995). Due</w:t>
      </w:r>
      <w:r>
        <w:rPr>
          <w:spacing w:val="-3"/>
        </w:rPr>
        <w:t> </w:t>
      </w:r>
      <w:r>
        <w:rPr/>
        <w:t>to his</w:t>
      </w:r>
      <w:r>
        <w:rPr>
          <w:spacing w:val="-3"/>
        </w:rPr>
        <w:t> </w:t>
      </w:r>
      <w:r>
        <w:rPr/>
        <w:t>1995 book, Emotional</w:t>
      </w:r>
      <w:r>
        <w:rPr>
          <w:spacing w:val="-6"/>
        </w:rPr>
        <w:t> </w:t>
      </w:r>
      <w:r>
        <w:rPr/>
        <w:t>Intelligence: Why</w:t>
      </w:r>
      <w:r>
        <w:rPr>
          <w:spacing w:val="-6"/>
        </w:rPr>
        <w:t> </w:t>
      </w:r>
      <w:r>
        <w:rPr/>
        <w:t>It Can Matter More Than IQ, Goleman's Emotional Intelligence (1995), theory is possibly</w:t>
      </w:r>
      <w:r>
        <w:rPr>
          <w:spacing w:val="40"/>
        </w:rPr>
        <w:t> </w:t>
      </w:r>
      <w:r>
        <w:rPr/>
        <w:t>the most widely</w:t>
      </w:r>
      <w:r>
        <w:rPr>
          <w:spacing w:val="-7"/>
        </w:rPr>
        <w:t> </w:t>
      </w:r>
      <w:r>
        <w:rPr/>
        <w:t>recognized</w:t>
      </w:r>
      <w:r>
        <w:rPr>
          <w:spacing w:val="-2"/>
        </w:rPr>
        <w:t> </w:t>
      </w:r>
      <w:r>
        <w:rPr/>
        <w:t>and</w:t>
      </w:r>
      <w:r>
        <w:rPr>
          <w:spacing w:val="-2"/>
        </w:rPr>
        <w:t> </w:t>
      </w:r>
      <w:r>
        <w:rPr/>
        <w:t>known</w:t>
      </w:r>
      <w:r>
        <w:rPr>
          <w:spacing w:val="-8"/>
        </w:rPr>
        <w:t> </w:t>
      </w:r>
      <w:r>
        <w:rPr/>
        <w:t>of</w:t>
      </w:r>
      <w:r>
        <w:rPr>
          <w:spacing w:val="-9"/>
        </w:rPr>
        <w:t> </w:t>
      </w:r>
      <w:r>
        <w:rPr/>
        <w:t>those</w:t>
      </w:r>
      <w:r>
        <w:rPr>
          <w:spacing w:val="-3"/>
        </w:rPr>
        <w:t> </w:t>
      </w:r>
      <w:r>
        <w:rPr/>
        <w:t>available. According</w:t>
      </w:r>
      <w:r>
        <w:rPr>
          <w:spacing w:val="-2"/>
        </w:rPr>
        <w:t> </w:t>
      </w:r>
      <w:r>
        <w:rPr/>
        <w:t>to his</w:t>
      </w:r>
      <w:r>
        <w:rPr>
          <w:spacing w:val="-4"/>
        </w:rPr>
        <w:t> </w:t>
      </w:r>
      <w:r>
        <w:rPr/>
        <w:t>definition,</w:t>
      </w:r>
    </w:p>
    <w:p>
      <w:pPr>
        <w:spacing w:after="0" w:line="480" w:lineRule="auto"/>
        <w:sectPr>
          <w:pgSz w:w="11910" w:h="16840"/>
          <w:pgMar w:header="0" w:footer="1012" w:top="1340" w:bottom="1200" w:left="1680" w:right="280"/>
        </w:sectPr>
      </w:pPr>
    </w:p>
    <w:p>
      <w:pPr>
        <w:pStyle w:val="BodyText"/>
        <w:spacing w:line="480" w:lineRule="auto" w:before="74"/>
        <w:ind w:right="1152"/>
      </w:pPr>
      <w:r>
        <w:rPr/>
        <w:t>emotional intelligence is "the capacity for recognizing our own feelings, and those of others, for motivating ourselves and for managing emotions well in our relationships" (Goleman, 1995). Emotional intelligence can similarly be defined as "a type of social intelligence</w:t>
      </w:r>
      <w:r>
        <w:rPr>
          <w:spacing w:val="-1"/>
        </w:rPr>
        <w:t> </w:t>
      </w:r>
      <w:r>
        <w:rPr/>
        <w:t>that involves</w:t>
      </w:r>
      <w:r>
        <w:rPr>
          <w:spacing w:val="-1"/>
        </w:rPr>
        <w:t> </w:t>
      </w:r>
      <w:r>
        <w:rPr/>
        <w:t>the</w:t>
      </w:r>
      <w:r>
        <w:rPr>
          <w:spacing w:val="-1"/>
        </w:rPr>
        <w:t> </w:t>
      </w:r>
      <w:r>
        <w:rPr/>
        <w:t>ability</w:t>
      </w:r>
      <w:r>
        <w:rPr>
          <w:spacing w:val="-4"/>
        </w:rPr>
        <w:t> </w:t>
      </w:r>
      <w:r>
        <w:rPr/>
        <w:t>of</w:t>
      </w:r>
      <w:r>
        <w:rPr>
          <w:spacing w:val="-7"/>
        </w:rPr>
        <w:t> </w:t>
      </w:r>
      <w:r>
        <w:rPr/>
        <w:t>one</w:t>
      </w:r>
      <w:r>
        <w:rPr>
          <w:spacing w:val="-1"/>
        </w:rPr>
        <w:t> </w:t>
      </w:r>
      <w:r>
        <w:rPr/>
        <w:t>to monitor</w:t>
      </w:r>
      <w:r>
        <w:rPr>
          <w:spacing w:val="-2"/>
        </w:rPr>
        <w:t> </w:t>
      </w:r>
      <w:r>
        <w:rPr/>
        <w:t>one's</w:t>
      </w:r>
      <w:r>
        <w:rPr>
          <w:spacing w:val="-1"/>
        </w:rPr>
        <w:t> </w:t>
      </w:r>
      <w:r>
        <w:rPr/>
        <w:t>own</w:t>
      </w:r>
      <w:r>
        <w:rPr>
          <w:spacing w:val="-5"/>
        </w:rPr>
        <w:t> </w:t>
      </w:r>
      <w:r>
        <w:rPr/>
        <w:t>and others'</w:t>
      </w:r>
      <w:r>
        <w:rPr>
          <w:spacing w:val="-4"/>
        </w:rPr>
        <w:t> </w:t>
      </w:r>
      <w:r>
        <w:rPr/>
        <w:t>emotions, to discriminate among them and to use the information to guide one's thinking and actions" (Maulding, Townsend, Leonard, Sparkman &amp; Styron, 2010). Regardless of the definition, theories of emotional intelligence share commonalities though the chosen wording may be different; each contains the essence of being aware of your and others' mind-set and behavior to positively impact situations (Greenockle, 2010). A principal, as the leader in the building, that possesses high emotional intelligence can utilize this intelligence to create a culture with high expectations, trusting and respectful relationships, and shared vision of success for all (Egley &amp; Jones, 2005; Moore, 2009).</w:t>
      </w:r>
      <w:r>
        <w:rPr>
          <w:spacing w:val="80"/>
        </w:rPr>
        <w:t> </w:t>
      </w:r>
      <w:r>
        <w:rPr/>
        <w:t>The Goleman‘s Emotional intelligence theory is utilized in this study to find out if emotional intelligence can be used to predict achievement of senior secondary school students.</w:t>
      </w:r>
    </w:p>
    <w:p>
      <w:pPr>
        <w:pStyle w:val="BodyText"/>
        <w:spacing w:line="480" w:lineRule="auto" w:before="3"/>
        <w:ind w:right="1152" w:firstLine="720"/>
      </w:pPr>
      <w:r>
        <w:rPr/>
        <w:t>Piaget (1972) argued that individuals adapt to their environment by a refining cognitive structure in order to efficiently organize information. The original Piagetian model describes a set of stages in which each- stage represents a new method for information acquisition and management. According to Piaget, adult level of</w:t>
      </w:r>
      <w:r>
        <w:rPr>
          <w:spacing w:val="40"/>
        </w:rPr>
        <w:t> </w:t>
      </w:r>
      <w:r>
        <w:rPr/>
        <w:t>reasoning emerges in late adolescence when the transition is made from the stage of "concrete operations" to the .stage of</w:t>
      </w:r>
      <w:r>
        <w:rPr>
          <w:spacing w:val="-2"/>
        </w:rPr>
        <w:t> </w:t>
      </w:r>
      <w:r>
        <w:rPr/>
        <w:t>"formal operation". Both of</w:t>
      </w:r>
      <w:r>
        <w:rPr>
          <w:spacing w:val="-2"/>
        </w:rPr>
        <w:t> </w:t>
      </w:r>
      <w:r>
        <w:rPr/>
        <w:t>these stages involve logical reasoning, but formal operation has unique characteristics and advantages not found in concrete operations. While concrete operations allows for the application of logical reasoning to real</w:t>
      </w:r>
      <w:r>
        <w:rPr>
          <w:spacing w:val="-4"/>
        </w:rPr>
        <w:t> </w:t>
      </w:r>
      <w:r>
        <w:rPr/>
        <w:t>objects and situations, the reasoning process is still primarily based on perceptual experiences.</w:t>
      </w:r>
      <w:r>
        <w:rPr>
          <w:spacing w:val="40"/>
        </w:rPr>
        <w:t> </w:t>
      </w:r>
      <w:r>
        <w:rPr/>
        <w:t>In contrast, formal operations involve the dominant</w:t>
      </w:r>
    </w:p>
    <w:p>
      <w:pPr>
        <w:spacing w:after="0" w:line="480" w:lineRule="auto"/>
        <w:sectPr>
          <w:pgSz w:w="11910" w:h="16840"/>
          <w:pgMar w:header="0" w:footer="1012" w:top="1340" w:bottom="1200" w:left="1680" w:right="280"/>
        </w:sectPr>
      </w:pPr>
    </w:p>
    <w:p>
      <w:pPr>
        <w:pStyle w:val="BodyText"/>
        <w:spacing w:line="480" w:lineRule="auto" w:before="74"/>
        <w:ind w:right="1161"/>
      </w:pPr>
      <w:r>
        <w:rPr/>
        <w:t>use of "prepositional logic", which may be applied to both real and hypothetical or abstract situations.</w:t>
      </w:r>
      <w:r>
        <w:rPr>
          <w:spacing w:val="72"/>
        </w:rPr>
        <w:t> </w:t>
      </w:r>
      <w:r>
        <w:rPr/>
        <w:t>The present study</w:t>
      </w:r>
      <w:r>
        <w:rPr>
          <w:spacing w:val="-1"/>
        </w:rPr>
        <w:t> </w:t>
      </w:r>
      <w:r>
        <w:rPr/>
        <w:t>is hinged on Piaget cognitive theory</w:t>
      </w:r>
      <w:r>
        <w:rPr>
          <w:spacing w:val="-1"/>
        </w:rPr>
        <w:t> </w:t>
      </w:r>
      <w:r>
        <w:rPr/>
        <w:t>to find out if students at the formal operational level in which prepositional logic which may be applied to both real and hypothetical or abstract situations can be used to predict achievement of senior secondary school students.</w:t>
      </w:r>
    </w:p>
    <w:p>
      <w:pPr>
        <w:pStyle w:val="BodyText"/>
        <w:spacing w:line="480" w:lineRule="auto" w:before="1"/>
        <w:ind w:right="1155" w:firstLine="720"/>
      </w:pPr>
      <w:r>
        <w:rPr/>
        <w:t>Similarly the social cognitive theory of the psychologist Bandura and others who has defined self-efficacy as one's belief in one's ability to succeed in specific situations or accomplish a task. One's sense of self-efficacy can play a major role in how one approaches goals, tasks, and challenges (Luszczynska &amp; Schwarzer 2005). The theory of self-efficacy lies at the center of Bandura‘s social cognitive theory, which emphasizes the role of observational learning and social experience in the development of personality. The main concept in social cognitive theory is that an individual‘s</w:t>
      </w:r>
      <w:r>
        <w:rPr>
          <w:spacing w:val="-1"/>
        </w:rPr>
        <w:t> </w:t>
      </w:r>
      <w:r>
        <w:rPr/>
        <w:t>actions</w:t>
      </w:r>
      <w:r>
        <w:rPr>
          <w:spacing w:val="-1"/>
        </w:rPr>
        <w:t> </w:t>
      </w:r>
      <w:r>
        <w:rPr/>
        <w:t>and reactions, including social behaviors</w:t>
      </w:r>
      <w:r>
        <w:rPr>
          <w:spacing w:val="-1"/>
        </w:rPr>
        <w:t> </w:t>
      </w:r>
      <w:r>
        <w:rPr/>
        <w:t>and cognitive processes, in almost every situation are influenced by the actions that individual has observed in others. Because self-efficacy is developed from external experiences and self perception and is influential in determining the outcome of many events, it is an important aspect of social cognitive theory. Self-efficacy represents the personal perception of external social factors (Bandura, Mischel - Luszczynska &amp; Schwarzer 2005).</w:t>
      </w:r>
      <w:r>
        <w:rPr>
          <w:spacing w:val="40"/>
        </w:rPr>
        <w:t> </w:t>
      </w:r>
      <w:r>
        <w:rPr/>
        <w:t>According to Bandura's theory, people with high self-efficacy that is, those who believe they can perform well are more likely to view difficult tasks as</w:t>
      </w:r>
      <w:r>
        <w:rPr>
          <w:spacing w:val="40"/>
        </w:rPr>
        <w:t> </w:t>
      </w:r>
      <w:r>
        <w:rPr/>
        <w:t>something to be mastered rather than something to be avoided.</w:t>
      </w:r>
    </w:p>
    <w:p>
      <w:pPr>
        <w:pStyle w:val="BodyText"/>
        <w:spacing w:line="480" w:lineRule="auto" w:before="3"/>
        <w:ind w:right="1150" w:firstLine="720"/>
      </w:pPr>
      <w:r>
        <w:rPr/>
        <w:t>Bandura explain further that people generally avoid tasks where self-efficacy</w:t>
      </w:r>
      <w:r>
        <w:rPr>
          <w:spacing w:val="40"/>
        </w:rPr>
        <w:t> </w:t>
      </w:r>
      <w:r>
        <w:rPr/>
        <w:t>is low, but undertake tasks where self-efficacy is high.</w:t>
      </w:r>
      <w:r>
        <w:rPr>
          <w:spacing w:val="40"/>
        </w:rPr>
        <w:t> </w:t>
      </w:r>
      <w:r>
        <w:rPr/>
        <w:t>When self-efficacy is significantly beyond actual ability, it leads to an overestimation of the ability to complete</w:t>
      </w:r>
      <w:r>
        <w:rPr>
          <w:spacing w:val="40"/>
        </w:rPr>
        <w:t> </w:t>
      </w:r>
      <w:r>
        <w:rPr/>
        <w:t>tasks.</w:t>
      </w:r>
      <w:r>
        <w:rPr>
          <w:spacing w:val="40"/>
        </w:rPr>
        <w:t> </w:t>
      </w:r>
      <w:r>
        <w:rPr/>
        <w:t>On</w:t>
      </w:r>
      <w:r>
        <w:rPr>
          <w:spacing w:val="40"/>
        </w:rPr>
        <w:t> </w:t>
      </w:r>
      <w:r>
        <w:rPr/>
        <w:t>the</w:t>
      </w:r>
      <w:r>
        <w:rPr>
          <w:spacing w:val="40"/>
        </w:rPr>
        <w:t> </w:t>
      </w:r>
      <w:r>
        <w:rPr/>
        <w:t>other</w:t>
      </w:r>
      <w:r>
        <w:rPr>
          <w:spacing w:val="40"/>
        </w:rPr>
        <w:t> </w:t>
      </w:r>
      <w:r>
        <w:rPr/>
        <w:t>hand,</w:t>
      </w:r>
      <w:r>
        <w:rPr>
          <w:spacing w:val="40"/>
        </w:rPr>
        <w:t> </w:t>
      </w:r>
      <w:r>
        <w:rPr/>
        <w:t>when</w:t>
      </w:r>
      <w:r>
        <w:rPr>
          <w:spacing w:val="40"/>
        </w:rPr>
        <w:t> </w:t>
      </w:r>
      <w:r>
        <w:rPr/>
        <w:t>self-efficacy</w:t>
      </w:r>
      <w:r>
        <w:rPr>
          <w:spacing w:val="40"/>
        </w:rPr>
        <w:t> </w:t>
      </w:r>
      <w:r>
        <w:rPr/>
        <w:t>is</w:t>
      </w:r>
      <w:r>
        <w:rPr>
          <w:spacing w:val="40"/>
        </w:rPr>
        <w:t> </w:t>
      </w:r>
      <w:r>
        <w:rPr/>
        <w:t>significantly</w:t>
      </w:r>
      <w:r>
        <w:rPr>
          <w:spacing w:val="40"/>
        </w:rPr>
        <w:t> </w:t>
      </w:r>
      <w:r>
        <w:rPr/>
        <w:t>lower</w:t>
      </w:r>
      <w:r>
        <w:rPr>
          <w:spacing w:val="40"/>
        </w:rPr>
        <w:t> </w:t>
      </w:r>
      <w:r>
        <w:rPr/>
        <w:t>than</w:t>
      </w:r>
    </w:p>
    <w:p>
      <w:pPr>
        <w:spacing w:after="0" w:line="480" w:lineRule="auto"/>
        <w:sectPr>
          <w:pgSz w:w="11910" w:h="16840"/>
          <w:pgMar w:header="0" w:footer="1012" w:top="1340" w:bottom="1200" w:left="1680" w:right="280"/>
        </w:sectPr>
      </w:pPr>
    </w:p>
    <w:p>
      <w:pPr>
        <w:pStyle w:val="BodyText"/>
        <w:spacing w:line="480" w:lineRule="auto" w:before="74"/>
        <w:ind w:right="1167"/>
      </w:pPr>
      <w:r>
        <w:rPr/>
        <w:t>actual ability, it discourages growth and skill development. Research shows that the optimum level of self-efficacy is slightly above ability; in this situation, people are most</w:t>
      </w:r>
      <w:r>
        <w:rPr>
          <w:spacing w:val="15"/>
        </w:rPr>
        <w:t> </w:t>
      </w:r>
      <w:r>
        <w:rPr/>
        <w:t>encouraged</w:t>
      </w:r>
      <w:r>
        <w:rPr>
          <w:spacing w:val="12"/>
        </w:rPr>
        <w:t> </w:t>
      </w:r>
      <w:r>
        <w:rPr/>
        <w:t>to</w:t>
      </w:r>
      <w:r>
        <w:rPr>
          <w:spacing w:val="8"/>
        </w:rPr>
        <w:t> </w:t>
      </w:r>
      <w:r>
        <w:rPr/>
        <w:t>tackle</w:t>
      </w:r>
      <w:r>
        <w:rPr>
          <w:spacing w:val="12"/>
        </w:rPr>
        <w:t> </w:t>
      </w:r>
      <w:r>
        <w:rPr/>
        <w:t>challenging</w:t>
      </w:r>
      <w:r>
        <w:rPr>
          <w:spacing w:val="12"/>
        </w:rPr>
        <w:t> </w:t>
      </w:r>
      <w:r>
        <w:rPr/>
        <w:t>tasks</w:t>
      </w:r>
      <w:r>
        <w:rPr>
          <w:spacing w:val="11"/>
        </w:rPr>
        <w:t> </w:t>
      </w:r>
      <w:r>
        <w:rPr/>
        <w:t>and</w:t>
      </w:r>
      <w:r>
        <w:rPr>
          <w:spacing w:val="17"/>
        </w:rPr>
        <w:t> </w:t>
      </w:r>
      <w:r>
        <w:rPr/>
        <w:t>gain</w:t>
      </w:r>
      <w:r>
        <w:rPr>
          <w:spacing w:val="7"/>
        </w:rPr>
        <w:t> </w:t>
      </w:r>
      <w:r>
        <w:rPr/>
        <w:t>experience</w:t>
      </w:r>
      <w:r>
        <w:rPr>
          <w:spacing w:val="12"/>
        </w:rPr>
        <w:t> </w:t>
      </w:r>
      <w:r>
        <w:rPr>
          <w:spacing w:val="-2"/>
        </w:rPr>
        <w:t>(Vdikdxrnymihslyi,</w:t>
      </w:r>
    </w:p>
    <w:p>
      <w:pPr>
        <w:pStyle w:val="BodyText"/>
      </w:pPr>
      <w:r>
        <w:rPr/>
        <w:t>-</w:t>
      </w:r>
      <w:r>
        <w:rPr>
          <w:spacing w:val="-1"/>
        </w:rPr>
        <w:t> </w:t>
      </w:r>
      <w:r>
        <w:rPr/>
        <w:t>Luszczynska</w:t>
      </w:r>
      <w:r>
        <w:rPr>
          <w:spacing w:val="1"/>
        </w:rPr>
        <w:t> </w:t>
      </w:r>
      <w:r>
        <w:rPr/>
        <w:t>&amp;</w:t>
      </w:r>
      <w:r>
        <w:rPr>
          <w:spacing w:val="-7"/>
        </w:rPr>
        <w:t> </w:t>
      </w:r>
      <w:r>
        <w:rPr/>
        <w:t>Schwarzer</w:t>
      </w:r>
      <w:r>
        <w:rPr>
          <w:spacing w:val="-1"/>
        </w:rPr>
        <w:t> </w:t>
      </w:r>
      <w:r>
        <w:rPr>
          <w:spacing w:val="-2"/>
        </w:rPr>
        <w:t>2005).</w:t>
      </w:r>
    </w:p>
    <w:p>
      <w:pPr>
        <w:pStyle w:val="BodyText"/>
        <w:ind w:left="0"/>
        <w:jc w:val="left"/>
      </w:pPr>
    </w:p>
    <w:p>
      <w:pPr>
        <w:pStyle w:val="BodyText"/>
        <w:spacing w:line="480" w:lineRule="auto"/>
        <w:ind w:right="1156" w:firstLine="720"/>
      </w:pPr>
      <w:r>
        <w:rPr/>
        <w:t>Academic self-efficacy refers to the belief that one can successfully engage in and complete course-specific academic tasks, such as accomplishing course aims, satisfactorily completing assignments, achieving a passing grade, and meeting the requirements</w:t>
      </w:r>
      <w:r>
        <w:rPr>
          <w:spacing w:val="-3"/>
        </w:rPr>
        <w:t> </w:t>
      </w:r>
      <w:r>
        <w:rPr/>
        <w:t>to continue to pursue</w:t>
      </w:r>
      <w:r>
        <w:rPr>
          <w:spacing w:val="-2"/>
        </w:rPr>
        <w:t> </w:t>
      </w:r>
      <w:r>
        <w:rPr/>
        <w:t>one's major course of</w:t>
      </w:r>
      <w:r>
        <w:rPr>
          <w:spacing w:val="-4"/>
        </w:rPr>
        <w:t> </w:t>
      </w:r>
      <w:r>
        <w:rPr/>
        <w:t>study</w:t>
      </w:r>
      <w:r>
        <w:rPr>
          <w:spacing w:val="-6"/>
        </w:rPr>
        <w:t> </w:t>
      </w:r>
      <w:r>
        <w:rPr/>
        <w:t>(Soffa, 2006). Various empirical inquiries have been aimed at measuring academic self-efficacy (Rushi, 2007). This study employed the Bandura‘s social cognitive theory of self-efficacy to find</w:t>
      </w:r>
      <w:r>
        <w:rPr>
          <w:spacing w:val="-2"/>
        </w:rPr>
        <w:t> </w:t>
      </w:r>
      <w:r>
        <w:rPr/>
        <w:t>out if</w:t>
      </w:r>
      <w:r>
        <w:rPr>
          <w:spacing w:val="-5"/>
        </w:rPr>
        <w:t> </w:t>
      </w:r>
      <w:r>
        <w:rPr/>
        <w:t>self-efficacy</w:t>
      </w:r>
      <w:r>
        <w:rPr>
          <w:spacing w:val="-6"/>
        </w:rPr>
        <w:t> </w:t>
      </w:r>
      <w:r>
        <w:rPr/>
        <w:t>can be</w:t>
      </w:r>
      <w:r>
        <w:rPr>
          <w:spacing w:val="-3"/>
        </w:rPr>
        <w:t> </w:t>
      </w:r>
      <w:r>
        <w:rPr/>
        <w:t>used to predict achievement of</w:t>
      </w:r>
      <w:r>
        <w:rPr>
          <w:spacing w:val="-5"/>
        </w:rPr>
        <w:t> </w:t>
      </w:r>
      <w:r>
        <w:rPr/>
        <w:t>senior</w:t>
      </w:r>
      <w:r>
        <w:rPr>
          <w:spacing w:val="-1"/>
        </w:rPr>
        <w:t> </w:t>
      </w:r>
      <w:r>
        <w:rPr/>
        <w:t>secondary</w:t>
      </w:r>
      <w:r>
        <w:rPr>
          <w:spacing w:val="-2"/>
        </w:rPr>
        <w:t> </w:t>
      </w:r>
      <w:r>
        <w:rPr/>
        <w:t>school </w:t>
      </w:r>
      <w:r>
        <w:rPr>
          <w:spacing w:val="-2"/>
        </w:rPr>
        <w:t>students.</w:t>
      </w:r>
    </w:p>
    <w:p>
      <w:pPr>
        <w:pStyle w:val="BodyText"/>
        <w:spacing w:line="480" w:lineRule="auto" w:before="2"/>
        <w:ind w:right="1160" w:firstLine="720"/>
      </w:pPr>
      <w:r>
        <w:rPr/>
        <w:t>This study was therefore concerned with exploring the correlations of emotional intelligence, reasoning ability and self-efficacy as predictors of academic achievement of senior secondary II in Chemistry in Zonkwa education zone of</w:t>
      </w:r>
      <w:r>
        <w:rPr>
          <w:spacing w:val="40"/>
        </w:rPr>
        <w:t> </w:t>
      </w:r>
      <w:r>
        <w:rPr/>
        <w:t>Kaduna state of Nigeria.</w:t>
      </w:r>
    </w:p>
    <w:p>
      <w:pPr>
        <w:pStyle w:val="Heading3"/>
        <w:numPr>
          <w:ilvl w:val="1"/>
          <w:numId w:val="5"/>
        </w:numPr>
        <w:tabs>
          <w:tab w:pos="1199" w:val="left" w:leader="none"/>
        </w:tabs>
        <w:spacing w:line="240" w:lineRule="auto" w:before="6" w:after="0"/>
        <w:ind w:left="1199" w:right="0" w:hanging="719"/>
        <w:jc w:val="both"/>
      </w:pPr>
      <w:bookmarkStart w:name="_TOC_250015" w:id="13"/>
      <w:r>
        <w:rPr/>
        <w:t>Statement</w:t>
      </w:r>
      <w:r>
        <w:rPr>
          <w:spacing w:val="1"/>
        </w:rPr>
        <w:t> </w:t>
      </w:r>
      <w:r>
        <w:rPr/>
        <w:t>of</w:t>
      </w:r>
      <w:r>
        <w:rPr>
          <w:spacing w:val="-2"/>
        </w:rPr>
        <w:t> </w:t>
      </w:r>
      <w:r>
        <w:rPr/>
        <w:t>the</w:t>
      </w:r>
      <w:r>
        <w:rPr>
          <w:spacing w:val="-4"/>
        </w:rPr>
        <w:t> </w:t>
      </w:r>
      <w:bookmarkEnd w:id="13"/>
      <w:r>
        <w:rPr>
          <w:spacing w:val="-2"/>
        </w:rPr>
        <w:t>Problem</w:t>
      </w:r>
    </w:p>
    <w:p>
      <w:pPr>
        <w:pStyle w:val="BodyText"/>
        <w:spacing w:line="480" w:lineRule="auto" w:before="271"/>
        <w:ind w:right="1159" w:firstLine="720"/>
      </w:pPr>
      <w:r>
        <w:rPr/>
        <w:t>Researches show that some concepts are formal or abstract in nature and can be learned meaningfully by only learners that acquired high emotional intelligence, formal reasoning ability and high self-efficacy.</w:t>
      </w:r>
      <w:r>
        <w:rPr>
          <w:spacing w:val="40"/>
        </w:rPr>
        <w:t> </w:t>
      </w:r>
      <w:r>
        <w:rPr/>
        <w:t>This tends to suggest that advancement in emotional intelligence, reasoning ability and self-efficacy could enhance</w:t>
      </w:r>
      <w:r>
        <w:rPr>
          <w:spacing w:val="-4"/>
        </w:rPr>
        <w:t> </w:t>
      </w:r>
      <w:r>
        <w:rPr/>
        <w:t>the learning</w:t>
      </w:r>
      <w:r>
        <w:rPr>
          <w:spacing w:val="-3"/>
        </w:rPr>
        <w:t> </w:t>
      </w:r>
      <w:r>
        <w:rPr/>
        <w:t>of</w:t>
      </w:r>
      <w:r>
        <w:rPr>
          <w:spacing w:val="-10"/>
        </w:rPr>
        <w:t> </w:t>
      </w:r>
      <w:r>
        <w:rPr/>
        <w:t>chemistry</w:t>
      </w:r>
      <w:r>
        <w:rPr>
          <w:spacing w:val="-12"/>
        </w:rPr>
        <w:t> </w:t>
      </w:r>
      <w:r>
        <w:rPr/>
        <w:t>concepts.</w:t>
      </w:r>
      <w:r>
        <w:rPr>
          <w:spacing w:val="-1"/>
        </w:rPr>
        <w:t> </w:t>
      </w:r>
      <w:r>
        <w:rPr/>
        <w:t>It</w:t>
      </w:r>
      <w:r>
        <w:rPr>
          <w:spacing w:val="-3"/>
        </w:rPr>
        <w:t> </w:t>
      </w:r>
      <w:r>
        <w:rPr/>
        <w:t>can</w:t>
      </w:r>
      <w:r>
        <w:rPr>
          <w:spacing w:val="-7"/>
        </w:rPr>
        <w:t> </w:t>
      </w:r>
      <w:r>
        <w:rPr/>
        <w:t>also be inferred</w:t>
      </w:r>
      <w:r>
        <w:rPr>
          <w:spacing w:val="-7"/>
        </w:rPr>
        <w:t> </w:t>
      </w:r>
      <w:r>
        <w:rPr/>
        <w:t>that achievement in chemistry may have co-relationship with emotional intelligence, reasoning ability,</w:t>
      </w:r>
      <w:r>
        <w:rPr>
          <w:spacing w:val="80"/>
        </w:rPr>
        <w:t> </w:t>
      </w:r>
      <w:r>
        <w:rPr/>
        <w:t>and self-efficacy (Furio, Ascona, Guisola &amp; Raclifte, 2000).</w:t>
      </w:r>
    </w:p>
    <w:p>
      <w:pPr>
        <w:spacing w:after="0" w:line="480" w:lineRule="auto"/>
        <w:sectPr>
          <w:pgSz w:w="11910" w:h="16840"/>
          <w:pgMar w:header="0" w:footer="1012" w:top="1340" w:bottom="1200" w:left="1680" w:right="280"/>
        </w:sectPr>
      </w:pPr>
    </w:p>
    <w:p>
      <w:pPr>
        <w:pStyle w:val="BodyText"/>
        <w:spacing w:line="480" w:lineRule="auto" w:before="74"/>
        <w:ind w:right="1161" w:firstLine="720"/>
      </w:pPr>
      <w:r>
        <w:rPr/>
        <w:t>Researches in science education have revealed that students generally</w:t>
      </w:r>
      <w:r>
        <w:rPr>
          <w:spacing w:val="-2"/>
        </w:rPr>
        <w:t> </w:t>
      </w:r>
      <w:r>
        <w:rPr/>
        <w:t>perform poorly in all science subject (Olorundare; Adeyegbe, and Usman, - Sirajo, Mari and Olorukooba 2013).</w:t>
      </w:r>
      <w:r>
        <w:rPr>
          <w:spacing w:val="40"/>
        </w:rPr>
        <w:t> </w:t>
      </w:r>
      <w:r>
        <w:rPr/>
        <w:t>Researches in science education have also shown that there is a relationship between formal reasoning ability and achievement in science (Mari, </w:t>
      </w:r>
      <w:r>
        <w:rPr>
          <w:spacing w:val="-2"/>
        </w:rPr>
        <w:t>2001).</w:t>
      </w:r>
    </w:p>
    <w:p>
      <w:pPr>
        <w:pStyle w:val="BodyText"/>
        <w:spacing w:line="480" w:lineRule="auto" w:before="1"/>
        <w:ind w:right="1149" w:firstLine="720"/>
      </w:pPr>
      <w:r>
        <w:rPr/>
        <w:t>Researchers have also shown</w:t>
      </w:r>
      <w:r>
        <w:rPr>
          <w:spacing w:val="-4"/>
        </w:rPr>
        <w:t> </w:t>
      </w:r>
      <w:r>
        <w:rPr/>
        <w:t>that academic achievement in</w:t>
      </w:r>
      <w:r>
        <w:rPr>
          <w:spacing w:val="-3"/>
        </w:rPr>
        <w:t> </w:t>
      </w:r>
      <w:r>
        <w:rPr/>
        <w:t>science is</w:t>
      </w:r>
      <w:r>
        <w:rPr>
          <w:spacing w:val="-1"/>
        </w:rPr>
        <w:t> </w:t>
      </w:r>
      <w:r>
        <w:rPr/>
        <w:t>affected by a variety of factors including emotional-intelligence, reasoning ability, self- efficacy attitude and motivation. Numerous studies support a connection between emotional intelligence, and academic achievement, reasoning ability and academic achievement, and self-efficacy and academic achievement in science. Previous researches revealed emotional intelligence, reasoning ability and self efficacy as a success factors in predicting performance of students. There is no study</w:t>
      </w:r>
      <w:r>
        <w:rPr>
          <w:spacing w:val="-3"/>
        </w:rPr>
        <w:t> </w:t>
      </w:r>
      <w:r>
        <w:rPr/>
        <w:t>that seems to compare a success of reasoning ability, emotional intelligence and self efficacy in predicting performance of students in chemistry. It is in line with this that the present study sought to compare if the variables in predicting the performance of students in chemistry.</w:t>
      </w:r>
      <w:r>
        <w:rPr>
          <w:spacing w:val="40"/>
        </w:rPr>
        <w:t> </w:t>
      </w:r>
      <w:r>
        <w:rPr/>
        <w:t>From the literature cited, most of the studies carried out used different study areas that are not from Nigeria.</w:t>
      </w:r>
      <w:r>
        <w:rPr>
          <w:spacing w:val="80"/>
        </w:rPr>
        <w:t> </w:t>
      </w:r>
      <w:r>
        <w:rPr/>
        <w:t>This study will therefore use different study area for a better understanding of the relationships among emotional intelligence, reasoning ability self-efficacy and achievement in chemistry among senior secondary II (SS I) school students in Zonkwa Education Zone, Kaduna State-Nigeria.</w:t>
      </w:r>
    </w:p>
    <w:p>
      <w:pPr>
        <w:spacing w:after="0" w:line="480" w:lineRule="auto"/>
        <w:sectPr>
          <w:pgSz w:w="11910" w:h="16840"/>
          <w:pgMar w:header="0" w:footer="1012" w:top="1340" w:bottom="1200" w:left="1680" w:right="280"/>
        </w:sectPr>
      </w:pPr>
    </w:p>
    <w:p>
      <w:pPr>
        <w:pStyle w:val="Heading3"/>
        <w:numPr>
          <w:ilvl w:val="1"/>
          <w:numId w:val="5"/>
        </w:numPr>
        <w:tabs>
          <w:tab w:pos="1199" w:val="left" w:leader="none"/>
        </w:tabs>
        <w:spacing w:line="240" w:lineRule="auto" w:before="78" w:after="0"/>
        <w:ind w:left="1199" w:right="0" w:hanging="719"/>
        <w:jc w:val="both"/>
      </w:pPr>
      <w:bookmarkStart w:name="_TOC_250014" w:id="14"/>
      <w:r>
        <w:rPr/>
        <w:t>Objectives</w:t>
      </w:r>
      <w:r>
        <w:rPr>
          <w:spacing w:val="-1"/>
        </w:rPr>
        <w:t> </w:t>
      </w:r>
      <w:r>
        <w:rPr/>
        <w:t>of the</w:t>
      </w:r>
      <w:r>
        <w:rPr>
          <w:spacing w:val="-3"/>
        </w:rPr>
        <w:t> </w:t>
      </w:r>
      <w:bookmarkEnd w:id="14"/>
      <w:r>
        <w:rPr>
          <w:spacing w:val="-4"/>
        </w:rPr>
        <w:t>Study</w:t>
      </w:r>
    </w:p>
    <w:p>
      <w:pPr>
        <w:pStyle w:val="BodyText"/>
        <w:spacing w:before="272"/>
        <w:ind w:left="1201"/>
        <w:jc w:val="left"/>
      </w:pPr>
      <w:r>
        <w:rPr/>
        <w:t>The</w:t>
      </w:r>
      <w:r>
        <w:rPr>
          <w:spacing w:val="-2"/>
        </w:rPr>
        <w:t> </w:t>
      </w:r>
      <w:r>
        <w:rPr/>
        <w:t>objectives</w:t>
      </w:r>
      <w:r>
        <w:rPr>
          <w:spacing w:val="-1"/>
        </w:rPr>
        <w:t> </w:t>
      </w:r>
      <w:r>
        <w:rPr/>
        <w:t>of</w:t>
      </w:r>
      <w:r>
        <w:rPr>
          <w:spacing w:val="-7"/>
        </w:rPr>
        <w:t> </w:t>
      </w:r>
      <w:r>
        <w:rPr/>
        <w:t>this</w:t>
      </w:r>
      <w:r>
        <w:rPr>
          <w:spacing w:val="-1"/>
        </w:rPr>
        <w:t> </w:t>
      </w:r>
      <w:r>
        <w:rPr/>
        <w:t>study</w:t>
      </w:r>
      <w:r>
        <w:rPr>
          <w:spacing w:val="-8"/>
        </w:rPr>
        <w:t> </w:t>
      </w:r>
      <w:r>
        <w:rPr/>
        <w:t>are formulated</w:t>
      </w:r>
      <w:r>
        <w:rPr>
          <w:spacing w:val="1"/>
        </w:rPr>
        <w:t> </w:t>
      </w:r>
      <w:r>
        <w:rPr/>
        <w:t>as</w:t>
      </w:r>
      <w:r>
        <w:rPr>
          <w:spacing w:val="-1"/>
        </w:rPr>
        <w:t> </w:t>
      </w:r>
      <w:r>
        <w:rPr/>
        <w:t>follows;</w:t>
      </w:r>
      <w:r>
        <w:rPr>
          <w:spacing w:val="-2"/>
        </w:rPr>
        <w:t> </w:t>
      </w:r>
      <w:r>
        <w:rPr>
          <w:spacing w:val="-5"/>
        </w:rPr>
        <w:t>to:</w:t>
      </w:r>
    </w:p>
    <w:p>
      <w:pPr>
        <w:pStyle w:val="BodyText"/>
        <w:ind w:left="0"/>
        <w:jc w:val="left"/>
      </w:pPr>
    </w:p>
    <w:p>
      <w:pPr>
        <w:pStyle w:val="ListParagraph"/>
        <w:numPr>
          <w:ilvl w:val="0"/>
          <w:numId w:val="8"/>
        </w:numPr>
        <w:tabs>
          <w:tab w:pos="932" w:val="left" w:leader="none"/>
        </w:tabs>
        <w:spacing w:line="480" w:lineRule="auto" w:before="0" w:after="0"/>
        <w:ind w:left="932" w:right="1155" w:hanging="452"/>
        <w:jc w:val="both"/>
        <w:rPr>
          <w:sz w:val="24"/>
        </w:rPr>
      </w:pPr>
      <w:r>
        <w:rPr>
          <w:sz w:val="24"/>
        </w:rPr>
        <w:t>examine the relationship if any among the mean score of</w:t>
      </w:r>
      <w:r>
        <w:rPr>
          <w:spacing w:val="40"/>
          <w:sz w:val="24"/>
        </w:rPr>
        <w:t> </w:t>
      </w:r>
      <w:r>
        <w:rPr>
          <w:sz w:val="24"/>
        </w:rPr>
        <w:t>SSII students in emotional-intelligence, reasoning ability and self-efficacy and academic achievement in chemistry.</w:t>
      </w:r>
    </w:p>
    <w:p>
      <w:pPr>
        <w:pStyle w:val="ListParagraph"/>
        <w:numPr>
          <w:ilvl w:val="0"/>
          <w:numId w:val="8"/>
        </w:numPr>
        <w:tabs>
          <w:tab w:pos="932" w:val="left" w:leader="none"/>
        </w:tabs>
        <w:spacing w:line="480" w:lineRule="auto" w:before="1" w:after="0"/>
        <w:ind w:left="932" w:right="1156" w:hanging="452"/>
        <w:jc w:val="both"/>
        <w:rPr>
          <w:sz w:val="24"/>
        </w:rPr>
      </w:pPr>
      <w:r>
        <w:rPr>
          <w:sz w:val="24"/>
        </w:rPr>
        <w:t>determine the relationship if</w:t>
      </w:r>
      <w:r>
        <w:rPr>
          <w:spacing w:val="-1"/>
          <w:sz w:val="24"/>
        </w:rPr>
        <w:t> </w:t>
      </w:r>
      <w:r>
        <w:rPr>
          <w:sz w:val="24"/>
        </w:rPr>
        <w:t>any</w:t>
      </w:r>
      <w:r>
        <w:rPr>
          <w:spacing w:val="-1"/>
          <w:sz w:val="24"/>
        </w:rPr>
        <w:t> </w:t>
      </w:r>
      <w:r>
        <w:rPr>
          <w:sz w:val="24"/>
        </w:rPr>
        <w:t>among the mean scores</w:t>
      </w:r>
      <w:r>
        <w:rPr>
          <w:spacing w:val="-4"/>
          <w:sz w:val="24"/>
        </w:rPr>
        <w:t> </w:t>
      </w:r>
      <w:r>
        <w:rPr>
          <w:sz w:val="24"/>
        </w:rPr>
        <w:t>of</w:t>
      </w:r>
      <w:r>
        <w:rPr>
          <w:spacing w:val="-5"/>
          <w:sz w:val="24"/>
        </w:rPr>
        <w:t> </w:t>
      </w:r>
      <w:r>
        <w:rPr>
          <w:sz w:val="24"/>
        </w:rPr>
        <w:t>SSII male students in emotional-intelligence, reasoning</w:t>
      </w:r>
      <w:r>
        <w:rPr>
          <w:spacing w:val="-2"/>
          <w:sz w:val="24"/>
        </w:rPr>
        <w:t> </w:t>
      </w:r>
      <w:r>
        <w:rPr>
          <w:sz w:val="24"/>
        </w:rPr>
        <w:t>ability, self</w:t>
      </w:r>
      <w:r>
        <w:rPr>
          <w:spacing w:val="-4"/>
          <w:sz w:val="24"/>
        </w:rPr>
        <w:t> </w:t>
      </w:r>
      <w:r>
        <w:rPr>
          <w:sz w:val="24"/>
        </w:rPr>
        <w:t>efficacy</w:t>
      </w:r>
      <w:r>
        <w:rPr>
          <w:spacing w:val="-6"/>
          <w:sz w:val="24"/>
        </w:rPr>
        <w:t> </w:t>
      </w:r>
      <w:r>
        <w:rPr>
          <w:sz w:val="24"/>
        </w:rPr>
        <w:t>and</w:t>
      </w:r>
      <w:r>
        <w:rPr>
          <w:spacing w:val="-2"/>
          <w:sz w:val="24"/>
        </w:rPr>
        <w:t> </w:t>
      </w:r>
      <w:r>
        <w:rPr>
          <w:sz w:val="24"/>
        </w:rPr>
        <w:t>academic</w:t>
      </w:r>
      <w:r>
        <w:rPr>
          <w:spacing w:val="-3"/>
          <w:sz w:val="24"/>
        </w:rPr>
        <w:t> </w:t>
      </w:r>
      <w:r>
        <w:rPr>
          <w:sz w:val="24"/>
        </w:rPr>
        <w:t>achievement in chemistry.</w:t>
      </w:r>
    </w:p>
    <w:p>
      <w:pPr>
        <w:pStyle w:val="ListParagraph"/>
        <w:numPr>
          <w:ilvl w:val="0"/>
          <w:numId w:val="8"/>
        </w:numPr>
        <w:tabs>
          <w:tab w:pos="932" w:val="left" w:leader="none"/>
        </w:tabs>
        <w:spacing w:line="480" w:lineRule="auto" w:before="1" w:after="0"/>
        <w:ind w:left="932" w:right="1159" w:hanging="452"/>
        <w:jc w:val="both"/>
        <w:rPr>
          <w:sz w:val="24"/>
        </w:rPr>
      </w:pPr>
      <w:r>
        <w:rPr>
          <w:sz w:val="24"/>
        </w:rPr>
        <w:t>Investigate</w:t>
      </w:r>
      <w:r>
        <w:rPr>
          <w:spacing w:val="-2"/>
          <w:sz w:val="24"/>
        </w:rPr>
        <w:t> </w:t>
      </w:r>
      <w:r>
        <w:rPr>
          <w:sz w:val="24"/>
        </w:rPr>
        <w:t>the relationship if</w:t>
      </w:r>
      <w:r>
        <w:rPr>
          <w:spacing w:val="-4"/>
          <w:sz w:val="24"/>
        </w:rPr>
        <w:t> </w:t>
      </w:r>
      <w:r>
        <w:rPr>
          <w:sz w:val="24"/>
        </w:rPr>
        <w:t>any among the mean</w:t>
      </w:r>
      <w:r>
        <w:rPr>
          <w:spacing w:val="-1"/>
          <w:sz w:val="24"/>
        </w:rPr>
        <w:t> </w:t>
      </w:r>
      <w:r>
        <w:rPr>
          <w:sz w:val="24"/>
        </w:rPr>
        <w:t>scores</w:t>
      </w:r>
      <w:r>
        <w:rPr>
          <w:spacing w:val="-3"/>
          <w:sz w:val="24"/>
        </w:rPr>
        <w:t> </w:t>
      </w:r>
      <w:r>
        <w:rPr>
          <w:sz w:val="24"/>
        </w:rPr>
        <w:t>of</w:t>
      </w:r>
      <w:r>
        <w:rPr>
          <w:spacing w:val="-9"/>
          <w:sz w:val="24"/>
        </w:rPr>
        <w:t> </w:t>
      </w:r>
      <w:r>
        <w:rPr>
          <w:sz w:val="24"/>
        </w:rPr>
        <w:t>SSII female</w:t>
      </w:r>
      <w:r>
        <w:rPr>
          <w:spacing w:val="-2"/>
          <w:sz w:val="24"/>
        </w:rPr>
        <w:t> </w:t>
      </w:r>
      <w:r>
        <w:rPr>
          <w:sz w:val="24"/>
        </w:rPr>
        <w:t>students in emotional-intelligence, reasoning ability, self efficacy and academic achievement in chemistry.</w:t>
      </w:r>
    </w:p>
    <w:p>
      <w:pPr>
        <w:pStyle w:val="ListParagraph"/>
        <w:numPr>
          <w:ilvl w:val="0"/>
          <w:numId w:val="8"/>
        </w:numPr>
        <w:tabs>
          <w:tab w:pos="932" w:val="left" w:leader="none"/>
        </w:tabs>
        <w:spacing w:line="480" w:lineRule="auto" w:before="0" w:after="0"/>
        <w:ind w:left="932" w:right="1158" w:hanging="452"/>
        <w:jc w:val="both"/>
        <w:rPr>
          <w:sz w:val="24"/>
        </w:rPr>
      </w:pPr>
      <w:r>
        <w:rPr>
          <w:sz w:val="24"/>
        </w:rPr>
        <w:t>determine the difference in the mean scores of SSII male and female students in emotional-intelligence, reasoning</w:t>
      </w:r>
      <w:r>
        <w:rPr>
          <w:spacing w:val="-2"/>
          <w:sz w:val="24"/>
        </w:rPr>
        <w:t> </w:t>
      </w:r>
      <w:r>
        <w:rPr>
          <w:sz w:val="24"/>
        </w:rPr>
        <w:t>ability, self</w:t>
      </w:r>
      <w:r>
        <w:rPr>
          <w:spacing w:val="-5"/>
          <w:sz w:val="24"/>
        </w:rPr>
        <w:t> </w:t>
      </w:r>
      <w:r>
        <w:rPr>
          <w:sz w:val="24"/>
        </w:rPr>
        <w:t>efficacy</w:t>
      </w:r>
      <w:r>
        <w:rPr>
          <w:spacing w:val="-7"/>
          <w:sz w:val="24"/>
        </w:rPr>
        <w:t> </w:t>
      </w:r>
      <w:r>
        <w:rPr>
          <w:sz w:val="24"/>
        </w:rPr>
        <w:t>and</w:t>
      </w:r>
      <w:r>
        <w:rPr>
          <w:spacing w:val="-2"/>
          <w:sz w:val="24"/>
        </w:rPr>
        <w:t> </w:t>
      </w:r>
      <w:r>
        <w:rPr>
          <w:sz w:val="24"/>
        </w:rPr>
        <w:t>academic</w:t>
      </w:r>
      <w:r>
        <w:rPr>
          <w:spacing w:val="-3"/>
          <w:sz w:val="24"/>
        </w:rPr>
        <w:t> </w:t>
      </w:r>
      <w:r>
        <w:rPr>
          <w:sz w:val="24"/>
        </w:rPr>
        <w:t>achievement in chemistry.</w:t>
      </w:r>
    </w:p>
    <w:p>
      <w:pPr>
        <w:pStyle w:val="Heading3"/>
        <w:numPr>
          <w:ilvl w:val="1"/>
          <w:numId w:val="5"/>
        </w:numPr>
        <w:tabs>
          <w:tab w:pos="1199" w:val="left" w:leader="none"/>
        </w:tabs>
        <w:spacing w:line="240" w:lineRule="auto" w:before="5" w:after="0"/>
        <w:ind w:left="1199" w:right="0" w:hanging="719"/>
        <w:jc w:val="both"/>
      </w:pPr>
      <w:bookmarkStart w:name="_TOC_250013" w:id="15"/>
      <w:r>
        <w:rPr/>
        <w:t>Research</w:t>
      </w:r>
      <w:r>
        <w:rPr>
          <w:spacing w:val="-7"/>
        </w:rPr>
        <w:t> </w:t>
      </w:r>
      <w:bookmarkEnd w:id="15"/>
      <w:r>
        <w:rPr>
          <w:spacing w:val="-2"/>
        </w:rPr>
        <w:t>Questions</w:t>
      </w:r>
    </w:p>
    <w:p>
      <w:pPr>
        <w:pStyle w:val="BodyText"/>
        <w:spacing w:before="272"/>
        <w:ind w:left="1201"/>
        <w:jc w:val="left"/>
      </w:pPr>
      <w:r>
        <w:rPr/>
        <w:t>Specifically,</w:t>
      </w:r>
      <w:r>
        <w:rPr>
          <w:spacing w:val="-3"/>
        </w:rPr>
        <w:t> </w:t>
      </w:r>
      <w:r>
        <w:rPr/>
        <w:t>this</w:t>
      </w:r>
      <w:r>
        <w:rPr>
          <w:spacing w:val="-4"/>
        </w:rPr>
        <w:t> </w:t>
      </w:r>
      <w:r>
        <w:rPr/>
        <w:t>study</w:t>
      </w:r>
      <w:r>
        <w:rPr>
          <w:spacing w:val="-11"/>
        </w:rPr>
        <w:t> </w:t>
      </w:r>
      <w:r>
        <w:rPr/>
        <w:t>addressed</w:t>
      </w:r>
      <w:r>
        <w:rPr>
          <w:spacing w:val="-2"/>
        </w:rPr>
        <w:t> </w:t>
      </w:r>
      <w:r>
        <w:rPr/>
        <w:t>the</w:t>
      </w:r>
      <w:r>
        <w:rPr>
          <w:spacing w:val="2"/>
        </w:rPr>
        <w:t> </w:t>
      </w:r>
      <w:r>
        <w:rPr/>
        <w:t>following</w:t>
      </w:r>
      <w:r>
        <w:rPr>
          <w:spacing w:val="-2"/>
        </w:rPr>
        <w:t> questions:</w:t>
      </w:r>
    </w:p>
    <w:p>
      <w:pPr>
        <w:pStyle w:val="BodyText"/>
        <w:ind w:left="0"/>
        <w:jc w:val="left"/>
      </w:pPr>
    </w:p>
    <w:p>
      <w:pPr>
        <w:pStyle w:val="ListParagraph"/>
        <w:numPr>
          <w:ilvl w:val="0"/>
          <w:numId w:val="9"/>
        </w:numPr>
        <w:tabs>
          <w:tab w:pos="929" w:val="left" w:leader="none"/>
          <w:tab w:pos="932" w:val="left" w:leader="none"/>
        </w:tabs>
        <w:spacing w:line="480" w:lineRule="auto" w:before="0" w:after="0"/>
        <w:ind w:left="932" w:right="1162" w:hanging="452"/>
        <w:jc w:val="both"/>
        <w:rPr>
          <w:sz w:val="24"/>
        </w:rPr>
      </w:pPr>
      <w:r>
        <w:rPr>
          <w:sz w:val="24"/>
        </w:rPr>
        <w:t>What are the mean scores of SSII chemistry students in emotional-intelligence, reasoning ability, self-efficacy and academic achievement in chemistry?</w:t>
      </w:r>
    </w:p>
    <w:p>
      <w:pPr>
        <w:pStyle w:val="ListParagraph"/>
        <w:numPr>
          <w:ilvl w:val="0"/>
          <w:numId w:val="9"/>
        </w:numPr>
        <w:tabs>
          <w:tab w:pos="930" w:val="left" w:leader="none"/>
          <w:tab w:pos="932" w:val="left" w:leader="none"/>
        </w:tabs>
        <w:spacing w:line="480" w:lineRule="auto" w:before="0" w:after="0"/>
        <w:ind w:left="932" w:right="1153" w:hanging="452"/>
        <w:jc w:val="both"/>
        <w:rPr>
          <w:sz w:val="24"/>
        </w:rPr>
      </w:pPr>
      <w:r>
        <w:rPr>
          <w:sz w:val="24"/>
        </w:rPr>
        <w:t>What are the mean scores of SSII male chemistry students in emotional- intelligence, reasoning ability, self efficacy and academic achievement in </w:t>
      </w:r>
      <w:r>
        <w:rPr>
          <w:spacing w:val="-2"/>
          <w:sz w:val="24"/>
        </w:rPr>
        <w:t>chemistry?</w:t>
      </w:r>
    </w:p>
    <w:p>
      <w:pPr>
        <w:pStyle w:val="ListParagraph"/>
        <w:numPr>
          <w:ilvl w:val="0"/>
          <w:numId w:val="9"/>
        </w:numPr>
        <w:tabs>
          <w:tab w:pos="929" w:val="left" w:leader="none"/>
          <w:tab w:pos="932" w:val="left" w:leader="none"/>
        </w:tabs>
        <w:spacing w:line="480" w:lineRule="auto" w:before="1" w:after="0"/>
        <w:ind w:left="932" w:right="1153" w:hanging="452"/>
        <w:jc w:val="both"/>
        <w:rPr>
          <w:sz w:val="24"/>
        </w:rPr>
      </w:pPr>
      <w:r>
        <w:rPr>
          <w:sz w:val="24"/>
        </w:rPr>
        <w:t>What are the mean scores of SSII female chemistry students in emotional- intelligence, reasoning ability, self efficacy and academic achievement in </w:t>
      </w:r>
      <w:r>
        <w:rPr>
          <w:spacing w:val="-2"/>
          <w:sz w:val="24"/>
        </w:rPr>
        <w:t>chemistry?</w:t>
      </w:r>
    </w:p>
    <w:p>
      <w:pPr>
        <w:spacing w:after="0" w:line="480" w:lineRule="auto"/>
        <w:jc w:val="both"/>
        <w:rPr>
          <w:sz w:val="24"/>
        </w:rPr>
        <w:sectPr>
          <w:pgSz w:w="11910" w:h="16840"/>
          <w:pgMar w:header="0" w:footer="1012" w:top="1340" w:bottom="1200" w:left="1680" w:right="280"/>
        </w:sectPr>
      </w:pPr>
    </w:p>
    <w:p>
      <w:pPr>
        <w:pStyle w:val="ListParagraph"/>
        <w:numPr>
          <w:ilvl w:val="0"/>
          <w:numId w:val="9"/>
        </w:numPr>
        <w:tabs>
          <w:tab w:pos="929" w:val="left" w:leader="none"/>
          <w:tab w:pos="932" w:val="left" w:leader="none"/>
        </w:tabs>
        <w:spacing w:line="480" w:lineRule="auto" w:before="74" w:after="0"/>
        <w:ind w:left="932" w:right="1160" w:hanging="452"/>
        <w:jc w:val="both"/>
        <w:rPr>
          <w:sz w:val="24"/>
        </w:rPr>
      </w:pPr>
      <w:r>
        <w:rPr>
          <w:sz w:val="24"/>
        </w:rPr>
        <w:t>What is the difference between the mean scores of SSII male and female chemistry students in emotional-intelligence, reasoning ability, self efficacy and academic achievement in chemistry?</w:t>
      </w:r>
    </w:p>
    <w:p>
      <w:pPr>
        <w:pStyle w:val="Heading3"/>
        <w:numPr>
          <w:ilvl w:val="1"/>
          <w:numId w:val="5"/>
        </w:numPr>
        <w:tabs>
          <w:tab w:pos="1199" w:val="left" w:leader="none"/>
        </w:tabs>
        <w:spacing w:line="240" w:lineRule="auto" w:before="5" w:after="0"/>
        <w:ind w:left="1199" w:right="0" w:hanging="719"/>
        <w:jc w:val="both"/>
      </w:pPr>
      <w:bookmarkStart w:name="_TOC_250012" w:id="16"/>
      <w:r>
        <w:rPr/>
        <w:t>Null</w:t>
      </w:r>
      <w:r>
        <w:rPr>
          <w:spacing w:val="-3"/>
        </w:rPr>
        <w:t> </w:t>
      </w:r>
      <w:bookmarkEnd w:id="16"/>
      <w:r>
        <w:rPr>
          <w:spacing w:val="-2"/>
        </w:rPr>
        <w:t>Hypotheses</w:t>
      </w:r>
    </w:p>
    <w:p>
      <w:pPr>
        <w:pStyle w:val="BodyText"/>
        <w:spacing w:line="480" w:lineRule="auto" w:before="271"/>
        <w:ind w:right="1152" w:firstLine="720"/>
      </w:pPr>
      <w:r>
        <w:rPr/>
        <w:t>To guide the study</w:t>
      </w:r>
      <w:r>
        <w:rPr>
          <w:spacing w:val="-5"/>
        </w:rPr>
        <w:t> </w:t>
      </w:r>
      <w:r>
        <w:rPr/>
        <w:t>the following null hypotheses were tested at </w:t>
      </w:r>
      <w:r>
        <w:rPr>
          <w:u w:val="single"/>
        </w:rPr>
        <w:t>&lt;</w:t>
      </w:r>
      <w:r>
        <w:rPr/>
        <w:t>0.05 level of </w:t>
      </w:r>
      <w:r>
        <w:rPr>
          <w:spacing w:val="-2"/>
        </w:rPr>
        <w:t>significance:</w:t>
      </w:r>
    </w:p>
    <w:p>
      <w:pPr>
        <w:pStyle w:val="BodyText"/>
        <w:spacing w:line="480" w:lineRule="auto" w:before="1"/>
        <w:ind w:left="1109" w:right="1150" w:hanging="629"/>
      </w:pPr>
      <w:r>
        <w:rPr/>
        <w:t>H0</w:t>
      </w:r>
      <w:r>
        <w:rPr>
          <w:vertAlign w:val="subscript"/>
        </w:rPr>
        <w:t>1</w:t>
      </w:r>
      <w:r>
        <w:rPr>
          <w:vertAlign w:val="baseline"/>
        </w:rPr>
        <w:t>:</w:t>
      </w:r>
      <w:r>
        <w:rPr>
          <w:spacing w:val="80"/>
          <w:vertAlign w:val="baseline"/>
        </w:rPr>
        <w:t> </w:t>
      </w:r>
      <w:r>
        <w:rPr>
          <w:vertAlign w:val="baseline"/>
        </w:rPr>
        <w:t>There is no significant relationship in the mean scores of SSII chemistry students in emotional-intelligence, reasoning ability, self-efficacy, and</w:t>
      </w:r>
      <w:r>
        <w:rPr>
          <w:spacing w:val="40"/>
          <w:vertAlign w:val="baseline"/>
        </w:rPr>
        <w:t> </w:t>
      </w:r>
      <w:r>
        <w:rPr>
          <w:vertAlign w:val="baseline"/>
        </w:rPr>
        <w:t>academic achievement in chemistry.</w:t>
      </w:r>
    </w:p>
    <w:p>
      <w:pPr>
        <w:pStyle w:val="BodyText"/>
        <w:spacing w:line="480" w:lineRule="auto" w:before="1"/>
        <w:ind w:left="1109" w:right="1150" w:hanging="629"/>
      </w:pPr>
      <w:r>
        <w:rPr/>
        <w:t>H0</w:t>
      </w:r>
      <w:r>
        <w:rPr>
          <w:vertAlign w:val="subscript"/>
        </w:rPr>
        <w:t>2</w:t>
      </w:r>
      <w:r>
        <w:rPr>
          <w:vertAlign w:val="baseline"/>
        </w:rPr>
        <w:t>:</w:t>
      </w:r>
      <w:r>
        <w:rPr>
          <w:spacing w:val="40"/>
          <w:vertAlign w:val="baseline"/>
        </w:rPr>
        <w:t> </w:t>
      </w:r>
      <w:r>
        <w:rPr>
          <w:vertAlign w:val="baseline"/>
        </w:rPr>
        <w:t>There is no significant relationship in the mean scores of SSII male chemistry students</w:t>
      </w:r>
      <w:r>
        <w:rPr>
          <w:spacing w:val="-6"/>
          <w:vertAlign w:val="baseline"/>
        </w:rPr>
        <w:t> </w:t>
      </w:r>
      <w:r>
        <w:rPr>
          <w:vertAlign w:val="baseline"/>
        </w:rPr>
        <w:t>in</w:t>
      </w:r>
      <w:r>
        <w:rPr>
          <w:spacing w:val="-8"/>
          <w:vertAlign w:val="baseline"/>
        </w:rPr>
        <w:t> </w:t>
      </w:r>
      <w:r>
        <w:rPr>
          <w:vertAlign w:val="baseline"/>
        </w:rPr>
        <w:t>emotional-intelligence,</w:t>
      </w:r>
      <w:r>
        <w:rPr>
          <w:spacing w:val="-2"/>
          <w:vertAlign w:val="baseline"/>
        </w:rPr>
        <w:t> </w:t>
      </w:r>
      <w:r>
        <w:rPr>
          <w:vertAlign w:val="baseline"/>
        </w:rPr>
        <w:t>reasoning</w:t>
      </w:r>
      <w:r>
        <w:rPr>
          <w:spacing w:val="-4"/>
          <w:vertAlign w:val="baseline"/>
        </w:rPr>
        <w:t> </w:t>
      </w:r>
      <w:r>
        <w:rPr>
          <w:vertAlign w:val="baseline"/>
        </w:rPr>
        <w:t>ability, self-efficacy</w:t>
      </w:r>
      <w:r>
        <w:rPr>
          <w:spacing w:val="-7"/>
          <w:vertAlign w:val="baseline"/>
        </w:rPr>
        <w:t> </w:t>
      </w:r>
      <w:r>
        <w:rPr>
          <w:vertAlign w:val="baseline"/>
        </w:rPr>
        <w:t>and</w:t>
      </w:r>
      <w:r>
        <w:rPr>
          <w:spacing w:val="-4"/>
          <w:vertAlign w:val="baseline"/>
        </w:rPr>
        <w:t> </w:t>
      </w:r>
      <w:r>
        <w:rPr>
          <w:vertAlign w:val="baseline"/>
        </w:rPr>
        <w:t>academic achievement in chemistry?</w:t>
      </w:r>
    </w:p>
    <w:p>
      <w:pPr>
        <w:pStyle w:val="BodyText"/>
        <w:spacing w:line="480" w:lineRule="auto"/>
        <w:ind w:left="1109" w:right="1150" w:hanging="629"/>
      </w:pPr>
      <w:r>
        <w:rPr/>
        <w:t>H0</w:t>
      </w:r>
      <w:r>
        <w:rPr>
          <w:vertAlign w:val="subscript"/>
        </w:rPr>
        <w:t>3</w:t>
      </w:r>
      <w:r>
        <w:rPr>
          <w:vertAlign w:val="baseline"/>
        </w:rPr>
        <w:t>:</w:t>
      </w:r>
      <w:r>
        <w:rPr>
          <w:spacing w:val="80"/>
          <w:vertAlign w:val="baseline"/>
        </w:rPr>
        <w:t> </w:t>
      </w:r>
      <w:r>
        <w:rPr>
          <w:vertAlign w:val="baseline"/>
        </w:rPr>
        <w:t>There is no significant relationship in</w:t>
      </w:r>
      <w:r>
        <w:rPr>
          <w:spacing w:val="-1"/>
          <w:vertAlign w:val="baseline"/>
        </w:rPr>
        <w:t> </w:t>
      </w:r>
      <w:r>
        <w:rPr>
          <w:vertAlign w:val="baseline"/>
        </w:rPr>
        <w:t>the mean</w:t>
      </w:r>
      <w:r>
        <w:rPr>
          <w:spacing w:val="-6"/>
          <w:vertAlign w:val="baseline"/>
        </w:rPr>
        <w:t> </w:t>
      </w:r>
      <w:r>
        <w:rPr>
          <w:vertAlign w:val="baseline"/>
        </w:rPr>
        <w:t>scores</w:t>
      </w:r>
      <w:r>
        <w:rPr>
          <w:spacing w:val="-7"/>
          <w:vertAlign w:val="baseline"/>
        </w:rPr>
        <w:t> </w:t>
      </w:r>
      <w:r>
        <w:rPr>
          <w:vertAlign w:val="baseline"/>
        </w:rPr>
        <w:t>of</w:t>
      </w:r>
      <w:r>
        <w:rPr>
          <w:spacing w:val="-8"/>
          <w:vertAlign w:val="baseline"/>
        </w:rPr>
        <w:t> </w:t>
      </w:r>
      <w:r>
        <w:rPr>
          <w:vertAlign w:val="baseline"/>
        </w:rPr>
        <w:t>SSII female</w:t>
      </w:r>
      <w:r>
        <w:rPr>
          <w:spacing w:val="-1"/>
          <w:vertAlign w:val="baseline"/>
        </w:rPr>
        <w:t> </w:t>
      </w:r>
      <w:r>
        <w:rPr>
          <w:vertAlign w:val="baseline"/>
        </w:rPr>
        <w:t>chemistry students</w:t>
      </w:r>
      <w:r>
        <w:rPr>
          <w:spacing w:val="-6"/>
          <w:vertAlign w:val="baseline"/>
        </w:rPr>
        <w:t> </w:t>
      </w:r>
      <w:r>
        <w:rPr>
          <w:vertAlign w:val="baseline"/>
        </w:rPr>
        <w:t>in</w:t>
      </w:r>
      <w:r>
        <w:rPr>
          <w:spacing w:val="-8"/>
          <w:vertAlign w:val="baseline"/>
        </w:rPr>
        <w:t> </w:t>
      </w:r>
      <w:r>
        <w:rPr>
          <w:vertAlign w:val="baseline"/>
        </w:rPr>
        <w:t>emotional-intelligence,</w:t>
      </w:r>
      <w:r>
        <w:rPr>
          <w:spacing w:val="-2"/>
          <w:vertAlign w:val="baseline"/>
        </w:rPr>
        <w:t> </w:t>
      </w:r>
      <w:r>
        <w:rPr>
          <w:vertAlign w:val="baseline"/>
        </w:rPr>
        <w:t>reasoning</w:t>
      </w:r>
      <w:r>
        <w:rPr>
          <w:spacing w:val="-4"/>
          <w:vertAlign w:val="baseline"/>
        </w:rPr>
        <w:t> </w:t>
      </w:r>
      <w:r>
        <w:rPr>
          <w:vertAlign w:val="baseline"/>
        </w:rPr>
        <w:t>ability, self-efficacy</w:t>
      </w:r>
      <w:r>
        <w:rPr>
          <w:spacing w:val="-7"/>
          <w:vertAlign w:val="baseline"/>
        </w:rPr>
        <w:t> </w:t>
      </w:r>
      <w:r>
        <w:rPr>
          <w:vertAlign w:val="baseline"/>
        </w:rPr>
        <w:t>and</w:t>
      </w:r>
      <w:r>
        <w:rPr>
          <w:spacing w:val="-4"/>
          <w:vertAlign w:val="baseline"/>
        </w:rPr>
        <w:t> </w:t>
      </w:r>
      <w:r>
        <w:rPr>
          <w:vertAlign w:val="baseline"/>
        </w:rPr>
        <w:t>academic achievement in chemistry.</w:t>
      </w:r>
    </w:p>
    <w:p>
      <w:pPr>
        <w:pStyle w:val="BodyText"/>
        <w:spacing w:line="480" w:lineRule="auto" w:before="1"/>
        <w:ind w:left="1109" w:right="1161" w:hanging="629"/>
      </w:pPr>
      <w:r>
        <w:rPr/>
        <w:t>H0</w:t>
      </w:r>
      <w:r>
        <w:rPr>
          <w:vertAlign w:val="subscript"/>
        </w:rPr>
        <w:t>4</w:t>
      </w:r>
      <w:r>
        <w:rPr>
          <w:vertAlign w:val="baseline"/>
        </w:rPr>
        <w:t>:</w:t>
      </w:r>
      <w:r>
        <w:rPr>
          <w:spacing w:val="40"/>
          <w:vertAlign w:val="baseline"/>
        </w:rPr>
        <w:t> </w:t>
      </w:r>
      <w:r>
        <w:rPr>
          <w:vertAlign w:val="baseline"/>
        </w:rPr>
        <w:t>There is no significant difference between the mean scores of SSII male and female chemistry students in emotional-intelligence, reasoning ability, self- efficacy and academic achievement in chemistry.</w:t>
      </w:r>
    </w:p>
    <w:p>
      <w:pPr>
        <w:pStyle w:val="Heading3"/>
        <w:numPr>
          <w:ilvl w:val="1"/>
          <w:numId w:val="5"/>
        </w:numPr>
        <w:tabs>
          <w:tab w:pos="1199" w:val="left" w:leader="none"/>
        </w:tabs>
        <w:spacing w:line="240" w:lineRule="auto" w:before="5" w:after="0"/>
        <w:ind w:left="1199" w:right="0" w:hanging="719"/>
        <w:jc w:val="both"/>
      </w:pPr>
      <w:bookmarkStart w:name="_TOC_250011" w:id="17"/>
      <w:r>
        <w:rPr/>
        <w:t>Significance</w:t>
      </w:r>
      <w:r>
        <w:rPr>
          <w:spacing w:val="-1"/>
        </w:rPr>
        <w:t> </w:t>
      </w:r>
      <w:r>
        <w:rPr/>
        <w:t>of</w:t>
      </w:r>
      <w:r>
        <w:rPr>
          <w:spacing w:val="-1"/>
        </w:rPr>
        <w:t> </w:t>
      </w:r>
      <w:r>
        <w:rPr/>
        <w:t>the</w:t>
      </w:r>
      <w:r>
        <w:rPr>
          <w:spacing w:val="1"/>
        </w:rPr>
        <w:t> </w:t>
      </w:r>
      <w:bookmarkEnd w:id="17"/>
      <w:r>
        <w:rPr>
          <w:spacing w:val="-4"/>
        </w:rPr>
        <w:t>Study</w:t>
      </w:r>
    </w:p>
    <w:p>
      <w:pPr>
        <w:pStyle w:val="BodyText"/>
        <w:spacing w:before="271"/>
        <w:ind w:left="0" w:right="298"/>
        <w:jc w:val="center"/>
      </w:pPr>
      <w:r>
        <w:rPr/>
        <w:t>The</w:t>
      </w:r>
      <w:r>
        <w:rPr>
          <w:spacing w:val="1"/>
        </w:rPr>
        <w:t> </w:t>
      </w:r>
      <w:r>
        <w:rPr/>
        <w:t>findings</w:t>
      </w:r>
      <w:r>
        <w:rPr>
          <w:spacing w:val="-3"/>
        </w:rPr>
        <w:t> </w:t>
      </w:r>
      <w:r>
        <w:rPr/>
        <w:t>of</w:t>
      </w:r>
      <w:r>
        <w:rPr>
          <w:spacing w:val="-9"/>
        </w:rPr>
        <w:t> </w:t>
      </w:r>
      <w:r>
        <w:rPr/>
        <w:t>this</w:t>
      </w:r>
      <w:r>
        <w:rPr>
          <w:spacing w:val="-2"/>
        </w:rPr>
        <w:t> </w:t>
      </w:r>
      <w:r>
        <w:rPr/>
        <w:t>study</w:t>
      </w:r>
      <w:r>
        <w:rPr>
          <w:spacing w:val="-9"/>
        </w:rPr>
        <w:t> </w:t>
      </w:r>
      <w:r>
        <w:rPr/>
        <w:t>would</w:t>
      </w:r>
      <w:r>
        <w:rPr>
          <w:spacing w:val="4"/>
        </w:rPr>
        <w:t> </w:t>
      </w:r>
      <w:r>
        <w:rPr/>
        <w:t>hopefully</w:t>
      </w:r>
      <w:r>
        <w:rPr>
          <w:spacing w:val="-1"/>
        </w:rPr>
        <w:t> </w:t>
      </w:r>
      <w:r>
        <w:rPr/>
        <w:t>be useful</w:t>
      </w:r>
      <w:r>
        <w:rPr>
          <w:spacing w:val="-4"/>
        </w:rPr>
        <w:t> </w:t>
      </w:r>
      <w:r>
        <w:rPr/>
        <w:t>in</w:t>
      </w:r>
      <w:r>
        <w:rPr>
          <w:spacing w:val="-6"/>
        </w:rPr>
        <w:t> </w:t>
      </w:r>
      <w:r>
        <w:rPr/>
        <w:t>the</w:t>
      </w:r>
      <w:r>
        <w:rPr>
          <w:spacing w:val="3"/>
        </w:rPr>
        <w:t> </w:t>
      </w:r>
      <w:r>
        <w:rPr/>
        <w:t>following </w:t>
      </w:r>
      <w:r>
        <w:rPr>
          <w:spacing w:val="-2"/>
        </w:rPr>
        <w:t>ways:</w:t>
      </w:r>
    </w:p>
    <w:p>
      <w:pPr>
        <w:pStyle w:val="BodyText"/>
        <w:spacing w:before="1"/>
        <w:ind w:left="0"/>
        <w:jc w:val="left"/>
      </w:pPr>
    </w:p>
    <w:p>
      <w:pPr>
        <w:pStyle w:val="ListParagraph"/>
        <w:numPr>
          <w:ilvl w:val="0"/>
          <w:numId w:val="10"/>
        </w:numPr>
        <w:tabs>
          <w:tab w:pos="1199" w:val="left" w:leader="none"/>
          <w:tab w:pos="1201" w:val="left" w:leader="none"/>
        </w:tabs>
        <w:spacing w:line="480" w:lineRule="auto" w:before="0" w:after="0"/>
        <w:ind w:left="1201" w:right="1152" w:hanging="720"/>
        <w:jc w:val="both"/>
        <w:rPr>
          <w:sz w:val="24"/>
        </w:rPr>
      </w:pPr>
      <w:r>
        <w:rPr>
          <w:b/>
          <w:sz w:val="24"/>
        </w:rPr>
        <w:t>School</w:t>
      </w:r>
      <w:r>
        <w:rPr>
          <w:b/>
          <w:spacing w:val="-6"/>
          <w:sz w:val="24"/>
        </w:rPr>
        <w:t> </w:t>
      </w:r>
      <w:r>
        <w:rPr>
          <w:b/>
          <w:sz w:val="24"/>
        </w:rPr>
        <w:t>administrators: </w:t>
      </w:r>
      <w:r>
        <w:rPr>
          <w:sz w:val="24"/>
        </w:rPr>
        <w:t>This study</w:t>
      </w:r>
      <w:r>
        <w:rPr>
          <w:spacing w:val="-9"/>
          <w:sz w:val="24"/>
        </w:rPr>
        <w:t> </w:t>
      </w:r>
      <w:r>
        <w:rPr>
          <w:sz w:val="24"/>
        </w:rPr>
        <w:t>would</w:t>
      </w:r>
      <w:r>
        <w:rPr>
          <w:spacing w:val="-1"/>
          <w:sz w:val="24"/>
        </w:rPr>
        <w:t> </w:t>
      </w:r>
      <w:r>
        <w:rPr>
          <w:sz w:val="24"/>
        </w:rPr>
        <w:t>provide information</w:t>
      </w:r>
      <w:r>
        <w:rPr>
          <w:spacing w:val="-4"/>
          <w:sz w:val="24"/>
        </w:rPr>
        <w:t> </w:t>
      </w:r>
      <w:r>
        <w:rPr>
          <w:sz w:val="24"/>
        </w:rPr>
        <w:t>on</w:t>
      </w:r>
      <w:r>
        <w:rPr>
          <w:spacing w:val="-6"/>
          <w:sz w:val="24"/>
        </w:rPr>
        <w:t> </w:t>
      </w:r>
      <w:r>
        <w:rPr>
          <w:sz w:val="24"/>
        </w:rPr>
        <w:t>the</w:t>
      </w:r>
      <w:r>
        <w:rPr>
          <w:spacing w:val="-3"/>
          <w:sz w:val="24"/>
        </w:rPr>
        <w:t> </w:t>
      </w:r>
      <w:r>
        <w:rPr>
          <w:sz w:val="24"/>
        </w:rPr>
        <w:t>effect of emotional-intelligence, reasoning ability, self-efficacy as predictors of academic achievement which will enable school administrators to develop treatment and prevention measures to improve the students performance in sciences (chemistry).</w:t>
      </w:r>
    </w:p>
    <w:p>
      <w:pPr>
        <w:spacing w:after="0" w:line="480" w:lineRule="auto"/>
        <w:jc w:val="both"/>
        <w:rPr>
          <w:sz w:val="24"/>
        </w:rPr>
        <w:sectPr>
          <w:pgSz w:w="11910" w:h="16840"/>
          <w:pgMar w:header="0" w:footer="1012" w:top="1340" w:bottom="1200" w:left="1680" w:right="280"/>
        </w:sectPr>
      </w:pPr>
    </w:p>
    <w:p>
      <w:pPr>
        <w:pStyle w:val="ListParagraph"/>
        <w:numPr>
          <w:ilvl w:val="0"/>
          <w:numId w:val="10"/>
        </w:numPr>
        <w:tabs>
          <w:tab w:pos="1201" w:val="left" w:leader="none"/>
        </w:tabs>
        <w:spacing w:line="480" w:lineRule="auto" w:before="74" w:after="0"/>
        <w:ind w:left="1201" w:right="1160" w:hanging="720"/>
        <w:jc w:val="both"/>
        <w:rPr>
          <w:sz w:val="24"/>
        </w:rPr>
      </w:pPr>
      <w:r>
        <w:rPr>
          <w:b/>
          <w:sz w:val="24"/>
        </w:rPr>
        <w:t>Researchers:</w:t>
      </w:r>
      <w:r>
        <w:rPr>
          <w:b/>
          <w:spacing w:val="40"/>
          <w:sz w:val="24"/>
        </w:rPr>
        <w:t> </w:t>
      </w:r>
      <w:r>
        <w:rPr>
          <w:sz w:val="24"/>
        </w:rPr>
        <w:t>This study will provide tools for measuring emotional– intelligence, reasoning ability, self-efficacy and academic achievement in chemistry that could be used by other researchers.</w:t>
      </w:r>
    </w:p>
    <w:p>
      <w:pPr>
        <w:pStyle w:val="ListParagraph"/>
        <w:numPr>
          <w:ilvl w:val="0"/>
          <w:numId w:val="10"/>
        </w:numPr>
        <w:tabs>
          <w:tab w:pos="1199" w:val="left" w:leader="none"/>
          <w:tab w:pos="1201" w:val="left" w:leader="none"/>
        </w:tabs>
        <w:spacing w:line="480" w:lineRule="auto" w:before="0" w:after="0"/>
        <w:ind w:left="1201" w:right="1150" w:hanging="720"/>
        <w:jc w:val="both"/>
        <w:rPr>
          <w:sz w:val="24"/>
        </w:rPr>
      </w:pPr>
      <w:r>
        <w:rPr>
          <w:b/>
          <w:sz w:val="24"/>
        </w:rPr>
        <w:t>Chemistry Students: </w:t>
      </w:r>
      <w:r>
        <w:rPr>
          <w:sz w:val="24"/>
        </w:rPr>
        <w:t>The study</w:t>
      </w:r>
      <w:r>
        <w:rPr>
          <w:spacing w:val="-3"/>
          <w:sz w:val="24"/>
        </w:rPr>
        <w:t> </w:t>
      </w:r>
      <w:r>
        <w:rPr>
          <w:sz w:val="24"/>
        </w:rPr>
        <w:t>will also help the students by educating them on emotional intelligence, reasoning ability and self-efficacy and also how all these relate to their academic achievement in chemistry.</w:t>
      </w:r>
    </w:p>
    <w:p>
      <w:pPr>
        <w:pStyle w:val="ListParagraph"/>
        <w:numPr>
          <w:ilvl w:val="0"/>
          <w:numId w:val="10"/>
        </w:numPr>
        <w:tabs>
          <w:tab w:pos="1199" w:val="left" w:leader="none"/>
          <w:tab w:pos="1201" w:val="left" w:leader="none"/>
        </w:tabs>
        <w:spacing w:line="480" w:lineRule="auto" w:before="1" w:after="0"/>
        <w:ind w:left="1201" w:right="1152" w:hanging="720"/>
        <w:jc w:val="both"/>
        <w:rPr>
          <w:sz w:val="24"/>
        </w:rPr>
      </w:pPr>
      <w:r>
        <w:rPr>
          <w:b/>
          <w:sz w:val="24"/>
        </w:rPr>
        <w:t>Chemistry Teachers:</w:t>
      </w:r>
      <w:r>
        <w:rPr>
          <w:b/>
          <w:spacing w:val="40"/>
          <w:sz w:val="24"/>
        </w:rPr>
        <w:t> </w:t>
      </w:r>
      <w:r>
        <w:rPr>
          <w:sz w:val="24"/>
        </w:rPr>
        <w:t>Studying the relationship existing between emotional- intelligence, reasoning ability, self-efficacy</w:t>
      </w:r>
      <w:r>
        <w:rPr>
          <w:spacing w:val="-1"/>
          <w:sz w:val="24"/>
        </w:rPr>
        <w:t> </w:t>
      </w:r>
      <w:r>
        <w:rPr>
          <w:sz w:val="24"/>
        </w:rPr>
        <w:t>and achievement in</w:t>
      </w:r>
      <w:r>
        <w:rPr>
          <w:spacing w:val="-1"/>
          <w:sz w:val="24"/>
        </w:rPr>
        <w:t> </w:t>
      </w:r>
      <w:r>
        <w:rPr>
          <w:sz w:val="24"/>
        </w:rPr>
        <w:t>chemistry</w:t>
      </w:r>
      <w:r>
        <w:rPr>
          <w:spacing w:val="-6"/>
          <w:sz w:val="24"/>
        </w:rPr>
        <w:t> </w:t>
      </w:r>
      <w:r>
        <w:rPr>
          <w:sz w:val="24"/>
        </w:rPr>
        <w:t>will be beneficial to chemistry teachers by making them understand and adjust</w:t>
      </w:r>
      <w:r>
        <w:rPr>
          <w:spacing w:val="40"/>
          <w:sz w:val="24"/>
        </w:rPr>
        <w:t> </w:t>
      </w:r>
      <w:r>
        <w:rPr>
          <w:sz w:val="24"/>
        </w:rPr>
        <w:t>their methods of teaching to cater for diverse students in their classes.</w:t>
      </w:r>
    </w:p>
    <w:p>
      <w:pPr>
        <w:pStyle w:val="ListParagraph"/>
        <w:numPr>
          <w:ilvl w:val="0"/>
          <w:numId w:val="10"/>
        </w:numPr>
        <w:tabs>
          <w:tab w:pos="1201" w:val="left" w:leader="none"/>
        </w:tabs>
        <w:spacing w:line="480" w:lineRule="auto" w:before="1" w:after="0"/>
        <w:ind w:left="1201" w:right="1152" w:hanging="720"/>
        <w:jc w:val="both"/>
        <w:rPr>
          <w:sz w:val="24"/>
        </w:rPr>
      </w:pPr>
      <w:r>
        <w:rPr>
          <w:b/>
          <w:sz w:val="24"/>
        </w:rPr>
        <w:t>Science Educators:</w:t>
      </w:r>
      <w:r>
        <w:rPr>
          <w:b/>
          <w:spacing w:val="40"/>
          <w:sz w:val="24"/>
        </w:rPr>
        <w:t> </w:t>
      </w:r>
      <w:r>
        <w:rPr>
          <w:sz w:val="24"/>
        </w:rPr>
        <w:t>In addition to this, researchers in the field of chemistry education will benefit from the expansion of literature in the discipline due to the results of this study,</w:t>
      </w:r>
    </w:p>
    <w:p>
      <w:pPr>
        <w:pStyle w:val="ListParagraph"/>
        <w:numPr>
          <w:ilvl w:val="0"/>
          <w:numId w:val="10"/>
        </w:numPr>
        <w:tabs>
          <w:tab w:pos="1199" w:val="left" w:leader="none"/>
          <w:tab w:pos="1201" w:val="left" w:leader="none"/>
        </w:tabs>
        <w:spacing w:line="480" w:lineRule="auto" w:before="0" w:after="0"/>
        <w:ind w:left="1201" w:right="1157" w:hanging="720"/>
        <w:jc w:val="both"/>
        <w:rPr>
          <w:sz w:val="24"/>
        </w:rPr>
      </w:pPr>
      <w:r>
        <w:rPr>
          <w:b/>
          <w:sz w:val="24"/>
        </w:rPr>
        <w:t>Professional bodies:</w:t>
      </w:r>
      <w:r>
        <w:rPr>
          <w:b/>
          <w:spacing w:val="40"/>
          <w:sz w:val="24"/>
        </w:rPr>
        <w:t> </w:t>
      </w:r>
      <w:r>
        <w:rPr>
          <w:sz w:val="24"/>
        </w:rPr>
        <w:t>The results of this study will benefit federal and state ministries of education and other educational bodies like Nigeria educational research and development council (NERDC) and Science Teachers Association of Nigeria (STAN).</w:t>
      </w:r>
    </w:p>
    <w:p>
      <w:pPr>
        <w:pStyle w:val="Heading3"/>
        <w:numPr>
          <w:ilvl w:val="1"/>
          <w:numId w:val="5"/>
        </w:numPr>
        <w:tabs>
          <w:tab w:pos="1199" w:val="left" w:leader="none"/>
        </w:tabs>
        <w:spacing w:line="240" w:lineRule="auto" w:before="6" w:after="0"/>
        <w:ind w:left="1199" w:right="0" w:hanging="719"/>
        <w:jc w:val="both"/>
      </w:pPr>
      <w:r>
        <w:rPr/>
        <w:t>Scope of</w:t>
      </w:r>
      <w:r>
        <w:rPr>
          <w:spacing w:val="-1"/>
        </w:rPr>
        <w:t> </w:t>
      </w:r>
      <w:r>
        <w:rPr/>
        <w:t>the</w:t>
      </w:r>
      <w:r>
        <w:rPr>
          <w:spacing w:val="1"/>
        </w:rPr>
        <w:t> </w:t>
      </w:r>
      <w:r>
        <w:rPr>
          <w:spacing w:val="-4"/>
        </w:rPr>
        <w:t>Study</w:t>
      </w:r>
    </w:p>
    <w:p>
      <w:pPr>
        <w:pStyle w:val="BodyText"/>
        <w:spacing w:line="480" w:lineRule="auto" w:before="271"/>
        <w:ind w:right="1150" w:firstLine="720"/>
      </w:pPr>
      <w:r>
        <w:rPr/>
        <w:t>The study examined the relationship between Senior Secondary School</w:t>
      </w:r>
      <w:r>
        <w:rPr>
          <w:spacing w:val="40"/>
        </w:rPr>
        <w:t> </w:t>
      </w:r>
      <w:r>
        <w:rPr/>
        <w:t>Student Emotional Intelligence, Reasoning Ability, Self-Efficacy as Predictors of Academic Achievement in Chemistry.</w:t>
      </w:r>
      <w:r>
        <w:rPr>
          <w:spacing w:val="40"/>
        </w:rPr>
        <w:t> </w:t>
      </w:r>
      <w:r>
        <w:rPr/>
        <w:t>It is delimited to senior Secondary Schools Chemistry</w:t>
      </w:r>
      <w:r>
        <w:rPr>
          <w:spacing w:val="-10"/>
        </w:rPr>
        <w:t> </w:t>
      </w:r>
      <w:r>
        <w:rPr/>
        <w:t>Students in</w:t>
      </w:r>
      <w:r>
        <w:rPr>
          <w:spacing w:val="-5"/>
        </w:rPr>
        <w:t> </w:t>
      </w:r>
      <w:r>
        <w:rPr/>
        <w:t>Zonkwa Education</w:t>
      </w:r>
      <w:r>
        <w:rPr>
          <w:spacing w:val="-4"/>
        </w:rPr>
        <w:t> </w:t>
      </w:r>
      <w:r>
        <w:rPr/>
        <w:t>Zone, Kaduna</w:t>
      </w:r>
      <w:r>
        <w:rPr>
          <w:spacing w:val="-1"/>
        </w:rPr>
        <w:t> </w:t>
      </w:r>
      <w:r>
        <w:rPr/>
        <w:t>State.</w:t>
      </w:r>
      <w:r>
        <w:rPr>
          <w:spacing w:val="40"/>
        </w:rPr>
        <w:t> </w:t>
      </w:r>
      <w:r>
        <w:rPr/>
        <w:t>The</w:t>
      </w:r>
      <w:r>
        <w:rPr>
          <w:spacing w:val="-1"/>
        </w:rPr>
        <w:t> </w:t>
      </w:r>
      <w:r>
        <w:rPr/>
        <w:t>study</w:t>
      </w:r>
      <w:r>
        <w:rPr>
          <w:spacing w:val="-3"/>
        </w:rPr>
        <w:t> </w:t>
      </w:r>
      <w:r>
        <w:rPr/>
        <w:t>is</w:t>
      </w:r>
      <w:r>
        <w:rPr>
          <w:spacing w:val="-2"/>
        </w:rPr>
        <w:t> </w:t>
      </w:r>
      <w:r>
        <w:rPr/>
        <w:t>delimited to SSII chemistry students of public senior secondary schools. The reason for restricting this study to public schools is that they are the majority and they all use similar</w:t>
      </w:r>
      <w:r>
        <w:rPr>
          <w:spacing w:val="62"/>
        </w:rPr>
        <w:t> </w:t>
      </w:r>
      <w:r>
        <w:rPr/>
        <w:t>curriculum</w:t>
      </w:r>
      <w:r>
        <w:rPr>
          <w:spacing w:val="56"/>
        </w:rPr>
        <w:t> </w:t>
      </w:r>
      <w:r>
        <w:rPr/>
        <w:t>and</w:t>
      </w:r>
      <w:r>
        <w:rPr>
          <w:spacing w:val="69"/>
        </w:rPr>
        <w:t> </w:t>
      </w:r>
      <w:r>
        <w:rPr/>
        <w:t>are</w:t>
      </w:r>
      <w:r>
        <w:rPr>
          <w:spacing w:val="64"/>
        </w:rPr>
        <w:t> </w:t>
      </w:r>
      <w:r>
        <w:rPr/>
        <w:t>managed</w:t>
      </w:r>
      <w:r>
        <w:rPr>
          <w:spacing w:val="66"/>
        </w:rPr>
        <w:t> </w:t>
      </w:r>
      <w:r>
        <w:rPr/>
        <w:t>by</w:t>
      </w:r>
      <w:r>
        <w:rPr>
          <w:spacing w:val="55"/>
        </w:rPr>
        <w:t> </w:t>
      </w:r>
      <w:r>
        <w:rPr/>
        <w:t>the</w:t>
      </w:r>
      <w:r>
        <w:rPr>
          <w:spacing w:val="59"/>
        </w:rPr>
        <w:t> </w:t>
      </w:r>
      <w:r>
        <w:rPr/>
        <w:t>same</w:t>
      </w:r>
      <w:r>
        <w:rPr>
          <w:spacing w:val="66"/>
        </w:rPr>
        <w:t> </w:t>
      </w:r>
      <w:r>
        <w:rPr/>
        <w:t>body.</w:t>
      </w:r>
      <w:r>
        <w:rPr>
          <w:spacing w:val="64"/>
        </w:rPr>
        <w:t> </w:t>
      </w:r>
      <w:r>
        <w:rPr/>
        <w:t>This</w:t>
      </w:r>
      <w:r>
        <w:rPr>
          <w:spacing w:val="63"/>
        </w:rPr>
        <w:t> </w:t>
      </w:r>
      <w:r>
        <w:rPr/>
        <w:t>will</w:t>
      </w:r>
      <w:r>
        <w:rPr>
          <w:spacing w:val="56"/>
        </w:rPr>
        <w:t> </w:t>
      </w:r>
      <w:r>
        <w:rPr/>
        <w:t>also</w:t>
      </w:r>
      <w:r>
        <w:rPr>
          <w:spacing w:val="69"/>
        </w:rPr>
        <w:t> </w:t>
      </w:r>
      <w:r>
        <w:rPr/>
        <w:t>help</w:t>
      </w:r>
      <w:r>
        <w:rPr>
          <w:spacing w:val="60"/>
        </w:rPr>
        <w:t> </w:t>
      </w:r>
      <w:r>
        <w:rPr/>
        <w:t>the</w:t>
      </w:r>
    </w:p>
    <w:p>
      <w:pPr>
        <w:spacing w:after="0" w:line="480" w:lineRule="auto"/>
        <w:sectPr>
          <w:pgSz w:w="11910" w:h="16840"/>
          <w:pgMar w:header="0" w:footer="1012" w:top="1340" w:bottom="1200" w:left="1680" w:right="280"/>
        </w:sectPr>
      </w:pPr>
    </w:p>
    <w:p>
      <w:pPr>
        <w:pStyle w:val="BodyText"/>
        <w:spacing w:line="480" w:lineRule="auto" w:before="74"/>
        <w:ind w:right="1150"/>
      </w:pPr>
      <w:r>
        <w:rPr/>
        <w:t>researcher in</w:t>
      </w:r>
      <w:r>
        <w:rPr>
          <w:spacing w:val="-6"/>
        </w:rPr>
        <w:t> </w:t>
      </w:r>
      <w:r>
        <w:rPr/>
        <w:t>drawing samples</w:t>
      </w:r>
      <w:r>
        <w:rPr>
          <w:spacing w:val="-3"/>
        </w:rPr>
        <w:t> </w:t>
      </w:r>
      <w:r>
        <w:rPr/>
        <w:t>since</w:t>
      </w:r>
      <w:r>
        <w:rPr>
          <w:spacing w:val="-2"/>
        </w:rPr>
        <w:t> </w:t>
      </w:r>
      <w:r>
        <w:rPr/>
        <w:t>the school</w:t>
      </w:r>
      <w:r>
        <w:rPr>
          <w:spacing w:val="-6"/>
        </w:rPr>
        <w:t> </w:t>
      </w:r>
      <w:r>
        <w:rPr/>
        <w:t>has similar characteristics.</w:t>
      </w:r>
      <w:r>
        <w:rPr>
          <w:spacing w:val="40"/>
        </w:rPr>
        <w:t> </w:t>
      </w:r>
      <w:r>
        <w:rPr/>
        <w:t>The</w:t>
      </w:r>
      <w:r>
        <w:rPr>
          <w:spacing w:val="-2"/>
        </w:rPr>
        <w:t> </w:t>
      </w:r>
      <w:r>
        <w:rPr/>
        <w:t>choice of SS II students is because they are stable and are not facing their final year examination.</w:t>
      </w:r>
      <w:r>
        <w:rPr>
          <w:spacing w:val="40"/>
        </w:rPr>
        <w:t> </w:t>
      </w:r>
      <w:r>
        <w:rPr/>
        <w:t>The instruments</w:t>
      </w:r>
      <w:r>
        <w:rPr>
          <w:spacing w:val="-5"/>
        </w:rPr>
        <w:t> </w:t>
      </w:r>
      <w:r>
        <w:rPr/>
        <w:t>that</w:t>
      </w:r>
      <w:r>
        <w:rPr>
          <w:spacing w:val="-3"/>
        </w:rPr>
        <w:t> </w:t>
      </w:r>
      <w:r>
        <w:rPr/>
        <w:t>would be</w:t>
      </w:r>
      <w:r>
        <w:rPr>
          <w:spacing w:val="-4"/>
        </w:rPr>
        <w:t> </w:t>
      </w:r>
      <w:r>
        <w:rPr/>
        <w:t>used for</w:t>
      </w:r>
      <w:r>
        <w:rPr>
          <w:spacing w:val="-2"/>
        </w:rPr>
        <w:t> </w:t>
      </w:r>
      <w:r>
        <w:rPr/>
        <w:t>this</w:t>
      </w:r>
      <w:r>
        <w:rPr>
          <w:spacing w:val="-5"/>
        </w:rPr>
        <w:t> </w:t>
      </w:r>
      <w:r>
        <w:rPr/>
        <w:t>study</w:t>
      </w:r>
      <w:r>
        <w:rPr>
          <w:spacing w:val="-8"/>
        </w:rPr>
        <w:t> </w:t>
      </w:r>
      <w:r>
        <w:rPr/>
        <w:t>in generating</w:t>
      </w:r>
      <w:r>
        <w:rPr>
          <w:spacing w:val="-3"/>
        </w:rPr>
        <w:t> </w:t>
      </w:r>
      <w:r>
        <w:rPr/>
        <w:t>data</w:t>
      </w:r>
      <w:r>
        <w:rPr>
          <w:spacing w:val="-4"/>
        </w:rPr>
        <w:t> </w:t>
      </w:r>
      <w:r>
        <w:rPr/>
        <w:t>are, Trait Emotional Intelligence Questionnaire (TEIQue), Group Assessment of Logical Thinking (GALT), Chemistry Self-Efficacy Instrument (CSI) and Chemistry Achievement Score (CAS).</w:t>
      </w:r>
    </w:p>
    <w:p>
      <w:pPr>
        <w:pStyle w:val="Heading3"/>
        <w:numPr>
          <w:ilvl w:val="1"/>
          <w:numId w:val="5"/>
        </w:numPr>
        <w:tabs>
          <w:tab w:pos="1199" w:val="left" w:leader="none"/>
        </w:tabs>
        <w:spacing w:line="240" w:lineRule="auto" w:before="6" w:after="0"/>
        <w:ind w:left="1199" w:right="0" w:hanging="719"/>
        <w:jc w:val="both"/>
      </w:pPr>
      <w:r>
        <w:rPr/>
        <w:t>Basic </w:t>
      </w:r>
      <w:r>
        <w:rPr>
          <w:spacing w:val="-2"/>
        </w:rPr>
        <w:t>Assumptions</w:t>
      </w:r>
    </w:p>
    <w:p>
      <w:pPr>
        <w:pStyle w:val="BodyText"/>
        <w:spacing w:before="271"/>
        <w:ind w:left="1201"/>
        <w:jc w:val="left"/>
      </w:pPr>
      <w:r>
        <w:rPr/>
        <w:t>In</w:t>
      </w:r>
      <w:r>
        <w:rPr>
          <w:spacing w:val="-9"/>
        </w:rPr>
        <w:t> </w:t>
      </w:r>
      <w:r>
        <w:rPr/>
        <w:t>carrying</w:t>
      </w:r>
      <w:r>
        <w:rPr>
          <w:spacing w:val="-2"/>
        </w:rPr>
        <w:t> </w:t>
      </w:r>
      <w:r>
        <w:rPr/>
        <w:t>out</w:t>
      </w:r>
      <w:r>
        <w:rPr>
          <w:spacing w:val="-2"/>
        </w:rPr>
        <w:t> </w:t>
      </w:r>
      <w:r>
        <w:rPr/>
        <w:t>this</w:t>
      </w:r>
      <w:r>
        <w:rPr>
          <w:spacing w:val="-4"/>
        </w:rPr>
        <w:t> </w:t>
      </w:r>
      <w:r>
        <w:rPr/>
        <w:t>study, the</w:t>
      </w:r>
      <w:r>
        <w:rPr>
          <w:spacing w:val="-3"/>
        </w:rPr>
        <w:t> </w:t>
      </w:r>
      <w:r>
        <w:rPr/>
        <w:t>following</w:t>
      </w:r>
      <w:r>
        <w:rPr>
          <w:spacing w:val="4"/>
        </w:rPr>
        <w:t> </w:t>
      </w:r>
      <w:r>
        <w:rPr/>
        <w:t>assumptions</w:t>
      </w:r>
      <w:r>
        <w:rPr>
          <w:spacing w:val="-3"/>
        </w:rPr>
        <w:t> </w:t>
      </w:r>
      <w:r>
        <w:rPr/>
        <w:t>were</w:t>
      </w:r>
      <w:r>
        <w:rPr>
          <w:spacing w:val="2"/>
        </w:rPr>
        <w:t> </w:t>
      </w:r>
      <w:r>
        <w:rPr>
          <w:spacing w:val="-2"/>
        </w:rPr>
        <w:t>made:</w:t>
      </w:r>
    </w:p>
    <w:p>
      <w:pPr>
        <w:pStyle w:val="BodyText"/>
        <w:ind w:left="0"/>
        <w:jc w:val="left"/>
      </w:pPr>
    </w:p>
    <w:p>
      <w:pPr>
        <w:pStyle w:val="ListParagraph"/>
        <w:numPr>
          <w:ilvl w:val="0"/>
          <w:numId w:val="11"/>
        </w:numPr>
        <w:tabs>
          <w:tab w:pos="1199" w:val="left" w:leader="none"/>
          <w:tab w:pos="1201" w:val="left" w:leader="none"/>
        </w:tabs>
        <w:spacing w:line="480" w:lineRule="auto" w:before="1" w:after="0"/>
        <w:ind w:left="1201" w:right="1151" w:hanging="720"/>
        <w:jc w:val="both"/>
        <w:rPr>
          <w:sz w:val="24"/>
        </w:rPr>
      </w:pPr>
      <w:r>
        <w:rPr>
          <w:sz w:val="24"/>
        </w:rPr>
        <w:t>The schools have</w:t>
      </w:r>
      <w:r>
        <w:rPr>
          <w:spacing w:val="40"/>
          <w:sz w:val="24"/>
        </w:rPr>
        <w:t> </w:t>
      </w:r>
      <w:r>
        <w:rPr>
          <w:sz w:val="24"/>
        </w:rPr>
        <w:t>qualified chemistry teachers teaching senior secondary school</w:t>
      </w:r>
      <w:r>
        <w:rPr>
          <w:spacing w:val="-9"/>
          <w:sz w:val="24"/>
        </w:rPr>
        <w:t> </w:t>
      </w:r>
      <w:r>
        <w:rPr>
          <w:sz w:val="24"/>
        </w:rPr>
        <w:t>two (SSII) chemistry</w:t>
      </w:r>
      <w:r>
        <w:rPr>
          <w:spacing w:val="-4"/>
          <w:sz w:val="24"/>
        </w:rPr>
        <w:t> </w:t>
      </w:r>
      <w:r>
        <w:rPr>
          <w:sz w:val="24"/>
        </w:rPr>
        <w:t>(i.e. not less</w:t>
      </w:r>
      <w:r>
        <w:rPr>
          <w:spacing w:val="-2"/>
          <w:sz w:val="24"/>
        </w:rPr>
        <w:t> </w:t>
      </w:r>
      <w:r>
        <w:rPr>
          <w:sz w:val="24"/>
        </w:rPr>
        <w:t>than B.Sc.(Ed) in</w:t>
      </w:r>
      <w:r>
        <w:rPr>
          <w:spacing w:val="-5"/>
          <w:sz w:val="24"/>
        </w:rPr>
        <w:t> </w:t>
      </w:r>
      <w:r>
        <w:rPr>
          <w:sz w:val="24"/>
        </w:rPr>
        <w:t>Chemistry, or B.Sc Chemistry with an added P.G.D in Education Qualification or NCE in </w:t>
      </w:r>
      <w:r>
        <w:rPr>
          <w:spacing w:val="-2"/>
          <w:sz w:val="24"/>
        </w:rPr>
        <w:t>Chemistry.</w:t>
      </w:r>
    </w:p>
    <w:p>
      <w:pPr>
        <w:pStyle w:val="ListParagraph"/>
        <w:numPr>
          <w:ilvl w:val="0"/>
          <w:numId w:val="11"/>
        </w:numPr>
        <w:tabs>
          <w:tab w:pos="1201" w:val="left" w:leader="none"/>
        </w:tabs>
        <w:spacing w:line="480" w:lineRule="auto" w:before="0" w:after="0"/>
        <w:ind w:left="1201" w:right="1153" w:hanging="720"/>
        <w:jc w:val="both"/>
        <w:rPr>
          <w:sz w:val="24"/>
        </w:rPr>
      </w:pPr>
      <w:r>
        <w:rPr>
          <w:sz w:val="24"/>
        </w:rPr>
        <w:t>It is also assumed that the third term (qualifying) examination results are true assessment of student achievement in chemistry.</w:t>
      </w:r>
    </w:p>
    <w:p>
      <w:pPr>
        <w:pStyle w:val="ListParagraph"/>
        <w:numPr>
          <w:ilvl w:val="0"/>
          <w:numId w:val="11"/>
        </w:numPr>
        <w:tabs>
          <w:tab w:pos="1199" w:val="left" w:leader="none"/>
          <w:tab w:pos="1201" w:val="left" w:leader="none"/>
        </w:tabs>
        <w:spacing w:line="480" w:lineRule="auto" w:before="1" w:after="0"/>
        <w:ind w:left="1201" w:right="1150" w:hanging="720"/>
        <w:jc w:val="both"/>
        <w:rPr>
          <w:sz w:val="24"/>
        </w:rPr>
      </w:pPr>
      <w:r>
        <w:rPr>
          <w:sz w:val="24"/>
        </w:rPr>
        <w:t>It is assumed that emotional-intelligence, reasoning ability and self-efficacy can be measured</w:t>
      </w:r>
    </w:p>
    <w:p>
      <w:pPr>
        <w:spacing w:after="0" w:line="480" w:lineRule="auto"/>
        <w:jc w:val="both"/>
        <w:rPr>
          <w:sz w:val="24"/>
        </w:rPr>
        <w:sectPr>
          <w:pgSz w:w="11910" w:h="16840"/>
          <w:pgMar w:header="0" w:footer="1012" w:top="1340" w:bottom="1200" w:left="1680" w:right="280"/>
        </w:sectPr>
      </w:pPr>
    </w:p>
    <w:p>
      <w:pPr>
        <w:pStyle w:val="Heading2"/>
        <w:spacing w:line="480" w:lineRule="auto"/>
        <w:ind w:left="3314" w:right="3983" w:firstLine="413"/>
        <w:jc w:val="left"/>
      </w:pPr>
      <w:r>
        <w:rPr/>
        <w:t>CHAPTER TWO LITERATURE</w:t>
      </w:r>
      <w:r>
        <w:rPr>
          <w:spacing w:val="-15"/>
        </w:rPr>
        <w:t> </w:t>
      </w:r>
      <w:r>
        <w:rPr/>
        <w:t>REVIEW</w:t>
      </w:r>
    </w:p>
    <w:p>
      <w:pPr>
        <w:pStyle w:val="Heading3"/>
        <w:numPr>
          <w:ilvl w:val="1"/>
          <w:numId w:val="12"/>
        </w:numPr>
        <w:tabs>
          <w:tab w:pos="1199" w:val="left" w:leader="none"/>
        </w:tabs>
        <w:spacing w:line="240" w:lineRule="auto" w:before="1" w:after="0"/>
        <w:ind w:left="1199" w:right="0" w:hanging="719"/>
        <w:jc w:val="both"/>
      </w:pPr>
      <w:bookmarkStart w:name="_TOC_250010" w:id="18"/>
      <w:bookmarkEnd w:id="18"/>
      <w:r>
        <w:rPr>
          <w:spacing w:val="-2"/>
        </w:rPr>
        <w:t>Introduction</w:t>
      </w:r>
    </w:p>
    <w:p>
      <w:pPr>
        <w:pStyle w:val="BodyText"/>
        <w:spacing w:line="480" w:lineRule="auto" w:before="271"/>
        <w:ind w:right="1154" w:firstLine="720"/>
      </w:pPr>
      <w:r>
        <w:rPr/>
        <w:t>This study examined the relationship between Emotional-intelligence, Reasoning ability, Self-efficacy as predictors of academic achievement of Senior Secondary School Chemistry Students in Zonkwa Education Zone Kaduna State Nigeria.</w:t>
      </w:r>
      <w:r>
        <w:rPr>
          <w:spacing w:val="80"/>
        </w:rPr>
        <w:t> </w:t>
      </w:r>
      <w:r>
        <w:rPr/>
        <w:t>This chapter contains some literature related to this study discussed under</w:t>
      </w:r>
      <w:r>
        <w:rPr>
          <w:spacing w:val="40"/>
        </w:rPr>
        <w:t> </w:t>
      </w:r>
      <w:r>
        <w:rPr/>
        <w:t>the following sub-headings:</w:t>
      </w:r>
    </w:p>
    <w:p>
      <w:pPr>
        <w:pStyle w:val="ListParagraph"/>
        <w:numPr>
          <w:ilvl w:val="1"/>
          <w:numId w:val="12"/>
        </w:numPr>
        <w:tabs>
          <w:tab w:pos="1199" w:val="left" w:leader="none"/>
        </w:tabs>
        <w:spacing w:line="240" w:lineRule="auto" w:before="2" w:after="0"/>
        <w:ind w:left="1199" w:right="0" w:hanging="719"/>
        <w:jc w:val="both"/>
        <w:rPr>
          <w:sz w:val="24"/>
        </w:rPr>
      </w:pPr>
      <w:r>
        <w:rPr>
          <w:sz w:val="24"/>
        </w:rPr>
        <w:t>Meaning and</w:t>
      </w:r>
      <w:r>
        <w:rPr>
          <w:spacing w:val="1"/>
          <w:sz w:val="24"/>
        </w:rPr>
        <w:t> </w:t>
      </w:r>
      <w:r>
        <w:rPr>
          <w:sz w:val="24"/>
        </w:rPr>
        <w:t>Nature</w:t>
      </w:r>
      <w:r>
        <w:rPr>
          <w:spacing w:val="-5"/>
          <w:sz w:val="24"/>
        </w:rPr>
        <w:t> </w:t>
      </w:r>
      <w:r>
        <w:rPr>
          <w:sz w:val="24"/>
        </w:rPr>
        <w:t>of</w:t>
      </w:r>
      <w:r>
        <w:rPr>
          <w:spacing w:val="-6"/>
          <w:sz w:val="24"/>
        </w:rPr>
        <w:t> </w:t>
      </w:r>
      <w:r>
        <w:rPr>
          <w:spacing w:val="-2"/>
          <w:sz w:val="24"/>
        </w:rPr>
        <w:t>Chemistry</w:t>
      </w:r>
    </w:p>
    <w:p>
      <w:pPr>
        <w:pStyle w:val="ListParagraph"/>
        <w:numPr>
          <w:ilvl w:val="1"/>
          <w:numId w:val="12"/>
        </w:numPr>
        <w:tabs>
          <w:tab w:pos="1199" w:val="left" w:leader="none"/>
        </w:tabs>
        <w:spacing w:line="240" w:lineRule="auto" w:before="276" w:after="0"/>
        <w:ind w:left="1199" w:right="0" w:hanging="719"/>
        <w:jc w:val="both"/>
        <w:rPr>
          <w:sz w:val="24"/>
        </w:rPr>
      </w:pPr>
      <w:r>
        <w:rPr>
          <w:sz w:val="24"/>
        </w:rPr>
        <w:t>Psycho-sociological</w:t>
      </w:r>
      <w:r>
        <w:rPr>
          <w:spacing w:val="-7"/>
          <w:sz w:val="24"/>
        </w:rPr>
        <w:t> </w:t>
      </w:r>
      <w:r>
        <w:rPr>
          <w:sz w:val="24"/>
        </w:rPr>
        <w:t>Factors</w:t>
      </w:r>
      <w:r>
        <w:rPr>
          <w:spacing w:val="-3"/>
          <w:sz w:val="24"/>
        </w:rPr>
        <w:t> </w:t>
      </w:r>
      <w:r>
        <w:rPr>
          <w:sz w:val="24"/>
        </w:rPr>
        <w:t>in</w:t>
      </w:r>
      <w:r>
        <w:rPr>
          <w:spacing w:val="-6"/>
          <w:sz w:val="24"/>
        </w:rPr>
        <w:t> </w:t>
      </w:r>
      <w:r>
        <w:rPr>
          <w:spacing w:val="-2"/>
          <w:sz w:val="24"/>
        </w:rPr>
        <w:t>Learning</w:t>
      </w:r>
    </w:p>
    <w:p>
      <w:pPr>
        <w:pStyle w:val="ListParagraph"/>
        <w:numPr>
          <w:ilvl w:val="1"/>
          <w:numId w:val="12"/>
        </w:numPr>
        <w:tabs>
          <w:tab w:pos="1199" w:val="left" w:leader="none"/>
        </w:tabs>
        <w:spacing w:line="240" w:lineRule="auto" w:before="276" w:after="0"/>
        <w:ind w:left="1199" w:right="0" w:hanging="719"/>
        <w:jc w:val="both"/>
        <w:rPr>
          <w:sz w:val="24"/>
        </w:rPr>
      </w:pPr>
      <w:r>
        <w:rPr>
          <w:sz w:val="24"/>
        </w:rPr>
        <w:t>Emotional-Intelligence,</w:t>
      </w:r>
      <w:r>
        <w:rPr>
          <w:spacing w:val="-5"/>
          <w:sz w:val="24"/>
        </w:rPr>
        <w:t> </w:t>
      </w:r>
      <w:r>
        <w:rPr>
          <w:sz w:val="24"/>
        </w:rPr>
        <w:t>Science</w:t>
      </w:r>
      <w:r>
        <w:rPr>
          <w:spacing w:val="-7"/>
          <w:sz w:val="24"/>
        </w:rPr>
        <w:t> </w:t>
      </w:r>
      <w:r>
        <w:rPr>
          <w:sz w:val="24"/>
        </w:rPr>
        <w:t>Learning</w:t>
      </w:r>
      <w:r>
        <w:rPr>
          <w:spacing w:val="-6"/>
          <w:sz w:val="24"/>
        </w:rPr>
        <w:t> </w:t>
      </w:r>
      <w:r>
        <w:rPr>
          <w:sz w:val="24"/>
        </w:rPr>
        <w:t>and</w:t>
      </w:r>
      <w:r>
        <w:rPr>
          <w:spacing w:val="-5"/>
          <w:sz w:val="24"/>
        </w:rPr>
        <w:t> </w:t>
      </w:r>
      <w:r>
        <w:rPr>
          <w:spacing w:val="-2"/>
          <w:sz w:val="24"/>
        </w:rPr>
        <w:t>Performance</w:t>
      </w:r>
    </w:p>
    <w:p>
      <w:pPr>
        <w:pStyle w:val="BodyText"/>
        <w:ind w:left="0"/>
        <w:jc w:val="left"/>
      </w:pPr>
    </w:p>
    <w:p>
      <w:pPr>
        <w:pStyle w:val="ListParagraph"/>
        <w:numPr>
          <w:ilvl w:val="1"/>
          <w:numId w:val="12"/>
        </w:numPr>
        <w:tabs>
          <w:tab w:pos="1199" w:val="left" w:leader="none"/>
        </w:tabs>
        <w:spacing w:line="240" w:lineRule="auto" w:before="0" w:after="0"/>
        <w:ind w:left="1199" w:right="0" w:hanging="719"/>
        <w:jc w:val="both"/>
        <w:rPr>
          <w:sz w:val="24"/>
        </w:rPr>
      </w:pPr>
      <w:r>
        <w:rPr>
          <w:sz w:val="24"/>
        </w:rPr>
        <w:t>Reasoning</w:t>
      </w:r>
      <w:r>
        <w:rPr>
          <w:spacing w:val="-2"/>
          <w:sz w:val="24"/>
        </w:rPr>
        <w:t> </w:t>
      </w:r>
      <w:r>
        <w:rPr>
          <w:sz w:val="24"/>
        </w:rPr>
        <w:t>Ability,</w:t>
      </w:r>
      <w:r>
        <w:rPr>
          <w:spacing w:val="-3"/>
          <w:sz w:val="24"/>
        </w:rPr>
        <w:t> </w:t>
      </w:r>
      <w:r>
        <w:rPr>
          <w:sz w:val="24"/>
        </w:rPr>
        <w:t>Science</w:t>
      </w:r>
      <w:r>
        <w:rPr>
          <w:spacing w:val="-5"/>
          <w:sz w:val="24"/>
        </w:rPr>
        <w:t> </w:t>
      </w:r>
      <w:r>
        <w:rPr>
          <w:sz w:val="24"/>
        </w:rPr>
        <w:t>Learning</w:t>
      </w:r>
      <w:r>
        <w:rPr>
          <w:spacing w:val="-5"/>
          <w:sz w:val="24"/>
        </w:rPr>
        <w:t> </w:t>
      </w:r>
      <w:r>
        <w:rPr>
          <w:sz w:val="24"/>
        </w:rPr>
        <w:t>and</w:t>
      </w:r>
      <w:r>
        <w:rPr>
          <w:spacing w:val="-4"/>
          <w:sz w:val="24"/>
        </w:rPr>
        <w:t> </w:t>
      </w:r>
      <w:r>
        <w:rPr>
          <w:spacing w:val="-2"/>
          <w:sz w:val="24"/>
        </w:rPr>
        <w:t>Performance</w:t>
      </w:r>
    </w:p>
    <w:p>
      <w:pPr>
        <w:pStyle w:val="BodyText"/>
        <w:ind w:left="0"/>
        <w:jc w:val="left"/>
      </w:pPr>
    </w:p>
    <w:p>
      <w:pPr>
        <w:pStyle w:val="ListParagraph"/>
        <w:numPr>
          <w:ilvl w:val="1"/>
          <w:numId w:val="12"/>
        </w:numPr>
        <w:tabs>
          <w:tab w:pos="1199" w:val="left" w:leader="none"/>
        </w:tabs>
        <w:spacing w:line="240" w:lineRule="auto" w:before="0" w:after="0"/>
        <w:ind w:left="1199" w:right="0" w:hanging="719"/>
        <w:jc w:val="both"/>
        <w:rPr>
          <w:sz w:val="24"/>
        </w:rPr>
      </w:pPr>
      <w:r>
        <w:rPr>
          <w:sz w:val="24"/>
        </w:rPr>
        <w:t>Self-Efficacy,</w:t>
      </w:r>
      <w:r>
        <w:rPr>
          <w:spacing w:val="-3"/>
          <w:sz w:val="24"/>
        </w:rPr>
        <w:t> </w:t>
      </w:r>
      <w:r>
        <w:rPr>
          <w:sz w:val="24"/>
        </w:rPr>
        <w:t>Science</w:t>
      </w:r>
      <w:r>
        <w:rPr>
          <w:spacing w:val="-5"/>
          <w:sz w:val="24"/>
        </w:rPr>
        <w:t> </w:t>
      </w:r>
      <w:r>
        <w:rPr>
          <w:sz w:val="24"/>
        </w:rPr>
        <w:t>Learning</w:t>
      </w:r>
      <w:r>
        <w:rPr>
          <w:spacing w:val="-4"/>
          <w:sz w:val="24"/>
        </w:rPr>
        <w:t> </w:t>
      </w:r>
      <w:r>
        <w:rPr>
          <w:sz w:val="24"/>
        </w:rPr>
        <w:t>and</w:t>
      </w:r>
      <w:r>
        <w:rPr>
          <w:spacing w:val="-4"/>
          <w:sz w:val="24"/>
        </w:rPr>
        <w:t> </w:t>
      </w:r>
      <w:r>
        <w:rPr>
          <w:spacing w:val="-2"/>
          <w:sz w:val="24"/>
        </w:rPr>
        <w:t>Performance</w:t>
      </w:r>
    </w:p>
    <w:p>
      <w:pPr>
        <w:pStyle w:val="BodyText"/>
        <w:ind w:left="0"/>
        <w:jc w:val="left"/>
      </w:pPr>
    </w:p>
    <w:p>
      <w:pPr>
        <w:pStyle w:val="ListParagraph"/>
        <w:numPr>
          <w:ilvl w:val="1"/>
          <w:numId w:val="12"/>
        </w:numPr>
        <w:tabs>
          <w:tab w:pos="1199" w:val="left" w:leader="none"/>
        </w:tabs>
        <w:spacing w:line="240" w:lineRule="auto" w:before="0" w:after="0"/>
        <w:ind w:left="1199" w:right="0" w:hanging="719"/>
        <w:jc w:val="both"/>
        <w:rPr>
          <w:sz w:val="24"/>
        </w:rPr>
      </w:pPr>
      <w:r>
        <w:rPr>
          <w:sz w:val="24"/>
        </w:rPr>
        <w:t>Instructional</w:t>
      </w:r>
      <w:r>
        <w:rPr>
          <w:spacing w:val="-7"/>
          <w:sz w:val="24"/>
        </w:rPr>
        <w:t> </w:t>
      </w:r>
      <w:r>
        <w:rPr>
          <w:sz w:val="24"/>
        </w:rPr>
        <w:t>Models</w:t>
      </w:r>
      <w:r>
        <w:rPr>
          <w:spacing w:val="-5"/>
          <w:sz w:val="24"/>
        </w:rPr>
        <w:t> </w:t>
      </w:r>
      <w:r>
        <w:rPr>
          <w:sz w:val="24"/>
        </w:rPr>
        <w:t>and</w:t>
      </w:r>
      <w:r>
        <w:rPr>
          <w:spacing w:val="-2"/>
          <w:sz w:val="24"/>
        </w:rPr>
        <w:t> </w:t>
      </w:r>
      <w:r>
        <w:rPr>
          <w:sz w:val="24"/>
        </w:rPr>
        <w:t>Emotional</w:t>
      </w:r>
      <w:r>
        <w:rPr>
          <w:spacing w:val="-10"/>
          <w:sz w:val="24"/>
        </w:rPr>
        <w:t> </w:t>
      </w:r>
      <w:r>
        <w:rPr>
          <w:spacing w:val="-2"/>
          <w:sz w:val="24"/>
        </w:rPr>
        <w:t>Intelligence</w:t>
      </w:r>
    </w:p>
    <w:p>
      <w:pPr>
        <w:pStyle w:val="BodyText"/>
        <w:ind w:left="0"/>
        <w:jc w:val="left"/>
      </w:pPr>
    </w:p>
    <w:p>
      <w:pPr>
        <w:pStyle w:val="ListParagraph"/>
        <w:numPr>
          <w:ilvl w:val="1"/>
          <w:numId w:val="12"/>
        </w:numPr>
        <w:tabs>
          <w:tab w:pos="1199" w:val="left" w:leader="none"/>
        </w:tabs>
        <w:spacing w:line="240" w:lineRule="auto" w:before="1" w:after="0"/>
        <w:ind w:left="1199" w:right="0" w:hanging="719"/>
        <w:jc w:val="both"/>
        <w:rPr>
          <w:sz w:val="24"/>
        </w:rPr>
      </w:pPr>
      <w:r>
        <w:rPr>
          <w:sz w:val="24"/>
        </w:rPr>
        <w:t>Instructional</w:t>
      </w:r>
      <w:r>
        <w:rPr>
          <w:spacing w:val="-8"/>
          <w:sz w:val="24"/>
        </w:rPr>
        <w:t> </w:t>
      </w:r>
      <w:r>
        <w:rPr>
          <w:sz w:val="24"/>
        </w:rPr>
        <w:t>Models</w:t>
      </w:r>
      <w:r>
        <w:rPr>
          <w:spacing w:val="-6"/>
          <w:sz w:val="24"/>
        </w:rPr>
        <w:t> </w:t>
      </w:r>
      <w:r>
        <w:rPr>
          <w:sz w:val="24"/>
        </w:rPr>
        <w:t>and</w:t>
      </w:r>
      <w:r>
        <w:rPr>
          <w:spacing w:val="-3"/>
          <w:sz w:val="24"/>
        </w:rPr>
        <w:t> </w:t>
      </w:r>
      <w:r>
        <w:rPr>
          <w:sz w:val="24"/>
        </w:rPr>
        <w:t>Reasoning</w:t>
      </w:r>
      <w:r>
        <w:rPr>
          <w:spacing w:val="1"/>
          <w:sz w:val="24"/>
        </w:rPr>
        <w:t> </w:t>
      </w:r>
      <w:r>
        <w:rPr>
          <w:spacing w:val="-2"/>
          <w:sz w:val="24"/>
        </w:rPr>
        <w:t>Ability</w:t>
      </w:r>
    </w:p>
    <w:p>
      <w:pPr>
        <w:pStyle w:val="ListParagraph"/>
        <w:numPr>
          <w:ilvl w:val="1"/>
          <w:numId w:val="12"/>
        </w:numPr>
        <w:tabs>
          <w:tab w:pos="1142" w:val="left" w:leader="none"/>
        </w:tabs>
        <w:spacing w:line="240" w:lineRule="auto" w:before="276" w:after="0"/>
        <w:ind w:left="1142" w:right="0" w:hanging="662"/>
        <w:jc w:val="both"/>
        <w:rPr>
          <w:sz w:val="24"/>
        </w:rPr>
      </w:pPr>
      <w:r>
        <w:rPr>
          <w:sz w:val="24"/>
        </w:rPr>
        <w:t>Instructional</w:t>
      </w:r>
      <w:r>
        <w:rPr>
          <w:spacing w:val="-9"/>
          <w:sz w:val="24"/>
        </w:rPr>
        <w:t> </w:t>
      </w:r>
      <w:r>
        <w:rPr>
          <w:sz w:val="24"/>
        </w:rPr>
        <w:t>Models</w:t>
      </w:r>
      <w:r>
        <w:rPr>
          <w:spacing w:val="-6"/>
          <w:sz w:val="24"/>
        </w:rPr>
        <w:t> </w:t>
      </w:r>
      <w:r>
        <w:rPr>
          <w:sz w:val="24"/>
        </w:rPr>
        <w:t>and</w:t>
      </w:r>
      <w:r>
        <w:rPr>
          <w:spacing w:val="-3"/>
          <w:sz w:val="24"/>
        </w:rPr>
        <w:t> </w:t>
      </w:r>
      <w:r>
        <w:rPr>
          <w:sz w:val="24"/>
        </w:rPr>
        <w:t>Self-</w:t>
      </w:r>
      <w:r>
        <w:rPr>
          <w:spacing w:val="-2"/>
          <w:sz w:val="24"/>
        </w:rPr>
        <w:t>Efficacy</w:t>
      </w:r>
    </w:p>
    <w:p>
      <w:pPr>
        <w:pStyle w:val="ListParagraph"/>
        <w:numPr>
          <w:ilvl w:val="1"/>
          <w:numId w:val="12"/>
        </w:numPr>
        <w:tabs>
          <w:tab w:pos="1199" w:val="left" w:leader="none"/>
        </w:tabs>
        <w:spacing w:line="240" w:lineRule="auto" w:before="276" w:after="0"/>
        <w:ind w:left="1199" w:right="0" w:hanging="719"/>
        <w:jc w:val="both"/>
        <w:rPr>
          <w:sz w:val="24"/>
        </w:rPr>
      </w:pPr>
      <w:r>
        <w:rPr>
          <w:sz w:val="24"/>
        </w:rPr>
        <w:t>Gender-Related</w:t>
      </w:r>
      <w:r>
        <w:rPr>
          <w:spacing w:val="-6"/>
          <w:sz w:val="24"/>
        </w:rPr>
        <w:t> </w:t>
      </w:r>
      <w:r>
        <w:rPr>
          <w:sz w:val="24"/>
        </w:rPr>
        <w:t>Differences</w:t>
      </w:r>
      <w:r>
        <w:rPr>
          <w:spacing w:val="-4"/>
          <w:sz w:val="24"/>
        </w:rPr>
        <w:t> </w:t>
      </w:r>
      <w:r>
        <w:rPr>
          <w:sz w:val="24"/>
        </w:rPr>
        <w:t>in</w:t>
      </w:r>
      <w:r>
        <w:rPr>
          <w:spacing w:val="-5"/>
          <w:sz w:val="24"/>
        </w:rPr>
        <w:t> </w:t>
      </w:r>
      <w:r>
        <w:rPr>
          <w:sz w:val="24"/>
        </w:rPr>
        <w:t>Academic</w:t>
      </w:r>
      <w:r>
        <w:rPr>
          <w:spacing w:val="-2"/>
          <w:sz w:val="24"/>
        </w:rPr>
        <w:t> Achievement</w:t>
      </w:r>
    </w:p>
    <w:p>
      <w:pPr>
        <w:pStyle w:val="BodyText"/>
        <w:ind w:left="0"/>
        <w:jc w:val="left"/>
      </w:pPr>
    </w:p>
    <w:p>
      <w:pPr>
        <w:pStyle w:val="ListParagraph"/>
        <w:numPr>
          <w:ilvl w:val="1"/>
          <w:numId w:val="12"/>
        </w:numPr>
        <w:tabs>
          <w:tab w:pos="1199" w:val="left" w:leader="none"/>
        </w:tabs>
        <w:spacing w:line="240" w:lineRule="auto" w:before="0" w:after="0"/>
        <w:ind w:left="1199" w:right="0" w:hanging="719"/>
        <w:jc w:val="both"/>
        <w:rPr>
          <w:sz w:val="24"/>
        </w:rPr>
      </w:pPr>
      <w:r>
        <w:rPr>
          <w:sz w:val="24"/>
        </w:rPr>
        <w:t>Over View</w:t>
      </w:r>
      <w:r>
        <w:rPr>
          <w:spacing w:val="-2"/>
          <w:sz w:val="24"/>
        </w:rPr>
        <w:t> </w:t>
      </w:r>
      <w:r>
        <w:rPr>
          <w:sz w:val="24"/>
        </w:rPr>
        <w:t>of</w:t>
      </w:r>
      <w:r>
        <w:rPr>
          <w:spacing w:val="-8"/>
          <w:sz w:val="24"/>
        </w:rPr>
        <w:t> </w:t>
      </w:r>
      <w:r>
        <w:rPr>
          <w:sz w:val="24"/>
        </w:rPr>
        <w:t>Similar</w:t>
      </w:r>
      <w:r>
        <w:rPr>
          <w:spacing w:val="4"/>
          <w:sz w:val="24"/>
        </w:rPr>
        <w:t> </w:t>
      </w:r>
      <w:r>
        <w:rPr>
          <w:spacing w:val="-2"/>
          <w:sz w:val="24"/>
        </w:rPr>
        <w:t>Studies</w:t>
      </w:r>
    </w:p>
    <w:p>
      <w:pPr>
        <w:pStyle w:val="BodyText"/>
        <w:ind w:left="0"/>
        <w:jc w:val="left"/>
      </w:pPr>
    </w:p>
    <w:p>
      <w:pPr>
        <w:pStyle w:val="ListParagraph"/>
        <w:numPr>
          <w:ilvl w:val="1"/>
          <w:numId w:val="12"/>
        </w:numPr>
        <w:tabs>
          <w:tab w:pos="1199" w:val="left" w:leader="none"/>
        </w:tabs>
        <w:spacing w:line="240" w:lineRule="auto" w:before="0" w:after="0"/>
        <w:ind w:left="1199" w:right="0" w:hanging="719"/>
        <w:jc w:val="both"/>
        <w:rPr>
          <w:sz w:val="24"/>
        </w:rPr>
      </w:pPr>
      <w:r>
        <w:rPr>
          <w:sz w:val="24"/>
        </w:rPr>
        <w:t>Implication</w:t>
      </w:r>
      <w:r>
        <w:rPr>
          <w:spacing w:val="-5"/>
          <w:sz w:val="24"/>
        </w:rPr>
        <w:t> </w:t>
      </w:r>
      <w:r>
        <w:rPr>
          <w:sz w:val="24"/>
        </w:rPr>
        <w:t>of</w:t>
      </w:r>
      <w:r>
        <w:rPr>
          <w:spacing w:val="-8"/>
          <w:sz w:val="24"/>
        </w:rPr>
        <w:t> </w:t>
      </w:r>
      <w:r>
        <w:rPr>
          <w:sz w:val="24"/>
        </w:rPr>
        <w:t>the</w:t>
      </w:r>
      <w:r>
        <w:rPr>
          <w:spacing w:val="-1"/>
          <w:sz w:val="24"/>
        </w:rPr>
        <w:t> </w:t>
      </w:r>
      <w:r>
        <w:rPr>
          <w:sz w:val="24"/>
        </w:rPr>
        <w:t>Literature</w:t>
      </w:r>
      <w:r>
        <w:rPr>
          <w:spacing w:val="-6"/>
          <w:sz w:val="24"/>
        </w:rPr>
        <w:t> </w:t>
      </w:r>
      <w:r>
        <w:rPr>
          <w:sz w:val="24"/>
        </w:rPr>
        <w:t>Review</w:t>
      </w:r>
      <w:r>
        <w:rPr>
          <w:spacing w:val="4"/>
          <w:sz w:val="24"/>
        </w:rPr>
        <w:t> </w:t>
      </w:r>
      <w:r>
        <w:rPr>
          <w:sz w:val="24"/>
        </w:rPr>
        <w:t>for</w:t>
      </w:r>
      <w:r>
        <w:rPr>
          <w:spacing w:val="-3"/>
          <w:sz w:val="24"/>
        </w:rPr>
        <w:t> </w:t>
      </w:r>
      <w:r>
        <w:rPr>
          <w:sz w:val="24"/>
        </w:rPr>
        <w:t>the</w:t>
      </w:r>
      <w:r>
        <w:rPr>
          <w:spacing w:val="-1"/>
          <w:sz w:val="24"/>
        </w:rPr>
        <w:t> </w:t>
      </w:r>
      <w:r>
        <w:rPr>
          <w:sz w:val="24"/>
        </w:rPr>
        <w:t>Present </w:t>
      </w:r>
      <w:r>
        <w:rPr>
          <w:spacing w:val="-2"/>
          <w:sz w:val="24"/>
        </w:rPr>
        <w:t>Studies</w:t>
      </w:r>
    </w:p>
    <w:p>
      <w:pPr>
        <w:pStyle w:val="BodyText"/>
        <w:spacing w:before="5"/>
        <w:ind w:left="0"/>
        <w:jc w:val="left"/>
      </w:pPr>
    </w:p>
    <w:p>
      <w:pPr>
        <w:pStyle w:val="Heading3"/>
        <w:numPr>
          <w:ilvl w:val="1"/>
          <w:numId w:val="13"/>
        </w:numPr>
        <w:tabs>
          <w:tab w:pos="1199" w:val="left" w:leader="none"/>
        </w:tabs>
        <w:spacing w:line="240" w:lineRule="auto" w:before="0" w:after="0"/>
        <w:ind w:left="1199" w:right="0" w:hanging="719"/>
        <w:jc w:val="both"/>
      </w:pPr>
      <w:bookmarkStart w:name="_TOC_250009" w:id="19"/>
      <w:r>
        <w:rPr/>
        <w:t>Meaning</w:t>
      </w:r>
      <w:r>
        <w:rPr>
          <w:spacing w:val="-2"/>
        </w:rPr>
        <w:t> </w:t>
      </w:r>
      <w:r>
        <w:rPr/>
        <w:t>of</w:t>
      </w:r>
      <w:r>
        <w:rPr>
          <w:spacing w:val="2"/>
        </w:rPr>
        <w:t> </w:t>
      </w:r>
      <w:bookmarkEnd w:id="19"/>
      <w:r>
        <w:rPr>
          <w:spacing w:val="-2"/>
        </w:rPr>
        <w:t>Chemistry</w:t>
      </w:r>
    </w:p>
    <w:p>
      <w:pPr>
        <w:pStyle w:val="BodyText"/>
        <w:spacing w:line="480" w:lineRule="auto" w:before="272"/>
        <w:ind w:right="1158" w:firstLine="720"/>
      </w:pPr>
      <w:r>
        <w:rPr/>
        <mc:AlternateContent>
          <mc:Choice Requires="wps">
            <w:drawing>
              <wp:anchor distT="0" distB="0" distL="0" distR="0" allowOverlap="1" layoutInCell="1" locked="0" behindDoc="1" simplePos="0" relativeHeight="484150784">
                <wp:simplePos x="0" y="0"/>
                <wp:positionH relativeFrom="page">
                  <wp:posOffset>3939540</wp:posOffset>
                </wp:positionH>
                <wp:positionV relativeFrom="paragraph">
                  <wp:posOffset>2173171</wp:posOffset>
                </wp:positionV>
                <wp:extent cx="140335" cy="1403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40335" cy="140335"/>
                        </a:xfrm>
                        <a:prstGeom prst="rect">
                          <a:avLst/>
                        </a:prstGeom>
                      </wps:spPr>
                      <wps:txbx>
                        <w:txbxContent>
                          <w:p>
                            <w:pPr>
                              <w:spacing w:line="221" w:lineRule="exact" w:before="0"/>
                              <w:ind w:left="0" w:right="0" w:firstLine="0"/>
                              <w:jc w:val="left"/>
                              <w:rPr>
                                <w:rFonts w:ascii="Calibri"/>
                                <w:sz w:val="22"/>
                              </w:rPr>
                            </w:pPr>
                            <w:r>
                              <w:rPr>
                                <w:rFonts w:ascii="Calibri"/>
                                <w:spacing w:val="-8"/>
                                <w:sz w:val="22"/>
                              </w:rPr>
                              <w:t>22</w:t>
                            </w:r>
                          </w:p>
                        </w:txbxContent>
                      </wps:txbx>
                      <wps:bodyPr wrap="square" lIns="0" tIns="0" rIns="0" bIns="0" rtlCol="0">
                        <a:noAutofit/>
                      </wps:bodyPr>
                    </wps:wsp>
                  </a:graphicData>
                </a:graphic>
              </wp:anchor>
            </w:drawing>
          </mc:Choice>
          <mc:Fallback>
            <w:pict>
              <v:shape style="position:absolute;margin-left:310.200012pt;margin-top:171.115845pt;width:11.05pt;height:11.05pt;mso-position-horizontal-relative:page;mso-position-vertical-relative:paragraph;z-index:-19165696" type="#_x0000_t202" id="docshape9" filled="false" stroked="false">
                <v:textbox inset="0,0,0,0">
                  <w:txbxContent>
                    <w:p>
                      <w:pPr>
                        <w:spacing w:line="221" w:lineRule="exact" w:before="0"/>
                        <w:ind w:left="0" w:right="0" w:firstLine="0"/>
                        <w:jc w:val="left"/>
                        <w:rPr>
                          <w:rFonts w:ascii="Calibri"/>
                          <w:sz w:val="22"/>
                        </w:rPr>
                      </w:pPr>
                      <w:r>
                        <w:rPr>
                          <w:rFonts w:ascii="Calibri"/>
                          <w:spacing w:val="-8"/>
                          <w:sz w:val="22"/>
                        </w:rPr>
                        <w:t>22</w:t>
                      </w:r>
                    </w:p>
                  </w:txbxContent>
                </v:textbox>
                <w10:wrap type="none"/>
              </v:shape>
            </w:pict>
          </mc:Fallback>
        </mc:AlternateContent>
      </w:r>
      <w:r>
        <w:rPr/>
        <w:t>Chemistry is a branch of physical science that studies the composition, structure, properties and change of matter (Chemweb, 2011). Chemistry includes topics such as the properties of individual atoms, how atoms form chemical bonds to create chemical compounds, the interactions of substances through intermolecular forces</w:t>
      </w:r>
      <w:r>
        <w:rPr>
          <w:spacing w:val="4"/>
        </w:rPr>
        <w:t> </w:t>
      </w:r>
      <w:r>
        <w:rPr/>
        <w:t>that</w:t>
      </w:r>
      <w:r>
        <w:rPr>
          <w:spacing w:val="14"/>
        </w:rPr>
        <w:t> </w:t>
      </w:r>
      <w:r>
        <w:rPr/>
        <w:t>give</w:t>
      </w:r>
      <w:r>
        <w:rPr>
          <w:spacing w:val="13"/>
        </w:rPr>
        <w:t> </w:t>
      </w:r>
      <w:r>
        <w:rPr/>
        <w:t>matter</w:t>
      </w:r>
      <w:r>
        <w:rPr>
          <w:spacing w:val="10"/>
        </w:rPr>
        <w:t> </w:t>
      </w:r>
      <w:r>
        <w:rPr/>
        <w:t>its</w:t>
      </w:r>
      <w:r>
        <w:rPr>
          <w:spacing w:val="7"/>
        </w:rPr>
        <w:t> </w:t>
      </w:r>
      <w:r>
        <w:rPr/>
        <w:t>general</w:t>
      </w:r>
      <w:r>
        <w:rPr>
          <w:spacing w:val="5"/>
        </w:rPr>
        <w:t> </w:t>
      </w:r>
      <w:r>
        <w:rPr/>
        <w:t>properties,</w:t>
      </w:r>
      <w:r>
        <w:rPr>
          <w:spacing w:val="11"/>
        </w:rPr>
        <w:t> </w:t>
      </w:r>
      <w:r>
        <w:rPr/>
        <w:t>and</w:t>
      </w:r>
      <w:r>
        <w:rPr>
          <w:spacing w:val="13"/>
        </w:rPr>
        <w:t> </w:t>
      </w:r>
      <w:r>
        <w:rPr/>
        <w:t>the</w:t>
      </w:r>
      <w:r>
        <w:rPr>
          <w:spacing w:val="13"/>
        </w:rPr>
        <w:t> </w:t>
      </w:r>
      <w:r>
        <w:rPr/>
        <w:t>interactions</w:t>
      </w:r>
      <w:r>
        <w:rPr>
          <w:spacing w:val="12"/>
        </w:rPr>
        <w:t> </w:t>
      </w:r>
      <w:r>
        <w:rPr/>
        <w:t>between</w:t>
      </w:r>
      <w:r>
        <w:rPr>
          <w:spacing w:val="9"/>
        </w:rPr>
        <w:t> </w:t>
      </w:r>
      <w:r>
        <w:rPr>
          <w:spacing w:val="-2"/>
        </w:rPr>
        <w:t>substances</w:t>
      </w:r>
    </w:p>
    <w:p>
      <w:pPr>
        <w:pStyle w:val="BodyText"/>
        <w:spacing w:before="4"/>
        <w:ind w:left="0"/>
        <w:jc w:val="left"/>
        <w:rPr>
          <w:sz w:val="11"/>
        </w:rPr>
      </w:pPr>
      <w:r>
        <w:rPr/>
        <mc:AlternateContent>
          <mc:Choice Requires="wps">
            <w:drawing>
              <wp:anchor distT="0" distB="0" distL="0" distR="0" allowOverlap="1" layoutInCell="1" locked="0" behindDoc="1" simplePos="0" relativeHeight="487589888">
                <wp:simplePos x="0" y="0"/>
                <wp:positionH relativeFrom="page">
                  <wp:posOffset>3790950</wp:posOffset>
                </wp:positionH>
                <wp:positionV relativeFrom="paragraph">
                  <wp:posOffset>98190</wp:posOffset>
                </wp:positionV>
                <wp:extent cx="914400" cy="69532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914400" cy="695325"/>
                        </a:xfrm>
                        <a:custGeom>
                          <a:avLst/>
                          <a:gdLst/>
                          <a:ahLst/>
                          <a:cxnLst/>
                          <a:rect l="l" t="t" r="r" b="b"/>
                          <a:pathLst>
                            <a:path w="914400" h="695325">
                              <a:moveTo>
                                <a:pt x="914400" y="0"/>
                              </a:moveTo>
                              <a:lnTo>
                                <a:pt x="0" y="0"/>
                              </a:lnTo>
                              <a:lnTo>
                                <a:pt x="0" y="695324"/>
                              </a:lnTo>
                              <a:lnTo>
                                <a:pt x="914400" y="695324"/>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8.5pt;margin-top:7.731563pt;width:72pt;height:54.75pt;mso-position-horizontal-relative:page;mso-position-vertical-relative:paragraph;z-index:-15726592;mso-wrap-distance-left:0;mso-wrap-distance-right:0" id="docshape10" filled="true" fillcolor="#ffffff" stroked="false">
                <v:fill type="solid"/>
                <w10:wrap type="topAndBottom"/>
              </v:rect>
            </w:pict>
          </mc:Fallback>
        </mc:AlternateContent>
      </w:r>
    </w:p>
    <w:p>
      <w:pPr>
        <w:spacing w:after="0"/>
        <w:jc w:val="left"/>
        <w:rPr>
          <w:sz w:val="11"/>
        </w:rPr>
        <w:sectPr>
          <w:footerReference w:type="default" r:id="rId8"/>
          <w:pgSz w:w="11910" w:h="16840"/>
          <w:pgMar w:header="0" w:footer="0" w:top="1340" w:bottom="0" w:left="1680" w:right="280"/>
        </w:sectPr>
      </w:pPr>
    </w:p>
    <w:p>
      <w:pPr>
        <w:pStyle w:val="BodyText"/>
        <w:spacing w:line="480" w:lineRule="auto" w:before="74"/>
        <w:ind w:right="1159"/>
      </w:pPr>
      <w:r>
        <w:rPr/>
        <w:t>through chemical reactions to form different substances. Chemistry is sometimes called the central</w:t>
      </w:r>
      <w:r>
        <w:rPr>
          <w:spacing w:val="-1"/>
        </w:rPr>
        <w:t> </w:t>
      </w:r>
      <w:r>
        <w:rPr/>
        <w:t>science because it bridges other natural</w:t>
      </w:r>
      <w:r>
        <w:rPr>
          <w:spacing w:val="-1"/>
        </w:rPr>
        <w:t> </w:t>
      </w:r>
      <w:r>
        <w:rPr/>
        <w:t>sciences, including physics, geology and biology.</w:t>
      </w:r>
    </w:p>
    <w:p>
      <w:pPr>
        <w:pStyle w:val="BodyText"/>
        <w:spacing w:line="480" w:lineRule="auto"/>
        <w:ind w:right="1152" w:firstLine="720"/>
      </w:pPr>
      <w:r>
        <w:rPr/>
        <w:t>Chemistry began as a physical science that did not quite fit the definition of Physics. It is the study of matter, but is obsessed with affecting changes to matter at the molecular level, rather than the forces and laws that govern the changes. The intellectual</w:t>
      </w:r>
      <w:r>
        <w:rPr>
          <w:spacing w:val="-8"/>
        </w:rPr>
        <w:t> </w:t>
      </w:r>
      <w:r>
        <w:rPr/>
        <w:t>peak of</w:t>
      </w:r>
      <w:r>
        <w:rPr>
          <w:spacing w:val="-2"/>
        </w:rPr>
        <w:t> </w:t>
      </w:r>
      <w:r>
        <w:rPr/>
        <w:t>modern chemistry</w:t>
      </w:r>
      <w:r>
        <w:rPr>
          <w:spacing w:val="-9"/>
        </w:rPr>
        <w:t> </w:t>
      </w:r>
      <w:r>
        <w:rPr/>
        <w:t>was</w:t>
      </w:r>
      <w:r>
        <w:rPr>
          <w:spacing w:val="-1"/>
        </w:rPr>
        <w:t> </w:t>
      </w:r>
      <w:r>
        <w:rPr/>
        <w:t>the elucidation</w:t>
      </w:r>
      <w:r>
        <w:rPr>
          <w:spacing w:val="-4"/>
        </w:rPr>
        <w:t> </w:t>
      </w:r>
      <w:r>
        <w:rPr/>
        <w:t>of</w:t>
      </w:r>
      <w:r>
        <w:rPr>
          <w:spacing w:val="-7"/>
        </w:rPr>
        <w:t> </w:t>
      </w:r>
      <w:r>
        <w:rPr/>
        <w:t>the chemical bond, yet to this day it is not possible to write down a mathematical formula to describe how all but the simplest chemical reactions will proceed; only to rationalize</w:t>
      </w:r>
      <w:r>
        <w:rPr>
          <w:spacing w:val="40"/>
        </w:rPr>
        <w:t> </w:t>
      </w:r>
      <w:r>
        <w:rPr/>
        <w:t>it post facto. What propelled</w:t>
      </w:r>
      <w:r>
        <w:rPr>
          <w:spacing w:val="-3"/>
        </w:rPr>
        <w:t> </w:t>
      </w:r>
      <w:r>
        <w:rPr/>
        <w:t>Chemistry</w:t>
      </w:r>
      <w:r>
        <w:rPr>
          <w:spacing w:val="-7"/>
        </w:rPr>
        <w:t> </w:t>
      </w:r>
      <w:r>
        <w:rPr/>
        <w:t>beyond</w:t>
      </w:r>
      <w:r>
        <w:rPr>
          <w:spacing w:val="-3"/>
        </w:rPr>
        <w:t> </w:t>
      </w:r>
      <w:r>
        <w:rPr/>
        <w:t>dyes</w:t>
      </w:r>
      <w:r>
        <w:rPr>
          <w:spacing w:val="-5"/>
        </w:rPr>
        <w:t> </w:t>
      </w:r>
      <w:r>
        <w:rPr/>
        <w:t>and</w:t>
      </w:r>
      <w:r>
        <w:rPr>
          <w:spacing w:val="-3"/>
        </w:rPr>
        <w:t> </w:t>
      </w:r>
      <w:r>
        <w:rPr/>
        <w:t>explosives and,</w:t>
      </w:r>
      <w:r>
        <w:rPr>
          <w:spacing w:val="-1"/>
        </w:rPr>
        <w:t> </w:t>
      </w:r>
      <w:r>
        <w:rPr/>
        <w:t>arguably,</w:t>
      </w:r>
      <w:r>
        <w:rPr>
          <w:spacing w:val="-1"/>
        </w:rPr>
        <w:t> </w:t>
      </w:r>
      <w:r>
        <w:rPr/>
        <w:t>defined it in</w:t>
      </w:r>
      <w:r>
        <w:rPr>
          <w:spacing w:val="-7"/>
        </w:rPr>
        <w:t> </w:t>
      </w:r>
      <w:r>
        <w:rPr/>
        <w:t>the modern area, was petroleum. Of recent, plastics, pharmaceuticals, photolithography, carbon</w:t>
      </w:r>
      <w:r>
        <w:rPr>
          <w:spacing w:val="-3"/>
        </w:rPr>
        <w:t> </w:t>
      </w:r>
      <w:r>
        <w:rPr/>
        <w:t>composites, coatings the chemical</w:t>
      </w:r>
      <w:r>
        <w:rPr>
          <w:spacing w:val="-3"/>
        </w:rPr>
        <w:t> </w:t>
      </w:r>
      <w:r>
        <w:rPr/>
        <w:t>roots</w:t>
      </w:r>
      <w:r>
        <w:rPr>
          <w:spacing w:val="-5"/>
        </w:rPr>
        <w:t> </w:t>
      </w:r>
      <w:r>
        <w:rPr/>
        <w:t>of</w:t>
      </w:r>
      <w:r>
        <w:rPr>
          <w:spacing w:val="-1"/>
        </w:rPr>
        <w:t> </w:t>
      </w:r>
      <w:r>
        <w:rPr/>
        <w:t>modern</w:t>
      </w:r>
      <w:r>
        <w:rPr>
          <w:spacing w:val="-3"/>
        </w:rPr>
        <w:t> </w:t>
      </w:r>
      <w:r>
        <w:rPr/>
        <w:t>technology</w:t>
      </w:r>
      <w:r>
        <w:rPr>
          <w:spacing w:val="-8"/>
        </w:rPr>
        <w:t> </w:t>
      </w:r>
      <w:r>
        <w:rPr/>
        <w:t>are widespread. Yet one of the most prolific chemists of the 20th Century, Linus Pauling, is not a chemist by</w:t>
      </w:r>
      <w:r>
        <w:rPr>
          <w:spacing w:val="-2"/>
        </w:rPr>
        <w:t> </w:t>
      </w:r>
      <w:r>
        <w:rPr/>
        <w:t>modern</w:t>
      </w:r>
      <w:r>
        <w:rPr>
          <w:spacing w:val="-2"/>
        </w:rPr>
        <w:t> </w:t>
      </w:r>
      <w:r>
        <w:rPr/>
        <w:t>standards. Pauling explained</w:t>
      </w:r>
      <w:r>
        <w:rPr>
          <w:spacing w:val="-2"/>
        </w:rPr>
        <w:t> </w:t>
      </w:r>
      <w:r>
        <w:rPr/>
        <w:t>reactivity in</w:t>
      </w:r>
      <w:r>
        <w:rPr>
          <w:spacing w:val="-2"/>
        </w:rPr>
        <w:t> </w:t>
      </w:r>
      <w:r>
        <w:rPr/>
        <w:t>terms</w:t>
      </w:r>
      <w:r>
        <w:rPr>
          <w:spacing w:val="-4"/>
        </w:rPr>
        <w:t> </w:t>
      </w:r>
      <w:r>
        <w:rPr/>
        <w:t>of</w:t>
      </w:r>
      <w:r>
        <w:rPr>
          <w:spacing w:val="-9"/>
        </w:rPr>
        <w:t> </w:t>
      </w:r>
      <w:r>
        <w:rPr/>
        <w:t>chemical</w:t>
      </w:r>
      <w:r>
        <w:rPr>
          <w:spacing w:val="-2"/>
        </w:rPr>
        <w:t> </w:t>
      </w:r>
      <w:r>
        <w:rPr/>
        <w:t>bonds and was integral in uncovering the molecular basis of life, yet these accomplishments are readily parsed as Quantum Mechanics (as is the work of Niels Bohr, one of Pauling‘s mentors) and Molecular Biology in the parlance of</w:t>
      </w:r>
      <w:r>
        <w:rPr>
          <w:spacing w:val="-1"/>
        </w:rPr>
        <w:t> </w:t>
      </w:r>
      <w:r>
        <w:rPr/>
        <w:t>the 21st Century (Ryan, </w:t>
      </w:r>
      <w:r>
        <w:rPr>
          <w:spacing w:val="-2"/>
        </w:rPr>
        <w:t>2015).</w:t>
      </w:r>
    </w:p>
    <w:p>
      <w:pPr>
        <w:pStyle w:val="BodyText"/>
        <w:spacing w:line="480" w:lineRule="auto" w:before="3"/>
        <w:ind w:right="1159" w:firstLine="720"/>
      </w:pPr>
      <w:r>
        <w:rPr/>
        <w:t>But that is precisely what makes Pauling a prototypical chemist; his accomplishments</w:t>
      </w:r>
      <w:r>
        <w:rPr>
          <w:spacing w:val="-1"/>
        </w:rPr>
        <w:t> </w:t>
      </w:r>
      <w:r>
        <w:rPr/>
        <w:t>spilled over into and created new fields</w:t>
      </w:r>
      <w:r>
        <w:rPr>
          <w:spacing w:val="-1"/>
        </w:rPr>
        <w:t> </w:t>
      </w:r>
      <w:r>
        <w:rPr/>
        <w:t>of</w:t>
      </w:r>
      <w:r>
        <w:rPr>
          <w:spacing w:val="-2"/>
        </w:rPr>
        <w:t> </w:t>
      </w:r>
      <w:r>
        <w:rPr/>
        <w:t>science. And that is</w:t>
      </w:r>
      <w:r>
        <w:rPr>
          <w:spacing w:val="-1"/>
        </w:rPr>
        <w:t> </w:t>
      </w:r>
      <w:r>
        <w:rPr/>
        <w:t>what Chemistry does; it creates. Chemists create new molecules, new materials, uncover new phenomena, and create new problems that raise new questions. Chemists are experimentalists; if their results contradict a theory, then the theory must be wrong. When chemists</w:t>
      </w:r>
      <w:r>
        <w:rPr>
          <w:spacing w:val="-1"/>
        </w:rPr>
        <w:t> </w:t>
      </w:r>
      <w:r>
        <w:rPr/>
        <w:t>unearth</w:t>
      </w:r>
      <w:r>
        <w:rPr>
          <w:spacing w:val="-4"/>
        </w:rPr>
        <w:t> </w:t>
      </w:r>
      <w:r>
        <w:rPr/>
        <w:t>a problem of</w:t>
      </w:r>
      <w:r>
        <w:rPr>
          <w:spacing w:val="-7"/>
        </w:rPr>
        <w:t> </w:t>
      </w:r>
      <w:r>
        <w:rPr/>
        <w:t>sufficient complexity</w:t>
      </w:r>
      <w:r>
        <w:rPr>
          <w:spacing w:val="-4"/>
        </w:rPr>
        <w:t> </w:t>
      </w:r>
      <w:r>
        <w:rPr/>
        <w:t>and interest, a new field of science</w:t>
      </w:r>
      <w:r>
        <w:rPr>
          <w:spacing w:val="78"/>
          <w:w w:val="150"/>
        </w:rPr>
        <w:t> </w:t>
      </w:r>
      <w:r>
        <w:rPr/>
        <w:t>is</w:t>
      </w:r>
      <w:r>
        <w:rPr>
          <w:spacing w:val="72"/>
          <w:w w:val="150"/>
        </w:rPr>
        <w:t> </w:t>
      </w:r>
      <w:r>
        <w:rPr/>
        <w:t>created</w:t>
      </w:r>
      <w:r>
        <w:rPr>
          <w:spacing w:val="78"/>
          <w:w w:val="150"/>
        </w:rPr>
        <w:t> </w:t>
      </w:r>
      <w:r>
        <w:rPr/>
        <w:t>to</w:t>
      </w:r>
      <w:r>
        <w:rPr>
          <w:spacing w:val="75"/>
          <w:w w:val="150"/>
        </w:rPr>
        <w:t> </w:t>
      </w:r>
      <w:r>
        <w:rPr/>
        <w:t>address</w:t>
      </w:r>
      <w:r>
        <w:rPr>
          <w:spacing w:val="78"/>
          <w:w w:val="150"/>
        </w:rPr>
        <w:t> </w:t>
      </w:r>
      <w:r>
        <w:rPr/>
        <w:t>it.</w:t>
      </w:r>
      <w:r>
        <w:rPr>
          <w:spacing w:val="72"/>
          <w:w w:val="150"/>
        </w:rPr>
        <w:t> </w:t>
      </w:r>
      <w:r>
        <w:rPr/>
        <w:t>The</w:t>
      </w:r>
      <w:r>
        <w:rPr>
          <w:spacing w:val="79"/>
          <w:w w:val="150"/>
        </w:rPr>
        <w:t> </w:t>
      </w:r>
      <w:r>
        <w:rPr/>
        <w:t>fingerprints</w:t>
      </w:r>
      <w:r>
        <w:rPr>
          <w:spacing w:val="72"/>
          <w:w w:val="150"/>
        </w:rPr>
        <w:t> </w:t>
      </w:r>
      <w:r>
        <w:rPr/>
        <w:t>of</w:t>
      </w:r>
      <w:r>
        <w:rPr>
          <w:spacing w:val="67"/>
          <w:w w:val="150"/>
        </w:rPr>
        <w:t> </w:t>
      </w:r>
      <w:r>
        <w:rPr/>
        <w:t>Chemistry</w:t>
      </w:r>
      <w:r>
        <w:rPr>
          <w:spacing w:val="65"/>
          <w:w w:val="150"/>
        </w:rPr>
        <w:t> </w:t>
      </w:r>
      <w:r>
        <w:rPr/>
        <w:t>are</w:t>
      </w:r>
      <w:r>
        <w:rPr>
          <w:spacing w:val="74"/>
          <w:w w:val="150"/>
        </w:rPr>
        <w:t> </w:t>
      </w:r>
      <w:r>
        <w:rPr/>
        <w:t>all</w:t>
      </w:r>
      <w:r>
        <w:rPr>
          <w:spacing w:val="71"/>
          <w:w w:val="150"/>
        </w:rPr>
        <w:t> </w:t>
      </w:r>
      <w:r>
        <w:rPr>
          <w:spacing w:val="-4"/>
        </w:rPr>
        <w:t>over</w:t>
      </w:r>
    </w:p>
    <w:p>
      <w:pPr>
        <w:spacing w:after="0" w:line="480" w:lineRule="auto"/>
        <w:sectPr>
          <w:footerReference w:type="default" r:id="rId9"/>
          <w:pgSz w:w="11910" w:h="16840"/>
          <w:pgMar w:header="0" w:footer="1012" w:top="1340" w:bottom="1200" w:left="1680" w:right="280"/>
          <w:pgNumType w:start="23"/>
        </w:sectPr>
      </w:pPr>
    </w:p>
    <w:p>
      <w:pPr>
        <w:pStyle w:val="BodyText"/>
        <w:spacing w:line="480" w:lineRule="auto" w:before="74"/>
        <w:ind w:right="1150"/>
      </w:pPr>
      <w:r>
        <w:rPr/>
        <w:t>Biochemistry, Molecular Biology, Materials Science, Nanotechnology, and myriad other scientific disciplines and areas of research; and modern chemists frequently work at the interface with these fields (Ryan, 2015).</w:t>
      </w:r>
    </w:p>
    <w:p>
      <w:pPr>
        <w:pStyle w:val="BodyText"/>
        <w:spacing w:line="480" w:lineRule="auto"/>
        <w:ind w:right="1168" w:firstLine="720"/>
      </w:pPr>
      <w:r>
        <w:rPr/>
        <w:t>Matter is the building block material of the universe. It is anything that takes up space and has mass. Chemistry is a basic science whose central concerns are: structure and behavior of atoms; composition and properties of compounds; reactions between</w:t>
      </w:r>
      <w:r>
        <w:rPr>
          <w:spacing w:val="-7"/>
        </w:rPr>
        <w:t> </w:t>
      </w:r>
      <w:r>
        <w:rPr/>
        <w:t>substances</w:t>
      </w:r>
      <w:r>
        <w:rPr>
          <w:spacing w:val="-4"/>
        </w:rPr>
        <w:t> </w:t>
      </w:r>
      <w:r>
        <w:rPr/>
        <w:t>with</w:t>
      </w:r>
      <w:r>
        <w:rPr>
          <w:spacing w:val="-7"/>
        </w:rPr>
        <w:t> </w:t>
      </w:r>
      <w:r>
        <w:rPr/>
        <w:t>their</w:t>
      </w:r>
      <w:r>
        <w:rPr>
          <w:spacing w:val="-1"/>
        </w:rPr>
        <w:t> </w:t>
      </w:r>
      <w:r>
        <w:rPr/>
        <w:t>accompanying</w:t>
      </w:r>
      <w:r>
        <w:rPr>
          <w:spacing w:val="-2"/>
        </w:rPr>
        <w:t> </w:t>
      </w:r>
      <w:r>
        <w:rPr/>
        <w:t>energy</w:t>
      </w:r>
      <w:r>
        <w:rPr>
          <w:spacing w:val="-11"/>
        </w:rPr>
        <w:t> </w:t>
      </w:r>
      <w:r>
        <w:rPr/>
        <w:t>exchange;</w:t>
      </w:r>
      <w:r>
        <w:rPr>
          <w:spacing w:val="-7"/>
        </w:rPr>
        <w:t> </w:t>
      </w:r>
      <w:r>
        <w:rPr/>
        <w:t>and</w:t>
      </w:r>
      <w:r>
        <w:rPr>
          <w:spacing w:val="-2"/>
        </w:rPr>
        <w:t> </w:t>
      </w:r>
      <w:r>
        <w:rPr/>
        <w:t>the laws</w:t>
      </w:r>
      <w:r>
        <w:rPr>
          <w:spacing w:val="-5"/>
        </w:rPr>
        <w:t> </w:t>
      </w:r>
      <w:r>
        <w:rPr/>
        <w:t>that unite these phenomena into a comprehensive system (Bagley, 2017).</w:t>
      </w:r>
    </w:p>
    <w:p>
      <w:pPr>
        <w:pStyle w:val="BodyText"/>
        <w:spacing w:before="2"/>
        <w:ind w:left="1201"/>
      </w:pPr>
      <w:r>
        <w:rPr/>
        <w:t>There</w:t>
      </w:r>
      <w:r>
        <w:rPr>
          <w:spacing w:val="16"/>
        </w:rPr>
        <w:t> </w:t>
      </w:r>
      <w:r>
        <w:rPr/>
        <w:t>are</w:t>
      </w:r>
      <w:r>
        <w:rPr>
          <w:spacing w:val="24"/>
        </w:rPr>
        <w:t> </w:t>
      </w:r>
      <w:r>
        <w:rPr/>
        <w:t>five</w:t>
      </w:r>
      <w:r>
        <w:rPr>
          <w:spacing w:val="23"/>
        </w:rPr>
        <w:t> </w:t>
      </w:r>
      <w:r>
        <w:rPr/>
        <w:t>main</w:t>
      </w:r>
      <w:r>
        <w:rPr>
          <w:spacing w:val="25"/>
        </w:rPr>
        <w:t> </w:t>
      </w:r>
      <w:r>
        <w:rPr/>
        <w:t>branches</w:t>
      </w:r>
      <w:r>
        <w:rPr>
          <w:spacing w:val="17"/>
        </w:rPr>
        <w:t> </w:t>
      </w:r>
      <w:r>
        <w:rPr/>
        <w:t>of</w:t>
      </w:r>
      <w:r>
        <w:rPr>
          <w:spacing w:val="12"/>
        </w:rPr>
        <w:t> </w:t>
      </w:r>
      <w:r>
        <w:rPr/>
        <w:t>chemistry,</w:t>
      </w:r>
      <w:r>
        <w:rPr>
          <w:spacing w:val="22"/>
        </w:rPr>
        <w:t> </w:t>
      </w:r>
      <w:r>
        <w:rPr/>
        <w:t>each</w:t>
      </w:r>
      <w:r>
        <w:rPr>
          <w:spacing w:val="14"/>
        </w:rPr>
        <w:t> </w:t>
      </w:r>
      <w:r>
        <w:rPr/>
        <w:t>of</w:t>
      </w:r>
      <w:r>
        <w:rPr>
          <w:spacing w:val="12"/>
        </w:rPr>
        <w:t> </w:t>
      </w:r>
      <w:r>
        <w:rPr/>
        <w:t>which</w:t>
      </w:r>
      <w:r>
        <w:rPr>
          <w:spacing w:val="15"/>
        </w:rPr>
        <w:t> </w:t>
      </w:r>
      <w:r>
        <w:rPr/>
        <w:t>has</w:t>
      </w:r>
      <w:r>
        <w:rPr>
          <w:spacing w:val="22"/>
        </w:rPr>
        <w:t> </w:t>
      </w:r>
      <w:r>
        <w:rPr/>
        <w:t>many</w:t>
      </w:r>
      <w:r>
        <w:rPr>
          <w:spacing w:val="15"/>
        </w:rPr>
        <w:t> </w:t>
      </w:r>
      <w:r>
        <w:rPr/>
        <w:t>areas</w:t>
      </w:r>
      <w:r>
        <w:rPr>
          <w:spacing w:val="18"/>
        </w:rPr>
        <w:t> </w:t>
      </w:r>
      <w:r>
        <w:rPr>
          <w:spacing w:val="-5"/>
        </w:rPr>
        <w:t>of</w:t>
      </w:r>
    </w:p>
    <w:p>
      <w:pPr>
        <w:pStyle w:val="BodyText"/>
        <w:spacing w:before="276"/>
        <w:jc w:val="left"/>
      </w:pPr>
      <w:r>
        <w:rPr>
          <w:spacing w:val="-2"/>
        </w:rPr>
        <w:t>study.</w:t>
      </w:r>
    </w:p>
    <w:p>
      <w:pPr>
        <w:pStyle w:val="ListParagraph"/>
        <w:numPr>
          <w:ilvl w:val="2"/>
          <w:numId w:val="13"/>
        </w:numPr>
        <w:tabs>
          <w:tab w:pos="1199" w:val="left" w:leader="none"/>
          <w:tab w:pos="1201" w:val="left" w:leader="none"/>
        </w:tabs>
        <w:spacing w:line="480" w:lineRule="auto" w:before="276" w:after="0"/>
        <w:ind w:left="1201" w:right="1160" w:hanging="360"/>
        <w:jc w:val="both"/>
        <w:rPr>
          <w:sz w:val="24"/>
        </w:rPr>
      </w:pPr>
      <w:r>
        <w:rPr>
          <w:sz w:val="24"/>
        </w:rPr>
        <w:t>Analytical chemistry uses qualitative and quantitative observation to identify and measure</w:t>
      </w:r>
      <w:r>
        <w:rPr>
          <w:spacing w:val="-1"/>
          <w:sz w:val="24"/>
        </w:rPr>
        <w:t> </w:t>
      </w:r>
      <w:r>
        <w:rPr>
          <w:sz w:val="24"/>
        </w:rPr>
        <w:t>the physical and chemical</w:t>
      </w:r>
      <w:r>
        <w:rPr>
          <w:spacing w:val="-5"/>
          <w:sz w:val="24"/>
        </w:rPr>
        <w:t> </w:t>
      </w:r>
      <w:r>
        <w:rPr>
          <w:sz w:val="24"/>
        </w:rPr>
        <w:t>properties of</w:t>
      </w:r>
      <w:r>
        <w:rPr>
          <w:spacing w:val="-8"/>
          <w:sz w:val="24"/>
        </w:rPr>
        <w:t> </w:t>
      </w:r>
      <w:r>
        <w:rPr>
          <w:sz w:val="24"/>
        </w:rPr>
        <w:t>substances. In a</w:t>
      </w:r>
      <w:r>
        <w:rPr>
          <w:spacing w:val="-1"/>
          <w:sz w:val="24"/>
        </w:rPr>
        <w:t> </w:t>
      </w:r>
      <w:r>
        <w:rPr>
          <w:sz w:val="24"/>
        </w:rPr>
        <w:t>sense, all chemistry is analytical.</w:t>
      </w:r>
    </w:p>
    <w:p>
      <w:pPr>
        <w:pStyle w:val="ListParagraph"/>
        <w:numPr>
          <w:ilvl w:val="2"/>
          <w:numId w:val="13"/>
        </w:numPr>
        <w:tabs>
          <w:tab w:pos="1201" w:val="left" w:leader="none"/>
        </w:tabs>
        <w:spacing w:line="480" w:lineRule="auto" w:before="0" w:after="0"/>
        <w:ind w:left="1201" w:right="1157" w:hanging="360"/>
        <w:jc w:val="both"/>
        <w:rPr>
          <w:sz w:val="24"/>
        </w:rPr>
      </w:pPr>
      <w:r>
        <w:rPr>
          <w:sz w:val="24"/>
        </w:rPr>
        <w:t>Physical chemistry combines chemistry with physics. Physical chemists study how matter and energy</w:t>
      </w:r>
      <w:r>
        <w:rPr>
          <w:spacing w:val="-2"/>
          <w:sz w:val="24"/>
        </w:rPr>
        <w:t> </w:t>
      </w:r>
      <w:r>
        <w:rPr>
          <w:sz w:val="24"/>
        </w:rPr>
        <w:t>interact. </w:t>
      </w:r>
      <w:hyperlink r:id="rId10">
        <w:r>
          <w:rPr>
            <w:sz w:val="24"/>
          </w:rPr>
          <w:t>Thermodynamics</w:t>
        </w:r>
      </w:hyperlink>
      <w:r>
        <w:rPr>
          <w:sz w:val="24"/>
        </w:rPr>
        <w:t> and </w:t>
      </w:r>
      <w:hyperlink r:id="rId11">
        <w:r>
          <w:rPr>
            <w:sz w:val="24"/>
          </w:rPr>
          <w:t>quantum</w:t>
        </w:r>
        <w:r>
          <w:rPr>
            <w:spacing w:val="-2"/>
            <w:sz w:val="24"/>
          </w:rPr>
          <w:t> </w:t>
        </w:r>
        <w:r>
          <w:rPr>
            <w:sz w:val="24"/>
          </w:rPr>
          <w:t>mechanics</w:t>
        </w:r>
      </w:hyperlink>
      <w:r>
        <w:rPr>
          <w:sz w:val="24"/>
        </w:rPr>
        <w:t> are two of the important branches of physical chemistry.</w:t>
      </w:r>
    </w:p>
    <w:p>
      <w:pPr>
        <w:pStyle w:val="ListParagraph"/>
        <w:numPr>
          <w:ilvl w:val="2"/>
          <w:numId w:val="13"/>
        </w:numPr>
        <w:tabs>
          <w:tab w:pos="1199" w:val="left" w:leader="none"/>
          <w:tab w:pos="1201" w:val="left" w:leader="none"/>
        </w:tabs>
        <w:spacing w:line="480" w:lineRule="auto" w:before="1" w:after="0"/>
        <w:ind w:left="1201" w:right="1160" w:hanging="360"/>
        <w:jc w:val="both"/>
        <w:rPr>
          <w:sz w:val="24"/>
        </w:rPr>
      </w:pPr>
      <w:r>
        <w:rPr>
          <w:sz w:val="24"/>
        </w:rPr>
        <w:t>Organic chemistry specifically studies compounds that contain the element </w:t>
      </w:r>
      <w:hyperlink r:id="rId12">
        <w:r>
          <w:rPr>
            <w:sz w:val="24"/>
          </w:rPr>
          <w:t>carbon.</w:t>
        </w:r>
      </w:hyperlink>
      <w:r>
        <w:rPr>
          <w:sz w:val="24"/>
        </w:rPr>
        <w:t> Carbon has many unique properties that allow it to form complex chemical bonds and</w:t>
      </w:r>
      <w:r>
        <w:rPr>
          <w:spacing w:val="18"/>
          <w:sz w:val="24"/>
        </w:rPr>
        <w:t> </w:t>
      </w:r>
      <w:r>
        <w:rPr>
          <w:sz w:val="24"/>
        </w:rPr>
        <w:t>very large molecules. Organic chemistry is known as the</w:t>
      </w:r>
    </w:p>
    <w:p>
      <w:pPr>
        <w:pStyle w:val="BodyText"/>
        <w:spacing w:line="480" w:lineRule="auto"/>
        <w:ind w:left="1201" w:right="1168"/>
      </w:pPr>
      <w:r>
        <w:rPr/>
        <w:t>―Chemistry of Life‖ because all of the molecules that make up living tissue have carbon as part of their makeup.</w:t>
      </w:r>
    </w:p>
    <w:p>
      <w:pPr>
        <w:pStyle w:val="ListParagraph"/>
        <w:numPr>
          <w:ilvl w:val="2"/>
          <w:numId w:val="13"/>
        </w:numPr>
        <w:tabs>
          <w:tab w:pos="1199" w:val="left" w:leader="none"/>
          <w:tab w:pos="1201" w:val="left" w:leader="none"/>
        </w:tabs>
        <w:spacing w:line="480" w:lineRule="auto" w:before="1" w:after="0"/>
        <w:ind w:left="1201" w:right="1162" w:hanging="360"/>
        <w:jc w:val="both"/>
        <w:rPr>
          <w:sz w:val="24"/>
        </w:rPr>
      </w:pPr>
      <w:r>
        <w:rPr>
          <w:sz w:val="24"/>
        </w:rPr>
        <w:t>Inorganic chemistry studies materials such as metals and gases that do not</w:t>
      </w:r>
      <w:r>
        <w:rPr>
          <w:spacing w:val="40"/>
          <w:sz w:val="24"/>
        </w:rPr>
        <w:t> </w:t>
      </w:r>
      <w:r>
        <w:rPr>
          <w:sz w:val="24"/>
        </w:rPr>
        <w:t>have carbon as part of their makeup.</w:t>
      </w:r>
    </w:p>
    <w:p>
      <w:pPr>
        <w:pStyle w:val="ListParagraph"/>
        <w:numPr>
          <w:ilvl w:val="2"/>
          <w:numId w:val="13"/>
        </w:numPr>
        <w:tabs>
          <w:tab w:pos="1201" w:val="left" w:leader="none"/>
        </w:tabs>
        <w:spacing w:line="480" w:lineRule="auto" w:before="1" w:after="0"/>
        <w:ind w:left="1201" w:right="1167" w:hanging="360"/>
        <w:jc w:val="both"/>
        <w:rPr>
          <w:sz w:val="24"/>
        </w:rPr>
      </w:pPr>
      <w:r>
        <w:rPr>
          <w:sz w:val="24"/>
        </w:rPr>
        <w:t>Biochemistry is the study of chemical processes that occur within living </w:t>
      </w:r>
      <w:r>
        <w:rPr>
          <w:spacing w:val="-2"/>
          <w:sz w:val="24"/>
        </w:rPr>
        <w:t>organisms.</w:t>
      </w:r>
    </w:p>
    <w:p>
      <w:pPr>
        <w:spacing w:after="0" w:line="480" w:lineRule="auto"/>
        <w:jc w:val="both"/>
        <w:rPr>
          <w:sz w:val="24"/>
        </w:rPr>
        <w:sectPr>
          <w:pgSz w:w="11910" w:h="16840"/>
          <w:pgMar w:header="0" w:footer="1012" w:top="1340" w:bottom="1200" w:left="1680" w:right="280"/>
        </w:sectPr>
      </w:pPr>
    </w:p>
    <w:p>
      <w:pPr>
        <w:pStyle w:val="BodyText"/>
        <w:spacing w:line="480" w:lineRule="auto" w:before="74"/>
        <w:ind w:right="1163" w:firstLine="720"/>
      </w:pPr>
      <w:r>
        <w:rPr/>
        <w:t>Fields</w:t>
      </w:r>
      <w:r>
        <w:rPr>
          <w:spacing w:val="-4"/>
        </w:rPr>
        <w:t> </w:t>
      </w:r>
      <w:r>
        <w:rPr/>
        <w:t>of</w:t>
      </w:r>
      <w:r>
        <w:rPr>
          <w:spacing w:val="-9"/>
        </w:rPr>
        <w:t> </w:t>
      </w:r>
      <w:r>
        <w:rPr/>
        <w:t>study</w:t>
      </w:r>
      <w:r>
        <w:rPr>
          <w:spacing w:val="-7"/>
        </w:rPr>
        <w:t> </w:t>
      </w:r>
      <w:r>
        <w:rPr/>
        <w:t>in</w:t>
      </w:r>
      <w:r>
        <w:rPr>
          <w:spacing w:val="-2"/>
        </w:rPr>
        <w:t> </w:t>
      </w:r>
      <w:r>
        <w:rPr/>
        <w:t>chemistry: Within</w:t>
      </w:r>
      <w:r>
        <w:rPr>
          <w:spacing w:val="-7"/>
        </w:rPr>
        <w:t> </w:t>
      </w:r>
      <w:r>
        <w:rPr/>
        <w:t>these broad</w:t>
      </w:r>
      <w:r>
        <w:rPr>
          <w:spacing w:val="-2"/>
        </w:rPr>
        <w:t> </w:t>
      </w:r>
      <w:r>
        <w:rPr/>
        <w:t>categories are</w:t>
      </w:r>
      <w:r>
        <w:rPr>
          <w:spacing w:val="-3"/>
        </w:rPr>
        <w:t> </w:t>
      </w:r>
      <w:r>
        <w:rPr/>
        <w:t>countless fields of study, many of which have important effects on our daily life. Chemists improve many products, from the food we eat and the clothing we wear to the materials with which we build our homes. Chemistry helps to protect our environment and searches for new sources of energy (Bagley, 2017).</w:t>
      </w:r>
    </w:p>
    <w:p>
      <w:pPr>
        <w:pStyle w:val="BodyText"/>
        <w:spacing w:line="480" w:lineRule="auto" w:before="1"/>
        <w:ind w:right="1155" w:firstLine="720"/>
      </w:pPr>
      <w:r>
        <w:rPr/>
        <w:t>Food science deals with the three biological components of food - carbohydrates, lipids and proteins. Food chemists improve the quality, safety, storage and taste of our food. Food chemists test products to supply information used for the nutrition labels or to determine how packaging and storage affects the safety and quality of the food (Bagley, 2017).</w:t>
      </w:r>
    </w:p>
    <w:p>
      <w:pPr>
        <w:pStyle w:val="BodyText"/>
        <w:spacing w:line="480" w:lineRule="auto" w:before="1"/>
        <w:ind w:right="1153" w:firstLine="720"/>
      </w:pPr>
      <w:r>
        <w:rPr/>
        <w:t>Environmental chemists study how chemicals interact with the natural environment. Environmental</w:t>
      </w:r>
      <w:r>
        <w:rPr>
          <w:spacing w:val="-8"/>
        </w:rPr>
        <w:t> </w:t>
      </w:r>
      <w:r>
        <w:rPr/>
        <w:t>chemistry is an interdisciplinary study</w:t>
      </w:r>
      <w:r>
        <w:rPr>
          <w:spacing w:val="-9"/>
        </w:rPr>
        <w:t> </w:t>
      </w:r>
      <w:r>
        <w:rPr/>
        <w:t>that involves both analytical chemistry and an understanding of environmental science (Bagley, 2017).</w:t>
      </w:r>
    </w:p>
    <w:p>
      <w:pPr>
        <w:pStyle w:val="BodyText"/>
        <w:spacing w:line="480" w:lineRule="auto"/>
        <w:ind w:right="1158" w:firstLine="720"/>
      </w:pPr>
      <w:r>
        <w:rPr/>
        <w:t>Agricultural chemistry is concerned with the substances and chemical</w:t>
      </w:r>
      <w:r>
        <w:rPr>
          <w:spacing w:val="40"/>
        </w:rPr>
        <w:t> </w:t>
      </w:r>
      <w:r>
        <w:rPr/>
        <w:t>reactions that are involved with the production, protection and use of crops and livestock. It is a highly interdisciplinary field that relies on ties to many other</w:t>
      </w:r>
      <w:r>
        <w:rPr>
          <w:spacing w:val="40"/>
        </w:rPr>
        <w:t> </w:t>
      </w:r>
      <w:r>
        <w:rPr/>
        <w:t>sciences. Agricultural chemists may work with the </w:t>
      </w:r>
      <w:hyperlink r:id="rId13">
        <w:r>
          <w:rPr/>
          <w:t>Department of Agriculture,</w:t>
        </w:r>
      </w:hyperlink>
      <w:r>
        <w:rPr/>
        <w:t> the Environmental Protection Agency, the Food and Drug Administration or for private industry. Agricultural chemists develop fertilizers, insecticides and herbicides necessary</w:t>
      </w:r>
      <w:r>
        <w:rPr>
          <w:spacing w:val="-7"/>
        </w:rPr>
        <w:t> </w:t>
      </w:r>
      <w:r>
        <w:rPr/>
        <w:t>for large-scale</w:t>
      </w:r>
      <w:r>
        <w:rPr>
          <w:spacing w:val="-3"/>
        </w:rPr>
        <w:t> </w:t>
      </w:r>
      <w:r>
        <w:rPr/>
        <w:t>crop</w:t>
      </w:r>
      <w:r>
        <w:rPr>
          <w:spacing w:val="-2"/>
        </w:rPr>
        <w:t> </w:t>
      </w:r>
      <w:r>
        <w:rPr/>
        <w:t>production. They</w:t>
      </w:r>
      <w:r>
        <w:rPr>
          <w:spacing w:val="-2"/>
        </w:rPr>
        <w:t> </w:t>
      </w:r>
      <w:r>
        <w:rPr/>
        <w:t>must also monitor</w:t>
      </w:r>
      <w:r>
        <w:rPr>
          <w:spacing w:val="-1"/>
        </w:rPr>
        <w:t> </w:t>
      </w:r>
      <w:r>
        <w:rPr/>
        <w:t>how</w:t>
      </w:r>
      <w:r>
        <w:rPr>
          <w:spacing w:val="-7"/>
        </w:rPr>
        <w:t> </w:t>
      </w:r>
      <w:r>
        <w:rPr/>
        <w:t>these</w:t>
      </w:r>
      <w:r>
        <w:rPr>
          <w:spacing w:val="-3"/>
        </w:rPr>
        <w:t> </w:t>
      </w:r>
      <w:r>
        <w:rPr/>
        <w:t>products are</w:t>
      </w:r>
      <w:r>
        <w:rPr>
          <w:spacing w:val="-1"/>
        </w:rPr>
        <w:t> </w:t>
      </w:r>
      <w:r>
        <w:rPr/>
        <w:t>used and their impacts</w:t>
      </w:r>
      <w:r>
        <w:rPr>
          <w:spacing w:val="-2"/>
        </w:rPr>
        <w:t> </w:t>
      </w:r>
      <w:r>
        <w:rPr/>
        <w:t>on</w:t>
      </w:r>
      <w:r>
        <w:rPr>
          <w:spacing w:val="-5"/>
        </w:rPr>
        <w:t> </w:t>
      </w:r>
      <w:r>
        <w:rPr/>
        <w:t>the</w:t>
      </w:r>
      <w:r>
        <w:rPr>
          <w:spacing w:val="-1"/>
        </w:rPr>
        <w:t> </w:t>
      </w:r>
      <w:r>
        <w:rPr/>
        <w:t>environment. Nutritional supplements</w:t>
      </w:r>
      <w:r>
        <w:rPr>
          <w:spacing w:val="-2"/>
        </w:rPr>
        <w:t> </w:t>
      </w:r>
      <w:r>
        <w:rPr/>
        <w:t>are</w:t>
      </w:r>
      <w:r>
        <w:rPr>
          <w:spacing w:val="-1"/>
        </w:rPr>
        <w:t> </w:t>
      </w:r>
      <w:r>
        <w:rPr/>
        <w:t>developed to increase the productivity of meat and dairy herds (Bagley, 2017).</w:t>
      </w:r>
    </w:p>
    <w:p>
      <w:pPr>
        <w:pStyle w:val="BodyText"/>
        <w:spacing w:line="480" w:lineRule="auto" w:before="2"/>
        <w:ind w:right="1154" w:firstLine="720"/>
      </w:pPr>
      <w:r>
        <w:rPr/>
        <w:t>Agricultural biotechnology is a fast-growing focus for many agricultural chemists. Genetically manipulating crops to be resistant to the herbicides used to control weeds</w:t>
      </w:r>
      <w:r>
        <w:rPr>
          <w:spacing w:val="18"/>
        </w:rPr>
        <w:t> </w:t>
      </w:r>
      <w:r>
        <w:rPr/>
        <w:t>in the</w:t>
      </w:r>
      <w:r>
        <w:rPr>
          <w:spacing w:val="19"/>
        </w:rPr>
        <w:t> </w:t>
      </w:r>
      <w:r>
        <w:rPr/>
        <w:t>fields requires detailed understanding of both the plants and the</w:t>
      </w:r>
    </w:p>
    <w:p>
      <w:pPr>
        <w:spacing w:after="0" w:line="480" w:lineRule="auto"/>
        <w:sectPr>
          <w:pgSz w:w="11910" w:h="16840"/>
          <w:pgMar w:header="0" w:footer="1012" w:top="1340" w:bottom="1200" w:left="1680" w:right="280"/>
        </w:sectPr>
      </w:pPr>
    </w:p>
    <w:p>
      <w:pPr>
        <w:pStyle w:val="BodyText"/>
        <w:spacing w:line="480" w:lineRule="auto" w:before="74"/>
        <w:ind w:right="1161"/>
      </w:pPr>
      <w:r>
        <w:rPr/>
        <w:t>chemicals at the molecular level. Biochemists must understand genetics, chemistry and business needs to develop crops that are easier to transport or that have a longer shelf life (Bagley, 2017).</w:t>
      </w:r>
    </w:p>
    <w:p>
      <w:pPr>
        <w:pStyle w:val="BodyText"/>
        <w:spacing w:line="480" w:lineRule="auto"/>
        <w:ind w:right="1164" w:firstLine="720"/>
      </w:pPr>
      <w:r>
        <w:rPr/>
        <w:t>Chemical engineers research and develop new materials or processes that involve chemical reactions. Chemical engineering combines a background in chemistry with engineering and economics concepts to solve technological problems. Chemical engineering jobs fall into two main groups: industrial applications and development of new products (Bagley, 2017).</w:t>
      </w:r>
    </w:p>
    <w:p>
      <w:pPr>
        <w:pStyle w:val="BodyText"/>
        <w:spacing w:line="480" w:lineRule="auto" w:before="2"/>
        <w:ind w:right="1168" w:firstLine="720"/>
      </w:pPr>
      <w:r>
        <w:rPr/>
        <w:t>Geochemists combine chemistry and geology to study the makeup and interaction</w:t>
      </w:r>
      <w:r>
        <w:rPr>
          <w:spacing w:val="-1"/>
        </w:rPr>
        <w:t> </w:t>
      </w:r>
      <w:r>
        <w:rPr/>
        <w:t>between</w:t>
      </w:r>
      <w:r>
        <w:rPr>
          <w:spacing w:val="-6"/>
        </w:rPr>
        <w:t> </w:t>
      </w:r>
      <w:r>
        <w:rPr/>
        <w:t>substances found in</w:t>
      </w:r>
      <w:r>
        <w:rPr>
          <w:spacing w:val="-1"/>
        </w:rPr>
        <w:t> </w:t>
      </w:r>
      <w:r>
        <w:rPr/>
        <w:t>the Earth.</w:t>
      </w:r>
      <w:r>
        <w:rPr>
          <w:spacing w:val="-4"/>
        </w:rPr>
        <w:t> </w:t>
      </w:r>
      <w:r>
        <w:rPr/>
        <w:t>Geochemists may</w:t>
      </w:r>
      <w:r>
        <w:rPr>
          <w:spacing w:val="-1"/>
        </w:rPr>
        <w:t> </w:t>
      </w:r>
      <w:r>
        <w:rPr/>
        <w:t>spend more</w:t>
      </w:r>
      <w:r>
        <w:rPr>
          <w:spacing w:val="-2"/>
        </w:rPr>
        <w:t> </w:t>
      </w:r>
      <w:r>
        <w:rPr/>
        <w:t>time in field studies than other types of chemists (Bagley, 2017).</w:t>
      </w:r>
    </w:p>
    <w:p>
      <w:pPr>
        <w:pStyle w:val="BodyText"/>
        <w:spacing w:line="480" w:lineRule="auto"/>
        <w:ind w:right="1159" w:firstLine="720"/>
      </w:pPr>
      <w:r>
        <w:rPr/>
        <w:t>Forensic chemists capture and analyze the physical evidence left behind at a crime scene to help determine the identities of the people involved as well as to answer other vital questions regarding how and why the crime was carried out. Forensic chemists use a wide variety of analyzation methods, such as</w:t>
      </w:r>
      <w:r>
        <w:rPr>
          <w:spacing w:val="40"/>
        </w:rPr>
        <w:t> </w:t>
      </w:r>
      <w:r>
        <w:rPr/>
        <w:t>chromatography, spectrometry and spectroscopy (Bagley, 2017).</w:t>
      </w:r>
    </w:p>
    <w:p>
      <w:pPr>
        <w:pStyle w:val="Heading3"/>
        <w:numPr>
          <w:ilvl w:val="1"/>
          <w:numId w:val="13"/>
        </w:numPr>
        <w:tabs>
          <w:tab w:pos="1199" w:val="left" w:leader="none"/>
        </w:tabs>
        <w:spacing w:line="240" w:lineRule="auto" w:before="6" w:after="0"/>
        <w:ind w:left="1199" w:right="0" w:hanging="719"/>
        <w:jc w:val="both"/>
      </w:pPr>
      <w:bookmarkStart w:name="_TOC_250008" w:id="20"/>
      <w:r>
        <w:rPr/>
        <w:t>Psycho-sociological</w:t>
      </w:r>
      <w:r>
        <w:rPr>
          <w:spacing w:val="-5"/>
        </w:rPr>
        <w:t> </w:t>
      </w:r>
      <w:r>
        <w:rPr/>
        <w:t>Factors</w:t>
      </w:r>
      <w:r>
        <w:rPr>
          <w:spacing w:val="-2"/>
        </w:rPr>
        <w:t> </w:t>
      </w:r>
      <w:r>
        <w:rPr/>
        <w:t>in</w:t>
      </w:r>
      <w:r>
        <w:rPr>
          <w:spacing w:val="1"/>
        </w:rPr>
        <w:t> </w:t>
      </w:r>
      <w:bookmarkEnd w:id="20"/>
      <w:r>
        <w:rPr>
          <w:spacing w:val="-2"/>
        </w:rPr>
        <w:t>Learning</w:t>
      </w:r>
    </w:p>
    <w:p>
      <w:pPr>
        <w:pStyle w:val="BodyText"/>
        <w:spacing w:line="480" w:lineRule="auto" w:before="271"/>
        <w:ind w:right="1155" w:firstLine="720"/>
      </w:pPr>
      <w:r>
        <w:rPr/>
        <w:t>The Federal Government of Nigeria in her National Policy on Education (2009) sees introductory technology as one of the core subjects to be offered at the Junior Secondary School level. Science and Technology enables students to acquire knowledge and skills. Despite this, there are some psychosocial factors that are af- fecting the teaching and learning of Science and Technology (Oyenuga &amp; Lopez </w:t>
      </w:r>
      <w:r>
        <w:rPr>
          <w:spacing w:val="-2"/>
        </w:rPr>
        <w:t>2012).</w:t>
      </w:r>
    </w:p>
    <w:p>
      <w:pPr>
        <w:pStyle w:val="BodyText"/>
        <w:spacing w:line="480" w:lineRule="auto" w:before="2"/>
        <w:ind w:right="1167" w:firstLine="720"/>
      </w:pPr>
      <w:r>
        <w:rPr/>
        <w:t>It should be noted that no great cornerstone of our understanding about the psychosocial</w:t>
      </w:r>
      <w:r>
        <w:rPr>
          <w:spacing w:val="1"/>
        </w:rPr>
        <w:t> </w:t>
      </w:r>
      <w:r>
        <w:rPr/>
        <w:t>factors</w:t>
      </w:r>
      <w:r>
        <w:rPr>
          <w:spacing w:val="1"/>
        </w:rPr>
        <w:t> </w:t>
      </w:r>
      <w:r>
        <w:rPr/>
        <w:t>affecting</w:t>
      </w:r>
      <w:r>
        <w:rPr>
          <w:spacing w:val="3"/>
        </w:rPr>
        <w:t> </w:t>
      </w:r>
      <w:r>
        <w:rPr/>
        <w:t>the</w:t>
      </w:r>
      <w:r>
        <w:rPr>
          <w:spacing w:val="3"/>
        </w:rPr>
        <w:t> </w:t>
      </w:r>
      <w:r>
        <w:rPr/>
        <w:t>teaching</w:t>
      </w:r>
      <w:r>
        <w:rPr>
          <w:spacing w:val="3"/>
        </w:rPr>
        <w:t> </w:t>
      </w:r>
      <w:r>
        <w:rPr/>
        <w:t>and</w:t>
      </w:r>
      <w:r>
        <w:rPr>
          <w:spacing w:val="8"/>
        </w:rPr>
        <w:t> </w:t>
      </w:r>
      <w:r>
        <w:rPr/>
        <w:t>learning</w:t>
      </w:r>
      <w:r>
        <w:rPr>
          <w:spacing w:val="2"/>
        </w:rPr>
        <w:t> </w:t>
      </w:r>
      <w:r>
        <w:rPr/>
        <w:t>of</w:t>
      </w:r>
      <w:r>
        <w:rPr>
          <w:spacing w:val="-3"/>
        </w:rPr>
        <w:t> </w:t>
      </w:r>
      <w:r>
        <w:rPr/>
        <w:t>Science</w:t>
      </w:r>
      <w:r>
        <w:rPr>
          <w:spacing w:val="3"/>
        </w:rPr>
        <w:t> </w:t>
      </w:r>
      <w:r>
        <w:rPr/>
        <w:t>and</w:t>
      </w:r>
      <w:r>
        <w:rPr>
          <w:spacing w:val="2"/>
        </w:rPr>
        <w:t> </w:t>
      </w:r>
      <w:r>
        <w:rPr/>
        <w:t>Technology </w:t>
      </w:r>
      <w:r>
        <w:rPr>
          <w:spacing w:val="-5"/>
        </w:rPr>
        <w:t>is</w:t>
      </w:r>
    </w:p>
    <w:p>
      <w:pPr>
        <w:spacing w:after="0" w:line="480" w:lineRule="auto"/>
        <w:sectPr>
          <w:pgSz w:w="11910" w:h="16840"/>
          <w:pgMar w:header="0" w:footer="1012" w:top="1340" w:bottom="1200" w:left="1680" w:right="280"/>
        </w:sectPr>
      </w:pPr>
    </w:p>
    <w:p>
      <w:pPr>
        <w:pStyle w:val="BodyText"/>
        <w:spacing w:line="480" w:lineRule="auto" w:before="74"/>
        <w:ind w:right="1159"/>
      </w:pPr>
      <w:r>
        <w:rPr/>
        <w:t>either erected or overthrown. Psychosocial factor is referred to the psychological and social factors that may or mar the study of a subject or course. The school, home background and the interest of the student stand out as strong variables in explaining variation in the teaching and learning of science</w:t>
      </w:r>
      <w:r>
        <w:rPr>
          <w:spacing w:val="27"/>
        </w:rPr>
        <w:t> </w:t>
      </w:r>
      <w:r>
        <w:rPr/>
        <w:t>and technology. Again, it could not be established that differences among school related arrangements bear any direct simple universal relationship to teaching and learning of Science Technology performance especially when the home and interest factors are held constant</w:t>
      </w:r>
      <w:r>
        <w:rPr>
          <w:spacing w:val="40"/>
        </w:rPr>
        <w:t> </w:t>
      </w:r>
      <w:r>
        <w:rPr/>
        <w:t>(Oyenuga &amp; Lopez 2012).</w:t>
      </w:r>
    </w:p>
    <w:p>
      <w:pPr>
        <w:pStyle w:val="BodyText"/>
        <w:spacing w:line="480" w:lineRule="auto" w:before="2"/>
        <w:ind w:right="1150" w:firstLine="720"/>
      </w:pPr>
      <w:r>
        <w:rPr/>
        <w:t>Consequently, it should be noted</w:t>
      </w:r>
      <w:r>
        <w:rPr>
          <w:spacing w:val="-2"/>
        </w:rPr>
        <w:t> </w:t>
      </w:r>
      <w:r>
        <w:rPr/>
        <w:t>that most students get a lot</w:t>
      </w:r>
      <w:r>
        <w:rPr>
          <w:spacing w:val="-2"/>
        </w:rPr>
        <w:t> </w:t>
      </w:r>
      <w:r>
        <w:rPr/>
        <w:t>out of</w:t>
      </w:r>
      <w:r>
        <w:rPr>
          <w:spacing w:val="-5"/>
        </w:rPr>
        <w:t> </w:t>
      </w:r>
      <w:r>
        <w:rPr/>
        <w:t>school, the highest variations in the</w:t>
      </w:r>
      <w:r>
        <w:rPr>
          <w:spacing w:val="-1"/>
        </w:rPr>
        <w:t> </w:t>
      </w:r>
      <w:r>
        <w:rPr/>
        <w:t>teaching and learning of</w:t>
      </w:r>
      <w:r>
        <w:rPr>
          <w:spacing w:val="-3"/>
        </w:rPr>
        <w:t> </w:t>
      </w:r>
      <w:r>
        <w:rPr/>
        <w:t>Science and Technology is observed around that basic levels may be attributed more to home and interest than to school differences. Cultural</w:t>
      </w:r>
      <w:r>
        <w:rPr>
          <w:spacing w:val="-6"/>
        </w:rPr>
        <w:t> </w:t>
      </w:r>
      <w:r>
        <w:rPr/>
        <w:t>and psychosocial</w:t>
      </w:r>
      <w:r>
        <w:rPr>
          <w:spacing w:val="-2"/>
        </w:rPr>
        <w:t> </w:t>
      </w:r>
      <w:r>
        <w:rPr/>
        <w:t>learning theories have not been</w:t>
      </w:r>
      <w:r>
        <w:rPr>
          <w:spacing w:val="-2"/>
        </w:rPr>
        <w:t> </w:t>
      </w:r>
      <w:r>
        <w:rPr/>
        <w:t>used to explain the factors affecting the performance of students in the teaching and learning of science and technology. This is because no literature has been established in this area of</w:t>
      </w:r>
      <w:r>
        <w:rPr>
          <w:spacing w:val="-7"/>
        </w:rPr>
        <w:t> </w:t>
      </w:r>
      <w:r>
        <w:rPr/>
        <w:t>study. However, in</w:t>
      </w:r>
      <w:r>
        <w:rPr>
          <w:spacing w:val="-4"/>
        </w:rPr>
        <w:t> </w:t>
      </w:r>
      <w:r>
        <w:rPr/>
        <w:t>order to promote effective teaching and learning of</w:t>
      </w:r>
      <w:r>
        <w:rPr>
          <w:spacing w:val="-7"/>
        </w:rPr>
        <w:t> </w:t>
      </w:r>
      <w:r>
        <w:rPr/>
        <w:t>Science and Technology, the</w:t>
      </w:r>
      <w:r>
        <w:rPr>
          <w:spacing w:val="-2"/>
        </w:rPr>
        <w:t> </w:t>
      </w:r>
      <w:r>
        <w:rPr/>
        <w:t>school, home</w:t>
      </w:r>
      <w:r>
        <w:rPr>
          <w:spacing w:val="-2"/>
        </w:rPr>
        <w:t> </w:t>
      </w:r>
      <w:r>
        <w:rPr/>
        <w:t>and</w:t>
      </w:r>
      <w:r>
        <w:rPr>
          <w:spacing w:val="-1"/>
        </w:rPr>
        <w:t> </w:t>
      </w:r>
      <w:r>
        <w:rPr/>
        <w:t>the interest of</w:t>
      </w:r>
      <w:r>
        <w:rPr>
          <w:spacing w:val="-9"/>
        </w:rPr>
        <w:t> </w:t>
      </w:r>
      <w:r>
        <w:rPr/>
        <w:t>the students</w:t>
      </w:r>
      <w:r>
        <w:rPr>
          <w:spacing w:val="-3"/>
        </w:rPr>
        <w:t> </w:t>
      </w:r>
      <w:r>
        <w:rPr/>
        <w:t>are</w:t>
      </w:r>
      <w:r>
        <w:rPr>
          <w:spacing w:val="-2"/>
        </w:rPr>
        <w:t> </w:t>
      </w:r>
      <w:r>
        <w:rPr/>
        <w:t>pertinent factors</w:t>
      </w:r>
      <w:r>
        <w:rPr>
          <w:spacing w:val="-8"/>
        </w:rPr>
        <w:t> </w:t>
      </w:r>
      <w:r>
        <w:rPr/>
        <w:t>that must be considered (Oyenuga &amp; Lopez 2012).</w:t>
      </w:r>
    </w:p>
    <w:p>
      <w:pPr>
        <w:pStyle w:val="BodyText"/>
        <w:spacing w:line="480" w:lineRule="auto" w:before="1"/>
        <w:ind w:right="1155" w:firstLine="720"/>
      </w:pPr>
      <w:r>
        <w:rPr/>
        <w:t>According to Cohen, Raudenbush &amp; Ball (2003), school fees constitute an important for schools and represent potential for creating an enabling teaching and learning environment Cohen et al. further stated that school with few financial resources tend to perform poorly in relation to school with greater finances. Oyenuga (2007) linked poor teaching and learning to shortage of qualified teachers and this accounted for poor academics performances in secondary schools. Oyenuga (2007) also attributed the poor teaching and learning in secondary schools to inadequate material and infrastructural</w:t>
      </w:r>
      <w:r>
        <w:rPr>
          <w:spacing w:val="-3"/>
        </w:rPr>
        <w:t> </w:t>
      </w:r>
      <w:r>
        <w:rPr/>
        <w:t>resources which are below expectation with some schools</w:t>
      </w:r>
    </w:p>
    <w:p>
      <w:pPr>
        <w:spacing w:after="0" w:line="480" w:lineRule="auto"/>
        <w:sectPr>
          <w:pgSz w:w="11910" w:h="16840"/>
          <w:pgMar w:header="0" w:footer="1012" w:top="1340" w:bottom="1200" w:left="1680" w:right="280"/>
        </w:sectPr>
      </w:pPr>
    </w:p>
    <w:p>
      <w:pPr>
        <w:pStyle w:val="BodyText"/>
        <w:spacing w:line="480" w:lineRule="auto" w:before="74"/>
        <w:ind w:right="1159"/>
      </w:pPr>
      <w:r>
        <w:rPr/>
        <w:t>having few classroom accommodations without windows, poor spacing and crowded seats. Okonkwo (2010) attributed the students' poor academic performance to indiscipline in schools and low level of educational standard. From the above, it is pertinent to say that the school is a psychosocial factor that may affect the teaching and learning of Science and Technology in Nigeria secondary public schools.</w:t>
      </w:r>
    </w:p>
    <w:p>
      <w:pPr>
        <w:pStyle w:val="BodyText"/>
        <w:spacing w:line="480" w:lineRule="auto" w:before="1"/>
        <w:ind w:right="1157" w:firstLine="720"/>
      </w:pPr>
      <w:r>
        <w:rPr/>
        <w:t>On the issue of</w:t>
      </w:r>
      <w:r>
        <w:rPr>
          <w:spacing w:val="-2"/>
        </w:rPr>
        <w:t> </w:t>
      </w:r>
      <w:r>
        <w:rPr/>
        <w:t>the home as a psychosocial factor in the teaching and learning which</w:t>
      </w:r>
      <w:r>
        <w:rPr>
          <w:spacing w:val="-1"/>
        </w:rPr>
        <w:t> </w:t>
      </w:r>
      <w:r>
        <w:rPr/>
        <w:t>can</w:t>
      </w:r>
      <w:r>
        <w:rPr>
          <w:spacing w:val="-1"/>
        </w:rPr>
        <w:t> </w:t>
      </w:r>
      <w:r>
        <w:rPr/>
        <w:t>also make or mar students'</w:t>
      </w:r>
      <w:r>
        <w:rPr>
          <w:spacing w:val="-1"/>
        </w:rPr>
        <w:t> </w:t>
      </w:r>
      <w:r>
        <w:rPr/>
        <w:t>performance, Oyenuga (2007) argued that good home background and conducive environment tends to promote students academic performance. Ajila and Olutola (2007) viewed that the state of the home affects the individual since the parents are the first socializing agents in an individual life. This according to Okonkwo (2010) is because the family background and concern of a child affect his reaction to life situations and his level of performance. Okonkwo (2010) also sees the home as having a great influence on the students' psychological, emotional, social and economic state. However, one could deduce that the home is a recognized psychosocial factor having a lot of influence in teaching and learning of various subjects in which Science and Technology is of no exception.</w:t>
      </w:r>
    </w:p>
    <w:p>
      <w:pPr>
        <w:pStyle w:val="BodyText"/>
        <w:spacing w:line="480" w:lineRule="auto" w:before="2"/>
        <w:ind w:right="1162" w:firstLine="720"/>
      </w:pPr>
      <w:r>
        <w:rPr/>
        <w:t>On the issue of interest, the home plays a significant role in this regard as many parents may discourage or encourage their children towards a particular subject or career. Teachers also play a significant role in the interest of a student in a particular subject. In a study carried out by Fakunade – Oyenuga &amp; Lopez (2012), it was reported that students' hatred for some school subjects was a result of poor instructional strategies by the teachers. In order to facilitate teaching and learning of Science and Technology, interest of the students is also a relevant factor Chukwu (2002) (Oyenuga 2010) stated that interest has been viewed as emotionally oriented behavioral</w:t>
      </w:r>
      <w:r>
        <w:rPr>
          <w:spacing w:val="-2"/>
        </w:rPr>
        <w:t> </w:t>
      </w:r>
      <w:r>
        <w:rPr/>
        <w:t>trait</w:t>
      </w:r>
      <w:r>
        <w:rPr>
          <w:spacing w:val="10"/>
        </w:rPr>
        <w:t> </w:t>
      </w:r>
      <w:r>
        <w:rPr/>
        <w:t>which</w:t>
      </w:r>
      <w:r>
        <w:rPr>
          <w:spacing w:val="1"/>
        </w:rPr>
        <w:t> </w:t>
      </w:r>
      <w:r>
        <w:rPr/>
        <w:t>determines</w:t>
      </w:r>
      <w:r>
        <w:rPr>
          <w:spacing w:val="7"/>
        </w:rPr>
        <w:t> </w:t>
      </w:r>
      <w:r>
        <w:rPr/>
        <w:t>a</w:t>
      </w:r>
      <w:r>
        <w:rPr>
          <w:spacing w:val="5"/>
        </w:rPr>
        <w:t> </w:t>
      </w:r>
      <w:r>
        <w:rPr/>
        <w:t>student's</w:t>
      </w:r>
      <w:r>
        <w:rPr>
          <w:spacing w:val="2"/>
        </w:rPr>
        <w:t> </w:t>
      </w:r>
      <w:r>
        <w:rPr/>
        <w:t>whim</w:t>
      </w:r>
      <w:r>
        <w:rPr>
          <w:spacing w:val="2"/>
        </w:rPr>
        <w:t> </w:t>
      </w:r>
      <w:r>
        <w:rPr/>
        <w:t>and</w:t>
      </w:r>
      <w:r>
        <w:rPr>
          <w:spacing w:val="9"/>
        </w:rPr>
        <w:t> </w:t>
      </w:r>
      <w:r>
        <w:rPr/>
        <w:t>vigour</w:t>
      </w:r>
      <w:r>
        <w:rPr>
          <w:spacing w:val="11"/>
        </w:rPr>
        <w:t> </w:t>
      </w:r>
      <w:r>
        <w:rPr/>
        <w:t>in</w:t>
      </w:r>
      <w:r>
        <w:rPr>
          <w:spacing w:val="1"/>
        </w:rPr>
        <w:t> </w:t>
      </w:r>
      <w:r>
        <w:rPr/>
        <w:t>tackling</w:t>
      </w:r>
      <w:r>
        <w:rPr>
          <w:spacing w:val="5"/>
        </w:rPr>
        <w:t> </w:t>
      </w:r>
      <w:r>
        <w:rPr>
          <w:spacing w:val="-2"/>
        </w:rPr>
        <w:t>educational</w:t>
      </w:r>
    </w:p>
    <w:p>
      <w:pPr>
        <w:spacing w:after="0" w:line="480" w:lineRule="auto"/>
        <w:sectPr>
          <w:pgSz w:w="11910" w:h="16840"/>
          <w:pgMar w:header="0" w:footer="1012" w:top="1340" w:bottom="1200" w:left="1680" w:right="280"/>
        </w:sectPr>
      </w:pPr>
    </w:p>
    <w:p>
      <w:pPr>
        <w:pStyle w:val="BodyText"/>
        <w:spacing w:line="480" w:lineRule="auto" w:before="74"/>
        <w:ind w:right="1157"/>
      </w:pPr>
      <w:r>
        <w:rPr/>
        <w:t>programmes or other activities. Therefore, interest is an affective behaviour that can be aroused and sustained in</w:t>
      </w:r>
      <w:r>
        <w:rPr>
          <w:spacing w:val="-1"/>
        </w:rPr>
        <w:t> </w:t>
      </w:r>
      <w:r>
        <w:rPr/>
        <w:t>teaching and learning through</w:t>
      </w:r>
      <w:r>
        <w:rPr>
          <w:spacing w:val="-1"/>
        </w:rPr>
        <w:t> </w:t>
      </w:r>
      <w:r>
        <w:rPr/>
        <w:t>motivation</w:t>
      </w:r>
      <w:r>
        <w:rPr>
          <w:spacing w:val="-1"/>
        </w:rPr>
        <w:t> </w:t>
      </w:r>
      <w:r>
        <w:rPr/>
        <w:t>and appropriate teaching technique. It has been widely acknowledged in science, technical and voca- tional acquisition research that the learning of Science and Technology is an inseparable subset of</w:t>
      </w:r>
      <w:r>
        <w:rPr>
          <w:spacing w:val="-3"/>
        </w:rPr>
        <w:t> </w:t>
      </w:r>
      <w:r>
        <w:rPr/>
        <w:t>science and technical</w:t>
      </w:r>
      <w:r>
        <w:rPr>
          <w:spacing w:val="-5"/>
        </w:rPr>
        <w:t> </w:t>
      </w:r>
      <w:r>
        <w:rPr/>
        <w:t>education as the school; home and interest may influence the perception of the society on the subject.</w:t>
      </w:r>
    </w:p>
    <w:p>
      <w:pPr>
        <w:pStyle w:val="BodyText"/>
        <w:spacing w:line="480" w:lineRule="auto" w:before="1"/>
        <w:ind w:right="1161" w:firstLine="720"/>
      </w:pPr>
      <w:r>
        <w:rPr/>
        <w:t>Socio - Psychological influences (socialization theory):</w:t>
      </w:r>
      <w:r>
        <w:rPr>
          <w:spacing w:val="40"/>
        </w:rPr>
        <w:t> </w:t>
      </w:r>
      <w:r>
        <w:rPr/>
        <w:t>Focuses on cultural and environmental influences and argues that socio and cultural forces work to create different experiences and expectations for girls and boys and to communicate to children what behaviors are considered sex-appropriate. It has been found out that parents encourage the development of natural and interpersonal skills in their daughters</w:t>
      </w:r>
      <w:r>
        <w:rPr>
          <w:spacing w:val="-2"/>
        </w:rPr>
        <w:t> </w:t>
      </w:r>
      <w:r>
        <w:rPr/>
        <w:t>and spatial</w:t>
      </w:r>
      <w:r>
        <w:rPr>
          <w:spacing w:val="-5"/>
        </w:rPr>
        <w:t> </w:t>
      </w:r>
      <w:r>
        <w:rPr/>
        <w:t>and practical skills in their sons, an emphasis seen</w:t>
      </w:r>
      <w:r>
        <w:rPr>
          <w:spacing w:val="-5"/>
        </w:rPr>
        <w:t> </w:t>
      </w:r>
      <w:r>
        <w:rPr/>
        <w:t>to be</w:t>
      </w:r>
      <w:r>
        <w:rPr>
          <w:spacing w:val="-1"/>
        </w:rPr>
        <w:t> </w:t>
      </w:r>
      <w:r>
        <w:rPr/>
        <w:t>dictated by culturally determined images of appropriate female and male behaviors (Busolo </w:t>
      </w:r>
      <w:r>
        <w:rPr>
          <w:spacing w:val="-2"/>
        </w:rPr>
        <w:t>2010).</w:t>
      </w:r>
    </w:p>
    <w:p>
      <w:pPr>
        <w:pStyle w:val="BodyText"/>
        <w:spacing w:line="480" w:lineRule="auto" w:before="2"/>
        <w:ind w:right="1158" w:firstLine="720"/>
      </w:pPr>
      <w:r>
        <w:rPr/>
        <w:t>Sex related differences are strongly influenced by learning and environmental influences (Fennema and Sherman – Busolo 2010). Cross-cultural</w:t>
      </w:r>
      <w:r>
        <w:rPr>
          <w:spacing w:val="-1"/>
        </w:rPr>
        <w:t> </w:t>
      </w:r>
      <w:r>
        <w:rPr/>
        <w:t>studies have noted that sex differences on certain spatial tests (e.g. the embedded figures test) appear</w:t>
      </w:r>
      <w:r>
        <w:rPr>
          <w:spacing w:val="40"/>
        </w:rPr>
        <w:t> </w:t>
      </w:r>
      <w:r>
        <w:rPr/>
        <w:t>only in highly stratified cultures in which males exercise strong authoritarian control over females. Less structured societies (e.g. the Eskimos where females are not socialized to be more dependent than men, show little differences.</w:t>
      </w:r>
    </w:p>
    <w:p>
      <w:pPr>
        <w:pStyle w:val="BodyText"/>
        <w:spacing w:line="480" w:lineRule="auto" w:before="1"/>
        <w:ind w:right="1161" w:firstLine="720"/>
      </w:pPr>
      <w:r>
        <w:rPr/>
        <w:t>The fact that boys and girls begin to show the greatest differentiation of intellectual</w:t>
      </w:r>
      <w:r>
        <w:rPr>
          <w:spacing w:val="-2"/>
        </w:rPr>
        <w:t> </w:t>
      </w:r>
      <w:r>
        <w:rPr/>
        <w:t>functioning at adolescence may</w:t>
      </w:r>
      <w:r>
        <w:rPr>
          <w:spacing w:val="-2"/>
        </w:rPr>
        <w:t> </w:t>
      </w:r>
      <w:r>
        <w:rPr/>
        <w:t>suggest that</w:t>
      </w:r>
      <w:r>
        <w:rPr>
          <w:spacing w:val="-2"/>
        </w:rPr>
        <w:t> </w:t>
      </w:r>
      <w:r>
        <w:rPr/>
        <w:t>the phenomenon is caused by developmental changes at this time in life. Social theorists have suggested that these changes</w:t>
      </w:r>
      <w:r>
        <w:rPr>
          <w:spacing w:val="-2"/>
        </w:rPr>
        <w:t> </w:t>
      </w:r>
      <w:r>
        <w:rPr/>
        <w:t>are</w:t>
      </w:r>
      <w:r>
        <w:rPr>
          <w:spacing w:val="-1"/>
        </w:rPr>
        <w:t> </w:t>
      </w:r>
      <w:r>
        <w:rPr/>
        <w:t>primarily</w:t>
      </w:r>
      <w:r>
        <w:rPr>
          <w:spacing w:val="-5"/>
        </w:rPr>
        <w:t> </w:t>
      </w:r>
      <w:r>
        <w:rPr/>
        <w:t>the</w:t>
      </w:r>
      <w:r>
        <w:rPr>
          <w:spacing w:val="-1"/>
        </w:rPr>
        <w:t> </w:t>
      </w:r>
      <w:r>
        <w:rPr/>
        <w:t>result of</w:t>
      </w:r>
      <w:r>
        <w:rPr>
          <w:spacing w:val="-3"/>
        </w:rPr>
        <w:t> </w:t>
      </w:r>
      <w:r>
        <w:rPr/>
        <w:t>boys'</w:t>
      </w:r>
      <w:r>
        <w:rPr>
          <w:spacing w:val="-5"/>
        </w:rPr>
        <w:t> </w:t>
      </w:r>
      <w:r>
        <w:rPr/>
        <w:t>and girls' initiation into adult roles, which</w:t>
      </w:r>
      <w:r>
        <w:rPr>
          <w:spacing w:val="-5"/>
        </w:rPr>
        <w:t> </w:t>
      </w:r>
      <w:r>
        <w:rPr/>
        <w:t>are dictated</w:t>
      </w:r>
      <w:r>
        <w:rPr>
          <w:spacing w:val="12"/>
        </w:rPr>
        <w:t> </w:t>
      </w:r>
      <w:r>
        <w:rPr/>
        <w:t>by</w:t>
      </w:r>
      <w:r>
        <w:rPr>
          <w:spacing w:val="10"/>
        </w:rPr>
        <w:t> </w:t>
      </w:r>
      <w:r>
        <w:rPr/>
        <w:t>society</w:t>
      </w:r>
      <w:r>
        <w:rPr>
          <w:spacing w:val="5"/>
        </w:rPr>
        <w:t> </w:t>
      </w:r>
      <w:r>
        <w:rPr/>
        <w:t>(Kelly</w:t>
      </w:r>
      <w:r>
        <w:rPr>
          <w:spacing w:val="15"/>
        </w:rPr>
        <w:t> </w:t>
      </w:r>
      <w:r>
        <w:rPr/>
        <w:t>–</w:t>
      </w:r>
      <w:r>
        <w:rPr>
          <w:spacing w:val="20"/>
        </w:rPr>
        <w:t> </w:t>
      </w:r>
      <w:r>
        <w:rPr/>
        <w:t>Busolo</w:t>
      </w:r>
      <w:r>
        <w:rPr>
          <w:spacing w:val="19"/>
        </w:rPr>
        <w:t> </w:t>
      </w:r>
      <w:r>
        <w:rPr/>
        <w:t>2010)</w:t>
      </w:r>
      <w:r>
        <w:rPr>
          <w:spacing w:val="17"/>
        </w:rPr>
        <w:t> </w:t>
      </w:r>
      <w:r>
        <w:rPr/>
        <w:t>It</w:t>
      </w:r>
      <w:r>
        <w:rPr>
          <w:spacing w:val="20"/>
        </w:rPr>
        <w:t> </w:t>
      </w:r>
      <w:r>
        <w:rPr/>
        <w:t>is</w:t>
      </w:r>
      <w:r>
        <w:rPr>
          <w:spacing w:val="13"/>
        </w:rPr>
        <w:t> </w:t>
      </w:r>
      <w:r>
        <w:rPr/>
        <w:t>the</w:t>
      </w:r>
      <w:r>
        <w:rPr>
          <w:spacing w:val="13"/>
        </w:rPr>
        <w:t> </w:t>
      </w:r>
      <w:r>
        <w:rPr/>
        <w:t>time</w:t>
      </w:r>
      <w:r>
        <w:rPr>
          <w:spacing w:val="14"/>
        </w:rPr>
        <w:t> </w:t>
      </w:r>
      <w:r>
        <w:rPr/>
        <w:t>when</w:t>
      </w:r>
      <w:r>
        <w:rPr>
          <w:spacing w:val="15"/>
        </w:rPr>
        <w:t> </w:t>
      </w:r>
      <w:r>
        <w:rPr/>
        <w:t>many</w:t>
      </w:r>
      <w:r>
        <w:rPr>
          <w:spacing w:val="10"/>
        </w:rPr>
        <w:t> </w:t>
      </w:r>
      <w:r>
        <w:rPr/>
        <w:t>girls</w:t>
      </w:r>
      <w:r>
        <w:rPr>
          <w:spacing w:val="13"/>
        </w:rPr>
        <w:t> </w:t>
      </w:r>
      <w:r>
        <w:rPr/>
        <w:t>do</w:t>
      </w:r>
      <w:r>
        <w:rPr>
          <w:spacing w:val="20"/>
        </w:rPr>
        <w:t> </w:t>
      </w:r>
      <w:r>
        <w:rPr>
          <w:spacing w:val="-2"/>
        </w:rPr>
        <w:t>develop</w:t>
      </w:r>
    </w:p>
    <w:p>
      <w:pPr>
        <w:spacing w:after="0" w:line="480" w:lineRule="auto"/>
        <w:sectPr>
          <w:pgSz w:w="11910" w:h="16840"/>
          <w:pgMar w:header="0" w:footer="1012" w:top="1340" w:bottom="1200" w:left="1680" w:right="280"/>
        </w:sectPr>
      </w:pPr>
    </w:p>
    <w:p>
      <w:pPr>
        <w:pStyle w:val="BodyText"/>
        <w:spacing w:line="480" w:lineRule="auto" w:before="74"/>
        <w:ind w:right="1163"/>
      </w:pPr>
      <w:r>
        <w:rPr/>
        <w:t>the 'will to fail' in a society which differentiates roles in terms of gender, it follows that individual behaviors will be influenced by what is considered to be sexually appropriate. Tasks considered not to be sexually appropriate will be ignored in favor of more appropriate or useful tasks. If society deems that science and mechanical activities are the province of males, whereas literature, languages, social studies are the province of females, these judgments will be reflected in the choice of subjects</w:t>
      </w:r>
      <w:r>
        <w:rPr>
          <w:spacing w:val="40"/>
        </w:rPr>
        <w:t> </w:t>
      </w:r>
      <w:r>
        <w:rPr/>
        <w:t>and in</w:t>
      </w:r>
      <w:r>
        <w:rPr>
          <w:spacing w:val="-1"/>
        </w:rPr>
        <w:t> </w:t>
      </w:r>
      <w:r>
        <w:rPr/>
        <w:t>the amount of</w:t>
      </w:r>
      <w:r>
        <w:rPr>
          <w:spacing w:val="-8"/>
        </w:rPr>
        <w:t> </w:t>
      </w:r>
      <w:r>
        <w:rPr/>
        <w:t>effort expended by</w:t>
      </w:r>
      <w:r>
        <w:rPr>
          <w:spacing w:val="-1"/>
        </w:rPr>
        <w:t> </w:t>
      </w:r>
      <w:r>
        <w:rPr/>
        <w:t>boys</w:t>
      </w:r>
      <w:r>
        <w:rPr>
          <w:spacing w:val="-3"/>
        </w:rPr>
        <w:t> </w:t>
      </w:r>
      <w:r>
        <w:rPr/>
        <w:t>and girls</w:t>
      </w:r>
      <w:r>
        <w:rPr>
          <w:spacing w:val="-3"/>
        </w:rPr>
        <w:t> </w:t>
      </w:r>
      <w:r>
        <w:rPr/>
        <w:t>on</w:t>
      </w:r>
      <w:r>
        <w:rPr>
          <w:spacing w:val="-5"/>
        </w:rPr>
        <w:t> </w:t>
      </w:r>
      <w:r>
        <w:rPr/>
        <w:t>these</w:t>
      </w:r>
      <w:r>
        <w:rPr>
          <w:spacing w:val="-2"/>
        </w:rPr>
        <w:t> </w:t>
      </w:r>
      <w:r>
        <w:rPr/>
        <w:t>subjects. It is</w:t>
      </w:r>
      <w:r>
        <w:rPr>
          <w:spacing w:val="-3"/>
        </w:rPr>
        <w:t> </w:t>
      </w:r>
      <w:r>
        <w:rPr/>
        <w:t>referred to as "culture hypothesis" (Kelly – Busolo 2010).</w:t>
      </w:r>
    </w:p>
    <w:p>
      <w:pPr>
        <w:pStyle w:val="BodyText"/>
        <w:spacing w:line="480" w:lineRule="auto" w:before="2"/>
        <w:ind w:right="1149" w:firstLine="720"/>
      </w:pPr>
      <w:r>
        <w:rPr/>
        <w:t>It suggests that girls achieve less well than boys do in science because society does</w:t>
      </w:r>
      <w:r>
        <w:rPr>
          <w:spacing w:val="-1"/>
        </w:rPr>
        <w:t> </w:t>
      </w:r>
      <w:r>
        <w:rPr/>
        <w:t>not encourage</w:t>
      </w:r>
      <w:r>
        <w:rPr>
          <w:spacing w:val="-5"/>
        </w:rPr>
        <w:t> </w:t>
      </w:r>
      <w:r>
        <w:rPr/>
        <w:t>or expect girls</w:t>
      </w:r>
      <w:r>
        <w:rPr>
          <w:spacing w:val="-1"/>
        </w:rPr>
        <w:t> </w:t>
      </w:r>
      <w:r>
        <w:rPr/>
        <w:t>to achieve as</w:t>
      </w:r>
      <w:r>
        <w:rPr>
          <w:spacing w:val="-1"/>
        </w:rPr>
        <w:t> </w:t>
      </w:r>
      <w:r>
        <w:rPr/>
        <w:t>well</w:t>
      </w:r>
      <w:r>
        <w:rPr>
          <w:spacing w:val="-4"/>
        </w:rPr>
        <w:t> </w:t>
      </w:r>
      <w:r>
        <w:rPr/>
        <w:t>as boys in science particularly in physical science. It therefore asserts that, throughout the world in the present - day society, achievement by women is neither expected nor encouraged, nor adequately recognized when it occurs. Women are respected for various achievements through their husbands</w:t>
      </w:r>
      <w:r>
        <w:rPr>
          <w:spacing w:val="-5"/>
        </w:rPr>
        <w:t> </w:t>
      </w:r>
      <w:r>
        <w:rPr/>
        <w:t>and</w:t>
      </w:r>
      <w:r>
        <w:rPr>
          <w:spacing w:val="-4"/>
        </w:rPr>
        <w:t> </w:t>
      </w:r>
      <w:r>
        <w:rPr/>
        <w:t>children, but direct personal</w:t>
      </w:r>
      <w:r>
        <w:rPr>
          <w:spacing w:val="-8"/>
        </w:rPr>
        <w:t> </w:t>
      </w:r>
      <w:r>
        <w:rPr/>
        <w:t>achievement is</w:t>
      </w:r>
      <w:r>
        <w:rPr>
          <w:spacing w:val="-2"/>
        </w:rPr>
        <w:t> </w:t>
      </w:r>
      <w:r>
        <w:rPr/>
        <w:t>considered hard</w:t>
      </w:r>
      <w:r>
        <w:rPr>
          <w:spacing w:val="-4"/>
        </w:rPr>
        <w:t> </w:t>
      </w:r>
      <w:r>
        <w:rPr/>
        <w:t>and in feminine. In these circumstances, girls reduce their aspirations and fulfill society's expectations of them by under achieving (Kelly – Busolo (2010). Culture hypothesis explains that girls are socialized away from science at an early age by virtue of the toys they are given to play with, hobbies they are encouraged in, household jobs, and the masculine image of science and scientists in books, films and television.</w:t>
      </w:r>
    </w:p>
    <w:p>
      <w:pPr>
        <w:pStyle w:val="BodyText"/>
        <w:spacing w:line="480" w:lineRule="auto" w:before="2"/>
        <w:ind w:right="1161" w:firstLine="720"/>
      </w:pPr>
      <w:r>
        <w:rPr/>
        <w:t>According to social learning theory of sex-role socialization, there is a sequence whereby</w:t>
      </w:r>
      <w:r>
        <w:rPr>
          <w:spacing w:val="-5"/>
        </w:rPr>
        <w:t> </w:t>
      </w:r>
      <w:r>
        <w:rPr/>
        <w:t>a child advances from</w:t>
      </w:r>
      <w:r>
        <w:rPr>
          <w:spacing w:val="-5"/>
        </w:rPr>
        <w:t> </w:t>
      </w:r>
      <w:r>
        <w:rPr/>
        <w:t>dependency and anxiety</w:t>
      </w:r>
      <w:r>
        <w:rPr>
          <w:spacing w:val="-5"/>
        </w:rPr>
        <w:t> </w:t>
      </w:r>
      <w:r>
        <w:rPr/>
        <w:t>to acceptable forms of behavior. This is brought about through reinforcement's fear of punishment and mechanism of initiation and identification (Busolo 2010).</w:t>
      </w:r>
    </w:p>
    <w:p>
      <w:pPr>
        <w:pStyle w:val="BodyText"/>
        <w:spacing w:line="480" w:lineRule="auto" w:before="1"/>
        <w:ind w:right="1164" w:firstLine="720"/>
      </w:pPr>
      <w:r>
        <w:rPr/>
        <w:t>There is evidence that the perception of task as sexually appropriate may mediate</w:t>
      </w:r>
      <w:r>
        <w:rPr>
          <w:spacing w:val="43"/>
        </w:rPr>
        <w:t> </w:t>
      </w:r>
      <w:r>
        <w:rPr/>
        <w:t>behavior</w:t>
      </w:r>
      <w:r>
        <w:rPr>
          <w:spacing w:val="48"/>
        </w:rPr>
        <w:t> </w:t>
      </w:r>
      <w:r>
        <w:rPr/>
        <w:t>by</w:t>
      </w:r>
      <w:r>
        <w:rPr>
          <w:spacing w:val="42"/>
        </w:rPr>
        <w:t> </w:t>
      </w:r>
      <w:r>
        <w:rPr/>
        <w:t>influencing</w:t>
      </w:r>
      <w:r>
        <w:rPr>
          <w:spacing w:val="46"/>
        </w:rPr>
        <w:t> </w:t>
      </w:r>
      <w:r>
        <w:rPr/>
        <w:t>pupil's</w:t>
      </w:r>
      <w:r>
        <w:rPr>
          <w:spacing w:val="49"/>
        </w:rPr>
        <w:t> </w:t>
      </w:r>
      <w:r>
        <w:rPr/>
        <w:t>expectations</w:t>
      </w:r>
      <w:r>
        <w:rPr>
          <w:spacing w:val="44"/>
        </w:rPr>
        <w:t> </w:t>
      </w:r>
      <w:r>
        <w:rPr/>
        <w:t>and</w:t>
      </w:r>
      <w:r>
        <w:rPr>
          <w:spacing w:val="42"/>
        </w:rPr>
        <w:t> </w:t>
      </w:r>
      <w:r>
        <w:rPr/>
        <w:t>the</w:t>
      </w:r>
      <w:r>
        <w:rPr>
          <w:spacing w:val="46"/>
        </w:rPr>
        <w:t> </w:t>
      </w:r>
      <w:r>
        <w:rPr/>
        <w:t>values</w:t>
      </w:r>
      <w:r>
        <w:rPr>
          <w:spacing w:val="40"/>
        </w:rPr>
        <w:t> </w:t>
      </w:r>
      <w:r>
        <w:rPr/>
        <w:t>they</w:t>
      </w:r>
      <w:r>
        <w:rPr>
          <w:spacing w:val="42"/>
        </w:rPr>
        <w:t> </w:t>
      </w:r>
      <w:r>
        <w:rPr/>
        <w:t>place</w:t>
      </w:r>
      <w:r>
        <w:rPr>
          <w:spacing w:val="50"/>
        </w:rPr>
        <w:t> </w:t>
      </w:r>
      <w:r>
        <w:rPr>
          <w:spacing w:val="-5"/>
        </w:rPr>
        <w:t>in</w:t>
      </w:r>
    </w:p>
    <w:p>
      <w:pPr>
        <w:spacing w:after="0" w:line="480" w:lineRule="auto"/>
        <w:sectPr>
          <w:pgSz w:w="11910" w:h="16840"/>
          <w:pgMar w:header="0" w:footer="1012" w:top="1340" w:bottom="1200" w:left="1680" w:right="280"/>
        </w:sectPr>
      </w:pPr>
    </w:p>
    <w:p>
      <w:pPr>
        <w:pStyle w:val="BodyText"/>
        <w:spacing w:line="480" w:lineRule="auto" w:before="74"/>
        <w:ind w:right="1157"/>
      </w:pPr>
      <w:r>
        <w:rPr/>
        <w:t>attaining success on a task. Sex-role socialization has been held responsible for the different ways girls and boys spent their free time. Some kinds of play and games provide a psychological environment in which important cognitive learning can take place. Differences in the kinds of play activities that boys and girls engage in constitute a reward system structured for the maintenance of sex-role stereotypes. In addition, there is a major influence of the family status on students' achievement in science (Keeves and Saha – Busalo (2010); Postelthwaite and Wiley – Busalo 2010).</w:t>
      </w:r>
    </w:p>
    <w:p>
      <w:pPr>
        <w:pStyle w:val="BodyText"/>
        <w:spacing w:line="480" w:lineRule="auto" w:before="1"/>
        <w:ind w:right="1150" w:firstLine="720"/>
      </w:pPr>
      <w:r>
        <w:rPr/>
        <w:t>Although the research examining social behaviour focuses heavily on environmental factors related to achievement, some investigator have chosen the personality</w:t>
      </w:r>
      <w:r>
        <w:rPr>
          <w:spacing w:val="-4"/>
        </w:rPr>
        <w:t> </w:t>
      </w:r>
      <w:r>
        <w:rPr/>
        <w:t>of</w:t>
      </w:r>
      <w:r>
        <w:rPr>
          <w:spacing w:val="-7"/>
        </w:rPr>
        <w:t> </w:t>
      </w:r>
      <w:r>
        <w:rPr/>
        <w:t>the child as</w:t>
      </w:r>
      <w:r>
        <w:rPr>
          <w:spacing w:val="-1"/>
        </w:rPr>
        <w:t> </w:t>
      </w:r>
      <w:r>
        <w:rPr/>
        <w:t>a target for study. Aremu &amp; Oluwole (2001), Adeyemo and Oluwole (2001), Odedele (2000) and Wuensch &amp; Lao (1987) have submitted that the way and manner the child perceived himself could affect his academic performance. Gaver and Goliez (1984) argue that underachievers, when compared to their more academically successful peers, are plagued by an assortment of personal deficits.</w:t>
      </w:r>
      <w:r>
        <w:rPr>
          <w:spacing w:val="80"/>
        </w:rPr>
        <w:t> </w:t>
      </w:r>
      <w:r>
        <w:rPr/>
        <w:t>They are highly anxious, self-derogatory, likely to act defensively in the face of authority; tend to feel rejected, and set unrealistic goals for themselves.</w:t>
      </w:r>
      <w:r>
        <w:rPr>
          <w:spacing w:val="80"/>
        </w:rPr>
        <w:t> </w:t>
      </w:r>
      <w:r>
        <w:rPr/>
        <w:t>This study also reviewed the psych-sociological factors in the teaching and learning which can also make or mar students‘ performance, apart from</w:t>
      </w:r>
      <w:r>
        <w:rPr>
          <w:spacing w:val="-3"/>
        </w:rPr>
        <w:t> </w:t>
      </w:r>
      <w:r>
        <w:rPr/>
        <w:t>emotional intelligence, reasoning ability and self-efficacy.</w:t>
      </w:r>
    </w:p>
    <w:p>
      <w:pPr>
        <w:pStyle w:val="Heading3"/>
        <w:numPr>
          <w:ilvl w:val="1"/>
          <w:numId w:val="13"/>
        </w:numPr>
        <w:tabs>
          <w:tab w:pos="1199" w:val="left" w:leader="none"/>
        </w:tabs>
        <w:spacing w:line="240" w:lineRule="auto" w:before="7" w:after="0"/>
        <w:ind w:left="1199" w:right="0" w:hanging="719"/>
        <w:jc w:val="both"/>
      </w:pPr>
      <w:bookmarkStart w:name="_TOC_250007" w:id="21"/>
      <w:r>
        <w:rPr/>
        <w:t>Emotional-Intelligence,</w:t>
      </w:r>
      <w:r>
        <w:rPr>
          <w:spacing w:val="-4"/>
        </w:rPr>
        <w:t> </w:t>
      </w:r>
      <w:r>
        <w:rPr/>
        <w:t>Science</w:t>
      </w:r>
      <w:r>
        <w:rPr>
          <w:spacing w:val="-5"/>
        </w:rPr>
        <w:t> </w:t>
      </w:r>
      <w:r>
        <w:rPr/>
        <w:t>Learning</w:t>
      </w:r>
      <w:r>
        <w:rPr>
          <w:spacing w:val="-3"/>
        </w:rPr>
        <w:t> </w:t>
      </w:r>
      <w:r>
        <w:rPr/>
        <w:t>and</w:t>
      </w:r>
      <w:r>
        <w:rPr>
          <w:spacing w:val="-3"/>
        </w:rPr>
        <w:t> </w:t>
      </w:r>
      <w:bookmarkEnd w:id="21"/>
      <w:r>
        <w:rPr>
          <w:spacing w:val="-2"/>
        </w:rPr>
        <w:t>Performance</w:t>
      </w:r>
    </w:p>
    <w:p>
      <w:pPr>
        <w:pStyle w:val="BodyText"/>
        <w:spacing w:line="480" w:lineRule="auto" w:before="272"/>
        <w:ind w:right="1157" w:firstLine="720"/>
      </w:pPr>
      <w:r>
        <w:rPr/>
        <w:t>In 1980, Bar-On began research to determine the success and the ability of a person in hislife than anyone else. From the results of his research, he found a lot of intelligence and non-cognitive factors have contributed to the success of a person in his life. Later in 1985, Bar-On also coined the term EQ (Emotional Quotient) to</w:t>
      </w:r>
      <w:r>
        <w:rPr>
          <w:spacing w:val="40"/>
        </w:rPr>
        <w:t> </w:t>
      </w:r>
      <w:r>
        <w:rPr/>
        <w:t>reflect</w:t>
      </w:r>
      <w:r>
        <w:rPr>
          <w:spacing w:val="65"/>
        </w:rPr>
        <w:t> </w:t>
      </w:r>
      <w:r>
        <w:rPr/>
        <w:t>the</w:t>
      </w:r>
      <w:r>
        <w:rPr>
          <w:spacing w:val="66"/>
        </w:rPr>
        <w:t> </w:t>
      </w:r>
      <w:r>
        <w:rPr/>
        <w:t>approach</w:t>
      </w:r>
      <w:r>
        <w:rPr>
          <w:spacing w:val="68"/>
        </w:rPr>
        <w:t> </w:t>
      </w:r>
      <w:r>
        <w:rPr/>
        <w:t>in</w:t>
      </w:r>
      <w:r>
        <w:rPr>
          <w:spacing w:val="67"/>
        </w:rPr>
        <w:t> </w:t>
      </w:r>
      <w:r>
        <w:rPr/>
        <w:t>the</w:t>
      </w:r>
      <w:r>
        <w:rPr>
          <w:spacing w:val="66"/>
        </w:rPr>
        <w:t> </w:t>
      </w:r>
      <w:r>
        <w:rPr/>
        <w:t>assessment</w:t>
      </w:r>
      <w:r>
        <w:rPr>
          <w:spacing w:val="73"/>
        </w:rPr>
        <w:t> </w:t>
      </w:r>
      <w:r>
        <w:rPr/>
        <w:t>of</w:t>
      </w:r>
      <w:r>
        <w:rPr>
          <w:spacing w:val="59"/>
        </w:rPr>
        <w:t> </w:t>
      </w:r>
      <w:r>
        <w:rPr/>
        <w:t>general</w:t>
      </w:r>
      <w:r>
        <w:rPr>
          <w:spacing w:val="63"/>
        </w:rPr>
        <w:t> </w:t>
      </w:r>
      <w:r>
        <w:rPr/>
        <w:t>intelligence.</w:t>
      </w:r>
      <w:r>
        <w:rPr>
          <w:spacing w:val="70"/>
        </w:rPr>
        <w:t> </w:t>
      </w:r>
      <w:r>
        <w:rPr/>
        <w:t>He</w:t>
      </w:r>
      <w:r>
        <w:rPr>
          <w:spacing w:val="65"/>
        </w:rPr>
        <w:t> </w:t>
      </w:r>
      <w:r>
        <w:rPr/>
        <w:t>describes</w:t>
      </w:r>
      <w:r>
        <w:rPr>
          <w:spacing w:val="66"/>
        </w:rPr>
        <w:t> </w:t>
      </w:r>
      <w:r>
        <w:rPr>
          <w:spacing w:val="-5"/>
        </w:rPr>
        <w:t>the</w:t>
      </w:r>
    </w:p>
    <w:p>
      <w:pPr>
        <w:spacing w:after="0" w:line="480" w:lineRule="auto"/>
        <w:sectPr>
          <w:pgSz w:w="11910" w:h="16840"/>
          <w:pgMar w:header="0" w:footer="1012" w:top="1340" w:bottom="1200" w:left="1680" w:right="280"/>
        </w:sectPr>
      </w:pPr>
    </w:p>
    <w:p>
      <w:pPr>
        <w:pStyle w:val="BodyText"/>
        <w:spacing w:line="480" w:lineRule="auto" w:before="74"/>
        <w:ind w:right="1161"/>
      </w:pPr>
      <w:r>
        <w:rPr/>
        <w:t>emotional intelligence reflects one's ability to negotiate well with others and control over their own sense of self. He also displays emotional intelligence reflects one's ability</w:t>
      </w:r>
      <w:r>
        <w:rPr>
          <w:spacing w:val="-1"/>
        </w:rPr>
        <w:t> </w:t>
      </w:r>
      <w:r>
        <w:rPr/>
        <w:t>to negotiate with</w:t>
      </w:r>
      <w:r>
        <w:rPr>
          <w:spacing w:val="-1"/>
        </w:rPr>
        <w:t> </w:t>
      </w:r>
      <w:r>
        <w:rPr/>
        <w:t>the daily environment challenges and helps predict the life of him, including career and personal</w:t>
      </w:r>
      <w:r>
        <w:rPr>
          <w:spacing w:val="-2"/>
        </w:rPr>
        <w:t> </w:t>
      </w:r>
      <w:r>
        <w:rPr/>
        <w:t>affairs. He also suggested there was a scale of</w:t>
      </w:r>
      <w:r>
        <w:rPr>
          <w:spacing w:val="-1"/>
        </w:rPr>
        <w:t> </w:t>
      </w:r>
      <w:r>
        <w:rPr/>
        <w:t>five components of emotional intelligence is intrapersonal, interpersonal, stress control,</w:t>
      </w:r>
      <w:r>
        <w:rPr>
          <w:spacing w:val="40"/>
        </w:rPr>
        <w:t> </w:t>
      </w:r>
      <w:r>
        <w:rPr/>
        <w:t>the ability to adapt and general mood.</w:t>
      </w:r>
    </w:p>
    <w:p>
      <w:pPr>
        <w:pStyle w:val="BodyText"/>
        <w:spacing w:line="480" w:lineRule="auto" w:before="1"/>
        <w:ind w:right="1152" w:firstLine="720"/>
      </w:pPr>
      <w:r>
        <w:rPr/>
        <w:t>The definition</w:t>
      </w:r>
      <w:r>
        <w:rPr>
          <w:spacing w:val="-2"/>
        </w:rPr>
        <w:t> </w:t>
      </w:r>
      <w:r>
        <w:rPr/>
        <w:t>of</w:t>
      </w:r>
      <w:r>
        <w:rPr>
          <w:spacing w:val="-5"/>
        </w:rPr>
        <w:t> </w:t>
      </w:r>
      <w:r>
        <w:rPr/>
        <w:t>emotional intelligence is widely understood sense of self and ability to handle those feelings without influenced by it, is able to motivate</w:t>
      </w:r>
      <w:r>
        <w:rPr>
          <w:spacing w:val="40"/>
        </w:rPr>
        <w:t> </w:t>
      </w:r>
      <w:r>
        <w:rPr/>
        <w:t>themselves to complete the work, creative, and strive to achieve the maximum level, notice the feelings of others and handle social relationships effectively (Higgs and Dulewicz, - Azizi </w:t>
      </w:r>
      <w:r>
        <w:rPr>
          <w:i/>
        </w:rPr>
        <w:t>et al., </w:t>
      </w:r>
      <w:r>
        <w:rPr/>
        <w:t>2012). Therefore, they suggested that the seven elements of emotional intelligence is self-awareness, the preservation of emotion, motivation, interpersonal</w:t>
      </w:r>
      <w:r>
        <w:rPr>
          <w:spacing w:val="-4"/>
        </w:rPr>
        <w:t> </w:t>
      </w:r>
      <w:r>
        <w:rPr/>
        <w:t>sensitivity, persuasion, firmness</w:t>
      </w:r>
      <w:r>
        <w:rPr>
          <w:spacing w:val="-2"/>
        </w:rPr>
        <w:t> </w:t>
      </w:r>
      <w:r>
        <w:rPr/>
        <w:t>and prudence</w:t>
      </w:r>
      <w:r>
        <w:rPr>
          <w:spacing w:val="-1"/>
        </w:rPr>
        <w:t> </w:t>
      </w:r>
      <w:r>
        <w:rPr/>
        <w:t>with</w:t>
      </w:r>
      <w:r>
        <w:rPr>
          <w:spacing w:val="-1"/>
        </w:rPr>
        <w:t> </w:t>
      </w:r>
      <w:r>
        <w:rPr/>
        <w:t>integrity. Gardner in a study in the field of human intelligence has established a theory that explains the various intelligence quotient of the number owned by men (Azizi et al, 2012) discovered the existence of seven types of intelligence. Among the seven</w:t>
      </w:r>
      <w:r>
        <w:rPr>
          <w:spacing w:val="40"/>
        </w:rPr>
        <w:t> </w:t>
      </w:r>
      <w:r>
        <w:rPr/>
        <w:t>intelligences, two intelligence known as intrapersonal intelligence and interpersonal intelligence is a component that is included in emotional intelligence. Intrapersonal intelligence is the ability of someone to control himself through knowledge and understanding of feelings, desires, needs and personal goals. With the abilities of</w:t>
      </w:r>
      <w:r>
        <w:rPr>
          <w:spacing w:val="-3"/>
        </w:rPr>
        <w:t> </w:t>
      </w:r>
      <w:r>
        <w:rPr/>
        <w:t>this, one can motivate himself, impulse control</w:t>
      </w:r>
      <w:r>
        <w:rPr>
          <w:spacing w:val="-2"/>
        </w:rPr>
        <w:t> </w:t>
      </w:r>
      <w:r>
        <w:rPr/>
        <w:t>and bad faith, lack of acting hastily. While interpersonal intelligence is the ability and emotional sensitivity to the psychological state of others. This ability helps a person to choose an adequate response, to feel empathy and communicate well with others. Clearly seen that the person who has these both intelligence and will be shaping a high emotional intelligence.</w:t>
      </w:r>
    </w:p>
    <w:p>
      <w:pPr>
        <w:spacing w:after="0" w:line="480" w:lineRule="auto"/>
        <w:sectPr>
          <w:pgSz w:w="11910" w:h="16840"/>
          <w:pgMar w:header="0" w:footer="1012" w:top="1340" w:bottom="1200" w:left="1680" w:right="280"/>
        </w:sectPr>
      </w:pPr>
    </w:p>
    <w:p>
      <w:pPr>
        <w:pStyle w:val="BodyText"/>
        <w:spacing w:line="480" w:lineRule="auto" w:before="74"/>
        <w:ind w:right="1151" w:firstLine="720"/>
      </w:pPr>
      <w:r>
        <w:rPr/>
        <w:t>After that, the term emotional intelligence and academic writing exists in a series of. Mayerand Salovey in 1990, 1993 and 1995. Mayer and Salovey (1993) was the first to present an academic about their findings in the field of emotional intelligence. They define emotional intelligence as a kind of social intelligence that involves the ability to control the emotions of self and others, to distinguish between types of emotion, using information to guide thinking and actions of a person. According to them, emotional intelligence can be categorized into five aspects of the dominance of self-awareness, emotional management, self motivation, empathy and interpersonal skills.</w:t>
      </w:r>
    </w:p>
    <w:p>
      <w:pPr>
        <w:pStyle w:val="ListParagraph"/>
        <w:numPr>
          <w:ilvl w:val="2"/>
          <w:numId w:val="13"/>
        </w:numPr>
        <w:tabs>
          <w:tab w:pos="1381" w:val="left" w:leader="none"/>
          <w:tab w:pos="1383" w:val="left" w:leader="none"/>
        </w:tabs>
        <w:spacing w:line="480" w:lineRule="auto" w:before="2" w:after="0"/>
        <w:ind w:left="1383" w:right="1171" w:hanging="490"/>
        <w:jc w:val="both"/>
        <w:rPr>
          <w:sz w:val="24"/>
        </w:rPr>
      </w:pPr>
      <w:r>
        <w:rPr>
          <w:sz w:val="24"/>
        </w:rPr>
        <w:t>Self-awareness of</w:t>
      </w:r>
      <w:r>
        <w:rPr>
          <w:spacing w:val="-4"/>
          <w:sz w:val="24"/>
        </w:rPr>
        <w:t> </w:t>
      </w:r>
      <w:r>
        <w:rPr>
          <w:sz w:val="24"/>
        </w:rPr>
        <w:t>the self-observation</w:t>
      </w:r>
      <w:r>
        <w:rPr>
          <w:spacing w:val="-1"/>
          <w:sz w:val="24"/>
        </w:rPr>
        <w:t> </w:t>
      </w:r>
      <w:r>
        <w:rPr>
          <w:sz w:val="24"/>
        </w:rPr>
        <w:t>and identification</w:t>
      </w:r>
      <w:r>
        <w:rPr>
          <w:spacing w:val="-1"/>
          <w:sz w:val="24"/>
        </w:rPr>
        <w:t> </w:t>
      </w:r>
      <w:r>
        <w:rPr>
          <w:sz w:val="24"/>
        </w:rPr>
        <w:t>of</w:t>
      </w:r>
      <w:r>
        <w:rPr>
          <w:spacing w:val="-4"/>
          <w:sz w:val="24"/>
        </w:rPr>
        <w:t> </w:t>
      </w:r>
      <w:r>
        <w:rPr>
          <w:sz w:val="24"/>
        </w:rPr>
        <w:t>a feeling when it </w:t>
      </w:r>
      <w:r>
        <w:rPr>
          <w:spacing w:val="-2"/>
          <w:sz w:val="24"/>
        </w:rPr>
        <w:t>appears.</w:t>
      </w:r>
    </w:p>
    <w:p>
      <w:pPr>
        <w:pStyle w:val="ListParagraph"/>
        <w:numPr>
          <w:ilvl w:val="2"/>
          <w:numId w:val="13"/>
        </w:numPr>
        <w:tabs>
          <w:tab w:pos="1381" w:val="left" w:leader="none"/>
          <w:tab w:pos="1383" w:val="left" w:leader="none"/>
        </w:tabs>
        <w:spacing w:line="480" w:lineRule="auto" w:before="0" w:after="0"/>
        <w:ind w:left="1383" w:right="1170" w:hanging="558"/>
        <w:jc w:val="both"/>
        <w:rPr>
          <w:sz w:val="24"/>
        </w:rPr>
      </w:pPr>
      <w:r>
        <w:rPr>
          <w:sz w:val="24"/>
        </w:rPr>
        <w:t>Emotional management is the feeling that it is sufficient to handle the behavior, recognizing the feelings behind.</w:t>
      </w:r>
    </w:p>
    <w:p>
      <w:pPr>
        <w:pStyle w:val="ListParagraph"/>
        <w:numPr>
          <w:ilvl w:val="2"/>
          <w:numId w:val="13"/>
        </w:numPr>
        <w:tabs>
          <w:tab w:pos="1383" w:val="left" w:leader="none"/>
        </w:tabs>
        <w:spacing w:line="480" w:lineRule="auto" w:before="0" w:after="0"/>
        <w:ind w:left="1383" w:right="1164" w:hanging="625"/>
        <w:jc w:val="left"/>
        <w:rPr>
          <w:sz w:val="24"/>
        </w:rPr>
      </w:pPr>
      <w:r>
        <w:rPr>
          <w:sz w:val="24"/>
        </w:rPr>
        <w:t>Self-motivation</w:t>
      </w:r>
      <w:r>
        <w:rPr>
          <w:spacing w:val="40"/>
          <w:sz w:val="24"/>
        </w:rPr>
        <w:t> </w:t>
      </w:r>
      <w:r>
        <w:rPr>
          <w:sz w:val="24"/>
        </w:rPr>
        <w:t>is</w:t>
      </w:r>
      <w:r>
        <w:rPr>
          <w:spacing w:val="40"/>
          <w:sz w:val="24"/>
        </w:rPr>
        <w:t> </w:t>
      </w:r>
      <w:r>
        <w:rPr>
          <w:sz w:val="24"/>
        </w:rPr>
        <w:t>a</w:t>
      </w:r>
      <w:r>
        <w:rPr>
          <w:spacing w:val="40"/>
          <w:sz w:val="24"/>
        </w:rPr>
        <w:t> </w:t>
      </w:r>
      <w:r>
        <w:rPr>
          <w:sz w:val="24"/>
        </w:rPr>
        <w:t>move</w:t>
      </w:r>
      <w:r>
        <w:rPr>
          <w:spacing w:val="40"/>
          <w:sz w:val="24"/>
        </w:rPr>
        <w:t> </w:t>
      </w:r>
      <w:r>
        <w:rPr>
          <w:sz w:val="24"/>
        </w:rPr>
        <w:t>to</w:t>
      </w:r>
      <w:r>
        <w:rPr>
          <w:spacing w:val="40"/>
          <w:sz w:val="24"/>
        </w:rPr>
        <w:t> </w:t>
      </w:r>
      <w:r>
        <w:rPr>
          <w:sz w:val="24"/>
        </w:rPr>
        <w:t>the</w:t>
      </w:r>
      <w:r>
        <w:rPr>
          <w:spacing w:val="40"/>
          <w:sz w:val="24"/>
        </w:rPr>
        <w:t> </w:t>
      </w:r>
      <w:r>
        <w:rPr>
          <w:sz w:val="24"/>
        </w:rPr>
        <w:t>goal</w:t>
      </w:r>
      <w:r>
        <w:rPr>
          <w:spacing w:val="40"/>
          <w:sz w:val="24"/>
        </w:rPr>
        <w:t> </w:t>
      </w:r>
      <w:r>
        <w:rPr>
          <w:sz w:val="24"/>
        </w:rPr>
        <w:t>of</w:t>
      </w:r>
      <w:r>
        <w:rPr>
          <w:spacing w:val="40"/>
          <w:sz w:val="24"/>
        </w:rPr>
        <w:t> </w:t>
      </w:r>
      <w:r>
        <w:rPr>
          <w:sz w:val="24"/>
        </w:rPr>
        <w:t>positive</w:t>
      </w:r>
      <w:r>
        <w:rPr>
          <w:spacing w:val="40"/>
          <w:sz w:val="24"/>
        </w:rPr>
        <w:t> </w:t>
      </w:r>
      <w:r>
        <w:rPr>
          <w:sz w:val="24"/>
        </w:rPr>
        <w:t>emotions,</w:t>
      </w:r>
      <w:r>
        <w:rPr>
          <w:spacing w:val="40"/>
          <w:sz w:val="24"/>
        </w:rPr>
        <w:t> </w:t>
      </w:r>
      <w:r>
        <w:rPr>
          <w:sz w:val="24"/>
        </w:rPr>
        <w:t>better</w:t>
      </w:r>
      <w:r>
        <w:rPr>
          <w:spacing w:val="40"/>
          <w:sz w:val="24"/>
        </w:rPr>
        <w:t> </w:t>
      </w:r>
      <w:r>
        <w:rPr>
          <w:sz w:val="24"/>
        </w:rPr>
        <w:t>self- control and to delay gratification and impulse weakens.</w:t>
      </w:r>
    </w:p>
    <w:p>
      <w:pPr>
        <w:pStyle w:val="ListParagraph"/>
        <w:numPr>
          <w:ilvl w:val="2"/>
          <w:numId w:val="13"/>
        </w:numPr>
        <w:tabs>
          <w:tab w:pos="1383" w:val="left" w:leader="none"/>
        </w:tabs>
        <w:spacing w:line="480" w:lineRule="auto" w:before="1" w:after="0"/>
        <w:ind w:left="1383" w:right="1172" w:hanging="610"/>
        <w:jc w:val="left"/>
        <w:rPr>
          <w:sz w:val="24"/>
        </w:rPr>
      </w:pPr>
      <w:r>
        <w:rPr>
          <w:sz w:val="24"/>
        </w:rPr>
        <w:t>Empathy</w:t>
      </w:r>
      <w:r>
        <w:rPr>
          <w:spacing w:val="35"/>
          <w:sz w:val="24"/>
        </w:rPr>
        <w:t> </w:t>
      </w:r>
      <w:r>
        <w:rPr>
          <w:sz w:val="24"/>
        </w:rPr>
        <w:t>is</w:t>
      </w:r>
      <w:r>
        <w:rPr>
          <w:spacing w:val="40"/>
          <w:sz w:val="24"/>
        </w:rPr>
        <w:t> </w:t>
      </w:r>
      <w:r>
        <w:rPr>
          <w:sz w:val="24"/>
        </w:rPr>
        <w:t>sensitive</w:t>
      </w:r>
      <w:r>
        <w:rPr>
          <w:spacing w:val="39"/>
          <w:sz w:val="24"/>
        </w:rPr>
        <w:t> </w:t>
      </w:r>
      <w:r>
        <w:rPr>
          <w:sz w:val="24"/>
        </w:rPr>
        <w:t>to</w:t>
      </w:r>
      <w:r>
        <w:rPr>
          <w:spacing w:val="40"/>
          <w:sz w:val="24"/>
        </w:rPr>
        <w:t> </w:t>
      </w:r>
      <w:r>
        <w:rPr>
          <w:sz w:val="24"/>
        </w:rPr>
        <w:t>the</w:t>
      </w:r>
      <w:r>
        <w:rPr>
          <w:spacing w:val="39"/>
          <w:sz w:val="24"/>
        </w:rPr>
        <w:t> </w:t>
      </w:r>
      <w:r>
        <w:rPr>
          <w:sz w:val="24"/>
        </w:rPr>
        <w:t>feelings</w:t>
      </w:r>
      <w:r>
        <w:rPr>
          <w:spacing w:val="38"/>
          <w:sz w:val="24"/>
        </w:rPr>
        <w:t> </w:t>
      </w:r>
      <w:r>
        <w:rPr>
          <w:sz w:val="24"/>
        </w:rPr>
        <w:t>of</w:t>
      </w:r>
      <w:r>
        <w:rPr>
          <w:spacing w:val="33"/>
          <w:sz w:val="24"/>
        </w:rPr>
        <w:t> </w:t>
      </w:r>
      <w:r>
        <w:rPr>
          <w:sz w:val="24"/>
        </w:rPr>
        <w:t>others,</w:t>
      </w:r>
      <w:r>
        <w:rPr>
          <w:spacing w:val="40"/>
          <w:sz w:val="24"/>
        </w:rPr>
        <w:t> </w:t>
      </w:r>
      <w:r>
        <w:rPr>
          <w:sz w:val="24"/>
        </w:rPr>
        <w:t>caring</w:t>
      </w:r>
      <w:r>
        <w:rPr>
          <w:spacing w:val="40"/>
          <w:sz w:val="24"/>
        </w:rPr>
        <w:t> </w:t>
      </w:r>
      <w:r>
        <w:rPr>
          <w:sz w:val="24"/>
        </w:rPr>
        <w:t>and</w:t>
      </w:r>
      <w:r>
        <w:rPr>
          <w:spacing w:val="40"/>
          <w:sz w:val="24"/>
        </w:rPr>
        <w:t> </w:t>
      </w:r>
      <w:r>
        <w:rPr>
          <w:sz w:val="24"/>
        </w:rPr>
        <w:t>accepting</w:t>
      </w:r>
      <w:r>
        <w:rPr>
          <w:spacing w:val="40"/>
          <w:sz w:val="24"/>
        </w:rPr>
        <w:t> </w:t>
      </w:r>
      <w:r>
        <w:rPr>
          <w:sz w:val="24"/>
        </w:rPr>
        <w:t>their perspective and appreciate the differences that exist in</w:t>
      </w:r>
      <w:r>
        <w:rPr>
          <w:spacing w:val="-3"/>
          <w:sz w:val="24"/>
        </w:rPr>
        <w:t> </w:t>
      </w:r>
      <w:r>
        <w:rPr>
          <w:sz w:val="24"/>
        </w:rPr>
        <w:t>the feelings of</w:t>
      </w:r>
      <w:r>
        <w:rPr>
          <w:spacing w:val="-6"/>
          <w:sz w:val="24"/>
        </w:rPr>
        <w:t> </w:t>
      </w:r>
      <w:r>
        <w:rPr>
          <w:sz w:val="24"/>
        </w:rPr>
        <w:t>others.</w:t>
      </w:r>
    </w:p>
    <w:p>
      <w:pPr>
        <w:pStyle w:val="ListParagraph"/>
        <w:numPr>
          <w:ilvl w:val="2"/>
          <w:numId w:val="13"/>
        </w:numPr>
        <w:tabs>
          <w:tab w:pos="1383" w:val="left" w:leader="none"/>
        </w:tabs>
        <w:spacing w:line="480" w:lineRule="auto" w:before="0" w:after="0"/>
        <w:ind w:left="1383" w:right="1158" w:hanging="543"/>
        <w:jc w:val="left"/>
        <w:rPr>
          <w:sz w:val="24"/>
        </w:rPr>
      </w:pPr>
      <w:r>
        <w:rPr>
          <w:sz w:val="24"/>
        </w:rPr>
        <w:t>Interpersonal</w:t>
      </w:r>
      <w:r>
        <w:rPr>
          <w:spacing w:val="40"/>
          <w:sz w:val="24"/>
        </w:rPr>
        <w:t> </w:t>
      </w:r>
      <w:r>
        <w:rPr>
          <w:sz w:val="24"/>
        </w:rPr>
        <w:t>skills</w:t>
      </w:r>
      <w:r>
        <w:rPr>
          <w:spacing w:val="40"/>
          <w:sz w:val="24"/>
        </w:rPr>
        <w:t> </w:t>
      </w:r>
      <w:r>
        <w:rPr>
          <w:sz w:val="24"/>
        </w:rPr>
        <w:t>to</w:t>
      </w:r>
      <w:r>
        <w:rPr>
          <w:spacing w:val="40"/>
          <w:sz w:val="24"/>
        </w:rPr>
        <w:t> </w:t>
      </w:r>
      <w:r>
        <w:rPr>
          <w:sz w:val="24"/>
        </w:rPr>
        <w:t>control</w:t>
      </w:r>
      <w:r>
        <w:rPr>
          <w:spacing w:val="40"/>
          <w:sz w:val="24"/>
        </w:rPr>
        <w:t> </w:t>
      </w:r>
      <w:r>
        <w:rPr>
          <w:sz w:val="24"/>
        </w:rPr>
        <w:t>the</w:t>
      </w:r>
      <w:r>
        <w:rPr>
          <w:spacing w:val="40"/>
          <w:sz w:val="24"/>
        </w:rPr>
        <w:t> </w:t>
      </w:r>
      <w:r>
        <w:rPr>
          <w:sz w:val="24"/>
        </w:rPr>
        <w:t>emotions</w:t>
      </w:r>
      <w:r>
        <w:rPr>
          <w:spacing w:val="40"/>
          <w:sz w:val="24"/>
        </w:rPr>
        <w:t> </w:t>
      </w:r>
      <w:r>
        <w:rPr>
          <w:sz w:val="24"/>
        </w:rPr>
        <w:t>of</w:t>
      </w:r>
      <w:r>
        <w:rPr>
          <w:spacing w:val="40"/>
          <w:sz w:val="24"/>
        </w:rPr>
        <w:t> </w:t>
      </w:r>
      <w:r>
        <w:rPr>
          <w:sz w:val="24"/>
        </w:rPr>
        <w:t>other</w:t>
      </w:r>
      <w:r>
        <w:rPr>
          <w:spacing w:val="40"/>
          <w:sz w:val="24"/>
        </w:rPr>
        <w:t> </w:t>
      </w:r>
      <w:r>
        <w:rPr>
          <w:sz w:val="24"/>
        </w:rPr>
        <w:t>people,</w:t>
      </w:r>
      <w:r>
        <w:rPr>
          <w:spacing w:val="40"/>
          <w:sz w:val="24"/>
        </w:rPr>
        <w:t> </w:t>
      </w:r>
      <w:r>
        <w:rPr>
          <w:sz w:val="24"/>
        </w:rPr>
        <w:t>have</w:t>
      </w:r>
      <w:r>
        <w:rPr>
          <w:spacing w:val="40"/>
          <w:sz w:val="24"/>
        </w:rPr>
        <w:t> </w:t>
      </w:r>
      <w:r>
        <w:rPr>
          <w:sz w:val="24"/>
        </w:rPr>
        <w:t>social competence and social skills</w:t>
      </w:r>
    </w:p>
    <w:p>
      <w:pPr>
        <w:pStyle w:val="BodyText"/>
        <w:spacing w:line="480" w:lineRule="auto" w:before="1"/>
        <w:ind w:right="1149" w:firstLine="720"/>
      </w:pPr>
      <w:r>
        <w:rPr/>
        <w:t>Later, Mayer and Salovey – Azizi et al. (2012) refine the definition of emotional intelligence as "the ability to detect emotions, to enter and create emotions that help thinking, to understand emotions</w:t>
      </w:r>
      <w:r>
        <w:rPr>
          <w:spacing w:val="-2"/>
        </w:rPr>
        <w:t> </w:t>
      </w:r>
      <w:r>
        <w:rPr/>
        <w:t>and emotional</w:t>
      </w:r>
      <w:r>
        <w:rPr>
          <w:spacing w:val="-5"/>
        </w:rPr>
        <w:t> </w:t>
      </w:r>
      <w:r>
        <w:rPr/>
        <w:t>knowledge</w:t>
      </w:r>
      <w:r>
        <w:rPr>
          <w:spacing w:val="-1"/>
        </w:rPr>
        <w:t> </w:t>
      </w:r>
      <w:r>
        <w:rPr/>
        <w:t>acquired, always thought to control</w:t>
      </w:r>
      <w:r>
        <w:rPr>
          <w:spacing w:val="-6"/>
        </w:rPr>
        <w:t> </w:t>
      </w:r>
      <w:r>
        <w:rPr/>
        <w:t>emotions to promote emotional and intellectual</w:t>
      </w:r>
      <w:r>
        <w:rPr>
          <w:spacing w:val="-6"/>
        </w:rPr>
        <w:t> </w:t>
      </w:r>
      <w:r>
        <w:rPr/>
        <w:t>development. They believe the combination of the idea that emotion makes thinking smart and intelligent thinking about emotions. Again, Mayer Salovey and Caruso, (2008) stated that some</w:t>
      </w:r>
    </w:p>
    <w:p>
      <w:pPr>
        <w:spacing w:after="0" w:line="480" w:lineRule="auto"/>
        <w:sectPr>
          <w:pgSz w:w="11910" w:h="16840"/>
          <w:pgMar w:header="0" w:footer="1012" w:top="1340" w:bottom="1200" w:left="1680" w:right="280"/>
        </w:sectPr>
      </w:pPr>
    </w:p>
    <w:p>
      <w:pPr>
        <w:pStyle w:val="BodyText"/>
        <w:spacing w:line="480" w:lineRule="auto" w:before="74"/>
        <w:ind w:right="1164"/>
      </w:pPr>
      <w:r>
        <w:rPr/>
        <w:t>individuals have a greater capacity than others to carry out sophisticated information processing</w:t>
      </w:r>
      <w:r>
        <w:rPr>
          <w:spacing w:val="-3"/>
        </w:rPr>
        <w:t> </w:t>
      </w:r>
      <w:r>
        <w:rPr/>
        <w:t>about emotions</w:t>
      </w:r>
      <w:r>
        <w:rPr>
          <w:spacing w:val="-5"/>
        </w:rPr>
        <w:t> </w:t>
      </w:r>
      <w:r>
        <w:rPr/>
        <w:t>and</w:t>
      </w:r>
      <w:r>
        <w:rPr>
          <w:spacing w:val="-3"/>
        </w:rPr>
        <w:t> </w:t>
      </w:r>
      <w:r>
        <w:rPr/>
        <w:t>emotion-relevant stimuli</w:t>
      </w:r>
      <w:r>
        <w:rPr>
          <w:spacing w:val="-6"/>
        </w:rPr>
        <w:t> </w:t>
      </w:r>
      <w:r>
        <w:rPr/>
        <w:t>and</w:t>
      </w:r>
      <w:r>
        <w:rPr>
          <w:spacing w:val="-3"/>
        </w:rPr>
        <w:t> </w:t>
      </w:r>
      <w:r>
        <w:rPr/>
        <w:t>to use</w:t>
      </w:r>
      <w:r>
        <w:rPr>
          <w:spacing w:val="-4"/>
        </w:rPr>
        <w:t> </w:t>
      </w:r>
      <w:r>
        <w:rPr/>
        <w:t>this</w:t>
      </w:r>
      <w:r>
        <w:rPr>
          <w:spacing w:val="-1"/>
        </w:rPr>
        <w:t> </w:t>
      </w:r>
      <w:r>
        <w:rPr/>
        <w:t>information</w:t>
      </w:r>
      <w:r>
        <w:rPr>
          <w:spacing w:val="-7"/>
        </w:rPr>
        <w:t> </w:t>
      </w:r>
      <w:r>
        <w:rPr/>
        <w:t>as a</w:t>
      </w:r>
      <w:r>
        <w:rPr>
          <w:spacing w:val="-3"/>
        </w:rPr>
        <w:t> </w:t>
      </w:r>
      <w:r>
        <w:rPr/>
        <w:t>guide</w:t>
      </w:r>
      <w:r>
        <w:rPr>
          <w:spacing w:val="-3"/>
        </w:rPr>
        <w:t> </w:t>
      </w:r>
      <w:r>
        <w:rPr/>
        <w:t>to</w:t>
      </w:r>
      <w:r>
        <w:rPr>
          <w:spacing w:val="-2"/>
        </w:rPr>
        <w:t> </w:t>
      </w:r>
      <w:r>
        <w:rPr/>
        <w:t>thinking</w:t>
      </w:r>
      <w:r>
        <w:rPr>
          <w:spacing w:val="-2"/>
        </w:rPr>
        <w:t> </w:t>
      </w:r>
      <w:r>
        <w:rPr/>
        <w:t>and behavior. Derived from</w:t>
      </w:r>
      <w:r>
        <w:rPr>
          <w:spacing w:val="-10"/>
        </w:rPr>
        <w:t> </w:t>
      </w:r>
      <w:r>
        <w:rPr/>
        <w:t>this</w:t>
      </w:r>
      <w:r>
        <w:rPr>
          <w:spacing w:val="-4"/>
        </w:rPr>
        <w:t> </w:t>
      </w:r>
      <w:r>
        <w:rPr/>
        <w:t>statement, it seem</w:t>
      </w:r>
      <w:r>
        <w:rPr>
          <w:spacing w:val="-10"/>
        </w:rPr>
        <w:t> </w:t>
      </w:r>
      <w:r>
        <w:rPr/>
        <w:t>that individuals with high emotional intelligence pay attention to, use, understand, and manage emotions, and these skills serve adaptive functions that potentially benefit themselves and others.</w:t>
      </w:r>
    </w:p>
    <w:p>
      <w:pPr>
        <w:pStyle w:val="BodyText"/>
        <w:spacing w:line="480" w:lineRule="auto" w:before="1"/>
        <w:ind w:right="1158" w:firstLine="720"/>
      </w:pPr>
      <w:r>
        <w:rPr/>
        <w:t>The term emotional intelligence became popular and mainstream in the discussion of intelligence exists only after the publication of Goleman in 1995. He discussed that IQ contributes only 20% in the success of life and the rest by other factors. These factors may include emotional intelligence, luck and social class. Hebelieves that emotional intelligence has a stronger influence in IQ. Moreover, emotional intelligence can be enhanced if taught in</w:t>
      </w:r>
      <w:r>
        <w:rPr>
          <w:spacing w:val="-1"/>
        </w:rPr>
        <w:t> </w:t>
      </w:r>
      <w:r>
        <w:rPr/>
        <w:t>a certain</w:t>
      </w:r>
      <w:r>
        <w:rPr>
          <w:spacing w:val="-1"/>
        </w:rPr>
        <w:t> </w:t>
      </w:r>
      <w:r>
        <w:rPr/>
        <w:t>way. Goleman - Azizi</w:t>
      </w:r>
      <w:r>
        <w:rPr>
          <w:spacing w:val="-1"/>
        </w:rPr>
        <w:t> </w:t>
      </w:r>
      <w:r>
        <w:rPr/>
        <w:t>et al. (2012) defines emotional intelligence as the ability to understand the sense of self and others, to motivate themselves and regulate emotions in both self and personal relationships with others.</w:t>
      </w:r>
    </w:p>
    <w:p>
      <w:pPr>
        <w:pStyle w:val="BodyText"/>
        <w:spacing w:line="480" w:lineRule="auto" w:before="2"/>
        <w:ind w:right="1156" w:firstLine="720"/>
      </w:pPr>
      <w:r>
        <w:rPr/>
        <w:t>General research surrounding emotion has pointed to numerous effects of emotional state on decision making capabilities, judgments and reasoning (Kunda – Lavins 2011). The experience associated with some emotions, such as anger and contentment, can lead to feelings of certainty, while emotions such as surprise, fear and worry</w:t>
      </w:r>
      <w:r>
        <w:rPr>
          <w:spacing w:val="-9"/>
        </w:rPr>
        <w:t> </w:t>
      </w:r>
      <w:r>
        <w:rPr/>
        <w:t>can lead individuals to feel</w:t>
      </w:r>
      <w:r>
        <w:rPr>
          <w:spacing w:val="-4"/>
        </w:rPr>
        <w:t> </w:t>
      </w:r>
      <w:r>
        <w:rPr/>
        <w:t>uncertain or</w:t>
      </w:r>
      <w:r>
        <w:rPr>
          <w:spacing w:val="-2"/>
        </w:rPr>
        <w:t> </w:t>
      </w:r>
      <w:r>
        <w:rPr/>
        <w:t>unsure about their current situation (Tiedens &amp; Linton, 2001). These emotional states, then, can impact their subsequent decision making. For example, in a recent study, researchers found that participants induced to feel emotions associated with certainty were more likely to rely on</w:t>
      </w:r>
      <w:r>
        <w:rPr>
          <w:spacing w:val="40"/>
        </w:rPr>
        <w:t> </w:t>
      </w:r>
      <w:r>
        <w:rPr/>
        <w:t>heuristic cues (superficial cues like the expertise of the source) and be more certain about their judgments when answering questions, than those induced to feel emotions</w:t>
      </w:r>
    </w:p>
    <w:p>
      <w:pPr>
        <w:spacing w:after="0" w:line="480" w:lineRule="auto"/>
        <w:sectPr>
          <w:pgSz w:w="11910" w:h="16840"/>
          <w:pgMar w:header="0" w:footer="1012" w:top="1340" w:bottom="1200" w:left="1680" w:right="280"/>
        </w:sectPr>
      </w:pPr>
    </w:p>
    <w:p>
      <w:pPr>
        <w:pStyle w:val="BodyText"/>
        <w:spacing w:line="480" w:lineRule="auto" w:before="74"/>
        <w:ind w:right="1164"/>
      </w:pPr>
      <w:r>
        <w:rPr/>
        <w:t>associated with uncertainty (Tiedens &amp; Linton, 2001). Because reliance on heuristics can cause a participant to disregard important information, this suggests that eliciting emotions associated with certainty can potentially lead to illogical reasoning.</w:t>
      </w:r>
    </w:p>
    <w:p>
      <w:pPr>
        <w:pStyle w:val="BodyText"/>
        <w:spacing w:line="480" w:lineRule="auto"/>
        <w:ind w:right="1151" w:firstLine="720"/>
      </w:pPr>
      <w:r>
        <w:rPr/>
        <w:t>Literature further reveals that emotional intelligence skills and competencies are essential to success and that significant positive relationships exist between emotional intelligence and academic achievement among higher education students. For instance, Nasir and Masur (2010) found that emotional intelligence significantly predicted academic achievement among the 132 students in different departments of International Islamic University, Islaabad. Also in an earlier investigation by Rozell, Pettijohn, and Parker (2002), a significant relationship was found between emotional intelligence and CGPA of undergraduate students of Mid-Western University. Similarly among 246 Pakistan adolescents, Farooq (2003) reported that students with high emotional intelligence showed better academic performance than the students with low emotional intelligence. A similar finding among the Nigerian university students by Adeyemo (2007) revealed significant correlations between emotional intelligence and academic self-efficacy .with academic achievement. Sunbul and Aslan (2008) equally reported relationship between emotional intelligence and academic achievement among 312 Education students in Kenya, Turkey. Moreover, there is a significant body of research indicating that El and other non-traditional measures are just as predictive of success as traditional IQ tests (Low, Lomax,</w:t>
      </w:r>
      <w:r>
        <w:rPr>
          <w:spacing w:val="40"/>
        </w:rPr>
        <w:t> </w:t>
      </w:r>
      <w:r>
        <w:rPr/>
        <w:t>Jackson &amp; Nelson 2004; Low &amp; Nelson 2005).</w:t>
      </w:r>
    </w:p>
    <w:p>
      <w:pPr>
        <w:pStyle w:val="BodyText"/>
        <w:spacing w:line="480" w:lineRule="auto" w:before="4"/>
        <w:ind w:right="1162" w:firstLine="720"/>
      </w:pPr>
      <w:r>
        <w:rPr/>
        <w:t>There is also a growing realisation that transitions through education from school-college-career are challenging and difficult, especially for minority, first generation and non-traditional college students and that emotional intelligence influences</w:t>
      </w:r>
      <w:r>
        <w:rPr>
          <w:spacing w:val="29"/>
        </w:rPr>
        <w:t> </w:t>
      </w:r>
      <w:r>
        <w:rPr/>
        <w:t>variables</w:t>
      </w:r>
      <w:r>
        <w:rPr>
          <w:spacing w:val="29"/>
        </w:rPr>
        <w:t> </w:t>
      </w:r>
      <w:r>
        <w:rPr/>
        <w:t>in</w:t>
      </w:r>
      <w:r>
        <w:rPr>
          <w:spacing w:val="26"/>
        </w:rPr>
        <w:t> </w:t>
      </w:r>
      <w:r>
        <w:rPr/>
        <w:t>students'</w:t>
      </w:r>
      <w:r>
        <w:rPr>
          <w:spacing w:val="22"/>
        </w:rPr>
        <w:t> </w:t>
      </w:r>
      <w:r>
        <w:rPr/>
        <w:t>achievement</w:t>
      </w:r>
      <w:r>
        <w:rPr>
          <w:spacing w:val="31"/>
        </w:rPr>
        <w:t> </w:t>
      </w:r>
      <w:r>
        <w:rPr/>
        <w:t>and</w:t>
      </w:r>
      <w:r>
        <w:rPr>
          <w:spacing w:val="30"/>
        </w:rPr>
        <w:t> </w:t>
      </w:r>
      <w:r>
        <w:rPr/>
        <w:t>retention</w:t>
      </w:r>
      <w:r>
        <w:rPr>
          <w:spacing w:val="22"/>
        </w:rPr>
        <w:t> </w:t>
      </w:r>
      <w:r>
        <w:rPr/>
        <w:t>during</w:t>
      </w:r>
      <w:r>
        <w:rPr>
          <w:spacing w:val="26"/>
        </w:rPr>
        <w:t> </w:t>
      </w:r>
      <w:r>
        <w:rPr/>
        <w:t>transition</w:t>
      </w:r>
      <w:r>
        <w:rPr>
          <w:spacing w:val="22"/>
        </w:rPr>
        <w:t> </w:t>
      </w:r>
      <w:r>
        <w:rPr/>
        <w:t>period.</w:t>
      </w:r>
    </w:p>
    <w:p>
      <w:pPr>
        <w:spacing w:after="0" w:line="480" w:lineRule="auto"/>
        <w:sectPr>
          <w:pgSz w:w="11910" w:h="16840"/>
          <w:pgMar w:header="0" w:footer="1012" w:top="1340" w:bottom="1200" w:left="1680" w:right="280"/>
        </w:sectPr>
      </w:pPr>
    </w:p>
    <w:p>
      <w:pPr>
        <w:pStyle w:val="BodyText"/>
        <w:spacing w:line="480" w:lineRule="auto" w:before="74"/>
        <w:ind w:right="1157"/>
      </w:pPr>
      <w:r>
        <w:rPr/>
        <w:t>For instance, Law and Nelson (2005); Nelson, Low and Vela (2004) reported this among high school graduates in the first year of college in Texas universities and colleges. Likewise, Parker, Summerfeldt, Hogan and Majeski (2004) found that emotional intelligence is a predictor in identifying academically successful and academically unsuccessful students during transition period.</w:t>
      </w:r>
    </w:p>
    <w:p>
      <w:pPr>
        <w:pStyle w:val="BodyText"/>
        <w:spacing w:line="480" w:lineRule="auto" w:before="1"/>
        <w:ind w:right="1160" w:firstLine="720"/>
      </w:pPr>
      <w:r>
        <w:rPr/>
        <w:t>Some studies exploring the relationship between emotional intelligence and academic performance have produced mixed results. A study by Schutte, Malouff, Hall, Cooper &amp; Dorheim - Shipley, Jackson &amp; Segnest (2012) found that scores on a self-report measure of emotional intelligence completed at the beginning of the academic year significantly predicted grade point average at the end of the year. In a study by Rozell, Pettijohn, &amp; Parker (2002), there was a small, but significant relationship between "academic success, as measured by grade point average, and three out of the five factors within the utilized emotional intelligence scale utilizing the Goleman (1995, 1998) scale.</w:t>
      </w:r>
    </w:p>
    <w:p>
      <w:pPr>
        <w:pStyle w:val="BodyText"/>
        <w:spacing w:line="480" w:lineRule="auto" w:before="2"/>
        <w:ind w:right="1161" w:firstLine="720"/>
      </w:pPr>
      <w:r>
        <w:rPr/>
        <w:t>In a study conducted by Rode, Mooney, Arthaud-Day, Near, Baldwin, Rubin &amp; Bommer, (2007), it was predicted that emotional intelligence was related to academic performance for two reasons. First, academic performance involves a great deal of ambiguity which has been shown to cause felt stress. Students are required to manage numerous</w:t>
      </w:r>
      <w:r>
        <w:rPr>
          <w:spacing w:val="-4"/>
        </w:rPr>
        <w:t> </w:t>
      </w:r>
      <w:r>
        <w:rPr/>
        <w:t>assignments, adapt to</w:t>
      </w:r>
      <w:r>
        <w:rPr>
          <w:spacing w:val="-2"/>
        </w:rPr>
        <w:t> </w:t>
      </w:r>
      <w:r>
        <w:rPr/>
        <w:t>the</w:t>
      </w:r>
      <w:r>
        <w:rPr>
          <w:spacing w:val="-3"/>
        </w:rPr>
        <w:t> </w:t>
      </w:r>
      <w:r>
        <w:rPr/>
        <w:t>differing</w:t>
      </w:r>
      <w:r>
        <w:rPr>
          <w:spacing w:val="-2"/>
        </w:rPr>
        <w:t> </w:t>
      </w:r>
      <w:r>
        <w:rPr/>
        <w:t>teaching</w:t>
      </w:r>
      <w:r>
        <w:rPr>
          <w:spacing w:val="-2"/>
        </w:rPr>
        <w:t> </w:t>
      </w:r>
      <w:r>
        <w:rPr/>
        <w:t>styles</w:t>
      </w:r>
      <w:r>
        <w:rPr>
          <w:spacing w:val="-4"/>
        </w:rPr>
        <w:t> </w:t>
      </w:r>
      <w:r>
        <w:rPr/>
        <w:t>and expectations of instructors, work independently toward objectives, and manage conflicting academic and non-academic schedules. In addition, some aspects of academic work may be considered highly stressful, such as taking exams (Rode, et al., 2007).</w:t>
      </w:r>
    </w:p>
    <w:p>
      <w:pPr>
        <w:pStyle w:val="BodyText"/>
        <w:spacing w:line="480" w:lineRule="auto" w:before="1"/>
        <w:ind w:right="1150" w:firstLine="720"/>
      </w:pPr>
      <w:r>
        <w:rPr/>
        <w:t>Second, the majority of academic work is self-directed, requiring high levels</w:t>
      </w:r>
      <w:r>
        <w:rPr>
          <w:spacing w:val="40"/>
        </w:rPr>
        <w:t> </w:t>
      </w:r>
      <w:r>
        <w:rPr/>
        <w:t>of self-management (Rode et al., 2007). Understanding the causes and effects of various</w:t>
      </w:r>
      <w:r>
        <w:rPr>
          <w:spacing w:val="-3"/>
        </w:rPr>
        <w:t> </w:t>
      </w:r>
      <w:r>
        <w:rPr/>
        <w:t>emotions is an</w:t>
      </w:r>
      <w:r>
        <w:rPr>
          <w:spacing w:val="-1"/>
        </w:rPr>
        <w:t> </w:t>
      </w:r>
      <w:r>
        <w:rPr/>
        <w:t>important element of</w:t>
      </w:r>
      <w:r>
        <w:rPr>
          <w:spacing w:val="-9"/>
        </w:rPr>
        <w:t> </w:t>
      </w:r>
      <w:r>
        <w:rPr/>
        <w:t>emotional</w:t>
      </w:r>
      <w:r>
        <w:rPr>
          <w:spacing w:val="-6"/>
        </w:rPr>
        <w:t> </w:t>
      </w:r>
      <w:r>
        <w:rPr/>
        <w:t>intelligence. Rode</w:t>
      </w:r>
      <w:r>
        <w:rPr>
          <w:spacing w:val="-2"/>
        </w:rPr>
        <w:t> </w:t>
      </w:r>
      <w:r>
        <w:rPr/>
        <w:t>et al. (2007)</w:t>
      </w:r>
    </w:p>
    <w:p>
      <w:pPr>
        <w:spacing w:after="0" w:line="480" w:lineRule="auto"/>
        <w:sectPr>
          <w:pgSz w:w="11910" w:h="16840"/>
          <w:pgMar w:header="0" w:footer="1012" w:top="1340" w:bottom="1200" w:left="1680" w:right="280"/>
        </w:sectPr>
      </w:pPr>
    </w:p>
    <w:p>
      <w:pPr>
        <w:pStyle w:val="BodyText"/>
        <w:spacing w:line="480" w:lineRule="auto" w:before="74"/>
        <w:ind w:right="1158"/>
      </w:pPr>
      <w:r>
        <w:rPr/>
        <w:t>continued by including the research of Mayer and Salovey (1997): individuals with a high level of emotional intelligence are able to direct positive emotions to uphold the energy</w:t>
      </w:r>
      <w:r>
        <w:rPr>
          <w:spacing w:val="-2"/>
        </w:rPr>
        <w:t> </w:t>
      </w:r>
      <w:r>
        <w:rPr/>
        <w:t>needed for</w:t>
      </w:r>
      <w:r>
        <w:rPr>
          <w:spacing w:val="-1"/>
        </w:rPr>
        <w:t> </w:t>
      </w:r>
      <w:r>
        <w:rPr/>
        <w:t>high</w:t>
      </w:r>
      <w:r>
        <w:rPr>
          <w:spacing w:val="-7"/>
        </w:rPr>
        <w:t> </w:t>
      </w:r>
      <w:r>
        <w:rPr/>
        <w:t>performance</w:t>
      </w:r>
      <w:r>
        <w:rPr>
          <w:spacing w:val="-3"/>
        </w:rPr>
        <w:t> </w:t>
      </w:r>
      <w:r>
        <w:rPr/>
        <w:t>over long</w:t>
      </w:r>
      <w:r>
        <w:rPr>
          <w:spacing w:val="-2"/>
        </w:rPr>
        <w:t> </w:t>
      </w:r>
      <w:r>
        <w:rPr/>
        <w:t>periods</w:t>
      </w:r>
      <w:r>
        <w:rPr>
          <w:spacing w:val="-9"/>
        </w:rPr>
        <w:t> </w:t>
      </w:r>
      <w:r>
        <w:rPr/>
        <w:t>of</w:t>
      </w:r>
      <w:r>
        <w:rPr>
          <w:spacing w:val="-10"/>
        </w:rPr>
        <w:t> </w:t>
      </w:r>
      <w:r>
        <w:rPr/>
        <w:t>time</w:t>
      </w:r>
      <w:r>
        <w:rPr>
          <w:spacing w:val="-3"/>
        </w:rPr>
        <w:t> </w:t>
      </w:r>
      <w:r>
        <w:rPr/>
        <w:t>and</w:t>
      </w:r>
      <w:r>
        <w:rPr>
          <w:spacing w:val="-2"/>
        </w:rPr>
        <w:t> </w:t>
      </w:r>
      <w:r>
        <w:rPr/>
        <w:t>to</w:t>
      </w:r>
      <w:r>
        <w:rPr>
          <w:spacing w:val="-2"/>
        </w:rPr>
        <w:t> </w:t>
      </w:r>
      <w:r>
        <w:rPr/>
        <w:t>redirect negative emotions</w:t>
      </w:r>
      <w:r>
        <w:rPr>
          <w:spacing w:val="-2"/>
        </w:rPr>
        <w:t> </w:t>
      </w:r>
      <w:r>
        <w:rPr/>
        <w:t>into productive</w:t>
      </w:r>
      <w:r>
        <w:rPr>
          <w:spacing w:val="-5"/>
        </w:rPr>
        <w:t> </w:t>
      </w:r>
      <w:r>
        <w:rPr/>
        <w:t>behaviors.</w:t>
      </w:r>
      <w:r>
        <w:rPr>
          <w:spacing w:val="-2"/>
        </w:rPr>
        <w:t> </w:t>
      </w:r>
      <w:r>
        <w:rPr/>
        <w:t>Thus,</w:t>
      </w:r>
      <w:r>
        <w:rPr>
          <w:spacing w:val="-2"/>
        </w:rPr>
        <w:t> </w:t>
      </w:r>
      <w:r>
        <w:rPr/>
        <w:t>Rode</w:t>
      </w:r>
      <w:r>
        <w:rPr>
          <w:spacing w:val="-5"/>
        </w:rPr>
        <w:t> </w:t>
      </w:r>
      <w:r>
        <w:rPr/>
        <w:t>et</w:t>
      </w:r>
      <w:r>
        <w:rPr>
          <w:spacing w:val="-4"/>
        </w:rPr>
        <w:t> </w:t>
      </w:r>
      <w:r>
        <w:rPr/>
        <w:t>al.</w:t>
      </w:r>
      <w:r>
        <w:rPr>
          <w:spacing w:val="-2"/>
        </w:rPr>
        <w:t> </w:t>
      </w:r>
      <w:r>
        <w:rPr/>
        <w:t>(2007)</w:t>
      </w:r>
      <w:r>
        <w:rPr>
          <w:spacing w:val="-7"/>
        </w:rPr>
        <w:t> </w:t>
      </w:r>
      <w:r>
        <w:rPr/>
        <w:t>reasoned</w:t>
      </w:r>
      <w:r>
        <w:rPr>
          <w:spacing w:val="-4"/>
        </w:rPr>
        <w:t> </w:t>
      </w:r>
      <w:r>
        <w:rPr/>
        <w:t>that</w:t>
      </w:r>
      <w:r>
        <w:rPr>
          <w:spacing w:val="-4"/>
        </w:rPr>
        <w:t> </w:t>
      </w:r>
      <w:r>
        <w:rPr/>
        <w:t>individuals with high emotional intelligence would perform better academically. Despite their prediction, emotional intelligence was not significantly associated with grade point average, however, they did find an interaction of emotional intelligence with conscientiousness explained unique variance in academic performance (cumulative GPA), as well as public speaking and group behavior effectiveness.</w:t>
      </w:r>
    </w:p>
    <w:p>
      <w:pPr>
        <w:pStyle w:val="BodyText"/>
        <w:spacing w:line="480" w:lineRule="auto" w:before="2"/>
        <w:ind w:right="1149" w:firstLine="720"/>
      </w:pPr>
      <w:r>
        <w:rPr/>
        <w:t>A number of other studies did not find significant relationships between emotional intelligence and academic success. Newsome, Day, and Catano (2000) investigated the relationship of emotional intelligence, cognitive ability, and personality with academic achievement. Emotional intelligence was measured using the Emotional</w:t>
      </w:r>
      <w:r>
        <w:rPr>
          <w:spacing w:val="-3"/>
        </w:rPr>
        <w:t> </w:t>
      </w:r>
      <w:r>
        <w:rPr/>
        <w:t>Quotient Inventory</w:t>
      </w:r>
      <w:r>
        <w:rPr>
          <w:spacing w:val="-8"/>
        </w:rPr>
        <w:t> </w:t>
      </w:r>
      <w:r>
        <w:rPr/>
        <w:t>(EQ-i), including the total</w:t>
      </w:r>
      <w:r>
        <w:rPr>
          <w:spacing w:val="-7"/>
        </w:rPr>
        <w:t> </w:t>
      </w:r>
      <w:r>
        <w:rPr/>
        <w:t>EQ-i</w:t>
      </w:r>
      <w:r>
        <w:rPr>
          <w:spacing w:val="-3"/>
        </w:rPr>
        <w:t> </w:t>
      </w:r>
      <w:r>
        <w:rPr/>
        <w:t>score and five EQ-i composite factor scores. None of the EQ-i factor scores, nor the total</w:t>
      </w:r>
      <w:r>
        <w:rPr>
          <w:spacing w:val="-3"/>
        </w:rPr>
        <w:t> </w:t>
      </w:r>
      <w:r>
        <w:rPr/>
        <w:t>EQ-i score, was significantly</w:t>
      </w:r>
      <w:r>
        <w:rPr>
          <w:spacing w:val="-4"/>
        </w:rPr>
        <w:t> </w:t>
      </w:r>
      <w:r>
        <w:rPr/>
        <w:t>related to academic achievement. A study</w:t>
      </w:r>
      <w:r>
        <w:rPr>
          <w:spacing w:val="-4"/>
        </w:rPr>
        <w:t> </w:t>
      </w:r>
      <w:r>
        <w:rPr/>
        <w:t>by O'Connor and Little (2003) assessed the relationship between emotional intelligence and academic achievement, as measured by grade point average, in college students, using both self-report and ability-based measures of emotional intelligence. The results showed that emotional intelligence</w:t>
      </w:r>
      <w:r>
        <w:rPr>
          <w:spacing w:val="-1"/>
        </w:rPr>
        <w:t> </w:t>
      </w:r>
      <w:r>
        <w:rPr/>
        <w:t>was not a</w:t>
      </w:r>
      <w:r>
        <w:rPr>
          <w:spacing w:val="-1"/>
        </w:rPr>
        <w:t> </w:t>
      </w:r>
      <w:r>
        <w:rPr/>
        <w:t>strong</w:t>
      </w:r>
      <w:r>
        <w:rPr>
          <w:spacing w:val="-1"/>
        </w:rPr>
        <w:t> </w:t>
      </w:r>
      <w:r>
        <w:rPr/>
        <w:t>predictor</w:t>
      </w:r>
      <w:r>
        <w:rPr>
          <w:spacing w:val="-3"/>
        </w:rPr>
        <w:t> </w:t>
      </w:r>
      <w:r>
        <w:rPr/>
        <w:t>of</w:t>
      </w:r>
      <w:r>
        <w:rPr>
          <w:spacing w:val="-8"/>
        </w:rPr>
        <w:t> </w:t>
      </w:r>
      <w:r>
        <w:rPr/>
        <w:t>academic achievement regardless</w:t>
      </w:r>
      <w:r>
        <w:rPr>
          <w:spacing w:val="-2"/>
        </w:rPr>
        <w:t> </w:t>
      </w:r>
      <w:r>
        <w:rPr/>
        <w:t>of</w:t>
      </w:r>
      <w:r>
        <w:rPr>
          <w:spacing w:val="-8"/>
        </w:rPr>
        <w:t> </w:t>
      </w:r>
      <w:r>
        <w:rPr/>
        <w:t>the</w:t>
      </w:r>
      <w:r>
        <w:rPr>
          <w:spacing w:val="-1"/>
        </w:rPr>
        <w:t> </w:t>
      </w:r>
      <w:r>
        <w:rPr/>
        <w:t>type of instrument used to measure it.</w:t>
      </w:r>
    </w:p>
    <w:p>
      <w:pPr>
        <w:pStyle w:val="BodyText"/>
        <w:spacing w:line="480" w:lineRule="auto" w:before="2"/>
        <w:ind w:right="1152" w:firstLine="720"/>
      </w:pPr>
      <w:r>
        <w:rPr/>
        <w:t>Considering the mixed nature of literature on the relationship between emotional intelligence and academic performance, the concept warrants further research. Perhaps the studies trial did not find a significant relationship between emotional</w:t>
      </w:r>
      <w:r>
        <w:rPr>
          <w:spacing w:val="11"/>
        </w:rPr>
        <w:t> </w:t>
      </w:r>
      <w:r>
        <w:rPr/>
        <w:t>intelligence</w:t>
      </w:r>
      <w:r>
        <w:rPr>
          <w:spacing w:val="16"/>
        </w:rPr>
        <w:t> </w:t>
      </w:r>
      <w:r>
        <w:rPr/>
        <w:t>and</w:t>
      </w:r>
      <w:r>
        <w:rPr>
          <w:spacing w:val="13"/>
        </w:rPr>
        <w:t> </w:t>
      </w:r>
      <w:r>
        <w:rPr/>
        <w:t>academic</w:t>
      </w:r>
      <w:r>
        <w:rPr>
          <w:spacing w:val="16"/>
        </w:rPr>
        <w:t> </w:t>
      </w:r>
      <w:r>
        <w:rPr/>
        <w:t>performance</w:t>
      </w:r>
      <w:r>
        <w:rPr>
          <w:spacing w:val="16"/>
        </w:rPr>
        <w:t> </w:t>
      </w:r>
      <w:r>
        <w:rPr/>
        <w:t>did</w:t>
      </w:r>
      <w:r>
        <w:rPr>
          <w:spacing w:val="18"/>
        </w:rPr>
        <w:t> </w:t>
      </w:r>
      <w:r>
        <w:rPr/>
        <w:t>not</w:t>
      </w:r>
      <w:r>
        <w:rPr>
          <w:spacing w:val="17"/>
        </w:rPr>
        <w:t> </w:t>
      </w:r>
      <w:r>
        <w:rPr/>
        <w:t>examine</w:t>
      </w:r>
      <w:r>
        <w:rPr>
          <w:spacing w:val="16"/>
        </w:rPr>
        <w:t> </w:t>
      </w:r>
      <w:r>
        <w:rPr/>
        <w:t>the</w:t>
      </w:r>
      <w:r>
        <w:rPr>
          <w:spacing w:val="17"/>
        </w:rPr>
        <w:t> </w:t>
      </w:r>
      <w:r>
        <w:rPr/>
        <w:t>sub-factors</w:t>
      </w:r>
      <w:r>
        <w:rPr>
          <w:spacing w:val="6"/>
        </w:rPr>
        <w:t> </w:t>
      </w:r>
      <w:r>
        <w:rPr>
          <w:spacing w:val="-5"/>
        </w:rPr>
        <w:t>of</w:t>
      </w:r>
    </w:p>
    <w:p>
      <w:pPr>
        <w:spacing w:after="0" w:line="480" w:lineRule="auto"/>
        <w:sectPr>
          <w:pgSz w:w="11910" w:h="16840"/>
          <w:pgMar w:header="0" w:footer="1012" w:top="1340" w:bottom="1200" w:left="1680" w:right="280"/>
        </w:sectPr>
      </w:pPr>
    </w:p>
    <w:p>
      <w:pPr>
        <w:pStyle w:val="BodyText"/>
        <w:spacing w:line="480" w:lineRule="auto" w:before="74"/>
        <w:ind w:right="1153"/>
      </w:pPr>
      <w:r>
        <w:rPr/>
        <w:t>emotional intelligence or perhaps it was due to the scale that was utilized. Based on</w:t>
      </w:r>
      <w:r>
        <w:rPr>
          <w:spacing w:val="40"/>
        </w:rPr>
        <w:t> </w:t>
      </w:r>
      <w:r>
        <w:rPr/>
        <w:t>all the theoretical literature on emotional intelligence. The researcher intends to investigate the relationship between</w:t>
      </w:r>
      <w:r>
        <w:rPr>
          <w:spacing w:val="-4"/>
        </w:rPr>
        <w:t> </w:t>
      </w:r>
      <w:r>
        <w:rPr/>
        <w:t>emotional intelligence, reasoning ability</w:t>
      </w:r>
      <w:r>
        <w:rPr>
          <w:spacing w:val="-4"/>
        </w:rPr>
        <w:t> </w:t>
      </w:r>
      <w:r>
        <w:rPr/>
        <w:t>and self- efficacy as prediction of achievement in SS II chemistry students.</w:t>
      </w:r>
    </w:p>
    <w:p>
      <w:pPr>
        <w:pStyle w:val="BodyText"/>
        <w:spacing w:line="480" w:lineRule="auto"/>
        <w:ind w:right="1156" w:firstLine="720"/>
      </w:pPr>
      <w:r>
        <w:rPr/>
        <w:t>An extensive review of chemical education literature indicated that influence of emotional intelligence on chemistry achievement has not been explored.</w:t>
      </w:r>
      <w:r>
        <w:rPr>
          <w:spacing w:val="40"/>
        </w:rPr>
        <w:t> </w:t>
      </w:r>
      <w:r>
        <w:rPr/>
        <w:t>On the basis of the above controversy, postulation and the strong recommendations of Uzoechi, Kurumeh &amp; Azuka (2013) that studies on emotional intelligence be carried out in various subject areas in Nigerian secondary education curriculum to ascertain</w:t>
      </w:r>
      <w:r>
        <w:rPr>
          <w:spacing w:val="40"/>
        </w:rPr>
        <w:t> </w:t>
      </w:r>
      <w:r>
        <w:rPr/>
        <w:t>its relationship with academic achievement, it becomes important to investigate if there is</w:t>
      </w:r>
      <w:r>
        <w:rPr>
          <w:spacing w:val="-3"/>
        </w:rPr>
        <w:t> </w:t>
      </w:r>
      <w:r>
        <w:rPr/>
        <w:t>any</w:t>
      </w:r>
      <w:r>
        <w:rPr>
          <w:spacing w:val="-1"/>
        </w:rPr>
        <w:t> </w:t>
      </w:r>
      <w:r>
        <w:rPr/>
        <w:t>significant influence of</w:t>
      </w:r>
      <w:r>
        <w:rPr>
          <w:spacing w:val="-4"/>
        </w:rPr>
        <w:t> </w:t>
      </w:r>
      <w:r>
        <w:rPr/>
        <w:t>emotional</w:t>
      </w:r>
      <w:r>
        <w:rPr>
          <w:spacing w:val="-1"/>
        </w:rPr>
        <w:t> </w:t>
      </w:r>
      <w:r>
        <w:rPr/>
        <w:t>intelligence on</w:t>
      </w:r>
      <w:r>
        <w:rPr>
          <w:spacing w:val="-1"/>
        </w:rPr>
        <w:t> </w:t>
      </w:r>
      <w:r>
        <w:rPr/>
        <w:t>students</w:t>
      </w:r>
      <w:r>
        <w:rPr>
          <w:spacing w:val="-3"/>
        </w:rPr>
        <w:t> </w:t>
      </w:r>
      <w:r>
        <w:rPr/>
        <w:t>achievement in chemistry.</w:t>
      </w:r>
      <w:r>
        <w:rPr>
          <w:spacing w:val="40"/>
        </w:rPr>
        <w:t> </w:t>
      </w:r>
      <w:r>
        <w:rPr/>
        <w:t>The present study aimed at finding out if there is correlations between emotional intelligence, science learning and performance in senior secondary school chemistry students.</w:t>
      </w:r>
    </w:p>
    <w:p>
      <w:pPr>
        <w:pStyle w:val="Heading3"/>
        <w:numPr>
          <w:ilvl w:val="1"/>
          <w:numId w:val="13"/>
        </w:numPr>
        <w:tabs>
          <w:tab w:pos="1199" w:val="left" w:leader="none"/>
        </w:tabs>
        <w:spacing w:line="240" w:lineRule="auto" w:before="7" w:after="0"/>
        <w:ind w:left="1199" w:right="0" w:hanging="719"/>
        <w:jc w:val="both"/>
      </w:pPr>
      <w:bookmarkStart w:name="_TOC_250006" w:id="22"/>
      <w:r>
        <w:rPr/>
        <w:t>Reasoning</w:t>
      </w:r>
      <w:r>
        <w:rPr>
          <w:spacing w:val="-2"/>
        </w:rPr>
        <w:t> </w:t>
      </w:r>
      <w:r>
        <w:rPr/>
        <w:t>Ability,</w:t>
      </w:r>
      <w:r>
        <w:rPr>
          <w:spacing w:val="1"/>
        </w:rPr>
        <w:t> </w:t>
      </w:r>
      <w:r>
        <w:rPr/>
        <w:t>Science</w:t>
      </w:r>
      <w:r>
        <w:rPr>
          <w:spacing w:val="-4"/>
        </w:rPr>
        <w:t> </w:t>
      </w:r>
      <w:r>
        <w:rPr/>
        <w:t>Learning</w:t>
      </w:r>
      <w:r>
        <w:rPr>
          <w:spacing w:val="-1"/>
        </w:rPr>
        <w:t> </w:t>
      </w:r>
      <w:r>
        <w:rPr/>
        <w:t>and</w:t>
      </w:r>
      <w:r>
        <w:rPr>
          <w:spacing w:val="-1"/>
        </w:rPr>
        <w:t> </w:t>
      </w:r>
      <w:bookmarkEnd w:id="22"/>
      <w:r>
        <w:rPr>
          <w:spacing w:val="-2"/>
        </w:rPr>
        <w:t>Performance</w:t>
      </w:r>
    </w:p>
    <w:p>
      <w:pPr>
        <w:pStyle w:val="BodyText"/>
        <w:spacing w:line="480" w:lineRule="auto" w:before="272"/>
        <w:ind w:right="1154" w:firstLine="720"/>
      </w:pPr>
      <w:r>
        <w:rPr/>
        <w:t>Since the evolution of human beings, reasoning ability has been used as an important element to solve their day to day related problems. It has been acknowledged</w:t>
      </w:r>
      <w:r>
        <w:rPr>
          <w:spacing w:val="-2"/>
        </w:rPr>
        <w:t> </w:t>
      </w:r>
      <w:r>
        <w:rPr/>
        <w:t>as</w:t>
      </w:r>
      <w:r>
        <w:rPr>
          <w:spacing w:val="-4"/>
        </w:rPr>
        <w:t> </w:t>
      </w:r>
      <w:r>
        <w:rPr/>
        <w:t>the main</w:t>
      </w:r>
      <w:r>
        <w:rPr>
          <w:spacing w:val="-2"/>
        </w:rPr>
        <w:t> </w:t>
      </w:r>
      <w:r>
        <w:rPr/>
        <w:t>component</w:t>
      </w:r>
      <w:r>
        <w:rPr>
          <w:spacing w:val="-2"/>
        </w:rPr>
        <w:t> </w:t>
      </w:r>
      <w:r>
        <w:rPr/>
        <w:t>of</w:t>
      </w:r>
      <w:r>
        <w:rPr>
          <w:spacing w:val="-5"/>
        </w:rPr>
        <w:t> </w:t>
      </w:r>
      <w:r>
        <w:rPr/>
        <w:t>human</w:t>
      </w:r>
      <w:r>
        <w:rPr>
          <w:spacing w:val="-2"/>
        </w:rPr>
        <w:t> </w:t>
      </w:r>
      <w:r>
        <w:rPr/>
        <w:t>nature. Its</w:t>
      </w:r>
      <w:r>
        <w:rPr>
          <w:spacing w:val="-4"/>
        </w:rPr>
        <w:t> </w:t>
      </w:r>
      <w:r>
        <w:rPr/>
        <w:t>expression</w:t>
      </w:r>
      <w:r>
        <w:rPr>
          <w:spacing w:val="-7"/>
        </w:rPr>
        <w:t> </w:t>
      </w:r>
      <w:r>
        <w:rPr/>
        <w:t>can</w:t>
      </w:r>
      <w:r>
        <w:rPr>
          <w:spacing w:val="-2"/>
        </w:rPr>
        <w:t> </w:t>
      </w:r>
      <w:r>
        <w:rPr/>
        <w:t>be found in the teaching of Socrates, Confucius and others (Chen, 2000). The aim of education is to equip the people with the ability to reason out. Therefore, the development of reasoning skills, its improvement and various approaches invited the attention of teachers, thinkers, and academics for years (Kemler, - Bhat 2016).</w:t>
      </w:r>
    </w:p>
    <w:p>
      <w:pPr>
        <w:pStyle w:val="BodyText"/>
        <w:spacing w:line="480" w:lineRule="auto" w:before="1"/>
        <w:ind w:right="1161" w:firstLine="720"/>
      </w:pPr>
      <w:r>
        <w:rPr/>
        <w:t>Reasoning is a thoughtful activity that has vital significance during the whole life. Almost all the theories of intelligence give much emphasis on the reasoning and have crucial importance in daily routines and patterns of life (Wilhelm, 2004).</w:t>
      </w:r>
    </w:p>
    <w:p>
      <w:pPr>
        <w:spacing w:after="0" w:line="480" w:lineRule="auto"/>
        <w:sectPr>
          <w:pgSz w:w="11910" w:h="16840"/>
          <w:pgMar w:header="0" w:footer="1012" w:top="1340" w:bottom="1200" w:left="1680" w:right="280"/>
        </w:sectPr>
      </w:pPr>
    </w:p>
    <w:p>
      <w:pPr>
        <w:pStyle w:val="BodyText"/>
        <w:spacing w:line="480" w:lineRule="auto" w:before="74"/>
        <w:ind w:right="1157" w:firstLine="720"/>
      </w:pPr>
      <w:r>
        <w:rPr/>
        <w:t>The students make use of reasoning ability in various life patterns in general and education in particular. It helps students to draw conclusions and these conclusions help them to solve their problems. It assists students in gaining true knowledge, because knowledge is based on logic and rationality. Besides, it helps students in decision making, problem solving, causal relationships, making inductive and deductive generalizations and academic excellence. Studies also revealed that reasoning helps in developing IQ (Leighton &amp; Sternberg, 2004).</w:t>
      </w:r>
    </w:p>
    <w:p>
      <w:pPr>
        <w:pStyle w:val="BodyText"/>
        <w:spacing w:line="480" w:lineRule="auto" w:before="1"/>
        <w:ind w:right="1161" w:firstLine="720"/>
      </w:pPr>
      <w:r>
        <w:rPr/>
        <w:t>In various thought process such as decision making, critical thinking and problem solving, reasoning is pivotal (Samarap, 2009). The researchers (Tella et al, 2008) claimed that pupils' reasoning ability is an essential condition for the</w:t>
      </w:r>
      <w:r>
        <w:rPr>
          <w:spacing w:val="40"/>
        </w:rPr>
        <w:t> </w:t>
      </w:r>
      <w:r>
        <w:rPr/>
        <w:t>assessment of the performance in learning and is also an indicator of their future performance. Moore and Bruder (1996) highlighted the significance of reasoning ability they stated that reasoning skills help students think clearly and logically to act upon multiple problems with a rational approach.</w:t>
      </w:r>
    </w:p>
    <w:p>
      <w:pPr>
        <w:pStyle w:val="BodyText"/>
        <w:spacing w:line="480" w:lineRule="auto" w:before="2"/>
        <w:ind w:right="1164" w:firstLine="720"/>
      </w:pPr>
      <w:r>
        <w:rPr/>
        <w:t>Reasoning is a very important aspect of human existence. In today's complex world, the ability to think and reason logically is essential for everybody. The ability to reason is indispensable when problem solving skills are required. Without reasoning, already acquired knowledge and experiences cannot be applied to new situations (Bhat, 2014).</w:t>
      </w:r>
    </w:p>
    <w:p>
      <w:pPr>
        <w:pStyle w:val="BodyText"/>
        <w:spacing w:line="480" w:lineRule="auto" w:before="1"/>
        <w:ind w:right="1161" w:firstLine="720"/>
      </w:pPr>
      <w:r>
        <w:rPr/>
        <w:t>Progressive</w:t>
      </w:r>
      <w:r>
        <w:rPr>
          <w:spacing w:val="-3"/>
        </w:rPr>
        <w:t> </w:t>
      </w:r>
      <w:r>
        <w:rPr/>
        <w:t>psychologists</w:t>
      </w:r>
      <w:r>
        <w:rPr>
          <w:spacing w:val="-4"/>
        </w:rPr>
        <w:t> </w:t>
      </w:r>
      <w:r>
        <w:rPr/>
        <w:t>explore</w:t>
      </w:r>
      <w:r>
        <w:rPr>
          <w:spacing w:val="-3"/>
        </w:rPr>
        <w:t> </w:t>
      </w:r>
      <w:r>
        <w:rPr/>
        <w:t>the</w:t>
      </w:r>
      <w:r>
        <w:rPr>
          <w:spacing w:val="-3"/>
        </w:rPr>
        <w:t> </w:t>
      </w:r>
      <w:r>
        <w:rPr/>
        <w:t>growth</w:t>
      </w:r>
      <w:r>
        <w:rPr>
          <w:spacing w:val="-7"/>
        </w:rPr>
        <w:t> </w:t>
      </w:r>
      <w:r>
        <w:rPr/>
        <w:t>and</w:t>
      </w:r>
      <w:r>
        <w:rPr>
          <w:spacing w:val="-2"/>
        </w:rPr>
        <w:t> </w:t>
      </w:r>
      <w:r>
        <w:rPr/>
        <w:t>expansion</w:t>
      </w:r>
      <w:r>
        <w:rPr>
          <w:spacing w:val="-7"/>
        </w:rPr>
        <w:t> </w:t>
      </w:r>
      <w:r>
        <w:rPr/>
        <w:t>of</w:t>
      </w:r>
      <w:r>
        <w:rPr>
          <w:spacing w:val="-9"/>
        </w:rPr>
        <w:t> </w:t>
      </w:r>
      <w:r>
        <w:rPr/>
        <w:t>reasoning from birth to maturity. The first comprehensive theory of reasoning development was Piaget's theory of cognitive development (Demetriou, 1998). Cognitive psychologists and mathematics</w:t>
      </w:r>
      <w:r>
        <w:rPr>
          <w:spacing w:val="-4"/>
        </w:rPr>
        <w:t> </w:t>
      </w:r>
      <w:r>
        <w:rPr/>
        <w:t>teachers have</w:t>
      </w:r>
      <w:r>
        <w:rPr>
          <w:spacing w:val="-3"/>
        </w:rPr>
        <w:t> </w:t>
      </w:r>
      <w:r>
        <w:rPr/>
        <w:t>great interest in</w:t>
      </w:r>
      <w:r>
        <w:rPr>
          <w:spacing w:val="-7"/>
        </w:rPr>
        <w:t> </w:t>
      </w:r>
      <w:r>
        <w:rPr/>
        <w:t>area</w:t>
      </w:r>
      <w:r>
        <w:rPr>
          <w:spacing w:val="-3"/>
        </w:rPr>
        <w:t> </w:t>
      </w:r>
      <w:r>
        <w:rPr/>
        <w:t>of</w:t>
      </w:r>
      <w:r>
        <w:rPr>
          <w:spacing w:val="-9"/>
        </w:rPr>
        <w:t> </w:t>
      </w:r>
      <w:r>
        <w:rPr/>
        <w:t>reasoning</w:t>
      </w:r>
      <w:r>
        <w:rPr>
          <w:spacing w:val="-2"/>
        </w:rPr>
        <w:t> </w:t>
      </w:r>
      <w:r>
        <w:rPr/>
        <w:t>(National</w:t>
      </w:r>
      <w:r>
        <w:rPr>
          <w:spacing w:val="-7"/>
        </w:rPr>
        <w:t> </w:t>
      </w:r>
      <w:r>
        <w:rPr/>
        <w:t>Council</w:t>
      </w:r>
      <w:r>
        <w:rPr>
          <w:spacing w:val="-7"/>
        </w:rPr>
        <w:t> </w:t>
      </w:r>
      <w:r>
        <w:rPr/>
        <w:t>of Mathematics Teachers [NCTM], 2000). Without reasoning, already accomplished knowledge</w:t>
      </w:r>
      <w:r>
        <w:rPr>
          <w:spacing w:val="-1"/>
        </w:rPr>
        <w:t> </w:t>
      </w:r>
      <w:r>
        <w:rPr/>
        <w:t>and</w:t>
      </w:r>
      <w:r>
        <w:rPr>
          <w:spacing w:val="2"/>
        </w:rPr>
        <w:t> </w:t>
      </w:r>
      <w:r>
        <w:rPr/>
        <w:t>experiences cannot</w:t>
      </w:r>
      <w:r>
        <w:rPr>
          <w:spacing w:val="8"/>
        </w:rPr>
        <w:t> </w:t>
      </w:r>
      <w:r>
        <w:rPr/>
        <w:t>be</w:t>
      </w:r>
      <w:r>
        <w:rPr>
          <w:spacing w:val="1"/>
        </w:rPr>
        <w:t> </w:t>
      </w:r>
      <w:r>
        <w:rPr/>
        <w:t>applied</w:t>
      </w:r>
      <w:r>
        <w:rPr>
          <w:spacing w:val="2"/>
        </w:rPr>
        <w:t> </w:t>
      </w:r>
      <w:r>
        <w:rPr/>
        <w:t>to</w:t>
      </w:r>
      <w:r>
        <w:rPr>
          <w:spacing w:val="7"/>
        </w:rPr>
        <w:t> </w:t>
      </w:r>
      <w:r>
        <w:rPr/>
        <w:t>new</w:t>
      </w:r>
      <w:r>
        <w:rPr>
          <w:spacing w:val="2"/>
        </w:rPr>
        <w:t> </w:t>
      </w:r>
      <w:r>
        <w:rPr/>
        <w:t>situations.</w:t>
      </w:r>
      <w:r>
        <w:rPr>
          <w:spacing w:val="4"/>
        </w:rPr>
        <w:t> </w:t>
      </w:r>
      <w:r>
        <w:rPr/>
        <w:t>Reasoning</w:t>
      </w:r>
      <w:r>
        <w:rPr>
          <w:spacing w:val="7"/>
        </w:rPr>
        <w:t> </w:t>
      </w:r>
      <w:r>
        <w:rPr/>
        <w:t>is</w:t>
      </w:r>
      <w:r>
        <w:rPr>
          <w:spacing w:val="5"/>
        </w:rPr>
        <w:t> </w:t>
      </w:r>
      <w:r>
        <w:rPr>
          <w:spacing w:val="-2"/>
        </w:rPr>
        <w:t>broadly</w:t>
      </w:r>
    </w:p>
    <w:p>
      <w:pPr>
        <w:spacing w:after="0" w:line="480" w:lineRule="auto"/>
        <w:sectPr>
          <w:pgSz w:w="11910" w:h="16840"/>
          <w:pgMar w:header="0" w:footer="1012" w:top="1340" w:bottom="1200" w:left="1680" w:right="280"/>
        </w:sectPr>
      </w:pPr>
    </w:p>
    <w:p>
      <w:pPr>
        <w:pStyle w:val="BodyText"/>
        <w:spacing w:line="480" w:lineRule="auto" w:before="74"/>
        <w:ind w:right="1160"/>
      </w:pPr>
      <w:r>
        <w:rPr/>
        <w:t>defined as "the process of drawing conclusions" (Leighton and Sternberg, 2004, p. 3, 4). The true conclusions assist in problem solving because they are reliable representations of the external environment. Therefore, the main aim of education is</w:t>
      </w:r>
      <w:r>
        <w:rPr>
          <w:spacing w:val="40"/>
        </w:rPr>
        <w:t> </w:t>
      </w:r>
      <w:r>
        <w:rPr/>
        <w:t>to make available the situations which will stimulate the students' with reasoning abilities (Valanides, 1997).</w:t>
      </w:r>
    </w:p>
    <w:p>
      <w:pPr>
        <w:pStyle w:val="BodyText"/>
        <w:spacing w:line="480" w:lineRule="auto" w:before="1"/>
        <w:ind w:right="1162" w:firstLine="720"/>
      </w:pPr>
      <w:r>
        <w:rPr/>
        <w:t>Earlier there</w:t>
      </w:r>
      <w:r>
        <w:rPr>
          <w:spacing w:val="-2"/>
        </w:rPr>
        <w:t> </w:t>
      </w:r>
      <w:r>
        <w:rPr/>
        <w:t>were</w:t>
      </w:r>
      <w:r>
        <w:rPr>
          <w:spacing w:val="-2"/>
        </w:rPr>
        <w:t> </w:t>
      </w:r>
      <w:r>
        <w:rPr/>
        <w:t>two categories of</w:t>
      </w:r>
      <w:r>
        <w:rPr>
          <w:spacing w:val="-9"/>
        </w:rPr>
        <w:t> </w:t>
      </w:r>
      <w:r>
        <w:rPr/>
        <w:t>reasoning such</w:t>
      </w:r>
      <w:r>
        <w:rPr>
          <w:spacing w:val="-1"/>
        </w:rPr>
        <w:t> </w:t>
      </w:r>
      <w:r>
        <w:rPr/>
        <w:t>as inductive</w:t>
      </w:r>
      <w:r>
        <w:rPr>
          <w:spacing w:val="-2"/>
        </w:rPr>
        <w:t> </w:t>
      </w:r>
      <w:r>
        <w:rPr/>
        <w:t>and deductive made by philosophers. Later on abduction was introduced and finally it was acknowledged that there are three categories of reasoning (Allan, 2006). Roediger &amp; Rushton (1987) in their book "Psychology" has mentioned some types of reasoning, like- conditional, analogical and linear reasoning.</w:t>
      </w:r>
    </w:p>
    <w:p>
      <w:pPr>
        <w:pStyle w:val="BodyText"/>
        <w:spacing w:line="480" w:lineRule="auto" w:before="1"/>
        <w:ind w:right="1162" w:firstLine="720"/>
      </w:pPr>
      <w:r>
        <w:rPr/>
        <w:t>Although, there are some more categories of reasoning from which some are not familiar. These are cause-and- effect reasoning, comparative reasoning, criteria reasoning, decomposition reasoning, systematic reasoning, syllogistic reasoning (Vince, 2011; Wason and Johnson, 1972; Jeotee, 2012).</w:t>
      </w:r>
    </w:p>
    <w:p>
      <w:pPr>
        <w:pStyle w:val="BodyText"/>
        <w:spacing w:line="480" w:lineRule="auto" w:before="1"/>
        <w:ind w:right="1160" w:firstLine="720"/>
      </w:pPr>
      <w:r>
        <w:rPr/>
        <w:t>Reasoning abilities are not static. They are developed through experience and rendered easier to perform through exercise (Lohman &amp; Lakin 2009). Recall that individual differences in reasoning are substantially correlated with the amount of information individuals can hold in working memory while performing some transformation on it. The</w:t>
      </w:r>
      <w:r>
        <w:rPr>
          <w:spacing w:val="-1"/>
        </w:rPr>
        <w:t> </w:t>
      </w:r>
      <w:r>
        <w:rPr/>
        <w:t>ability</w:t>
      </w:r>
      <w:r>
        <w:rPr>
          <w:spacing w:val="-5"/>
        </w:rPr>
        <w:t> </w:t>
      </w:r>
      <w:r>
        <w:rPr/>
        <w:t>to do this depends in large measure</w:t>
      </w:r>
      <w:r>
        <w:rPr>
          <w:spacing w:val="-1"/>
        </w:rPr>
        <w:t> </w:t>
      </w:r>
      <w:r>
        <w:rPr/>
        <w:t>on</w:t>
      </w:r>
      <w:r>
        <w:rPr>
          <w:spacing w:val="-5"/>
        </w:rPr>
        <w:t> </w:t>
      </w:r>
      <w:r>
        <w:rPr/>
        <w:t>the</w:t>
      </w:r>
      <w:r>
        <w:rPr>
          <w:spacing w:val="-1"/>
        </w:rPr>
        <w:t> </w:t>
      </w:r>
      <w:r>
        <w:rPr/>
        <w:t>attentional resources individuals bring to a task, their familiarity with the to-be-remembered information, and their skill in performing the required transformations. Thus, prior knowledge and skill are critical determiners of the level of reasoning that one can exhibit both on reasoning tests and in everyday tasks. The dependence on prior knowledge is most pronounced on tasks that require deductive reasoning with authentic</w:t>
      </w:r>
      <w:r>
        <w:rPr>
          <w:spacing w:val="13"/>
        </w:rPr>
        <w:t> </w:t>
      </w:r>
      <w:r>
        <w:rPr/>
        <w:t>stimulus</w:t>
      </w:r>
      <w:r>
        <w:rPr>
          <w:spacing w:val="15"/>
        </w:rPr>
        <w:t> </w:t>
      </w:r>
      <w:r>
        <w:rPr/>
        <w:t>materials,</w:t>
      </w:r>
      <w:r>
        <w:rPr>
          <w:spacing w:val="14"/>
        </w:rPr>
        <w:t> </w:t>
      </w:r>
      <w:r>
        <w:rPr/>
        <w:t>and</w:t>
      </w:r>
      <w:r>
        <w:rPr>
          <w:spacing w:val="17"/>
        </w:rPr>
        <w:t> </w:t>
      </w:r>
      <w:r>
        <w:rPr/>
        <w:t>is</w:t>
      </w:r>
      <w:r>
        <w:rPr>
          <w:spacing w:val="14"/>
        </w:rPr>
        <w:t> </w:t>
      </w:r>
      <w:r>
        <w:rPr/>
        <w:t>least</w:t>
      </w:r>
      <w:r>
        <w:rPr>
          <w:spacing w:val="17"/>
        </w:rPr>
        <w:t> </w:t>
      </w:r>
      <w:r>
        <w:rPr/>
        <w:t>pronounced</w:t>
      </w:r>
      <w:r>
        <w:rPr>
          <w:spacing w:val="12"/>
        </w:rPr>
        <w:t> </w:t>
      </w:r>
      <w:r>
        <w:rPr/>
        <w:t>on</w:t>
      </w:r>
      <w:r>
        <w:rPr>
          <w:spacing w:val="7"/>
        </w:rPr>
        <w:t> </w:t>
      </w:r>
      <w:r>
        <w:rPr/>
        <w:t>tasks</w:t>
      </w:r>
      <w:r>
        <w:rPr>
          <w:spacing w:val="10"/>
        </w:rPr>
        <w:t> </w:t>
      </w:r>
      <w:r>
        <w:rPr/>
        <w:t>that</w:t>
      </w:r>
      <w:r>
        <w:rPr>
          <w:spacing w:val="17"/>
        </w:rPr>
        <w:t> </w:t>
      </w:r>
      <w:r>
        <w:rPr/>
        <w:t>require</w:t>
      </w:r>
      <w:r>
        <w:rPr>
          <w:spacing w:val="16"/>
        </w:rPr>
        <w:t> </w:t>
      </w:r>
      <w:r>
        <w:rPr>
          <w:spacing w:val="-2"/>
        </w:rPr>
        <w:t>inferential</w:t>
      </w:r>
    </w:p>
    <w:p>
      <w:pPr>
        <w:spacing w:after="0" w:line="480" w:lineRule="auto"/>
        <w:sectPr>
          <w:pgSz w:w="11910" w:h="16840"/>
          <w:pgMar w:header="0" w:footer="1012" w:top="1340" w:bottom="1200" w:left="1680" w:right="280"/>
        </w:sectPr>
      </w:pPr>
    </w:p>
    <w:p>
      <w:pPr>
        <w:pStyle w:val="BodyText"/>
        <w:spacing w:line="480" w:lineRule="auto" w:before="74"/>
        <w:ind w:right="1162"/>
      </w:pPr>
      <w:r>
        <w:rPr/>
        <w:t>reasoning with simple geometric or alphanumeric stimuli. The processes that support sophisticated</w:t>
      </w:r>
      <w:r>
        <w:rPr>
          <w:spacing w:val="-3"/>
        </w:rPr>
        <w:t> </w:t>
      </w:r>
      <w:r>
        <w:rPr/>
        <w:t>reasoning by</w:t>
      </w:r>
      <w:r>
        <w:rPr>
          <w:spacing w:val="-7"/>
        </w:rPr>
        <w:t> </w:t>
      </w:r>
      <w:r>
        <w:rPr/>
        <w:t>experts</w:t>
      </w:r>
      <w:r>
        <w:rPr>
          <w:spacing w:val="-5"/>
        </w:rPr>
        <w:t> </w:t>
      </w:r>
      <w:r>
        <w:rPr/>
        <w:t>in</w:t>
      </w:r>
      <w:r>
        <w:rPr>
          <w:spacing w:val="-7"/>
        </w:rPr>
        <w:t> </w:t>
      </w:r>
      <w:r>
        <w:rPr/>
        <w:t>a</w:t>
      </w:r>
      <w:r>
        <w:rPr>
          <w:spacing w:val="-4"/>
        </w:rPr>
        <w:t> </w:t>
      </w:r>
      <w:r>
        <w:rPr/>
        <w:t>knowledge-rich</w:t>
      </w:r>
      <w:r>
        <w:rPr>
          <w:spacing w:val="-7"/>
        </w:rPr>
        <w:t> </w:t>
      </w:r>
      <w:r>
        <w:rPr/>
        <w:t>domain, however,</w:t>
      </w:r>
      <w:r>
        <w:rPr>
          <w:spacing w:val="-1"/>
        </w:rPr>
        <w:t> </w:t>
      </w:r>
      <w:r>
        <w:rPr/>
        <w:t>appear</w:t>
      </w:r>
      <w:r>
        <w:rPr>
          <w:spacing w:val="-2"/>
        </w:rPr>
        <w:t> </w:t>
      </w:r>
      <w:r>
        <w:rPr/>
        <w:t>to</w:t>
      </w:r>
      <w:r>
        <w:rPr>
          <w:spacing w:val="-3"/>
        </w:rPr>
        <w:t> </w:t>
      </w:r>
      <w:r>
        <w:rPr/>
        <w:t>be largely the same as those which enable the novice to infer consistencies or deduce likely consequents in novel problem-solving (Bruner – Lohman &amp; Lakin 2009).</w:t>
      </w:r>
    </w:p>
    <w:p>
      <w:pPr>
        <w:pStyle w:val="BodyText"/>
        <w:spacing w:line="480" w:lineRule="auto"/>
        <w:ind w:right="1155" w:firstLine="720"/>
      </w:pPr>
      <w:r>
        <w:rPr/>
        <w:t>There are many sources of evidence that bear on the construct validity and practical importance of</w:t>
      </w:r>
      <w:r>
        <w:rPr>
          <w:spacing w:val="-4"/>
        </w:rPr>
        <w:t> </w:t>
      </w:r>
      <w:r>
        <w:rPr/>
        <w:t>reasoning tests. First is the fact that reasoning is the central</w:t>
      </w:r>
      <w:r>
        <w:rPr>
          <w:spacing w:val="-6"/>
        </w:rPr>
        <w:t> </w:t>
      </w:r>
      <w:r>
        <w:rPr/>
        <w:t>or most general cognitive ability in any diverse battery of tests. Second, reasoning tests predict success in</w:t>
      </w:r>
      <w:r>
        <w:rPr>
          <w:spacing w:val="-3"/>
        </w:rPr>
        <w:t> </w:t>
      </w:r>
      <w:r>
        <w:rPr/>
        <w:t>academic learning because -</w:t>
      </w:r>
      <w:r>
        <w:rPr>
          <w:spacing w:val="-1"/>
        </w:rPr>
        <w:t> </w:t>
      </w:r>
      <w:r>
        <w:rPr/>
        <w:t>as Snow,</w:t>
      </w:r>
      <w:r>
        <w:rPr>
          <w:spacing w:val="-2"/>
        </w:rPr>
        <w:t> </w:t>
      </w:r>
      <w:r>
        <w:rPr/>
        <w:t>Greeno,</w:t>
      </w:r>
      <w:r>
        <w:rPr>
          <w:spacing w:val="-1"/>
        </w:rPr>
        <w:t> </w:t>
      </w:r>
      <w:r>
        <w:rPr/>
        <w:t>Bruner, -</w:t>
      </w:r>
      <w:r>
        <w:rPr>
          <w:spacing w:val="-1"/>
        </w:rPr>
        <w:t> </w:t>
      </w:r>
      <w:r>
        <w:rPr/>
        <w:t>Lohman &amp; Lakin (2009) have pointed out-academic learning is at its core one grand game of inference and deduction making. All instruction is incomplete in some respects. Effective learning requires that the student continually go beyond the information given to find similarities and differences between new patterns and concepts already</w:t>
      </w:r>
      <w:r>
        <w:rPr>
          <w:spacing w:val="40"/>
        </w:rPr>
        <w:t> </w:t>
      </w:r>
      <w:r>
        <w:rPr/>
        <w:t>in memory. Third, reasoning abilities are the critical moderator of instructional adaptations. By tracking what increases or decreases the relationship between reasoning ability and learning outcomes, we understand better both what reasoning abilities are and how instruction can be made more effective for more learners.</w:t>
      </w:r>
      <w:r>
        <w:rPr>
          <w:spacing w:val="40"/>
        </w:rPr>
        <w:t> </w:t>
      </w:r>
      <w:r>
        <w:rPr/>
        <w:t>Fourth, there is now a substantial research base in cognitive psychology</w:t>
      </w:r>
      <w:r>
        <w:rPr>
          <w:spacing w:val="-5"/>
        </w:rPr>
        <w:t> </w:t>
      </w:r>
      <w:r>
        <w:rPr/>
        <w:t>on the nature of human reasoning (e.g., Leighton &amp; Sternberg, 2004; Holyoak &amp; Morrison, 2005). Especially helpful are studies of individual differences in reasoning measured on test- like</w:t>
      </w:r>
      <w:r>
        <w:rPr>
          <w:spacing w:val="-1"/>
        </w:rPr>
        <w:t> </w:t>
      </w:r>
      <w:r>
        <w:rPr/>
        <w:t>tasks modeled after those</w:t>
      </w:r>
      <w:r>
        <w:rPr>
          <w:spacing w:val="-1"/>
        </w:rPr>
        <w:t> </w:t>
      </w:r>
      <w:r>
        <w:rPr/>
        <w:t>used on</w:t>
      </w:r>
      <w:r>
        <w:rPr>
          <w:spacing w:val="-5"/>
        </w:rPr>
        <w:t> </w:t>
      </w:r>
      <w:r>
        <w:rPr/>
        <w:t>ability</w:t>
      </w:r>
      <w:r>
        <w:rPr>
          <w:spacing w:val="-5"/>
        </w:rPr>
        <w:t> </w:t>
      </w:r>
      <w:r>
        <w:rPr/>
        <w:t>tests.</w:t>
      </w:r>
      <w:r>
        <w:rPr>
          <w:spacing w:val="-3"/>
        </w:rPr>
        <w:t> </w:t>
      </w:r>
      <w:r>
        <w:rPr/>
        <w:t>Indeed, one</w:t>
      </w:r>
      <w:r>
        <w:rPr>
          <w:spacing w:val="-1"/>
        </w:rPr>
        <w:t> </w:t>
      </w:r>
      <w:r>
        <w:rPr/>
        <w:t>would be hard pressed to think of any construct in psychology that is better understood, and whose practical relevance for education at all levels is better demonstrated than reasoning abilities.</w:t>
      </w:r>
    </w:p>
    <w:p>
      <w:pPr>
        <w:pStyle w:val="BodyText"/>
        <w:spacing w:line="480" w:lineRule="auto" w:before="4"/>
        <w:ind w:right="1163" w:firstLine="720"/>
      </w:pPr>
      <w:r>
        <w:rPr/>
        <w:t>The development of reasoning ability has been the subject of a long line of research within developmental psychology, educational psychology, and science education</w:t>
      </w:r>
      <w:r>
        <w:rPr>
          <w:spacing w:val="12"/>
        </w:rPr>
        <w:t> </w:t>
      </w:r>
      <w:r>
        <w:rPr/>
        <w:t>(Johnson</w:t>
      </w:r>
      <w:r>
        <w:rPr>
          <w:spacing w:val="16"/>
        </w:rPr>
        <w:t> </w:t>
      </w:r>
      <w:r>
        <w:rPr/>
        <w:t>2007).</w:t>
      </w:r>
      <w:r>
        <w:rPr>
          <w:spacing w:val="22"/>
        </w:rPr>
        <w:t> </w:t>
      </w:r>
      <w:r>
        <w:rPr/>
        <w:t>The</w:t>
      </w:r>
      <w:r>
        <w:rPr>
          <w:spacing w:val="18"/>
        </w:rPr>
        <w:t> </w:t>
      </w:r>
      <w:r>
        <w:rPr/>
        <w:t>general</w:t>
      </w:r>
      <w:r>
        <w:rPr>
          <w:spacing w:val="15"/>
        </w:rPr>
        <w:t> </w:t>
      </w:r>
      <w:r>
        <w:rPr/>
        <w:t>conclusion</w:t>
      </w:r>
      <w:r>
        <w:rPr>
          <w:spacing w:val="15"/>
        </w:rPr>
        <w:t> </w:t>
      </w:r>
      <w:r>
        <w:rPr/>
        <w:t>of</w:t>
      </w:r>
      <w:r>
        <w:rPr>
          <w:spacing w:val="11"/>
        </w:rPr>
        <w:t> </w:t>
      </w:r>
      <w:r>
        <w:rPr/>
        <w:t>such</w:t>
      </w:r>
      <w:r>
        <w:rPr>
          <w:spacing w:val="15"/>
        </w:rPr>
        <w:t> </w:t>
      </w:r>
      <w:r>
        <w:rPr/>
        <w:t>research</w:t>
      </w:r>
      <w:r>
        <w:rPr>
          <w:spacing w:val="19"/>
        </w:rPr>
        <w:t> </w:t>
      </w:r>
      <w:r>
        <w:rPr/>
        <w:t>is</w:t>
      </w:r>
      <w:r>
        <w:rPr>
          <w:spacing w:val="17"/>
        </w:rPr>
        <w:t> </w:t>
      </w:r>
      <w:r>
        <w:rPr/>
        <w:t>that</w:t>
      </w:r>
      <w:r>
        <w:rPr>
          <w:spacing w:val="25"/>
        </w:rPr>
        <w:t> </w:t>
      </w:r>
      <w:r>
        <w:rPr>
          <w:spacing w:val="-2"/>
        </w:rPr>
        <w:t>reasoning</w:t>
      </w:r>
    </w:p>
    <w:p>
      <w:pPr>
        <w:spacing w:after="0" w:line="480" w:lineRule="auto"/>
        <w:sectPr>
          <w:pgSz w:w="11910" w:h="16840"/>
          <w:pgMar w:header="0" w:footer="1012" w:top="1340" w:bottom="1200" w:left="1680" w:right="280"/>
        </w:sectPr>
      </w:pPr>
    </w:p>
    <w:p>
      <w:pPr>
        <w:pStyle w:val="BodyText"/>
        <w:spacing w:line="480" w:lineRule="auto" w:before="74"/>
        <w:ind w:right="1164"/>
      </w:pPr>
      <w:r>
        <w:rPr/>
        <w:t>pattern, do developed across adolescent, at least in some students and play an important role in</w:t>
      </w:r>
      <w:r>
        <w:rPr>
          <w:spacing w:val="-2"/>
        </w:rPr>
        <w:t> </w:t>
      </w:r>
      <w:r>
        <w:rPr/>
        <w:t>the ability</w:t>
      </w:r>
      <w:r>
        <w:rPr>
          <w:spacing w:val="-7"/>
        </w:rPr>
        <w:t> </w:t>
      </w:r>
      <w:r>
        <w:rPr/>
        <w:t>to do science</w:t>
      </w:r>
      <w:r>
        <w:rPr>
          <w:spacing w:val="-3"/>
        </w:rPr>
        <w:t> </w:t>
      </w:r>
      <w:r>
        <w:rPr/>
        <w:t>and</w:t>
      </w:r>
      <w:r>
        <w:rPr>
          <w:spacing w:val="-2"/>
        </w:rPr>
        <w:t> </w:t>
      </w:r>
      <w:r>
        <w:rPr/>
        <w:t>construct scientific</w:t>
      </w:r>
      <w:r>
        <w:rPr>
          <w:spacing w:val="-3"/>
        </w:rPr>
        <w:t> </w:t>
      </w:r>
      <w:r>
        <w:rPr/>
        <w:t>concepts.</w:t>
      </w:r>
      <w:r>
        <w:rPr>
          <w:spacing w:val="-1"/>
        </w:rPr>
        <w:t> </w:t>
      </w:r>
      <w:r>
        <w:rPr/>
        <w:t>Reasoning skills therefore, develop through</w:t>
      </w:r>
      <w:r>
        <w:rPr>
          <w:spacing w:val="-5"/>
        </w:rPr>
        <w:t> </w:t>
      </w:r>
      <w:r>
        <w:rPr/>
        <w:t>a</w:t>
      </w:r>
      <w:r>
        <w:rPr>
          <w:spacing w:val="-1"/>
        </w:rPr>
        <w:t> </w:t>
      </w:r>
      <w:r>
        <w:rPr/>
        <w:t>person's life</w:t>
      </w:r>
      <w:r>
        <w:rPr>
          <w:spacing w:val="-1"/>
        </w:rPr>
        <w:t> </w:t>
      </w:r>
      <w:r>
        <w:rPr/>
        <w:t>time</w:t>
      </w:r>
      <w:r>
        <w:rPr>
          <w:spacing w:val="-1"/>
        </w:rPr>
        <w:t> </w:t>
      </w:r>
      <w:r>
        <w:rPr/>
        <w:t>and at different rates</w:t>
      </w:r>
      <w:r>
        <w:rPr>
          <w:spacing w:val="-2"/>
        </w:rPr>
        <w:t> </w:t>
      </w:r>
      <w:r>
        <w:rPr/>
        <w:t>for different individuals. Early investigation on cognitive development and children's reasoning ability typically define the level of cognitive functioning in terms of performance on one test or the other related measured (Sokan, 1998). One question that seems pertinent based on this assertion is that what does reasoning ability have to do with achievement in science?</w:t>
      </w:r>
      <w:r>
        <w:rPr>
          <w:spacing w:val="-1"/>
        </w:rPr>
        <w:t> </w:t>
      </w:r>
      <w:r>
        <w:rPr/>
        <w:t>It is in the search of</w:t>
      </w:r>
      <w:r>
        <w:rPr>
          <w:spacing w:val="-3"/>
        </w:rPr>
        <w:t> </w:t>
      </w:r>
      <w:r>
        <w:rPr/>
        <w:t>answer to this question that this study is </w:t>
      </w:r>
      <w:r>
        <w:rPr>
          <w:spacing w:val="-2"/>
        </w:rPr>
        <w:t>conceived.</w:t>
      </w:r>
    </w:p>
    <w:p>
      <w:pPr>
        <w:pStyle w:val="BodyText"/>
        <w:spacing w:line="480" w:lineRule="auto" w:before="2"/>
        <w:ind w:right="1156" w:firstLine="720"/>
      </w:pPr>
      <w:r>
        <w:rPr/>
        <w:t>Investigations have shown that full comprehension of some science concepts by students requires what Piaget defines as formal reasoning (Wilhelm, 2004). For example Heron-Sirajo et al, (2013) suggests that certain chemical concepts are "formal" because they</w:t>
      </w:r>
      <w:r>
        <w:rPr>
          <w:spacing w:val="-6"/>
        </w:rPr>
        <w:t> </w:t>
      </w:r>
      <w:r>
        <w:rPr/>
        <w:t>require formal</w:t>
      </w:r>
      <w:r>
        <w:rPr>
          <w:spacing w:val="-6"/>
        </w:rPr>
        <w:t> </w:t>
      </w:r>
      <w:r>
        <w:rPr/>
        <w:t>reasoning patterns to understand them, where as other concept are "concrete" because they require concrete reasoning to comprehend.</w:t>
      </w:r>
    </w:p>
    <w:p>
      <w:pPr>
        <w:pStyle w:val="BodyText"/>
        <w:spacing w:line="480" w:lineRule="auto" w:before="1"/>
        <w:ind w:right="1156" w:firstLine="720"/>
      </w:pPr>
      <w:r>
        <w:rPr/>
        <w:t>According to Heron - Sirajo et al (2013), to increase comprehension of</w:t>
      </w:r>
      <w:r>
        <w:rPr>
          <w:spacing w:val="40"/>
        </w:rPr>
        <w:t> </w:t>
      </w:r>
      <w:r>
        <w:rPr/>
        <w:t>science, we must either assists students in</w:t>
      </w:r>
      <w:r>
        <w:rPr>
          <w:spacing w:val="-2"/>
        </w:rPr>
        <w:t> </w:t>
      </w:r>
      <w:r>
        <w:rPr/>
        <w:t>their development on</w:t>
      </w:r>
      <w:r>
        <w:rPr>
          <w:spacing w:val="-2"/>
        </w:rPr>
        <w:t> </w:t>
      </w:r>
      <w:r>
        <w:rPr/>
        <w:t>reasoning or we must learn to teach so that ideas of science are understood by students who remain at concrete operational level. Other researchers have pointed out that certain concept no matter how they are taught cannot be comprehended by students at the concrete operational level. Goodstein and Howe-Sirajo et al, (2013) after the use of some "hands-on" method to teach students some chemistry concepts reported that concrete level students cannot, learn concepts which require advanced formal reasoning no matter how the concepts are taught.</w:t>
      </w:r>
    </w:p>
    <w:p>
      <w:pPr>
        <w:pStyle w:val="BodyText"/>
        <w:spacing w:line="480" w:lineRule="auto" w:before="2"/>
        <w:ind w:right="1170" w:firstLine="720"/>
      </w:pPr>
      <w:r>
        <w:rPr/>
        <w:t>The relationship between various variables and formal reasoning has received a</w:t>
      </w:r>
      <w:r>
        <w:rPr>
          <w:spacing w:val="27"/>
        </w:rPr>
        <w:t> </w:t>
      </w:r>
      <w:r>
        <w:rPr/>
        <w:t>special</w:t>
      </w:r>
      <w:r>
        <w:rPr>
          <w:spacing w:val="28"/>
        </w:rPr>
        <w:t> </w:t>
      </w:r>
      <w:r>
        <w:rPr/>
        <w:t>attention</w:t>
      </w:r>
      <w:r>
        <w:rPr>
          <w:spacing w:val="28"/>
        </w:rPr>
        <w:t> </w:t>
      </w:r>
      <w:r>
        <w:rPr/>
        <w:t>in</w:t>
      </w:r>
      <w:r>
        <w:rPr>
          <w:spacing w:val="27"/>
        </w:rPr>
        <w:t> </w:t>
      </w:r>
      <w:r>
        <w:rPr/>
        <w:t>science</w:t>
      </w:r>
      <w:r>
        <w:rPr>
          <w:spacing w:val="28"/>
        </w:rPr>
        <w:t> </w:t>
      </w:r>
      <w:r>
        <w:rPr/>
        <w:t>education</w:t>
      </w:r>
      <w:r>
        <w:rPr>
          <w:spacing w:val="23"/>
        </w:rPr>
        <w:t> </w:t>
      </w:r>
      <w:r>
        <w:rPr/>
        <w:t>research</w:t>
      </w:r>
      <w:r>
        <w:rPr>
          <w:spacing w:val="33"/>
        </w:rPr>
        <w:t> </w:t>
      </w:r>
      <w:r>
        <w:rPr/>
        <w:t>for</w:t>
      </w:r>
      <w:r>
        <w:rPr>
          <w:spacing w:val="34"/>
        </w:rPr>
        <w:t> </w:t>
      </w:r>
      <w:r>
        <w:rPr/>
        <w:t>many</w:t>
      </w:r>
      <w:r>
        <w:rPr>
          <w:spacing w:val="28"/>
        </w:rPr>
        <w:t> </w:t>
      </w:r>
      <w:r>
        <w:rPr/>
        <w:t>years.</w:t>
      </w:r>
      <w:r>
        <w:rPr>
          <w:spacing w:val="34"/>
        </w:rPr>
        <w:t> </w:t>
      </w:r>
      <w:r>
        <w:rPr/>
        <w:t>For</w:t>
      </w:r>
      <w:r>
        <w:rPr>
          <w:spacing w:val="29"/>
        </w:rPr>
        <w:t> </w:t>
      </w:r>
      <w:r>
        <w:rPr/>
        <w:t>example,</w:t>
      </w:r>
      <w:r>
        <w:rPr>
          <w:spacing w:val="35"/>
        </w:rPr>
        <w:t> </w:t>
      </w:r>
      <w:r>
        <w:rPr>
          <w:spacing w:val="-4"/>
        </w:rPr>
        <w:t>five</w:t>
      </w:r>
    </w:p>
    <w:p>
      <w:pPr>
        <w:spacing w:after="0" w:line="480" w:lineRule="auto"/>
        <w:sectPr>
          <w:pgSz w:w="11910" w:h="16840"/>
          <w:pgMar w:header="0" w:footer="1012" w:top="1340" w:bottom="1200" w:left="1680" w:right="280"/>
        </w:sectPr>
      </w:pPr>
    </w:p>
    <w:p>
      <w:pPr>
        <w:pStyle w:val="BodyText"/>
        <w:spacing w:line="480" w:lineRule="auto" w:before="74"/>
        <w:ind w:right="1152"/>
      </w:pPr>
      <w:r>
        <w:rPr/>
        <w:t>formal operational reasoning modes, namely proportional reasoning, controlling variables, probability reasoning, correlation reasoning and combinational reasoning have been identified as essential abilities for success in school science and mathematics courses (Bitner-Mari, 2012). Considering this importance, some other authors have argued that the development of formal reasoning ability should be a major priority in science education Decarcer, Lawson-Sirajo et al, (2013). In fact, proportional reasoning for example is important in many qualitative aspects of</w:t>
      </w:r>
      <w:r>
        <w:rPr>
          <w:spacing w:val="40"/>
        </w:rPr>
        <w:t> </w:t>
      </w:r>
      <w:r>
        <w:rPr/>
        <w:t>science. Without access to proportional reasoning an understanding of the derivation and use of vast number of functional relationships in science is not attainable. This applies especially in the construction and interpretation of tabulated data and graphs. Hence, proportional reasoning leads to a good understanding of derivation and use of functional relationships in science. Similarly, correlation reasoning is central to scientific investigation</w:t>
      </w:r>
      <w:r>
        <w:rPr>
          <w:spacing w:val="-3"/>
        </w:rPr>
        <w:t> </w:t>
      </w:r>
      <w:r>
        <w:rPr/>
        <w:t>at all levels. It is important</w:t>
      </w:r>
      <w:r>
        <w:rPr>
          <w:spacing w:val="-3"/>
        </w:rPr>
        <w:t> </w:t>
      </w:r>
      <w:r>
        <w:rPr/>
        <w:t>in formulation of</w:t>
      </w:r>
      <w:r>
        <w:rPr>
          <w:spacing w:val="-5"/>
        </w:rPr>
        <w:t> </w:t>
      </w:r>
      <w:r>
        <w:rPr/>
        <w:t>hypothesis</w:t>
      </w:r>
      <w:r>
        <w:rPr>
          <w:spacing w:val="-1"/>
        </w:rPr>
        <w:t> </w:t>
      </w:r>
      <w:r>
        <w:rPr/>
        <w:t>which considers potential relationships between variables. It is also important in the interpretation of data where the potentials relationships between variables are considered. Controlling variables is important in planning, implementation and interpretation. The interpretation of data from investigations, observations, or experimentation often requires probabilistic reasoning.</w:t>
      </w:r>
      <w:r>
        <w:rPr>
          <w:spacing w:val="40"/>
        </w:rPr>
        <w:t> </w:t>
      </w:r>
      <w:r>
        <w:rPr/>
        <w:t>And lastly, combinatorial reasoning occurs in the formulation of alternative hypothesis to test the effect of selectee! variables on a responding variable. Ironically, most science students do not bear this type of reasoning ability (Ganertt &amp; Tobin-Mari (2012).</w:t>
      </w:r>
    </w:p>
    <w:p>
      <w:pPr>
        <w:pStyle w:val="BodyText"/>
        <w:spacing w:line="480" w:lineRule="auto" w:before="4"/>
        <w:ind w:right="1162" w:firstLine="720"/>
      </w:pPr>
      <w:r>
        <w:rPr/>
        <w:t>The entire system of education is centred on students' academic performance. An insignificant research occurs concentrating on the role of reasoning ability on pupils' performance in science and other subjects but they are limited and</w:t>
      </w:r>
      <w:r>
        <w:rPr>
          <w:spacing w:val="40"/>
        </w:rPr>
        <w:t> </w:t>
      </w:r>
      <w:r>
        <w:rPr/>
        <w:t>inconsistent.</w:t>
      </w:r>
      <w:r>
        <w:rPr>
          <w:spacing w:val="55"/>
        </w:rPr>
        <w:t>  </w:t>
      </w:r>
      <w:r>
        <w:rPr/>
        <w:t>The</w:t>
      </w:r>
      <w:r>
        <w:rPr>
          <w:spacing w:val="18"/>
        </w:rPr>
        <w:t> </w:t>
      </w:r>
      <w:r>
        <w:rPr/>
        <w:t>result</w:t>
      </w:r>
      <w:r>
        <w:rPr>
          <w:spacing w:val="24"/>
        </w:rPr>
        <w:t> </w:t>
      </w:r>
      <w:r>
        <w:rPr/>
        <w:t>of</w:t>
      </w:r>
      <w:r>
        <w:rPr>
          <w:spacing w:val="11"/>
        </w:rPr>
        <w:t> </w:t>
      </w:r>
      <w:r>
        <w:rPr/>
        <w:t>Oloyede</w:t>
      </w:r>
      <w:r>
        <w:rPr>
          <w:spacing w:val="18"/>
        </w:rPr>
        <w:t> </w:t>
      </w:r>
      <w:r>
        <w:rPr/>
        <w:t>(2012)</w:t>
      </w:r>
      <w:r>
        <w:rPr>
          <w:spacing w:val="19"/>
        </w:rPr>
        <w:t> </w:t>
      </w:r>
      <w:r>
        <w:rPr/>
        <w:t>found</w:t>
      </w:r>
      <w:r>
        <w:rPr>
          <w:spacing w:val="19"/>
        </w:rPr>
        <w:t> </w:t>
      </w:r>
      <w:r>
        <w:rPr/>
        <w:t>that</w:t>
      </w:r>
      <w:r>
        <w:rPr>
          <w:spacing w:val="24"/>
        </w:rPr>
        <w:t> </w:t>
      </w:r>
      <w:r>
        <w:rPr/>
        <w:t>formal</w:t>
      </w:r>
      <w:r>
        <w:rPr>
          <w:spacing w:val="15"/>
        </w:rPr>
        <w:t> </w:t>
      </w:r>
      <w:r>
        <w:rPr/>
        <w:t>reasoning</w:t>
      </w:r>
      <w:r>
        <w:rPr>
          <w:spacing w:val="19"/>
        </w:rPr>
        <w:t> </w:t>
      </w:r>
      <w:r>
        <w:rPr/>
        <w:t>ability</w:t>
      </w:r>
      <w:r>
        <w:rPr>
          <w:spacing w:val="9"/>
        </w:rPr>
        <w:t> </w:t>
      </w:r>
      <w:r>
        <w:rPr/>
        <w:t>as</w:t>
      </w:r>
      <w:r>
        <w:rPr>
          <w:spacing w:val="22"/>
        </w:rPr>
        <w:t> </w:t>
      </w:r>
      <w:r>
        <w:rPr>
          <w:spacing w:val="-10"/>
        </w:rPr>
        <w:t>a</w:t>
      </w:r>
    </w:p>
    <w:p>
      <w:pPr>
        <w:spacing w:after="0" w:line="480" w:lineRule="auto"/>
        <w:sectPr>
          <w:pgSz w:w="11910" w:h="16840"/>
          <w:pgMar w:header="0" w:footer="1012" w:top="1340" w:bottom="1200" w:left="1680" w:right="280"/>
        </w:sectPr>
      </w:pPr>
    </w:p>
    <w:p>
      <w:pPr>
        <w:pStyle w:val="BodyText"/>
        <w:spacing w:line="480" w:lineRule="auto" w:before="74"/>
        <w:ind w:right="1160"/>
      </w:pPr>
      <w:r>
        <w:rPr/>
        <w:t>strong predictor for the achievement in chemistry. If has been studied that reasoning can be</w:t>
      </w:r>
      <w:r>
        <w:rPr>
          <w:spacing w:val="-3"/>
        </w:rPr>
        <w:t> </w:t>
      </w:r>
      <w:r>
        <w:rPr/>
        <w:t>used to predict the</w:t>
      </w:r>
      <w:r>
        <w:rPr>
          <w:spacing w:val="-3"/>
        </w:rPr>
        <w:t> </w:t>
      </w:r>
      <w:r>
        <w:rPr/>
        <w:t>performance of</w:t>
      </w:r>
      <w:r>
        <w:rPr>
          <w:spacing w:val="-2"/>
        </w:rPr>
        <w:t> </w:t>
      </w:r>
      <w:r>
        <w:rPr/>
        <w:t>students'</w:t>
      </w:r>
      <w:r>
        <w:rPr>
          <w:spacing w:val="-2"/>
        </w:rPr>
        <w:t> </w:t>
      </w:r>
      <w:r>
        <w:rPr/>
        <w:t>achievement in</w:t>
      </w:r>
      <w:r>
        <w:rPr>
          <w:spacing w:val="-7"/>
        </w:rPr>
        <w:t> </w:t>
      </w:r>
      <w:r>
        <w:rPr/>
        <w:t>chemistry</w:t>
      </w:r>
      <w:r>
        <w:rPr>
          <w:spacing w:val="-11"/>
        </w:rPr>
        <w:t> </w:t>
      </w:r>
      <w:r>
        <w:rPr/>
        <w:t>(Abdu, - Bhat 2016). The results of Sungur, Tekkay, Geban, (2001) also indicated that reasoning ability significantly affects students' achievements. Tekkaya and Yenilmez (2006) discovered that reasoning skill was the chief predictor of understanding, showing 31% of variation. Kuhn and Rolling (2009) showed that reasoning ability appears to be significant for predicting academic achievement in science. The results of Nnorom (2013) depicted that those students who had high reasoning ability achieved better in biology than the students who had low reasoning ability.</w:t>
      </w:r>
    </w:p>
    <w:p>
      <w:pPr>
        <w:pStyle w:val="BodyText"/>
        <w:spacing w:line="480" w:lineRule="auto" w:before="2"/>
        <w:ind w:right="1157" w:firstLine="720"/>
      </w:pPr>
      <w:r>
        <w:rPr/>
        <w:t>In line with this ideas Johnson and Lawson, (1998) investigated the relative effects of reasoning ability and prior-knowledge on biology achievement in</w:t>
      </w:r>
      <w:r>
        <w:rPr>
          <w:spacing w:val="40"/>
        </w:rPr>
        <w:t> </w:t>
      </w:r>
      <w:r>
        <w:rPr/>
        <w:t>expository and inquiry classes. They found that reasoning ability explained a significant portion of variance in final examination scores in both instructional methods. Reasoning ability was also found to be the best predictor of students' achievement in solving genetic problems (Michel and Lawson-Lavins 2011).</w:t>
      </w:r>
    </w:p>
    <w:p>
      <w:pPr>
        <w:pStyle w:val="BodyText"/>
        <w:spacing w:line="480" w:lineRule="auto" w:before="1"/>
        <w:ind w:right="1151" w:firstLine="720"/>
      </w:pPr>
      <w:r>
        <w:rPr/>
        <w:t>Similarly Chadran, Treagust and Tobin-Lavins 2011). Showed that formal reasoning ability and prior knowledge were significant predictors of performance on chemical calculations, Laboratory applications and chemistry content knowledge. In. addition, Huppert and Lazarowitz, (2002) investigated computer simulation's impact on student's academic performance and on their mastery of science process skills in relation to their cognitive stages. Their results indicated that concrete and transition operational students in the experimental group achieved significantly higher performance than their counterparts in the control group.</w:t>
      </w:r>
    </w:p>
    <w:p>
      <w:pPr>
        <w:pStyle w:val="BodyText"/>
        <w:spacing w:line="480" w:lineRule="auto" w:before="2"/>
        <w:ind w:right="1164" w:firstLine="720"/>
      </w:pPr>
      <w:r>
        <w:rPr/>
        <w:t>Sungur, Tekkaya and Geban (2001) investigated the effect of gender and reasoning</w:t>
      </w:r>
      <w:r>
        <w:rPr>
          <w:spacing w:val="11"/>
        </w:rPr>
        <w:t> </w:t>
      </w:r>
      <w:r>
        <w:rPr/>
        <w:t>ability</w:t>
      </w:r>
      <w:r>
        <w:rPr>
          <w:spacing w:val="4"/>
        </w:rPr>
        <w:t> </w:t>
      </w:r>
      <w:r>
        <w:rPr/>
        <w:t>on</w:t>
      </w:r>
      <w:r>
        <w:rPr>
          <w:spacing w:val="9"/>
        </w:rPr>
        <w:t> </w:t>
      </w:r>
      <w:r>
        <w:rPr/>
        <w:t>the</w:t>
      </w:r>
      <w:r>
        <w:rPr>
          <w:spacing w:val="18"/>
        </w:rPr>
        <w:t> </w:t>
      </w:r>
      <w:r>
        <w:rPr/>
        <w:t>human</w:t>
      </w:r>
      <w:r>
        <w:rPr>
          <w:spacing w:val="9"/>
        </w:rPr>
        <w:t> </w:t>
      </w:r>
      <w:r>
        <w:rPr/>
        <w:t>circulatory</w:t>
      </w:r>
      <w:r>
        <w:rPr>
          <w:spacing w:val="4"/>
        </w:rPr>
        <w:t> </w:t>
      </w:r>
      <w:r>
        <w:rPr/>
        <w:t>system</w:t>
      </w:r>
      <w:r>
        <w:rPr>
          <w:spacing w:val="9"/>
        </w:rPr>
        <w:t> </w:t>
      </w:r>
      <w:r>
        <w:rPr/>
        <w:t>concepts</w:t>
      </w:r>
      <w:r>
        <w:rPr>
          <w:spacing w:val="12"/>
        </w:rPr>
        <w:t> </w:t>
      </w:r>
      <w:r>
        <w:rPr/>
        <w:t>achievement</w:t>
      </w:r>
      <w:r>
        <w:rPr>
          <w:spacing w:val="19"/>
        </w:rPr>
        <w:t> </w:t>
      </w:r>
      <w:r>
        <w:rPr/>
        <w:t>and</w:t>
      </w:r>
      <w:r>
        <w:rPr>
          <w:spacing w:val="14"/>
        </w:rPr>
        <w:t> </w:t>
      </w:r>
      <w:r>
        <w:rPr>
          <w:spacing w:val="-2"/>
        </w:rPr>
        <w:t>attitude</w:t>
      </w:r>
    </w:p>
    <w:p>
      <w:pPr>
        <w:spacing w:after="0" w:line="480" w:lineRule="auto"/>
        <w:sectPr>
          <w:pgSz w:w="11910" w:h="16840"/>
          <w:pgMar w:header="0" w:footer="1012" w:top="1340" w:bottom="1200" w:left="1680" w:right="280"/>
        </w:sectPr>
      </w:pPr>
    </w:p>
    <w:p>
      <w:pPr>
        <w:pStyle w:val="BodyText"/>
        <w:spacing w:line="480" w:lineRule="auto" w:before="74"/>
        <w:ind w:right="1153"/>
      </w:pPr>
      <w:r>
        <w:rPr/>
        <w:t>towards biology, there was statistically significant mean difference between concrete and formal students with respect to achievement and attitude towards biology. Also, Oliva (2003) investigated the effect of reasoning ability on changing the alternative conceptions</w:t>
      </w:r>
      <w:r>
        <w:rPr>
          <w:spacing w:val="-2"/>
        </w:rPr>
        <w:t> </w:t>
      </w:r>
      <w:r>
        <w:rPr/>
        <w:t>related to machines. The</w:t>
      </w:r>
      <w:r>
        <w:rPr>
          <w:spacing w:val="-1"/>
        </w:rPr>
        <w:t> </w:t>
      </w:r>
      <w:r>
        <w:rPr/>
        <w:t>results showed that the</w:t>
      </w:r>
      <w:r>
        <w:rPr>
          <w:spacing w:val="-1"/>
        </w:rPr>
        <w:t> </w:t>
      </w:r>
      <w:r>
        <w:rPr/>
        <w:t>students</w:t>
      </w:r>
      <w:r>
        <w:rPr>
          <w:spacing w:val="-2"/>
        </w:rPr>
        <w:t> </w:t>
      </w:r>
      <w:r>
        <w:rPr/>
        <w:t>with the highest level</w:t>
      </w:r>
      <w:r>
        <w:rPr>
          <w:spacing w:val="-4"/>
        </w:rPr>
        <w:t> </w:t>
      </w:r>
      <w:r>
        <w:rPr/>
        <w:t>of</w:t>
      </w:r>
      <w:r>
        <w:rPr>
          <w:spacing w:val="-2"/>
        </w:rPr>
        <w:t> </w:t>
      </w:r>
      <w:r>
        <w:rPr/>
        <w:t>formal</w:t>
      </w:r>
      <w:r>
        <w:rPr>
          <w:spacing w:val="-4"/>
        </w:rPr>
        <w:t> </w:t>
      </w:r>
      <w:r>
        <w:rPr/>
        <w:t>reasoning changed their alternative conceptions more easily</w:t>
      </w:r>
      <w:r>
        <w:rPr>
          <w:spacing w:val="-4"/>
        </w:rPr>
        <w:t> </w:t>
      </w:r>
      <w:r>
        <w:rPr/>
        <w:t>when</w:t>
      </w:r>
      <w:r>
        <w:rPr>
          <w:spacing w:val="-4"/>
        </w:rPr>
        <w:t> </w:t>
      </w:r>
      <w:r>
        <w:rPr/>
        <w:t>they display a higher level of initial structuralization.</w:t>
      </w:r>
    </w:p>
    <w:p>
      <w:pPr>
        <w:pStyle w:val="BodyText"/>
        <w:spacing w:line="480" w:lineRule="auto" w:before="1"/>
        <w:ind w:right="1156" w:firstLine="720"/>
      </w:pPr>
      <w:r>
        <w:rPr/>
        <w:t>Yalanides-Butler (2013) examined the reasoning abilities of high school Cypriot students with respect to gender. Results revealed that students" performance was higher on proportional reasoning and controlling variable items. Concerning gender difference, findings indicated</w:t>
      </w:r>
      <w:r>
        <w:rPr>
          <w:spacing w:val="-3"/>
        </w:rPr>
        <w:t> </w:t>
      </w:r>
      <w:r>
        <w:rPr/>
        <w:t>that boys</w:t>
      </w:r>
      <w:r>
        <w:rPr>
          <w:spacing w:val="-1"/>
        </w:rPr>
        <w:t> </w:t>
      </w:r>
      <w:r>
        <w:rPr/>
        <w:t>had significantly</w:t>
      </w:r>
      <w:r>
        <w:rPr>
          <w:spacing w:val="-3"/>
        </w:rPr>
        <w:t> </w:t>
      </w:r>
      <w:r>
        <w:rPr/>
        <w:t>superior performance than girls on probabilistic reasoning items. Regarding students' general performance, the results revealed that girls had significantly higher achievement than boys. There seems to be general agreement by most science educators</w:t>
      </w:r>
      <w:r>
        <w:rPr>
          <w:spacing w:val="-2"/>
        </w:rPr>
        <w:t> </w:t>
      </w:r>
      <w:r>
        <w:rPr/>
        <w:t>that formal reasoning is the central core of science education. This suggest the need for the development of a sound psychological theory and set of teaching principles to best promote the development of students formal reasoning ability (Mari, 2001).</w:t>
      </w:r>
    </w:p>
    <w:p>
      <w:pPr>
        <w:pStyle w:val="BodyText"/>
        <w:spacing w:line="480" w:lineRule="auto" w:before="2"/>
        <w:ind w:right="1162" w:firstLine="720"/>
      </w:pPr>
      <w:r>
        <w:rPr/>
        <w:t>In summary, the importance of formal reasoning ability among science students</w:t>
      </w:r>
      <w:r>
        <w:rPr>
          <w:spacing w:val="-3"/>
        </w:rPr>
        <w:t> </w:t>
      </w:r>
      <w:r>
        <w:rPr/>
        <w:t>cannot be</w:t>
      </w:r>
      <w:r>
        <w:rPr>
          <w:spacing w:val="-2"/>
        </w:rPr>
        <w:t> </w:t>
      </w:r>
      <w:r>
        <w:rPr/>
        <w:t>overemphasized, especially</w:t>
      </w:r>
      <w:r>
        <w:rPr>
          <w:spacing w:val="-1"/>
        </w:rPr>
        <w:t> </w:t>
      </w:r>
      <w:r>
        <w:rPr/>
        <w:t>for students in</w:t>
      </w:r>
      <w:r>
        <w:rPr>
          <w:spacing w:val="-6"/>
        </w:rPr>
        <w:t> </w:t>
      </w:r>
      <w:r>
        <w:rPr/>
        <w:t>physical</w:t>
      </w:r>
      <w:r>
        <w:rPr>
          <w:spacing w:val="-6"/>
        </w:rPr>
        <w:t> </w:t>
      </w:r>
      <w:r>
        <w:rPr/>
        <w:t>sciences. Since most of</w:t>
      </w:r>
      <w:r>
        <w:rPr>
          <w:spacing w:val="-8"/>
        </w:rPr>
        <w:t> </w:t>
      </w:r>
      <w:r>
        <w:rPr/>
        <w:t>the concepts, taught in</w:t>
      </w:r>
      <w:r>
        <w:rPr>
          <w:spacing w:val="-1"/>
        </w:rPr>
        <w:t> </w:t>
      </w:r>
      <w:r>
        <w:rPr/>
        <w:t>this</w:t>
      </w:r>
      <w:r>
        <w:rPr>
          <w:spacing w:val="-3"/>
        </w:rPr>
        <w:t> </w:t>
      </w:r>
      <w:r>
        <w:rPr/>
        <w:t>discipline required</w:t>
      </w:r>
      <w:r>
        <w:rPr>
          <w:spacing w:val="-1"/>
        </w:rPr>
        <w:t> </w:t>
      </w:r>
      <w:r>
        <w:rPr/>
        <w:t>student to operate</w:t>
      </w:r>
      <w:r>
        <w:rPr>
          <w:spacing w:val="-2"/>
        </w:rPr>
        <w:t> </w:t>
      </w:r>
      <w:r>
        <w:rPr/>
        <w:t>at</w:t>
      </w:r>
      <w:r>
        <w:rPr>
          <w:spacing w:val="-1"/>
        </w:rPr>
        <w:t> </w:t>
      </w:r>
      <w:r>
        <w:rPr/>
        <w:t>the formal reasoning level, before they can be understood.</w:t>
      </w:r>
      <w:r>
        <w:rPr>
          <w:spacing w:val="40"/>
        </w:rPr>
        <w:t> </w:t>
      </w:r>
      <w:r>
        <w:rPr/>
        <w:t>Both sets of reasoning tasks can and should be used when studying reasoning ability.</w:t>
      </w:r>
      <w:r>
        <w:rPr>
          <w:spacing w:val="40"/>
        </w:rPr>
        <w:t> </w:t>
      </w:r>
      <w:r>
        <w:rPr/>
        <w:t>The benefits would be duals reasoning items as used in cognitive research and latent variables from reasoning ability test might reveal important differences between the experimental tasks. Similarly, variability</w:t>
      </w:r>
      <w:r>
        <w:rPr>
          <w:spacing w:val="-2"/>
        </w:rPr>
        <w:t> </w:t>
      </w:r>
      <w:r>
        <w:rPr/>
        <w:t>in</w:t>
      </w:r>
      <w:r>
        <w:rPr>
          <w:spacing w:val="-2"/>
        </w:rPr>
        <w:t> </w:t>
      </w:r>
      <w:r>
        <w:rPr/>
        <w:t>the</w:t>
      </w:r>
      <w:r>
        <w:rPr>
          <w:spacing w:val="-3"/>
        </w:rPr>
        <w:t> </w:t>
      </w:r>
      <w:r>
        <w:rPr/>
        <w:t>difficulties</w:t>
      </w:r>
      <w:r>
        <w:rPr>
          <w:spacing w:val="-4"/>
        </w:rPr>
        <w:t> </w:t>
      </w:r>
      <w:r>
        <w:rPr/>
        <w:t>of</w:t>
      </w:r>
      <w:r>
        <w:rPr>
          <w:spacing w:val="-5"/>
        </w:rPr>
        <w:t> </w:t>
      </w:r>
      <w:r>
        <w:rPr/>
        <w:t>items from</w:t>
      </w:r>
      <w:r>
        <w:rPr>
          <w:spacing w:val="-7"/>
        </w:rPr>
        <w:t> </w:t>
      </w:r>
      <w:r>
        <w:rPr/>
        <w:t>standard</w:t>
      </w:r>
      <w:r>
        <w:rPr>
          <w:spacing w:val="-2"/>
        </w:rPr>
        <w:t> </w:t>
      </w:r>
      <w:r>
        <w:rPr/>
        <w:t>psychometric</w:t>
      </w:r>
      <w:r>
        <w:rPr>
          <w:spacing w:val="-3"/>
        </w:rPr>
        <w:t> </w:t>
      </w:r>
      <w:r>
        <w:rPr/>
        <w:t>reasoning that</w:t>
      </w:r>
      <w:r>
        <w:rPr>
          <w:spacing w:val="50"/>
          <w:w w:val="150"/>
        </w:rPr>
        <w:t> </w:t>
      </w:r>
      <w:r>
        <w:rPr/>
        <w:t>can</w:t>
      </w:r>
      <w:r>
        <w:rPr>
          <w:spacing w:val="77"/>
        </w:rPr>
        <w:t> </w:t>
      </w:r>
      <w:r>
        <w:rPr/>
        <w:t>be</w:t>
      </w:r>
      <w:r>
        <w:rPr>
          <w:spacing w:val="51"/>
          <w:w w:val="150"/>
        </w:rPr>
        <w:t> </w:t>
      </w:r>
      <w:r>
        <w:rPr/>
        <w:t>possibly</w:t>
      </w:r>
      <w:r>
        <w:rPr>
          <w:spacing w:val="78"/>
        </w:rPr>
        <w:t> </w:t>
      </w:r>
      <w:r>
        <w:rPr/>
        <w:t>explained</w:t>
      </w:r>
      <w:r>
        <w:rPr>
          <w:spacing w:val="52"/>
          <w:w w:val="150"/>
        </w:rPr>
        <w:t> </w:t>
      </w:r>
      <w:r>
        <w:rPr/>
        <w:t>by</w:t>
      </w:r>
      <w:r>
        <w:rPr>
          <w:spacing w:val="77"/>
        </w:rPr>
        <w:t> </w:t>
      </w:r>
      <w:r>
        <w:rPr/>
        <w:t>application</w:t>
      </w:r>
      <w:r>
        <w:rPr>
          <w:spacing w:val="77"/>
        </w:rPr>
        <w:t> </w:t>
      </w:r>
      <w:r>
        <w:rPr/>
        <w:t>of</w:t>
      </w:r>
      <w:r>
        <w:rPr>
          <w:spacing w:val="74"/>
        </w:rPr>
        <w:t> </w:t>
      </w:r>
      <w:r>
        <w:rPr/>
        <w:t>various</w:t>
      </w:r>
      <w:r>
        <w:rPr>
          <w:spacing w:val="50"/>
          <w:w w:val="150"/>
        </w:rPr>
        <w:t> </w:t>
      </w:r>
      <w:r>
        <w:rPr/>
        <w:t>theories</w:t>
      </w:r>
      <w:r>
        <w:rPr>
          <w:spacing w:val="75"/>
        </w:rPr>
        <w:t> </w:t>
      </w:r>
      <w:r>
        <w:rPr/>
        <w:t>of</w:t>
      </w:r>
      <w:r>
        <w:rPr>
          <w:spacing w:val="71"/>
        </w:rPr>
        <w:t> </w:t>
      </w:r>
      <w:r>
        <w:rPr>
          <w:spacing w:val="-2"/>
        </w:rPr>
        <w:t>reasoning</w:t>
      </w:r>
    </w:p>
    <w:p>
      <w:pPr>
        <w:spacing w:after="0" w:line="480" w:lineRule="auto"/>
        <w:sectPr>
          <w:pgSz w:w="11910" w:h="16840"/>
          <w:pgMar w:header="0" w:footer="1012" w:top="1340" w:bottom="1200" w:left="1680" w:right="280"/>
        </w:sectPr>
      </w:pPr>
    </w:p>
    <w:p>
      <w:pPr>
        <w:pStyle w:val="BodyText"/>
        <w:spacing w:line="480" w:lineRule="auto" w:before="74"/>
        <w:ind w:right="1164"/>
      </w:pPr>
      <w:r>
        <w:rPr/>
        <w:t>processes-like the mental model theory.</w:t>
      </w:r>
      <w:r>
        <w:rPr>
          <w:spacing w:val="80"/>
        </w:rPr>
        <w:t> </w:t>
      </w:r>
      <w:r>
        <w:rPr/>
        <w:t>The present study</w:t>
      </w:r>
      <w:r>
        <w:rPr>
          <w:spacing w:val="-1"/>
        </w:rPr>
        <w:t> </w:t>
      </w:r>
      <w:r>
        <w:rPr/>
        <w:t>sought to find out if there is correlation between reasoning ability, and achievement in chemistry.</w:t>
      </w:r>
      <w:r>
        <w:rPr>
          <w:spacing w:val="40"/>
        </w:rPr>
        <w:t> </w:t>
      </w:r>
      <w:r>
        <w:rPr/>
        <w:t>If reasoning ability can be used to predict achievement in chemistry.</w:t>
      </w:r>
    </w:p>
    <w:p>
      <w:pPr>
        <w:pStyle w:val="Heading3"/>
        <w:numPr>
          <w:ilvl w:val="1"/>
          <w:numId w:val="13"/>
        </w:numPr>
        <w:tabs>
          <w:tab w:pos="1199" w:val="left" w:leader="none"/>
        </w:tabs>
        <w:spacing w:line="240" w:lineRule="auto" w:before="5" w:after="0"/>
        <w:ind w:left="1199" w:right="0" w:hanging="719"/>
        <w:jc w:val="both"/>
      </w:pPr>
      <w:bookmarkStart w:name="_TOC_250005" w:id="23"/>
      <w:r>
        <w:rPr/>
        <w:t>Self-Efficacy, Science</w:t>
      </w:r>
      <w:r>
        <w:rPr>
          <w:spacing w:val="-3"/>
        </w:rPr>
        <w:t> </w:t>
      </w:r>
      <w:r>
        <w:rPr/>
        <w:t>Learning</w:t>
      </w:r>
      <w:r>
        <w:rPr>
          <w:spacing w:val="-2"/>
        </w:rPr>
        <w:t> </w:t>
      </w:r>
      <w:r>
        <w:rPr/>
        <w:t>and</w:t>
      </w:r>
      <w:r>
        <w:rPr>
          <w:spacing w:val="-1"/>
        </w:rPr>
        <w:t> </w:t>
      </w:r>
      <w:bookmarkEnd w:id="23"/>
      <w:r>
        <w:rPr>
          <w:spacing w:val="-2"/>
        </w:rPr>
        <w:t>Performance</w:t>
      </w:r>
    </w:p>
    <w:p>
      <w:pPr>
        <w:pStyle w:val="BodyText"/>
        <w:spacing w:line="480" w:lineRule="auto" w:before="271"/>
        <w:ind w:right="1150" w:firstLine="720"/>
      </w:pPr>
      <w:r>
        <w:rPr/>
        <w:t>Self-efficacy, also called perceived ability, refers to the confidence people</w:t>
      </w:r>
      <w:r>
        <w:rPr>
          <w:spacing w:val="40"/>
        </w:rPr>
        <w:t> </w:t>
      </w:r>
      <w:r>
        <w:rPr/>
        <w:t>have in their abilities for success in a given task (Bandura – Tenaw, 2013). If they possess the ability to successfully perform, then that task will be attempted. The task will</w:t>
      </w:r>
      <w:r>
        <w:rPr>
          <w:spacing w:val="-2"/>
        </w:rPr>
        <w:t> </w:t>
      </w:r>
      <w:r>
        <w:rPr/>
        <w:t>be avoided if</w:t>
      </w:r>
      <w:r>
        <w:rPr>
          <w:spacing w:val="-1"/>
        </w:rPr>
        <w:t> </w:t>
      </w:r>
      <w:r>
        <w:rPr/>
        <w:t>it is perceived to be too difficult (Bandura-Tenaw (2013). Although inefficacious individuals usually avoid challenging tasks, when they do attempt them they give up more easily than individuals with high efficacy. When inefficacious individuals fail, they attribute the unsuccessful result to a lack of ability and tend to lose faith in their capabilities. When they succeed, they are more likely to attribute their success to external factors (Britner &amp; Pajares, 2006). If students master a challenging task with limited assistance, their levels of self-efficacy rise (Britner &amp; Pajares, 2006).</w:t>
      </w:r>
    </w:p>
    <w:p>
      <w:pPr>
        <w:pStyle w:val="BodyText"/>
        <w:spacing w:line="480" w:lineRule="auto" w:before="3"/>
        <w:ind w:right="1158" w:firstLine="720"/>
      </w:pPr>
      <w:r>
        <w:rPr/>
        <w:t>Individuals who possess a high degree of self-efficacy are more likely to attempt challenging tasks, to persist longer at them, and to exert more effort in the process. If highly efficacious individuals fail, they attribute the outcome to a lack of effort</w:t>
      </w:r>
      <w:r>
        <w:rPr>
          <w:spacing w:val="-1"/>
        </w:rPr>
        <w:t> </w:t>
      </w:r>
      <w:r>
        <w:rPr/>
        <w:t>or an</w:t>
      </w:r>
      <w:r>
        <w:rPr>
          <w:spacing w:val="-6"/>
        </w:rPr>
        <w:t> </w:t>
      </w:r>
      <w:r>
        <w:rPr/>
        <w:t>adverse</w:t>
      </w:r>
      <w:r>
        <w:rPr>
          <w:spacing w:val="-2"/>
        </w:rPr>
        <w:t> </w:t>
      </w:r>
      <w:r>
        <w:rPr/>
        <w:t>environment. When</w:t>
      </w:r>
      <w:r>
        <w:rPr>
          <w:spacing w:val="-6"/>
        </w:rPr>
        <w:t> </w:t>
      </w:r>
      <w:r>
        <w:rPr/>
        <w:t>they</w:t>
      </w:r>
      <w:r>
        <w:rPr>
          <w:spacing w:val="-6"/>
        </w:rPr>
        <w:t> </w:t>
      </w:r>
      <w:r>
        <w:rPr/>
        <w:t>succeed, they</w:t>
      </w:r>
      <w:r>
        <w:rPr>
          <w:spacing w:val="-11"/>
        </w:rPr>
        <w:t> </w:t>
      </w:r>
      <w:r>
        <w:rPr/>
        <w:t>credit their achievement to their abilities. It is the perception that their abilities caused the achievement that affects the outcome rather than their actual abilities (Kiran &amp; Sungur, 2011).</w:t>
      </w:r>
    </w:p>
    <w:p>
      <w:pPr>
        <w:pStyle w:val="BodyText"/>
        <w:spacing w:line="480" w:lineRule="auto" w:before="1"/>
        <w:ind w:right="1158" w:firstLine="720"/>
      </w:pPr>
      <w:r>
        <w:rPr/>
        <w:t>Four factors determine self-efficacy: enactive mastery experience, vicarious experience, verbal persuasion, and physiological and emotional states (Bandura- Tenaw,2013). The most influential of these factors is enactive mastery experience, which</w:t>
      </w:r>
      <w:r>
        <w:rPr>
          <w:spacing w:val="40"/>
        </w:rPr>
        <w:t> </w:t>
      </w:r>
      <w:r>
        <w:rPr/>
        <w:t>refers</w:t>
      </w:r>
      <w:r>
        <w:rPr>
          <w:spacing w:val="45"/>
        </w:rPr>
        <w:t> </w:t>
      </w:r>
      <w:r>
        <w:rPr/>
        <w:t>to</w:t>
      </w:r>
      <w:r>
        <w:rPr>
          <w:spacing w:val="51"/>
        </w:rPr>
        <w:t> </w:t>
      </w:r>
      <w:r>
        <w:rPr/>
        <w:t>individuals'</w:t>
      </w:r>
      <w:r>
        <w:rPr>
          <w:spacing w:val="48"/>
        </w:rPr>
        <w:t> </w:t>
      </w:r>
      <w:r>
        <w:rPr/>
        <w:t>experiences</w:t>
      </w:r>
      <w:r>
        <w:rPr>
          <w:spacing w:val="45"/>
        </w:rPr>
        <w:t> </w:t>
      </w:r>
      <w:r>
        <w:rPr/>
        <w:t>with</w:t>
      </w:r>
      <w:r>
        <w:rPr>
          <w:spacing w:val="47"/>
        </w:rPr>
        <w:t> </w:t>
      </w:r>
      <w:r>
        <w:rPr/>
        <w:t>success</w:t>
      </w:r>
      <w:r>
        <w:rPr>
          <w:spacing w:val="50"/>
        </w:rPr>
        <w:t> </w:t>
      </w:r>
      <w:r>
        <w:rPr/>
        <w:t>or</w:t>
      </w:r>
      <w:r>
        <w:rPr>
          <w:spacing w:val="48"/>
        </w:rPr>
        <w:t> </w:t>
      </w:r>
      <w:r>
        <w:rPr/>
        <w:t>failure</w:t>
      </w:r>
      <w:r>
        <w:rPr>
          <w:spacing w:val="51"/>
        </w:rPr>
        <w:t> </w:t>
      </w:r>
      <w:r>
        <w:rPr/>
        <w:t>in</w:t>
      </w:r>
      <w:r>
        <w:rPr>
          <w:spacing w:val="47"/>
        </w:rPr>
        <w:t> </w:t>
      </w:r>
      <w:r>
        <w:rPr/>
        <w:t>past</w:t>
      </w:r>
      <w:r>
        <w:rPr>
          <w:spacing w:val="53"/>
        </w:rPr>
        <w:t> </w:t>
      </w:r>
      <w:r>
        <w:rPr>
          <w:spacing w:val="-2"/>
        </w:rPr>
        <w:t>situations.</w:t>
      </w:r>
    </w:p>
    <w:p>
      <w:pPr>
        <w:spacing w:after="0" w:line="480" w:lineRule="auto"/>
        <w:sectPr>
          <w:pgSz w:w="11910" w:h="16840"/>
          <w:pgMar w:header="0" w:footer="1012" w:top="1340" w:bottom="1200" w:left="1680" w:right="280"/>
        </w:sectPr>
      </w:pPr>
    </w:p>
    <w:p>
      <w:pPr>
        <w:pStyle w:val="BodyText"/>
        <w:spacing w:line="480" w:lineRule="auto" w:before="74"/>
        <w:ind w:right="1150"/>
      </w:pPr>
      <w:r>
        <w:rPr/>
        <w:t>Information gathered from</w:t>
      </w:r>
      <w:r>
        <w:rPr>
          <w:spacing w:val="-1"/>
        </w:rPr>
        <w:t> </w:t>
      </w:r>
      <w:r>
        <w:rPr/>
        <w:t>these experiences is then internalized. Past successes raise self-efficacy and repeated failures lower it, which indicates to individuals their levels of capability (Bandura-Tenaw, 2013). In a vicarious experience, individuals compare themselves to peers whom they perceive are similar in ability and intelligence to themselves. Watching peers succeed raises observer's self-efficacy and seeing them fail</w:t>
      </w:r>
      <w:r>
        <w:rPr>
          <w:spacing w:val="-1"/>
        </w:rPr>
        <w:t> </w:t>
      </w:r>
      <w:r>
        <w:rPr/>
        <w:t>lowers it. Exposure</w:t>
      </w:r>
      <w:r>
        <w:rPr>
          <w:spacing w:val="-3"/>
        </w:rPr>
        <w:t> </w:t>
      </w:r>
      <w:r>
        <w:rPr/>
        <w:t>to multiple successful</w:t>
      </w:r>
      <w:r>
        <w:rPr>
          <w:spacing w:val="-2"/>
        </w:rPr>
        <w:t> </w:t>
      </w:r>
      <w:r>
        <w:rPr/>
        <w:t>role models helps increase self-efficacy in observers (Bandura-Tenaw,2013). Verbal persuasion tries to convince individuals, who may doubt their capabilities, that they possess the skills needed for success at a given task. In education, verbal persuasion delivered by teachers often takes the form of verbal feedback, evaluation, and encouragement. Persuasion must be realistic, sincere, and from a credible source; otherwise it can negatively affect student self- efficacy beliefs (Bandura-Tenaw,2013). Emotional state can either positively or negatively affect interpretation of an event's outcome (Bandura-Tenaw,2013). In addition to the four factors that determine general self-efficacy, aptitude, attitudes,</w:t>
      </w:r>
      <w:r>
        <w:rPr>
          <w:spacing w:val="80"/>
        </w:rPr>
        <w:t> </w:t>
      </w:r>
      <w:r>
        <w:rPr/>
        <w:t>and attributions are found to predict science self-efficacy (Smeat, 1997).</w:t>
      </w:r>
    </w:p>
    <w:p>
      <w:pPr>
        <w:pStyle w:val="BodyText"/>
        <w:spacing w:line="480" w:lineRule="auto" w:before="3"/>
        <w:ind w:right="1150" w:firstLine="720"/>
      </w:pPr>
      <w:r>
        <w:rPr/>
        <w:t>Efficacy beliefs vary between individuals and will actually fluctuate within an individual for different tasks (Pajares &amp; Schunk, 2001). In many activities, self- efficacy contributes to self-esteem (Pajares &amp; Schunk, 2001). Self-efficacy beliefs affect how people approach new challenges and will contribute to performance since these beliefs influence thought processes, motivation, and behavior (Lodewyk &amp; Winne, 2005). Self-efficacy is not static and can change over time resulting from periodic reassessments of how adequate one's performance has been (Lodewyk &amp; Winne, 2005). For example, in a college population, Chemistry laboratory self- efficacy increased over the course of a school year whereas Biology self-efficacy decreased over the same duration (Smist, 1993).</w:t>
      </w:r>
    </w:p>
    <w:p>
      <w:pPr>
        <w:spacing w:after="0" w:line="480" w:lineRule="auto"/>
        <w:sectPr>
          <w:pgSz w:w="11910" w:h="16840"/>
          <w:pgMar w:header="0" w:footer="1012" w:top="1340" w:bottom="1200" w:left="1680" w:right="280"/>
        </w:sectPr>
      </w:pPr>
    </w:p>
    <w:p>
      <w:pPr>
        <w:pStyle w:val="BodyText"/>
        <w:spacing w:line="480" w:lineRule="auto" w:before="74"/>
        <w:ind w:right="1155" w:firstLine="720"/>
      </w:pPr>
      <w:r>
        <w:rPr/>
        <w:t>Self-efficacy predicts intellectual performance better than skills alone, and it directly influences academic performance through cognition. Self-efficacy also indirectly affects perseverance (Multon, brown &amp; Lent 1991). Although past achievement raises self-efficacy, it is student interpretation of past successes and failures that may be responsible for subsequent success. Perceived self-efficacy predicts future achievement better than past performance (Chemers &amp; Gareia, 2001). Self-efficacy beliefs also contribute to performance since they influence thought processes, motivation, and behavior (Bandura-Tenaw, 2013). Fluctuations in performance may be explained by fluctuations in self-efficacy. For example, varying beliefs in self-efficacy may alter task outcome, whether it involves two similarly- skilled individuals or the same person in two different situations (Bandura-Tenaw, </w:t>
      </w:r>
      <w:r>
        <w:rPr>
          <w:spacing w:val="-2"/>
        </w:rPr>
        <w:t>2013).</w:t>
      </w:r>
    </w:p>
    <w:p>
      <w:pPr>
        <w:pStyle w:val="BodyText"/>
        <w:spacing w:line="480" w:lineRule="auto" w:before="2"/>
        <w:ind w:right="1155" w:firstLine="720"/>
      </w:pPr>
      <w:r>
        <w:rPr/>
        <w:t>In a meta-analysis of 39 studies from 1977 to 1988, positive and statistically significant relationships were found among self-efficacy, academic performance, and persistence for a number of disciplines (Muttan, Brown &amp; Lent, 1991). Out of the studies analyzed, 28.9 % involved higher education. Four factors affected the link between self-efficacy and academic performance. One factor was the time period when the two were assessed. A stronger relationship resulted post-treatment meaning that experimental manipulations to change self-efficacy beliefs were successful not only in raising self-efficacy but in enhancing academic performance as well. Another factor</w:t>
      </w:r>
      <w:r>
        <w:rPr>
          <w:spacing w:val="-1"/>
        </w:rPr>
        <w:t> </w:t>
      </w:r>
      <w:r>
        <w:rPr/>
        <w:t>involved a stronger link between self-efficacy</w:t>
      </w:r>
      <w:r>
        <w:rPr>
          <w:spacing w:val="-2"/>
        </w:rPr>
        <w:t> </w:t>
      </w:r>
      <w:r>
        <w:rPr/>
        <w:t>beliefs and performance for low- achieving students. A study by Green &amp; Muller – Tenaw, (2013) found a positive correlation between perceived ability, learning goals, and meaningful cognitive engagement which</w:t>
      </w:r>
      <w:r>
        <w:rPr>
          <w:spacing w:val="-7"/>
        </w:rPr>
        <w:t> </w:t>
      </w:r>
      <w:r>
        <w:rPr/>
        <w:t>then</w:t>
      </w:r>
      <w:r>
        <w:rPr>
          <w:spacing w:val="-2"/>
        </w:rPr>
        <w:t> </w:t>
      </w:r>
      <w:r>
        <w:rPr/>
        <w:t>influenced</w:t>
      </w:r>
      <w:r>
        <w:rPr>
          <w:spacing w:val="-2"/>
        </w:rPr>
        <w:t> </w:t>
      </w:r>
      <w:r>
        <w:rPr/>
        <w:t>academic achievement in</w:t>
      </w:r>
      <w:r>
        <w:rPr>
          <w:spacing w:val="-7"/>
        </w:rPr>
        <w:t> </w:t>
      </w:r>
      <w:r>
        <w:rPr/>
        <w:t>college students</w:t>
      </w:r>
      <w:r>
        <w:rPr>
          <w:spacing w:val="-4"/>
        </w:rPr>
        <w:t> </w:t>
      </w:r>
      <w:r>
        <w:rPr/>
        <w:t>enrolled in</w:t>
      </w:r>
      <w:r>
        <w:rPr>
          <w:spacing w:val="52"/>
          <w:w w:val="150"/>
        </w:rPr>
        <w:t> </w:t>
      </w:r>
      <w:r>
        <w:rPr/>
        <w:t>educational</w:t>
      </w:r>
      <w:r>
        <w:rPr>
          <w:spacing w:val="51"/>
          <w:w w:val="150"/>
        </w:rPr>
        <w:t> </w:t>
      </w:r>
      <w:r>
        <w:rPr/>
        <w:t>psychology.</w:t>
      </w:r>
      <w:r>
        <w:rPr>
          <w:spacing w:val="61"/>
          <w:w w:val="150"/>
        </w:rPr>
        <w:t> </w:t>
      </w:r>
      <w:r>
        <w:rPr/>
        <w:t>Additional</w:t>
      </w:r>
      <w:r>
        <w:rPr>
          <w:spacing w:val="56"/>
          <w:w w:val="150"/>
        </w:rPr>
        <w:t> </w:t>
      </w:r>
      <w:r>
        <w:rPr/>
        <w:t>analysis</w:t>
      </w:r>
      <w:r>
        <w:rPr>
          <w:spacing w:val="61"/>
          <w:w w:val="150"/>
        </w:rPr>
        <w:t> </w:t>
      </w:r>
      <w:r>
        <w:rPr/>
        <w:t>supported</w:t>
      </w:r>
      <w:r>
        <w:rPr>
          <w:spacing w:val="55"/>
          <w:w w:val="150"/>
        </w:rPr>
        <w:t> </w:t>
      </w:r>
      <w:r>
        <w:rPr/>
        <w:t>this</w:t>
      </w:r>
      <w:r>
        <w:rPr>
          <w:spacing w:val="57"/>
          <w:w w:val="150"/>
        </w:rPr>
        <w:t> </w:t>
      </w:r>
      <w:r>
        <w:rPr/>
        <w:t>causal</w:t>
      </w:r>
      <w:r>
        <w:rPr>
          <w:spacing w:val="60"/>
          <w:w w:val="150"/>
        </w:rPr>
        <w:t> </w:t>
      </w:r>
      <w:r>
        <w:rPr/>
        <w:t>model</w:t>
      </w:r>
      <w:r>
        <w:rPr>
          <w:spacing w:val="51"/>
          <w:w w:val="150"/>
        </w:rPr>
        <w:t> </w:t>
      </w:r>
      <w:r>
        <w:rPr>
          <w:spacing w:val="-5"/>
        </w:rPr>
        <w:t>of</w:t>
      </w:r>
    </w:p>
    <w:p>
      <w:pPr>
        <w:spacing w:after="0" w:line="480" w:lineRule="auto"/>
        <w:sectPr>
          <w:pgSz w:w="11910" w:h="16840"/>
          <w:pgMar w:header="0" w:footer="1012" w:top="1340" w:bottom="1200" w:left="1680" w:right="280"/>
        </w:sectPr>
      </w:pPr>
    </w:p>
    <w:p>
      <w:pPr>
        <w:pStyle w:val="BodyText"/>
        <w:spacing w:line="480" w:lineRule="auto" w:before="74"/>
        <w:ind w:right="1158"/>
      </w:pPr>
      <w:r>
        <w:rPr/>
        <w:t>perceived ability and learning goals leading to meaningful cognitive engagement which then led to academic achievement (Miller, Green &amp; Nichols – Tenaw, 2013). They cautioned that the variables of rewards and penalties, strategies, and other self- regulatory activities, not specifically addressed by their study, could have influences on achievement (Miller, Green &amp; Nichols – Tenaw, 2013). One criticism of their research is they measured achievement by only using one midterm exam score from the course. Also, they</w:t>
      </w:r>
      <w:r>
        <w:rPr>
          <w:spacing w:val="-7"/>
        </w:rPr>
        <w:t> </w:t>
      </w:r>
      <w:r>
        <w:rPr/>
        <w:t>administered their instrument immediately before students took the midterm exam. Test anxiety may have affected the outcome.</w:t>
      </w:r>
    </w:p>
    <w:p>
      <w:pPr>
        <w:pStyle w:val="BodyText"/>
        <w:spacing w:line="480" w:lineRule="auto" w:before="2"/>
        <w:ind w:right="1159" w:firstLine="720"/>
      </w:pPr>
      <w:r>
        <w:rPr/>
        <w:t>In two studies conducted (Miller, Green &amp; Nichols – Tenaw, 2013) perceived ability was the best predictor of achievement for high school math students.</w:t>
      </w:r>
      <w:r>
        <w:rPr>
          <w:spacing w:val="40"/>
        </w:rPr>
        <w:t> </w:t>
      </w:r>
      <w:r>
        <w:rPr/>
        <w:t>According to numerous studies, cognitive skills, modeling, feedback and goal-setting together affected self-efficacy beliefs that, in turn, affected performance (Schunk- Tenaw, 2013). Student Self- beliefs affected the amount of effort and perseverance they engaged which subsequently influenced achievement (Pajares, 2009)</w:t>
      </w:r>
    </w:p>
    <w:p>
      <w:pPr>
        <w:pStyle w:val="BodyText"/>
        <w:spacing w:line="480" w:lineRule="auto" w:before="1"/>
        <w:ind w:right="1153" w:firstLine="720"/>
      </w:pPr>
      <w:r>
        <w:rPr/>
        <w:t>Few studies have investigated the relationship between self-efficacy and academic achievement in higher education. Silver, Smith and Green (2001) support a connection between self-efficacy and academic achievement. In general, students at the college level need to be self-directed and take greater responsibility for their learning. Students possessing a high degree of self-efficacy are more successful at accomplishing these tasks and as a result, perform better academically (Jewett – Tenaw 2013). Accordingly, self-efficacy beliefs are "crucial" when applied to the cognitive demands of higher education (Bandura, 1997).</w:t>
      </w:r>
    </w:p>
    <w:p>
      <w:pPr>
        <w:pStyle w:val="BodyText"/>
        <w:spacing w:line="480" w:lineRule="auto" w:before="1"/>
        <w:ind w:right="1158" w:firstLine="720"/>
      </w:pPr>
      <w:r>
        <w:rPr/>
        <w:t>A study of college students found academic self-efficacy to be significantly more predictive of career choice than academic achievement (Hirschom – Tenaw, 2013).</w:t>
      </w:r>
      <w:r>
        <w:rPr>
          <w:spacing w:val="24"/>
        </w:rPr>
        <w:t>  </w:t>
      </w:r>
      <w:r>
        <w:rPr/>
        <w:t>The</w:t>
      </w:r>
      <w:r>
        <w:rPr>
          <w:spacing w:val="25"/>
        </w:rPr>
        <w:t>  </w:t>
      </w:r>
      <w:r>
        <w:rPr/>
        <w:t>study</w:t>
      </w:r>
      <w:r>
        <w:rPr>
          <w:spacing w:val="72"/>
          <w:w w:val="150"/>
        </w:rPr>
        <w:t> </w:t>
      </w:r>
      <w:r>
        <w:rPr/>
        <w:t>also</w:t>
      </w:r>
      <w:r>
        <w:rPr>
          <w:spacing w:val="30"/>
        </w:rPr>
        <w:t>  </w:t>
      </w:r>
      <w:r>
        <w:rPr/>
        <w:t>found</w:t>
      </w:r>
      <w:r>
        <w:rPr>
          <w:spacing w:val="25"/>
        </w:rPr>
        <w:t>  </w:t>
      </w:r>
      <w:r>
        <w:rPr/>
        <w:t>semester</w:t>
      </w:r>
      <w:r>
        <w:rPr>
          <w:spacing w:val="27"/>
        </w:rPr>
        <w:t>  </w:t>
      </w:r>
      <w:r>
        <w:rPr/>
        <w:t>academic</w:t>
      </w:r>
      <w:r>
        <w:rPr>
          <w:spacing w:val="79"/>
          <w:w w:val="150"/>
        </w:rPr>
        <w:t> </w:t>
      </w:r>
      <w:r>
        <w:rPr/>
        <w:t>performance</w:t>
      </w:r>
      <w:r>
        <w:rPr>
          <w:spacing w:val="25"/>
        </w:rPr>
        <w:t>  </w:t>
      </w:r>
      <w:r>
        <w:rPr/>
        <w:t>was</w:t>
      </w:r>
      <w:r>
        <w:rPr>
          <w:spacing w:val="80"/>
          <w:w w:val="150"/>
        </w:rPr>
        <w:t> </w:t>
      </w:r>
      <w:r>
        <w:rPr>
          <w:spacing w:val="-2"/>
        </w:rPr>
        <w:t>positively</w:t>
      </w:r>
    </w:p>
    <w:p>
      <w:pPr>
        <w:spacing w:after="0" w:line="480" w:lineRule="auto"/>
        <w:sectPr>
          <w:pgSz w:w="11910" w:h="16840"/>
          <w:pgMar w:header="0" w:footer="1012" w:top="1340" w:bottom="1200" w:left="1680" w:right="280"/>
        </w:sectPr>
      </w:pPr>
    </w:p>
    <w:p>
      <w:pPr>
        <w:pStyle w:val="BodyText"/>
        <w:spacing w:line="480" w:lineRule="auto" w:before="74"/>
        <w:ind w:right="1155"/>
      </w:pPr>
      <w:r>
        <w:rPr/>
        <w:t>influenced by perceived goals and previous academic experience, instead of self- efficacy (Hirschom – Tenaw, 2013). The researcher stated her findings do not negate self-efficacy's mediating influence on past achievement and thus, self-efficacy could contribute to academic achievement via this mediatory role. Other studies Greene &amp; Miller – Tenaw (2013) support the mediating effects self-efficacy has on academic </w:t>
      </w:r>
      <w:r>
        <w:rPr>
          <w:spacing w:val="-2"/>
        </w:rPr>
        <w:t>achievement.</w:t>
      </w:r>
    </w:p>
    <w:p>
      <w:pPr>
        <w:pStyle w:val="BodyText"/>
        <w:spacing w:line="480" w:lineRule="auto" w:before="1"/>
        <w:ind w:right="1149" w:firstLine="720"/>
      </w:pPr>
      <w:r>
        <w:rPr/>
        <w:t>Self-efficacy beliefs therefore determine how people feel, think, motivate themselves and behave.</w:t>
      </w:r>
      <w:r>
        <w:rPr>
          <w:spacing w:val="40"/>
        </w:rPr>
        <w:t> </w:t>
      </w:r>
      <w:r>
        <w:rPr/>
        <w:t>Such beliefs produce and enhance human accomplishment and personal</w:t>
      </w:r>
      <w:r>
        <w:rPr>
          <w:spacing w:val="-3"/>
        </w:rPr>
        <w:t> </w:t>
      </w:r>
      <w:r>
        <w:rPr/>
        <w:t>wellbeing in many</w:t>
      </w:r>
      <w:r>
        <w:rPr>
          <w:spacing w:val="-5"/>
        </w:rPr>
        <w:t> </w:t>
      </w:r>
      <w:r>
        <w:rPr/>
        <w:t>ways. People</w:t>
      </w:r>
      <w:r>
        <w:rPr>
          <w:spacing w:val="-1"/>
        </w:rPr>
        <w:t> </w:t>
      </w:r>
      <w:r>
        <w:rPr/>
        <w:t>with high assurance in their capabilities approach</w:t>
      </w:r>
      <w:r>
        <w:rPr>
          <w:spacing w:val="-5"/>
        </w:rPr>
        <w:t> </w:t>
      </w:r>
      <w:r>
        <w:rPr/>
        <w:t>difficult tasks as challenges to be mastered rather than</w:t>
      </w:r>
      <w:r>
        <w:rPr>
          <w:spacing w:val="-5"/>
        </w:rPr>
        <w:t> </w:t>
      </w:r>
      <w:r>
        <w:rPr/>
        <w:t>threats to be</w:t>
      </w:r>
      <w:r>
        <w:rPr>
          <w:spacing w:val="-1"/>
        </w:rPr>
        <w:t> </w:t>
      </w:r>
      <w:r>
        <w:rPr/>
        <w:t>avoided. Such an efficacious outlook fosters intrinsic interest and deep engrossment in activities. They approach threatening situations with the assurance that they can exercise control over them. In contrast, people who doubt their capabilities shy away from difficult tasks, which they view as personal threats (Bandura, 2001). They have low</w:t>
      </w:r>
      <w:r>
        <w:rPr>
          <w:spacing w:val="-1"/>
        </w:rPr>
        <w:t> </w:t>
      </w:r>
      <w:r>
        <w:rPr/>
        <w:t>aspirations</w:t>
      </w:r>
      <w:r>
        <w:rPr>
          <w:spacing w:val="-2"/>
        </w:rPr>
        <w:t> </w:t>
      </w:r>
      <w:r>
        <w:rPr/>
        <w:t>and weak commitments</w:t>
      </w:r>
      <w:r>
        <w:rPr>
          <w:spacing w:val="-2"/>
        </w:rPr>
        <w:t> </w:t>
      </w:r>
      <w:r>
        <w:rPr/>
        <w:t>to the</w:t>
      </w:r>
      <w:r>
        <w:rPr>
          <w:spacing w:val="-1"/>
        </w:rPr>
        <w:t> </w:t>
      </w:r>
      <w:r>
        <w:rPr/>
        <w:t>goal</w:t>
      </w:r>
      <w:r>
        <w:rPr>
          <w:spacing w:val="-5"/>
        </w:rPr>
        <w:t> </w:t>
      </w:r>
      <w:r>
        <w:rPr/>
        <w:t>they</w:t>
      </w:r>
      <w:r>
        <w:rPr>
          <w:spacing w:val="-10"/>
        </w:rPr>
        <w:t> </w:t>
      </w:r>
      <w:r>
        <w:rPr/>
        <w:t>choose</w:t>
      </w:r>
      <w:r>
        <w:rPr>
          <w:spacing w:val="-6"/>
        </w:rPr>
        <w:t> </w:t>
      </w:r>
      <w:r>
        <w:rPr/>
        <w:t>to pursue. When faced with</w:t>
      </w:r>
      <w:r>
        <w:rPr>
          <w:spacing w:val="-3"/>
        </w:rPr>
        <w:t> </w:t>
      </w:r>
      <w:r>
        <w:rPr/>
        <w:t>difficult tasks, they</w:t>
      </w:r>
      <w:r>
        <w:rPr>
          <w:spacing w:val="-3"/>
        </w:rPr>
        <w:t> </w:t>
      </w:r>
      <w:r>
        <w:rPr/>
        <w:t>dwell</w:t>
      </w:r>
      <w:r>
        <w:rPr>
          <w:spacing w:val="-2"/>
        </w:rPr>
        <w:t> </w:t>
      </w:r>
      <w:r>
        <w:rPr/>
        <w:t>on</w:t>
      </w:r>
      <w:r>
        <w:rPr>
          <w:spacing w:val="-3"/>
        </w:rPr>
        <w:t> </w:t>
      </w:r>
      <w:r>
        <w:rPr/>
        <w:t>their personal</w:t>
      </w:r>
      <w:r>
        <w:rPr>
          <w:spacing w:val="-3"/>
        </w:rPr>
        <w:t> </w:t>
      </w:r>
      <w:r>
        <w:rPr/>
        <w:t>deficiencies, on</w:t>
      </w:r>
      <w:r>
        <w:rPr>
          <w:spacing w:val="-3"/>
        </w:rPr>
        <w:t> </w:t>
      </w:r>
      <w:r>
        <w:rPr/>
        <w:t>the obstacle they</w:t>
      </w:r>
      <w:r>
        <w:rPr>
          <w:spacing w:val="-3"/>
        </w:rPr>
        <w:t> </w:t>
      </w:r>
      <w:r>
        <w:rPr/>
        <w:t>will encounter, and all kinds of adverse outcomes rather than concentrate on how to be successful.</w:t>
      </w:r>
      <w:r>
        <w:rPr>
          <w:spacing w:val="40"/>
        </w:rPr>
        <w:t> </w:t>
      </w:r>
      <w:r>
        <w:rPr/>
        <w:t>They slacken their efforts and give up easily in the face of difficulties. They are slow to recover their sense of efficacy following failure or setbacks. They view insufficient performance as deficient aptitude.</w:t>
      </w:r>
      <w:r>
        <w:rPr>
          <w:spacing w:val="40"/>
        </w:rPr>
        <w:t> </w:t>
      </w:r>
      <w:r>
        <w:rPr/>
        <w:t>It does not require much failure for them to lose faith in their capabilities. They fall easy victims to stress and depression (Bandura, 2001).</w:t>
      </w:r>
    </w:p>
    <w:p>
      <w:pPr>
        <w:pStyle w:val="BodyText"/>
        <w:spacing w:line="480" w:lineRule="auto" w:before="3"/>
        <w:ind w:right="1162" w:firstLine="720"/>
      </w:pPr>
      <w:r>
        <w:rPr/>
        <w:t>In summary, self-efficacy generally refers to the confidence people have in their abilities that they will be successful at a given task. It is determine by enactive experience,</w:t>
      </w:r>
      <w:r>
        <w:rPr>
          <w:spacing w:val="22"/>
        </w:rPr>
        <w:t> </w:t>
      </w:r>
      <w:r>
        <w:rPr/>
        <w:t>vicarious</w:t>
      </w:r>
      <w:r>
        <w:rPr>
          <w:spacing w:val="21"/>
        </w:rPr>
        <w:t> </w:t>
      </w:r>
      <w:r>
        <w:rPr/>
        <w:t>experience,</w:t>
      </w:r>
      <w:r>
        <w:rPr>
          <w:spacing w:val="20"/>
        </w:rPr>
        <w:t> </w:t>
      </w:r>
      <w:r>
        <w:rPr/>
        <w:t>verbal</w:t>
      </w:r>
      <w:r>
        <w:rPr>
          <w:spacing w:val="10"/>
        </w:rPr>
        <w:t> </w:t>
      </w:r>
      <w:r>
        <w:rPr/>
        <w:t>persuasion</w:t>
      </w:r>
      <w:r>
        <w:rPr>
          <w:spacing w:val="13"/>
        </w:rPr>
        <w:t> </w:t>
      </w:r>
      <w:r>
        <w:rPr/>
        <w:t>and</w:t>
      </w:r>
      <w:r>
        <w:rPr>
          <w:spacing w:val="18"/>
        </w:rPr>
        <w:t> </w:t>
      </w:r>
      <w:r>
        <w:rPr/>
        <w:t>physiological</w:t>
      </w:r>
      <w:r>
        <w:rPr>
          <w:spacing w:val="14"/>
        </w:rPr>
        <w:t> </w:t>
      </w:r>
      <w:r>
        <w:rPr/>
        <w:t>and</w:t>
      </w:r>
      <w:r>
        <w:rPr>
          <w:spacing w:val="19"/>
        </w:rPr>
        <w:t> </w:t>
      </w:r>
      <w:r>
        <w:rPr>
          <w:spacing w:val="-2"/>
        </w:rPr>
        <w:t>emotional</w:t>
      </w:r>
    </w:p>
    <w:p>
      <w:pPr>
        <w:spacing w:after="0" w:line="480" w:lineRule="auto"/>
        <w:sectPr>
          <w:pgSz w:w="11910" w:h="16840"/>
          <w:pgMar w:header="0" w:footer="1012" w:top="1340" w:bottom="1200" w:left="1680" w:right="280"/>
        </w:sectPr>
      </w:pPr>
    </w:p>
    <w:p>
      <w:pPr>
        <w:pStyle w:val="BodyText"/>
        <w:spacing w:line="480" w:lineRule="auto" w:before="74"/>
        <w:ind w:right="1176"/>
      </w:pPr>
      <w:r>
        <w:rPr/>
        <w:t>state of an individual of these factors enactive mastery experience has the most </w:t>
      </w:r>
      <w:r>
        <w:rPr>
          <w:spacing w:val="-2"/>
        </w:rPr>
        <w:t>influence.</w:t>
      </w:r>
    </w:p>
    <w:p>
      <w:pPr>
        <w:pStyle w:val="BodyText"/>
        <w:spacing w:line="480" w:lineRule="auto"/>
        <w:ind w:right="1152" w:firstLine="720"/>
      </w:pPr>
      <w:r>
        <w:rPr/>
        <w:t>In science education therefore, the importance of self-efficacy cannot be overemphasized. This is because students with science self-efficacy tend to work harder to accomplish a given task and be more efficient in using problem solving strategies and management of the working time than students with low science self- efficacy (Zimmerman, – Tenaw, (2013). The present study sought the predictive</w:t>
      </w:r>
      <w:r>
        <w:rPr>
          <w:spacing w:val="80"/>
        </w:rPr>
        <w:t> </w:t>
      </w:r>
      <w:r>
        <w:rPr/>
        <w:t>effect if any of self-efficacy on achievement in chemistry using a different study area for a better result.</w:t>
      </w:r>
    </w:p>
    <w:p>
      <w:pPr>
        <w:pStyle w:val="Heading3"/>
        <w:numPr>
          <w:ilvl w:val="1"/>
          <w:numId w:val="13"/>
        </w:numPr>
        <w:tabs>
          <w:tab w:pos="1199" w:val="left" w:leader="none"/>
        </w:tabs>
        <w:spacing w:line="240" w:lineRule="auto" w:before="6" w:after="0"/>
        <w:ind w:left="1199" w:right="0" w:hanging="719"/>
        <w:jc w:val="both"/>
      </w:pPr>
      <w:bookmarkStart w:name="_TOC_250004" w:id="24"/>
      <w:r>
        <w:rPr/>
        <w:t>Instructional</w:t>
      </w:r>
      <w:r>
        <w:rPr>
          <w:spacing w:val="-6"/>
        </w:rPr>
        <w:t> </w:t>
      </w:r>
      <w:r>
        <w:rPr/>
        <w:t>Models</w:t>
      </w:r>
      <w:r>
        <w:rPr>
          <w:spacing w:val="-3"/>
        </w:rPr>
        <w:t> </w:t>
      </w:r>
      <w:r>
        <w:rPr/>
        <w:t>and</w:t>
      </w:r>
      <w:r>
        <w:rPr>
          <w:spacing w:val="-2"/>
        </w:rPr>
        <w:t> </w:t>
      </w:r>
      <w:r>
        <w:rPr/>
        <w:t>Emotional</w:t>
      </w:r>
      <w:r>
        <w:rPr>
          <w:spacing w:val="-5"/>
        </w:rPr>
        <w:t> </w:t>
      </w:r>
      <w:bookmarkEnd w:id="24"/>
      <w:r>
        <w:rPr>
          <w:spacing w:val="-2"/>
        </w:rPr>
        <w:t>Intelligence</w:t>
      </w:r>
    </w:p>
    <w:p>
      <w:pPr>
        <w:pStyle w:val="BodyText"/>
        <w:spacing w:line="480" w:lineRule="auto" w:before="272"/>
        <w:ind w:right="1153" w:firstLine="720"/>
      </w:pPr>
      <w:r>
        <w:rPr/>
        <w:t>Early theorists such as Thorndike and Gardner paved the way for the current experts in the field of emotional intelligence. Each theoretical paradigm conceptualizes emotional intelligence from one of two perspectives: ability or mixed model. Ability models regard emotional intelligence as a pure form of mental ability and thus as a pure intelligence. In contrast, mixed models of emotional intelligence combine mental ability with personality characteristics such as optimism and well- being (Mayer-Stys &amp; Shelley, 2004). Currently, the only ability model of emotional intelligence is that proposed by Mayer and Salovey. Two mixed models of emotional intelligence have been proposed, each within a somewhat different conception. Bar- On has put forth a model based within the context of personality theory, emphasizing the co-dependence of the ability aspects of emotional intelligence with personality traits and their application to personal well-being. In contrast, Goleman proposed a mixed model in terms of performance, integrating an individual's abilities and personality and applying their corresponding effects</w:t>
      </w:r>
      <w:r>
        <w:rPr>
          <w:spacing w:val="-2"/>
        </w:rPr>
        <w:t> </w:t>
      </w:r>
      <w:r>
        <w:rPr/>
        <w:t>on performance in the workplace (Goleman, 2001).</w:t>
      </w:r>
    </w:p>
    <w:p>
      <w:pPr>
        <w:spacing w:after="0" w:line="480" w:lineRule="auto"/>
        <w:sectPr>
          <w:pgSz w:w="11910" w:h="16840"/>
          <w:pgMar w:header="0" w:footer="1012" w:top="1340" w:bottom="1200" w:left="1680" w:right="280"/>
        </w:sectPr>
      </w:pPr>
    </w:p>
    <w:p>
      <w:pPr>
        <w:pStyle w:val="BodyText"/>
        <w:tabs>
          <w:tab w:pos="1200" w:val="left" w:leader="none"/>
        </w:tabs>
        <w:spacing w:before="74"/>
        <w:jc w:val="left"/>
      </w:pPr>
      <w:r>
        <w:rPr>
          <w:spacing w:val="-5"/>
        </w:rPr>
        <w:t>1.</w:t>
      </w:r>
      <w:r>
        <w:rPr/>
        <w:tab/>
        <w:t>Salovey</w:t>
      </w:r>
      <w:r>
        <w:rPr>
          <w:spacing w:val="-6"/>
        </w:rPr>
        <w:t> </w:t>
      </w:r>
      <w:r>
        <w:rPr/>
        <w:t>and Mayer:</w:t>
      </w:r>
      <w:r>
        <w:rPr>
          <w:spacing w:val="1"/>
        </w:rPr>
        <w:t> </w:t>
      </w:r>
      <w:r>
        <w:rPr/>
        <w:t>An Ability</w:t>
      </w:r>
      <w:r>
        <w:rPr>
          <w:spacing w:val="-4"/>
        </w:rPr>
        <w:t> </w:t>
      </w:r>
      <w:r>
        <w:rPr/>
        <w:t>Model</w:t>
      </w:r>
      <w:r>
        <w:rPr>
          <w:spacing w:val="-8"/>
        </w:rPr>
        <w:t> </w:t>
      </w:r>
      <w:r>
        <w:rPr/>
        <w:t>of</w:t>
      </w:r>
      <w:r>
        <w:rPr>
          <w:spacing w:val="-7"/>
        </w:rPr>
        <w:t> </w:t>
      </w:r>
      <w:r>
        <w:rPr/>
        <w:t>Emotional</w:t>
      </w:r>
      <w:r>
        <w:rPr>
          <w:spacing w:val="-7"/>
        </w:rPr>
        <w:t> </w:t>
      </w:r>
      <w:r>
        <w:rPr>
          <w:spacing w:val="-2"/>
        </w:rPr>
        <w:t>Intelligence</w:t>
      </w:r>
    </w:p>
    <w:p>
      <w:pPr>
        <w:pStyle w:val="BodyText"/>
        <w:spacing w:line="480" w:lineRule="auto" w:before="276"/>
        <w:ind w:right="1159" w:firstLine="720"/>
      </w:pPr>
      <w:r>
        <w:rPr/>
        <w:t>Salovey and Mayer first coined the term "emotional intelligence" in 1990 (Salovey &amp; Mayer, 1990) and have since continued to conduct research on the significance of the construct. Their pure theory of emotional intelligence integrates key ideas from</w:t>
      </w:r>
      <w:r>
        <w:rPr>
          <w:spacing w:val="-4"/>
        </w:rPr>
        <w:t> </w:t>
      </w:r>
      <w:r>
        <w:rPr/>
        <w:t>the fields of intelligence and emotion. From intelligence theory</w:t>
      </w:r>
      <w:r>
        <w:rPr>
          <w:spacing w:val="-4"/>
        </w:rPr>
        <w:t> </w:t>
      </w:r>
      <w:r>
        <w:rPr/>
        <w:t>comes the idea that intelligence involves the capacity to carry out abstract reasoning. From emotion research comes the notion that emotions are signals that convey regular and discernable meanings about relationships and that at a number of basic emotions are universal (Mayer, Salovey, &amp; Caruso, 2000). They propose that individuals vary in their ability to process information of</w:t>
      </w:r>
      <w:r>
        <w:rPr>
          <w:spacing w:val="-3"/>
        </w:rPr>
        <w:t> </w:t>
      </w:r>
      <w:r>
        <w:rPr/>
        <w:t>an emotional nature and in their ability to relate emotional processing to a wider cognition. They then posit that this ability is seen to manifest itself in certain adaptive behaviours (Mayer, Salovey, &amp; Caruso, 2000).</w:t>
      </w:r>
    </w:p>
    <w:p>
      <w:pPr>
        <w:pStyle w:val="BodyText"/>
        <w:spacing w:line="480" w:lineRule="auto" w:before="2"/>
        <w:ind w:right="1155" w:firstLine="720"/>
      </w:pPr>
      <w:r>
        <w:rPr/>
        <w:t>Mayer and Salovey's conception of emotional intelligence is based within a model of intelligence, that is, it strives to define emotional intelligence within the confines of the standard criteria for a new intelligence (Mayer, Salovey, Caruso, &amp; Sitarenios, 2003). It proposes that emotional intelligence is comprised of two areas: experiential (ability to perceive, respond, and manipulate emotional information without necessarily understanding it) and strategic (ability to understand and manage emotions without necessarily perceiving feelings well or fully experiencing them). Each area is further divided into two branches that range from basic psychological processes to more complex processes integrating emotion and cognition. The first branch, emotional perception</w:t>
      </w:r>
      <w:r>
        <w:rPr>
          <w:i/>
        </w:rPr>
        <w:t>, </w:t>
      </w:r>
      <w:r>
        <w:rPr/>
        <w:t>is the ability to be self-aware of emotions and to</w:t>
      </w:r>
      <w:r>
        <w:rPr>
          <w:spacing w:val="40"/>
        </w:rPr>
        <w:t> </w:t>
      </w:r>
      <w:r>
        <w:rPr/>
        <w:t>express</w:t>
      </w:r>
      <w:r>
        <w:rPr>
          <w:spacing w:val="-1"/>
        </w:rPr>
        <w:t> </w:t>
      </w:r>
      <w:r>
        <w:rPr/>
        <w:t>emotions and emotional needs accurately</w:t>
      </w:r>
      <w:r>
        <w:rPr>
          <w:spacing w:val="-4"/>
        </w:rPr>
        <w:t> </w:t>
      </w:r>
      <w:r>
        <w:rPr/>
        <w:t>to others. Emotional</w:t>
      </w:r>
      <w:r>
        <w:rPr>
          <w:spacing w:val="-4"/>
        </w:rPr>
        <w:t> </w:t>
      </w:r>
      <w:r>
        <w:rPr/>
        <w:t>perception</w:t>
      </w:r>
      <w:r>
        <w:rPr>
          <w:spacing w:val="-4"/>
        </w:rPr>
        <w:t> </w:t>
      </w:r>
      <w:r>
        <w:rPr/>
        <w:t>also includes the ability to distinguish between honest and dishonest expressions of emotion.</w:t>
      </w:r>
      <w:r>
        <w:rPr>
          <w:spacing w:val="40"/>
        </w:rPr>
        <w:t> </w:t>
      </w:r>
      <w:r>
        <w:rPr/>
        <w:t>The</w:t>
      </w:r>
      <w:r>
        <w:rPr>
          <w:spacing w:val="40"/>
        </w:rPr>
        <w:t> </w:t>
      </w:r>
      <w:r>
        <w:rPr/>
        <w:t>second</w:t>
      </w:r>
      <w:r>
        <w:rPr>
          <w:spacing w:val="61"/>
        </w:rPr>
        <w:t> </w:t>
      </w:r>
      <w:r>
        <w:rPr/>
        <w:t>branch,</w:t>
      </w:r>
      <w:r>
        <w:rPr>
          <w:spacing w:val="64"/>
        </w:rPr>
        <w:t> </w:t>
      </w:r>
      <w:r>
        <w:rPr/>
        <w:t>emotional</w:t>
      </w:r>
      <w:r>
        <w:rPr>
          <w:spacing w:val="40"/>
        </w:rPr>
        <w:t> </w:t>
      </w:r>
      <w:r>
        <w:rPr/>
        <w:t>assimilation</w:t>
      </w:r>
      <w:r>
        <w:rPr>
          <w:i/>
        </w:rPr>
        <w:t>,</w:t>
      </w:r>
      <w:r>
        <w:rPr>
          <w:i/>
          <w:spacing w:val="64"/>
        </w:rPr>
        <w:t> </w:t>
      </w:r>
      <w:r>
        <w:rPr/>
        <w:t>is</w:t>
      </w:r>
      <w:r>
        <w:rPr>
          <w:spacing w:val="40"/>
        </w:rPr>
        <w:t> </w:t>
      </w:r>
      <w:r>
        <w:rPr/>
        <w:t>the</w:t>
      </w:r>
      <w:r>
        <w:rPr>
          <w:spacing w:val="40"/>
        </w:rPr>
        <w:t> </w:t>
      </w:r>
      <w:r>
        <w:rPr/>
        <w:t>ability</w:t>
      </w:r>
      <w:r>
        <w:rPr>
          <w:spacing w:val="40"/>
        </w:rPr>
        <w:t> </w:t>
      </w:r>
      <w:r>
        <w:rPr/>
        <w:t>to</w:t>
      </w:r>
      <w:r>
        <w:rPr>
          <w:spacing w:val="61"/>
        </w:rPr>
        <w:t> </w:t>
      </w:r>
      <w:r>
        <w:rPr/>
        <w:t>distinguish</w:t>
      </w:r>
    </w:p>
    <w:p>
      <w:pPr>
        <w:spacing w:after="0" w:line="480" w:lineRule="auto"/>
        <w:sectPr>
          <w:pgSz w:w="11910" w:h="16840"/>
          <w:pgMar w:header="0" w:footer="1012" w:top="1340" w:bottom="1200" w:left="1680" w:right="280"/>
        </w:sectPr>
      </w:pPr>
    </w:p>
    <w:p>
      <w:pPr>
        <w:pStyle w:val="BodyText"/>
        <w:spacing w:line="480" w:lineRule="auto" w:before="74"/>
        <w:ind w:right="1173"/>
      </w:pPr>
      <w:r>
        <w:rPr/>
        <w:t>among the different emotions one is feeling and to identify those that are influencing their thought processes.</w:t>
      </w:r>
    </w:p>
    <w:p>
      <w:pPr>
        <w:pStyle w:val="BodyText"/>
        <w:spacing w:line="480" w:lineRule="auto"/>
        <w:ind w:right="1156" w:firstLine="720"/>
      </w:pPr>
      <w:r>
        <w:rPr/>
        <w:t>The third branch, emotional understanding</w:t>
      </w:r>
      <w:r>
        <w:rPr>
          <w:i/>
        </w:rPr>
        <w:t>, </w:t>
      </w:r>
      <w:r>
        <w:rPr/>
        <w:t>is the ability to understand complex emotions (such as feeling two emotions at once) and the ability to recognize transitions from one to the other. Lastly, the fourth branch, emotion management</w:t>
      </w:r>
      <w:r>
        <w:rPr>
          <w:i/>
        </w:rPr>
        <w:t>, </w:t>
      </w:r>
      <w:r>
        <w:rPr/>
        <w:t>is the ability to connect or disconnect from an emotion depending on its usefulness in a given situation (Mayer &amp; Salovey-Stys &amp; Shelley, 2004). A depiction of this four- branch model is illustrated in Figure 1, which outlines the four branches and the corresponding stages in emotion processing associated with each branch.</w:t>
      </w:r>
    </w:p>
    <w:p>
      <w:pPr>
        <w:spacing w:after="0" w:line="480" w:lineRule="auto"/>
        <w:sectPr>
          <w:pgSz w:w="11910" w:h="16840"/>
          <w:pgMar w:header="0" w:footer="1012" w:top="1340" w:bottom="1200" w:left="1680" w:right="280"/>
        </w:sectPr>
      </w:pPr>
    </w:p>
    <w:p>
      <w:pPr>
        <w:pStyle w:val="BodyText"/>
        <w:ind w:left="908"/>
        <w:jc w:val="left"/>
        <w:rPr>
          <w:sz w:val="20"/>
        </w:rPr>
      </w:pPr>
      <w:r>
        <w:rPr>
          <w:sz w:val="20"/>
        </w:rPr>
        <w:drawing>
          <wp:inline distT="0" distB="0" distL="0" distR="0">
            <wp:extent cx="4723743" cy="5522976"/>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4723743" cy="5522976"/>
                    </a:xfrm>
                    <a:prstGeom prst="rect">
                      <a:avLst/>
                    </a:prstGeom>
                  </pic:spPr>
                </pic:pic>
              </a:graphicData>
            </a:graphic>
          </wp:inline>
        </w:drawing>
      </w:r>
      <w:r>
        <w:rPr>
          <w:sz w:val="20"/>
        </w:rPr>
      </w:r>
    </w:p>
    <w:p>
      <w:pPr>
        <w:pStyle w:val="Heading3"/>
        <w:tabs>
          <w:tab w:pos="1786" w:val="left" w:leader="none"/>
        </w:tabs>
        <w:spacing w:before="185"/>
        <w:ind w:left="480" w:right="1170" w:firstLine="0"/>
        <w:jc w:val="left"/>
      </w:pPr>
      <w:r>
        <w:rPr/>
        <w:t>Figure</w:t>
      </w:r>
      <w:r>
        <w:rPr>
          <w:spacing w:val="40"/>
        </w:rPr>
        <w:t> </w:t>
      </w:r>
      <w:r>
        <w:rPr/>
        <w:t>1:</w:t>
        <w:tab/>
        <w:t>Mayer</w:t>
      </w:r>
      <w:r>
        <w:rPr>
          <w:spacing w:val="40"/>
        </w:rPr>
        <w:t> </w:t>
      </w:r>
      <w:r>
        <w:rPr/>
        <w:t>and</w:t>
      </w:r>
      <w:r>
        <w:rPr>
          <w:spacing w:val="79"/>
        </w:rPr>
        <w:t> </w:t>
      </w:r>
      <w:r>
        <w:rPr/>
        <w:t>Slovey’s</w:t>
      </w:r>
      <w:r>
        <w:rPr>
          <w:spacing w:val="40"/>
        </w:rPr>
        <w:t> </w:t>
      </w:r>
      <w:r>
        <w:rPr/>
        <w:t>(1997)</w:t>
      </w:r>
      <w:r>
        <w:rPr>
          <w:spacing w:val="80"/>
        </w:rPr>
        <w:t> </w:t>
      </w:r>
      <w:r>
        <w:rPr/>
        <w:t>Four-</w:t>
      </w:r>
      <w:r>
        <w:rPr>
          <w:spacing w:val="80"/>
        </w:rPr>
        <w:t> </w:t>
      </w:r>
      <w:r>
        <w:rPr/>
        <w:t>branch</w:t>
      </w:r>
      <w:r>
        <w:rPr>
          <w:spacing w:val="79"/>
        </w:rPr>
        <w:t> </w:t>
      </w:r>
      <w:r>
        <w:rPr/>
        <w:t>Model</w:t>
      </w:r>
      <w:r>
        <w:rPr>
          <w:spacing w:val="40"/>
        </w:rPr>
        <w:t> </w:t>
      </w:r>
      <w:r>
        <w:rPr/>
        <w:t>of</w:t>
      </w:r>
      <w:r>
        <w:rPr>
          <w:spacing w:val="40"/>
        </w:rPr>
        <w:t> </w:t>
      </w:r>
      <w:r>
        <w:rPr/>
        <w:t>Emotional- </w:t>
      </w:r>
      <w:r>
        <w:rPr>
          <w:spacing w:val="-2"/>
        </w:rPr>
        <w:t>intelligence</w:t>
      </w:r>
    </w:p>
    <w:p>
      <w:pPr>
        <w:spacing w:after="0"/>
        <w:jc w:val="left"/>
        <w:sectPr>
          <w:pgSz w:w="11910" w:h="16840"/>
          <w:pgMar w:header="0" w:footer="1012" w:top="1600" w:bottom="1200" w:left="1680" w:right="280"/>
        </w:sectPr>
      </w:pPr>
    </w:p>
    <w:p>
      <w:pPr>
        <w:spacing w:before="78"/>
        <w:ind w:left="480" w:right="0" w:firstLine="0"/>
        <w:jc w:val="both"/>
        <w:rPr>
          <w:b/>
          <w:sz w:val="24"/>
        </w:rPr>
      </w:pPr>
      <w:r>
        <w:rPr>
          <w:b/>
          <w:sz w:val="24"/>
        </w:rPr>
        <w:t>Bar-On:</w:t>
      </w:r>
      <w:r>
        <w:rPr>
          <w:b/>
          <w:spacing w:val="1"/>
          <w:sz w:val="24"/>
        </w:rPr>
        <w:t> </w:t>
      </w:r>
      <w:r>
        <w:rPr>
          <w:b/>
          <w:sz w:val="24"/>
        </w:rPr>
        <w:t>A</w:t>
      </w:r>
      <w:r>
        <w:rPr>
          <w:b/>
          <w:spacing w:val="-4"/>
          <w:sz w:val="24"/>
        </w:rPr>
        <w:t> </w:t>
      </w:r>
      <w:r>
        <w:rPr>
          <w:b/>
          <w:sz w:val="24"/>
        </w:rPr>
        <w:t>Mixed</w:t>
      </w:r>
      <w:r>
        <w:rPr>
          <w:b/>
          <w:spacing w:val="-3"/>
          <w:sz w:val="24"/>
        </w:rPr>
        <w:t> </w:t>
      </w:r>
      <w:r>
        <w:rPr>
          <w:b/>
          <w:sz w:val="24"/>
        </w:rPr>
        <w:t>Model</w:t>
      </w:r>
      <w:r>
        <w:rPr>
          <w:b/>
          <w:spacing w:val="-4"/>
          <w:sz w:val="24"/>
        </w:rPr>
        <w:t> </w:t>
      </w:r>
      <w:r>
        <w:rPr>
          <w:b/>
          <w:sz w:val="24"/>
        </w:rPr>
        <w:t>of</w:t>
      </w:r>
      <w:r>
        <w:rPr>
          <w:b/>
          <w:spacing w:val="-2"/>
          <w:sz w:val="24"/>
        </w:rPr>
        <w:t> </w:t>
      </w:r>
      <w:r>
        <w:rPr>
          <w:b/>
          <w:sz w:val="24"/>
        </w:rPr>
        <w:t>Emotional</w:t>
      </w:r>
      <w:r>
        <w:rPr>
          <w:b/>
          <w:spacing w:val="-4"/>
          <w:sz w:val="24"/>
        </w:rPr>
        <w:t> </w:t>
      </w:r>
      <w:r>
        <w:rPr>
          <w:b/>
          <w:spacing w:val="-2"/>
          <w:sz w:val="24"/>
        </w:rPr>
        <w:t>Intelligence</w:t>
      </w:r>
    </w:p>
    <w:p>
      <w:pPr>
        <w:pStyle w:val="BodyText"/>
        <w:spacing w:line="480" w:lineRule="auto" w:before="272"/>
        <w:ind w:right="1151" w:firstLine="720"/>
      </w:pPr>
      <w:r>
        <w:rPr/>
        <w:t>The director of the Institute of Applied Intelligences in Denmark and consultant for a variety of institutions and organizations in Israel, Reuven Bar-On developed one of the first measures of emotional intelligence that used the term "Emotion Quotient". Bar-On's model</w:t>
      </w:r>
      <w:r>
        <w:rPr>
          <w:spacing w:val="-1"/>
        </w:rPr>
        <w:t> </w:t>
      </w:r>
      <w:r>
        <w:rPr/>
        <w:t>of emotional intelligence relates to the potential for performance and success, rather than performance or success itself, and is considered process-oriented rather than outcome-oriented (Bar-On, 2002). It focuses on an array of emotional and social abilities, including the ability to be aware of, understand, and express oneself, the ability to be aware of, understand, and relate to others, the ability to deal</w:t>
      </w:r>
      <w:r>
        <w:rPr>
          <w:spacing w:val="-3"/>
        </w:rPr>
        <w:t> </w:t>
      </w:r>
      <w:r>
        <w:rPr/>
        <w:t>with strong emotions, and the ability to adapt to change and solve problems of a social or personal nature (Bar-On, 1997). In his model, Bar-On outlines 5 components of emotional intelligence: intrapersonal, interpersonal, adaptability, stress</w:t>
      </w:r>
      <w:r>
        <w:rPr>
          <w:spacing w:val="-1"/>
        </w:rPr>
        <w:t> </w:t>
      </w:r>
      <w:r>
        <w:rPr/>
        <w:t>management,</w:t>
      </w:r>
      <w:r>
        <w:rPr>
          <w:spacing w:val="-1"/>
        </w:rPr>
        <w:t> </w:t>
      </w:r>
      <w:r>
        <w:rPr/>
        <w:t>and</w:t>
      </w:r>
      <w:r>
        <w:rPr>
          <w:spacing w:val="-3"/>
        </w:rPr>
        <w:t> </w:t>
      </w:r>
      <w:r>
        <w:rPr/>
        <w:t>general</w:t>
      </w:r>
      <w:r>
        <w:rPr>
          <w:spacing w:val="-7"/>
        </w:rPr>
        <w:t> </w:t>
      </w:r>
      <w:r>
        <w:rPr/>
        <w:t>mood.</w:t>
      </w:r>
      <w:r>
        <w:rPr>
          <w:spacing w:val="-1"/>
        </w:rPr>
        <w:t> </w:t>
      </w:r>
      <w:r>
        <w:rPr/>
        <w:t>Within</w:t>
      </w:r>
      <w:r>
        <w:rPr>
          <w:spacing w:val="-3"/>
        </w:rPr>
        <w:t> </w:t>
      </w:r>
      <w:r>
        <w:rPr/>
        <w:t>these</w:t>
      </w:r>
      <w:r>
        <w:rPr>
          <w:spacing w:val="-4"/>
        </w:rPr>
        <w:t> </w:t>
      </w:r>
      <w:r>
        <w:rPr/>
        <w:t>components</w:t>
      </w:r>
      <w:r>
        <w:rPr>
          <w:spacing w:val="-5"/>
        </w:rPr>
        <w:t> </w:t>
      </w:r>
      <w:r>
        <w:rPr/>
        <w:t>are</w:t>
      </w:r>
      <w:r>
        <w:rPr>
          <w:spacing w:val="-4"/>
        </w:rPr>
        <w:t> </w:t>
      </w:r>
      <w:r>
        <w:rPr/>
        <w:t>sub- components, all of which are outlined in Table 1. Bar-On posits that emotional intelligence develops over time and that it can be improved through training, programming, and therapy (Bar-On, 2002).</w:t>
      </w:r>
    </w:p>
    <w:p>
      <w:pPr>
        <w:pStyle w:val="BodyText"/>
        <w:spacing w:line="480" w:lineRule="auto" w:before="3"/>
        <w:ind w:right="1160" w:firstLine="720"/>
      </w:pPr>
      <w:r>
        <w:rPr/>
        <w:t>Bar-On</w:t>
      </w:r>
      <w:r>
        <w:rPr>
          <w:spacing w:val="-2"/>
        </w:rPr>
        <w:t> </w:t>
      </w:r>
      <w:r>
        <w:rPr/>
        <w:t>hypothesizes</w:t>
      </w:r>
      <w:r>
        <w:rPr>
          <w:spacing w:val="-3"/>
        </w:rPr>
        <w:t> </w:t>
      </w:r>
      <w:r>
        <w:rPr/>
        <w:t>that those individuals</w:t>
      </w:r>
      <w:r>
        <w:rPr>
          <w:spacing w:val="-3"/>
        </w:rPr>
        <w:t> </w:t>
      </w:r>
      <w:r>
        <w:rPr/>
        <w:t>with</w:t>
      </w:r>
      <w:r>
        <w:rPr>
          <w:spacing w:val="-1"/>
        </w:rPr>
        <w:t> </w:t>
      </w:r>
      <w:r>
        <w:rPr/>
        <w:t>higher than</w:t>
      </w:r>
      <w:r>
        <w:rPr>
          <w:spacing w:val="-6"/>
        </w:rPr>
        <w:t> </w:t>
      </w:r>
      <w:r>
        <w:rPr/>
        <w:t>average</w:t>
      </w:r>
      <w:r>
        <w:rPr>
          <w:spacing w:val="-2"/>
        </w:rPr>
        <w:t> </w:t>
      </w:r>
      <w:r>
        <w:rPr/>
        <w:t>E.Q.'s</w:t>
      </w:r>
      <w:r>
        <w:rPr>
          <w:spacing w:val="-3"/>
        </w:rPr>
        <w:t> </w:t>
      </w:r>
      <w:r>
        <w:rPr/>
        <w:t>are in general more successful in meeting environmental</w:t>
      </w:r>
      <w:r>
        <w:rPr>
          <w:spacing w:val="-1"/>
        </w:rPr>
        <w:t> </w:t>
      </w:r>
      <w:r>
        <w:rPr/>
        <w:t>demands and pressures. He also notes that a deficiency in emotional intelligence can mean a lack of success and the existence of emotional problems. Problems in coping with one's environment is thought, by Bar-On, to be especially common among those individuals lacking in the subscales of reality testing, problem solving, stress tolerance, and impulse control. In general, Bar-On considers emotional intelligence and cognitive intelligence to contribute</w:t>
      </w:r>
      <w:r>
        <w:rPr>
          <w:spacing w:val="-2"/>
        </w:rPr>
        <w:t> </w:t>
      </w:r>
      <w:r>
        <w:rPr/>
        <w:t>equally</w:t>
      </w:r>
      <w:r>
        <w:rPr>
          <w:spacing w:val="-5"/>
        </w:rPr>
        <w:t> </w:t>
      </w:r>
      <w:r>
        <w:rPr/>
        <w:t>to a</w:t>
      </w:r>
      <w:r>
        <w:rPr>
          <w:spacing w:val="-6"/>
        </w:rPr>
        <w:t> </w:t>
      </w:r>
      <w:r>
        <w:rPr/>
        <w:t>person's</w:t>
      </w:r>
      <w:r>
        <w:rPr>
          <w:spacing w:val="-3"/>
        </w:rPr>
        <w:t> </w:t>
      </w:r>
      <w:r>
        <w:rPr/>
        <w:t>general</w:t>
      </w:r>
      <w:r>
        <w:rPr>
          <w:spacing w:val="-5"/>
        </w:rPr>
        <w:t> </w:t>
      </w:r>
      <w:r>
        <w:rPr/>
        <w:t>intelligence, which</w:t>
      </w:r>
      <w:r>
        <w:rPr>
          <w:spacing w:val="-5"/>
        </w:rPr>
        <w:t> </w:t>
      </w:r>
      <w:r>
        <w:rPr/>
        <w:t>then</w:t>
      </w:r>
      <w:r>
        <w:rPr>
          <w:spacing w:val="-5"/>
        </w:rPr>
        <w:t> </w:t>
      </w:r>
      <w:r>
        <w:rPr/>
        <w:t>offers</w:t>
      </w:r>
      <w:r>
        <w:rPr>
          <w:spacing w:val="-3"/>
        </w:rPr>
        <w:t> </w:t>
      </w:r>
      <w:r>
        <w:rPr/>
        <w:t>an</w:t>
      </w:r>
      <w:r>
        <w:rPr>
          <w:spacing w:val="-1"/>
        </w:rPr>
        <w:t> </w:t>
      </w:r>
      <w:r>
        <w:rPr/>
        <w:t>indication</w:t>
      </w:r>
      <w:r>
        <w:rPr>
          <w:spacing w:val="-5"/>
        </w:rPr>
        <w:t> </w:t>
      </w:r>
      <w:r>
        <w:rPr/>
        <w:t>of one's potential to succeed in life (Bar-On, 2002).</w:t>
      </w:r>
    </w:p>
    <w:p>
      <w:pPr>
        <w:spacing w:after="0" w:line="480" w:lineRule="auto"/>
        <w:sectPr>
          <w:pgSz w:w="11910" w:h="16840"/>
          <w:pgMar w:header="0" w:footer="1012" w:top="1340" w:bottom="1200" w:left="1680" w:right="280"/>
        </w:sectPr>
      </w:pPr>
    </w:p>
    <w:p>
      <w:pPr>
        <w:pStyle w:val="Heading3"/>
        <w:spacing w:before="78"/>
        <w:ind w:left="480" w:firstLine="0"/>
      </w:pPr>
      <w:r>
        <w:rPr/>
        <w:t>Table</w:t>
      </w:r>
      <w:r>
        <w:rPr>
          <w:spacing w:val="-1"/>
        </w:rPr>
        <w:t> </w:t>
      </w:r>
      <w:r>
        <w:rPr/>
        <w:t>1:</w:t>
      </w:r>
      <w:r>
        <w:rPr>
          <w:spacing w:val="61"/>
        </w:rPr>
        <w:t> </w:t>
      </w:r>
      <w:r>
        <w:rPr/>
        <w:t>Bar-On’s</w:t>
      </w:r>
      <w:r>
        <w:rPr>
          <w:spacing w:val="-6"/>
        </w:rPr>
        <w:t> </w:t>
      </w:r>
      <w:r>
        <w:rPr/>
        <w:t>Model</w:t>
      </w:r>
      <w:r>
        <w:rPr>
          <w:spacing w:val="-5"/>
        </w:rPr>
        <w:t> </w:t>
      </w:r>
      <w:r>
        <w:rPr/>
        <w:t>of</w:t>
      </w:r>
      <w:r>
        <w:rPr>
          <w:spacing w:val="-3"/>
        </w:rPr>
        <w:t> </w:t>
      </w:r>
      <w:r>
        <w:rPr/>
        <w:t>emotional</w:t>
      </w:r>
      <w:r>
        <w:rPr>
          <w:spacing w:val="-4"/>
        </w:rPr>
        <w:t> </w:t>
      </w:r>
      <w:r>
        <w:rPr>
          <w:spacing w:val="-2"/>
        </w:rPr>
        <w:t>Intelligence</w:t>
      </w:r>
    </w:p>
    <w:p>
      <w:pPr>
        <w:pStyle w:val="BodyText"/>
        <w:spacing w:before="50"/>
        <w:ind w:left="0"/>
        <w:jc w:val="left"/>
        <w:rPr>
          <w:b/>
          <w:sz w:val="20"/>
        </w:rPr>
      </w:pPr>
    </w:p>
    <w:tbl>
      <w:tblPr>
        <w:tblW w:w="0" w:type="auto"/>
        <w:jc w:val="left"/>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58"/>
        <w:gridCol w:w="5203"/>
      </w:tblGrid>
      <w:tr>
        <w:trPr>
          <w:trHeight w:val="359" w:hRule="atLeast"/>
        </w:trPr>
        <w:tc>
          <w:tcPr>
            <w:tcW w:w="3558" w:type="dxa"/>
            <w:tcBorders>
              <w:top w:val="single" w:sz="4" w:space="0" w:color="000000"/>
              <w:bottom w:val="single" w:sz="4" w:space="0" w:color="000000"/>
            </w:tcBorders>
          </w:tcPr>
          <w:p>
            <w:pPr>
              <w:pStyle w:val="TableParagraph"/>
              <w:ind w:left="117"/>
              <w:rPr>
                <w:b/>
                <w:sz w:val="20"/>
              </w:rPr>
            </w:pPr>
            <w:r>
              <w:rPr>
                <w:b/>
                <w:spacing w:val="-2"/>
                <w:sz w:val="20"/>
              </w:rPr>
              <w:t>Components</w:t>
            </w:r>
          </w:p>
        </w:tc>
        <w:tc>
          <w:tcPr>
            <w:tcW w:w="5203" w:type="dxa"/>
            <w:tcBorders>
              <w:top w:val="single" w:sz="4" w:space="0" w:color="000000"/>
              <w:bottom w:val="single" w:sz="4" w:space="0" w:color="000000"/>
            </w:tcBorders>
          </w:tcPr>
          <w:p>
            <w:pPr>
              <w:pStyle w:val="TableParagraph"/>
              <w:ind w:left="1212"/>
              <w:rPr>
                <w:b/>
                <w:sz w:val="20"/>
              </w:rPr>
            </w:pPr>
            <w:r>
              <w:rPr>
                <w:b/>
                <w:spacing w:val="-2"/>
                <w:sz w:val="20"/>
              </w:rPr>
              <w:t>Sub-Components</w:t>
            </w:r>
          </w:p>
        </w:tc>
      </w:tr>
      <w:tr>
        <w:trPr>
          <w:trHeight w:val="673" w:hRule="atLeast"/>
        </w:trPr>
        <w:tc>
          <w:tcPr>
            <w:tcW w:w="3558" w:type="dxa"/>
            <w:tcBorders>
              <w:top w:val="single" w:sz="4" w:space="0" w:color="000000"/>
            </w:tcBorders>
          </w:tcPr>
          <w:p>
            <w:pPr>
              <w:pStyle w:val="TableParagraph"/>
              <w:spacing w:line="226" w:lineRule="exact"/>
              <w:ind w:left="117"/>
              <w:rPr>
                <w:sz w:val="20"/>
              </w:rPr>
            </w:pPr>
            <w:r>
              <w:rPr>
                <w:spacing w:val="-2"/>
                <w:sz w:val="20"/>
              </w:rPr>
              <w:t>Intrapersonal</w:t>
            </w:r>
          </w:p>
        </w:tc>
        <w:tc>
          <w:tcPr>
            <w:tcW w:w="5203" w:type="dxa"/>
            <w:tcBorders>
              <w:top w:val="single" w:sz="4" w:space="0" w:color="000000"/>
            </w:tcBorders>
          </w:tcPr>
          <w:p>
            <w:pPr>
              <w:pStyle w:val="TableParagraph"/>
              <w:spacing w:line="276" w:lineRule="auto"/>
              <w:ind w:left="1212"/>
              <w:rPr>
                <w:sz w:val="20"/>
              </w:rPr>
            </w:pPr>
            <w:r>
              <w:rPr>
                <w:sz w:val="20"/>
              </w:rPr>
              <w:t>Self Regard emotional Self-Awareness Assertiveness</w:t>
            </w:r>
            <w:r>
              <w:rPr>
                <w:spacing w:val="-13"/>
                <w:sz w:val="20"/>
              </w:rPr>
              <w:t> </w:t>
            </w:r>
            <w:r>
              <w:rPr>
                <w:sz w:val="20"/>
              </w:rPr>
              <w:t>Independence</w:t>
            </w:r>
            <w:r>
              <w:rPr>
                <w:spacing w:val="-12"/>
                <w:sz w:val="20"/>
              </w:rPr>
              <w:t> </w:t>
            </w:r>
            <w:r>
              <w:rPr>
                <w:sz w:val="20"/>
              </w:rPr>
              <w:t>Self-Actualization</w:t>
            </w:r>
          </w:p>
        </w:tc>
      </w:tr>
      <w:tr>
        <w:trPr>
          <w:trHeight w:val="741" w:hRule="atLeast"/>
        </w:trPr>
        <w:tc>
          <w:tcPr>
            <w:tcW w:w="3558" w:type="dxa"/>
          </w:tcPr>
          <w:p>
            <w:pPr>
              <w:pStyle w:val="TableParagraph"/>
              <w:spacing w:before="176"/>
              <w:ind w:left="117"/>
              <w:rPr>
                <w:sz w:val="20"/>
              </w:rPr>
            </w:pPr>
            <w:r>
              <w:rPr>
                <w:spacing w:val="-2"/>
                <w:sz w:val="20"/>
              </w:rPr>
              <w:t>Interpersonal</w:t>
            </w:r>
          </w:p>
        </w:tc>
        <w:tc>
          <w:tcPr>
            <w:tcW w:w="5203" w:type="dxa"/>
          </w:tcPr>
          <w:p>
            <w:pPr>
              <w:pStyle w:val="TableParagraph"/>
              <w:spacing w:line="276" w:lineRule="auto" w:before="176"/>
              <w:ind w:left="1212"/>
              <w:rPr>
                <w:sz w:val="20"/>
              </w:rPr>
            </w:pPr>
            <w:r>
              <w:rPr>
                <w:sz w:val="20"/>
              </w:rPr>
              <w:t>Empathy</w:t>
            </w:r>
            <w:r>
              <w:rPr>
                <w:spacing w:val="-13"/>
                <w:sz w:val="20"/>
              </w:rPr>
              <w:t> </w:t>
            </w:r>
            <w:r>
              <w:rPr>
                <w:sz w:val="20"/>
              </w:rPr>
              <w:t>social</w:t>
            </w:r>
            <w:r>
              <w:rPr>
                <w:spacing w:val="-12"/>
                <w:sz w:val="20"/>
              </w:rPr>
              <w:t> </w:t>
            </w:r>
            <w:r>
              <w:rPr>
                <w:sz w:val="20"/>
              </w:rPr>
              <w:t>responsibility</w:t>
            </w:r>
            <w:r>
              <w:rPr>
                <w:spacing w:val="-13"/>
                <w:sz w:val="20"/>
              </w:rPr>
              <w:t> </w:t>
            </w:r>
            <w:r>
              <w:rPr>
                <w:sz w:val="20"/>
              </w:rPr>
              <w:t>Interpersonal </w:t>
            </w:r>
            <w:r>
              <w:rPr>
                <w:spacing w:val="-2"/>
                <w:sz w:val="20"/>
              </w:rPr>
              <w:t>Relationship</w:t>
            </w:r>
          </w:p>
        </w:tc>
      </w:tr>
      <w:tr>
        <w:trPr>
          <w:trHeight w:val="398" w:hRule="atLeast"/>
        </w:trPr>
        <w:tc>
          <w:tcPr>
            <w:tcW w:w="3558" w:type="dxa"/>
          </w:tcPr>
          <w:p>
            <w:pPr>
              <w:pStyle w:val="TableParagraph"/>
              <w:spacing w:before="63"/>
              <w:ind w:left="117"/>
              <w:rPr>
                <w:sz w:val="20"/>
              </w:rPr>
            </w:pPr>
            <w:r>
              <w:rPr>
                <w:spacing w:val="-2"/>
                <w:sz w:val="20"/>
              </w:rPr>
              <w:t>Adaptability</w:t>
            </w:r>
          </w:p>
        </w:tc>
        <w:tc>
          <w:tcPr>
            <w:tcW w:w="5203" w:type="dxa"/>
          </w:tcPr>
          <w:p>
            <w:pPr>
              <w:pStyle w:val="TableParagraph"/>
              <w:spacing w:before="63"/>
              <w:ind w:left="1212"/>
              <w:rPr>
                <w:sz w:val="20"/>
              </w:rPr>
            </w:pPr>
            <w:r>
              <w:rPr>
                <w:sz w:val="20"/>
              </w:rPr>
              <w:t>Reality</w:t>
            </w:r>
            <w:r>
              <w:rPr>
                <w:spacing w:val="-13"/>
                <w:sz w:val="20"/>
              </w:rPr>
              <w:t> </w:t>
            </w:r>
            <w:r>
              <w:rPr>
                <w:sz w:val="20"/>
              </w:rPr>
              <w:t>Testing</w:t>
            </w:r>
            <w:r>
              <w:rPr>
                <w:spacing w:val="-12"/>
                <w:sz w:val="20"/>
              </w:rPr>
              <w:t> </w:t>
            </w:r>
            <w:r>
              <w:rPr>
                <w:sz w:val="20"/>
              </w:rPr>
              <w:t>Flexibility</w:t>
            </w:r>
            <w:r>
              <w:rPr>
                <w:spacing w:val="-12"/>
                <w:sz w:val="20"/>
              </w:rPr>
              <w:t> </w:t>
            </w:r>
            <w:r>
              <w:rPr>
                <w:sz w:val="20"/>
              </w:rPr>
              <w:t>Problem</w:t>
            </w:r>
            <w:r>
              <w:rPr>
                <w:spacing w:val="-3"/>
                <w:sz w:val="20"/>
              </w:rPr>
              <w:t> </w:t>
            </w:r>
            <w:r>
              <w:rPr>
                <w:spacing w:val="-2"/>
                <w:sz w:val="20"/>
              </w:rPr>
              <w:t>Solving</w:t>
            </w:r>
          </w:p>
        </w:tc>
      </w:tr>
      <w:tr>
        <w:trPr>
          <w:trHeight w:val="396" w:hRule="atLeast"/>
        </w:trPr>
        <w:tc>
          <w:tcPr>
            <w:tcW w:w="3558" w:type="dxa"/>
          </w:tcPr>
          <w:p>
            <w:pPr>
              <w:pStyle w:val="TableParagraph"/>
              <w:spacing w:before="97"/>
              <w:ind w:left="117"/>
              <w:rPr>
                <w:sz w:val="20"/>
              </w:rPr>
            </w:pPr>
            <w:r>
              <w:rPr>
                <w:sz w:val="20"/>
              </w:rPr>
              <w:t>Stress</w:t>
            </w:r>
            <w:r>
              <w:rPr>
                <w:spacing w:val="-2"/>
                <w:sz w:val="20"/>
              </w:rPr>
              <w:t> Management</w:t>
            </w:r>
          </w:p>
        </w:tc>
        <w:tc>
          <w:tcPr>
            <w:tcW w:w="5203" w:type="dxa"/>
          </w:tcPr>
          <w:p>
            <w:pPr>
              <w:pStyle w:val="TableParagraph"/>
              <w:spacing w:before="97"/>
              <w:ind w:left="1212"/>
              <w:rPr>
                <w:sz w:val="20"/>
              </w:rPr>
            </w:pPr>
            <w:r>
              <w:rPr>
                <w:sz w:val="20"/>
              </w:rPr>
              <w:t>Stress</w:t>
            </w:r>
            <w:r>
              <w:rPr>
                <w:spacing w:val="-6"/>
                <w:sz w:val="20"/>
              </w:rPr>
              <w:t> </w:t>
            </w:r>
            <w:r>
              <w:rPr>
                <w:sz w:val="20"/>
              </w:rPr>
              <w:t>tolerance</w:t>
            </w:r>
            <w:r>
              <w:rPr>
                <w:spacing w:val="-8"/>
                <w:sz w:val="20"/>
              </w:rPr>
              <w:t> </w:t>
            </w:r>
            <w:r>
              <w:rPr>
                <w:sz w:val="20"/>
              </w:rPr>
              <w:t>Impulse</w:t>
            </w:r>
            <w:r>
              <w:rPr>
                <w:spacing w:val="-11"/>
                <w:sz w:val="20"/>
              </w:rPr>
              <w:t> </w:t>
            </w:r>
            <w:r>
              <w:rPr>
                <w:spacing w:val="-2"/>
                <w:sz w:val="20"/>
              </w:rPr>
              <w:t>Control</w:t>
            </w:r>
          </w:p>
        </w:tc>
      </w:tr>
      <w:tr>
        <w:trPr>
          <w:trHeight w:val="391" w:hRule="atLeast"/>
        </w:trPr>
        <w:tc>
          <w:tcPr>
            <w:tcW w:w="3558" w:type="dxa"/>
            <w:tcBorders>
              <w:bottom w:val="single" w:sz="4" w:space="0" w:color="000000"/>
            </w:tcBorders>
          </w:tcPr>
          <w:p>
            <w:pPr>
              <w:pStyle w:val="TableParagraph"/>
              <w:spacing w:before="61"/>
              <w:ind w:left="117"/>
              <w:rPr>
                <w:sz w:val="20"/>
              </w:rPr>
            </w:pPr>
            <w:r>
              <w:rPr>
                <w:sz w:val="20"/>
              </w:rPr>
              <w:t>General</w:t>
            </w:r>
            <w:r>
              <w:rPr>
                <w:spacing w:val="-10"/>
                <w:sz w:val="20"/>
              </w:rPr>
              <w:t> </w:t>
            </w:r>
            <w:r>
              <w:rPr>
                <w:sz w:val="20"/>
              </w:rPr>
              <w:t>Mood</w:t>
            </w:r>
            <w:r>
              <w:rPr>
                <w:spacing w:val="-6"/>
                <w:sz w:val="20"/>
              </w:rPr>
              <w:t> </w:t>
            </w:r>
            <w:r>
              <w:rPr>
                <w:spacing w:val="-2"/>
                <w:sz w:val="20"/>
              </w:rPr>
              <w:t>Components</w:t>
            </w:r>
          </w:p>
        </w:tc>
        <w:tc>
          <w:tcPr>
            <w:tcW w:w="5203" w:type="dxa"/>
            <w:tcBorders>
              <w:bottom w:val="single" w:sz="4" w:space="0" w:color="000000"/>
            </w:tcBorders>
          </w:tcPr>
          <w:p>
            <w:pPr>
              <w:pStyle w:val="TableParagraph"/>
              <w:spacing w:before="61"/>
              <w:ind w:left="1212"/>
              <w:rPr>
                <w:sz w:val="20"/>
              </w:rPr>
            </w:pPr>
            <w:r>
              <w:rPr>
                <w:sz w:val="20"/>
              </w:rPr>
              <w:t>Optinism</w:t>
            </w:r>
            <w:r>
              <w:rPr>
                <w:spacing w:val="-2"/>
                <w:sz w:val="20"/>
              </w:rPr>
              <w:t> Happiness</w:t>
            </w:r>
          </w:p>
        </w:tc>
      </w:tr>
    </w:tbl>
    <w:p>
      <w:pPr>
        <w:pStyle w:val="BodyText"/>
        <w:ind w:left="0"/>
        <w:jc w:val="left"/>
        <w:rPr>
          <w:b/>
        </w:rPr>
      </w:pPr>
    </w:p>
    <w:p>
      <w:pPr>
        <w:pStyle w:val="BodyText"/>
        <w:ind w:left="0"/>
        <w:jc w:val="left"/>
        <w:rPr>
          <w:b/>
        </w:rPr>
      </w:pPr>
    </w:p>
    <w:p>
      <w:pPr>
        <w:spacing w:before="0"/>
        <w:ind w:left="480" w:right="0" w:firstLine="0"/>
        <w:jc w:val="both"/>
        <w:rPr>
          <w:b/>
          <w:sz w:val="24"/>
        </w:rPr>
      </w:pPr>
      <w:r>
        <w:rPr>
          <w:b/>
          <w:sz w:val="24"/>
        </w:rPr>
        <w:t>Goleman:</w:t>
      </w:r>
      <w:r>
        <w:rPr>
          <w:b/>
          <w:spacing w:val="1"/>
          <w:sz w:val="24"/>
        </w:rPr>
        <w:t> </w:t>
      </w:r>
      <w:r>
        <w:rPr>
          <w:b/>
          <w:sz w:val="24"/>
        </w:rPr>
        <w:t>A</w:t>
      </w:r>
      <w:r>
        <w:rPr>
          <w:b/>
          <w:spacing w:val="-5"/>
          <w:sz w:val="24"/>
        </w:rPr>
        <w:t> </w:t>
      </w:r>
      <w:r>
        <w:rPr>
          <w:b/>
          <w:sz w:val="24"/>
        </w:rPr>
        <w:t>Mixed Model</w:t>
      </w:r>
      <w:r>
        <w:rPr>
          <w:b/>
          <w:spacing w:val="-4"/>
          <w:sz w:val="24"/>
        </w:rPr>
        <w:t> </w:t>
      </w:r>
      <w:r>
        <w:rPr>
          <w:b/>
          <w:sz w:val="24"/>
        </w:rPr>
        <w:t>of</w:t>
      </w:r>
      <w:r>
        <w:rPr>
          <w:b/>
          <w:spacing w:val="-3"/>
          <w:sz w:val="24"/>
        </w:rPr>
        <w:t> </w:t>
      </w:r>
      <w:r>
        <w:rPr>
          <w:b/>
          <w:sz w:val="24"/>
        </w:rPr>
        <w:t>Emotional</w:t>
      </w:r>
      <w:r>
        <w:rPr>
          <w:b/>
          <w:spacing w:val="-4"/>
          <w:sz w:val="24"/>
        </w:rPr>
        <w:t> </w:t>
      </w:r>
      <w:r>
        <w:rPr>
          <w:b/>
          <w:spacing w:val="-2"/>
          <w:sz w:val="24"/>
        </w:rPr>
        <w:t>Intelligence</w:t>
      </w:r>
    </w:p>
    <w:p>
      <w:pPr>
        <w:pStyle w:val="BodyText"/>
        <w:spacing w:line="480" w:lineRule="auto" w:before="272"/>
        <w:ind w:right="1154" w:firstLine="720"/>
      </w:pPr>
      <w:r>
        <w:rPr/>
        <w:t>Daniel</w:t>
      </w:r>
      <w:r>
        <w:rPr>
          <w:spacing w:val="-2"/>
        </w:rPr>
        <w:t> </w:t>
      </w:r>
      <w:r>
        <w:rPr/>
        <w:t>Goleman, a</w:t>
      </w:r>
      <w:r>
        <w:rPr>
          <w:spacing w:val="-3"/>
        </w:rPr>
        <w:t> </w:t>
      </w:r>
      <w:r>
        <w:rPr/>
        <w:t>psychologist and science writer</w:t>
      </w:r>
      <w:r>
        <w:rPr>
          <w:spacing w:val="-1"/>
        </w:rPr>
        <w:t> </w:t>
      </w:r>
      <w:r>
        <w:rPr/>
        <w:t>who has</w:t>
      </w:r>
      <w:r>
        <w:rPr>
          <w:spacing w:val="-3"/>
        </w:rPr>
        <w:t> </w:t>
      </w:r>
      <w:r>
        <w:rPr/>
        <w:t>previously</w:t>
      </w:r>
      <w:r>
        <w:rPr>
          <w:spacing w:val="-6"/>
        </w:rPr>
        <w:t> </w:t>
      </w:r>
      <w:r>
        <w:rPr/>
        <w:t>written on brain and behaviour research for the New York Times, discovered the work of Salovey and Mayer in the 1990's. Inspired by their findings, he began to conduct his own research in the area and eventually wrote Emotional Intelligence(1995), the landmark book which familiarized both</w:t>
      </w:r>
      <w:r>
        <w:rPr>
          <w:spacing w:val="-1"/>
        </w:rPr>
        <w:t> </w:t>
      </w:r>
      <w:r>
        <w:rPr/>
        <w:t>the public and private sectors with</w:t>
      </w:r>
      <w:r>
        <w:rPr>
          <w:spacing w:val="-1"/>
        </w:rPr>
        <w:t> </w:t>
      </w:r>
      <w:r>
        <w:rPr/>
        <w:t>the idea of emotional intelligence. Goleman's model outlines four main emotional intelligence constructs. The first, self-awareness, is the ability to read one's emotions and</w:t>
      </w:r>
      <w:r>
        <w:rPr>
          <w:spacing w:val="40"/>
        </w:rPr>
        <w:t> </w:t>
      </w:r>
      <w:r>
        <w:rPr/>
        <w:t>recognize their impact while using gut feelings to guide decisions. Self-management, the second construct, involves controlling one's emotions and impulses and adapting</w:t>
      </w:r>
      <w:r>
        <w:rPr>
          <w:spacing w:val="40"/>
        </w:rPr>
        <w:t> </w:t>
      </w:r>
      <w:r>
        <w:rPr/>
        <w:t>to changing circumstances. The third construct, social awareness, includes the ability to sense, understand, and react to other's emotions while comprehending social networks. Finally, relationship management, the fourth</w:t>
      </w:r>
      <w:r>
        <w:rPr>
          <w:spacing w:val="-2"/>
        </w:rPr>
        <w:t> </w:t>
      </w:r>
      <w:r>
        <w:rPr/>
        <w:t>construct, entails the ability</w:t>
      </w:r>
      <w:r>
        <w:rPr>
          <w:spacing w:val="-2"/>
        </w:rPr>
        <w:t> </w:t>
      </w:r>
      <w:r>
        <w:rPr/>
        <w:t>to inspire, influence, and develop others while managing conflict (Goleman, 1998).</w:t>
      </w:r>
    </w:p>
    <w:p>
      <w:pPr>
        <w:pStyle w:val="BodyText"/>
        <w:spacing w:line="480" w:lineRule="auto" w:before="2"/>
        <w:ind w:right="1163" w:firstLine="720"/>
      </w:pPr>
      <w:r>
        <w:rPr/>
        <w:t>Goleman includes a set of emotional competencies within each construct of emotional intelligence. Emotional competencies are not innate talents, but rather learned capabilities that must be worked on and developed to achieve outstanding performance.</w:t>
      </w:r>
      <w:r>
        <w:rPr>
          <w:spacing w:val="61"/>
        </w:rPr>
        <w:t> </w:t>
      </w:r>
      <w:r>
        <w:rPr/>
        <w:t>Goleman</w:t>
      </w:r>
      <w:r>
        <w:rPr>
          <w:spacing w:val="57"/>
        </w:rPr>
        <w:t> </w:t>
      </w:r>
      <w:r>
        <w:rPr/>
        <w:t>posits</w:t>
      </w:r>
      <w:r>
        <w:rPr>
          <w:spacing w:val="60"/>
        </w:rPr>
        <w:t> </w:t>
      </w:r>
      <w:r>
        <w:rPr/>
        <w:t>that</w:t>
      </w:r>
      <w:r>
        <w:rPr>
          <w:spacing w:val="66"/>
        </w:rPr>
        <w:t> </w:t>
      </w:r>
      <w:r>
        <w:rPr/>
        <w:t>individuals</w:t>
      </w:r>
      <w:r>
        <w:rPr>
          <w:spacing w:val="60"/>
        </w:rPr>
        <w:t> </w:t>
      </w:r>
      <w:r>
        <w:rPr/>
        <w:t>are</w:t>
      </w:r>
      <w:r>
        <w:rPr>
          <w:spacing w:val="61"/>
        </w:rPr>
        <w:t> </w:t>
      </w:r>
      <w:r>
        <w:rPr/>
        <w:t>born</w:t>
      </w:r>
      <w:r>
        <w:rPr>
          <w:spacing w:val="56"/>
        </w:rPr>
        <w:t> </w:t>
      </w:r>
      <w:r>
        <w:rPr/>
        <w:t>with</w:t>
      </w:r>
      <w:r>
        <w:rPr>
          <w:spacing w:val="57"/>
        </w:rPr>
        <w:t> </w:t>
      </w:r>
      <w:r>
        <w:rPr/>
        <w:t>a</w:t>
      </w:r>
      <w:r>
        <w:rPr>
          <w:spacing w:val="61"/>
        </w:rPr>
        <w:t> </w:t>
      </w:r>
      <w:r>
        <w:rPr/>
        <w:t>general</w:t>
      </w:r>
      <w:r>
        <w:rPr>
          <w:spacing w:val="58"/>
        </w:rPr>
        <w:t> </w:t>
      </w:r>
      <w:r>
        <w:rPr>
          <w:spacing w:val="-2"/>
        </w:rPr>
        <w:t>emotional</w:t>
      </w:r>
    </w:p>
    <w:p>
      <w:pPr>
        <w:spacing w:after="0" w:line="480" w:lineRule="auto"/>
        <w:sectPr>
          <w:pgSz w:w="11910" w:h="16840"/>
          <w:pgMar w:header="0" w:footer="1012" w:top="1340" w:bottom="1200" w:left="1680" w:right="280"/>
        </w:sectPr>
      </w:pPr>
    </w:p>
    <w:p>
      <w:pPr>
        <w:pStyle w:val="BodyText"/>
        <w:spacing w:line="480" w:lineRule="auto" w:before="74"/>
        <w:ind w:right="1156"/>
      </w:pPr>
      <w:r>
        <w:rPr/>
        <w:t>intelligence that determines their potential for learning emotional competencies. The organization of the competencies under the various constructs is not random; they appear in synergistic clusters or groupings that support and facilitate each other (Boyatzis, Goleman, &amp; Rhee -Stys &amp; Shelley, 2004) Table 2 illustrates Goleman's conceptual model of emotional intelligence and corresponding emotional competencies. The constructs and competencies fall under one of four categories: the recognition of emotions in oneself or others and the regulation of emotion in oneself or others.</w:t>
      </w:r>
    </w:p>
    <w:p>
      <w:pPr>
        <w:pStyle w:val="Heading3"/>
        <w:spacing w:before="6"/>
        <w:ind w:left="480" w:firstLine="0"/>
      </w:pPr>
      <w:r>
        <w:rPr/>
        <w:t>Table</w:t>
      </w:r>
      <w:r>
        <w:rPr>
          <w:spacing w:val="-6"/>
        </w:rPr>
        <w:t> </w:t>
      </w:r>
      <w:r>
        <w:rPr/>
        <w:t>2:</w:t>
      </w:r>
      <w:r>
        <w:rPr>
          <w:spacing w:val="-1"/>
        </w:rPr>
        <w:t> </w:t>
      </w:r>
      <w:r>
        <w:rPr/>
        <w:t>Goleman's</w:t>
      </w:r>
      <w:r>
        <w:rPr>
          <w:spacing w:val="-4"/>
        </w:rPr>
        <w:t> </w:t>
      </w:r>
      <w:r>
        <w:rPr/>
        <w:t>(2001)</w:t>
      </w:r>
      <w:r>
        <w:rPr>
          <w:spacing w:val="-1"/>
        </w:rPr>
        <w:t> </w:t>
      </w:r>
      <w:r>
        <w:rPr/>
        <w:t>Emotional</w:t>
      </w:r>
      <w:r>
        <w:rPr>
          <w:spacing w:val="-6"/>
        </w:rPr>
        <w:t> </w:t>
      </w:r>
      <w:r>
        <w:rPr/>
        <w:t>Intelligence</w:t>
      </w:r>
      <w:r>
        <w:rPr>
          <w:spacing w:val="-3"/>
        </w:rPr>
        <w:t> </w:t>
      </w:r>
      <w:r>
        <w:rPr>
          <w:spacing w:val="-2"/>
        </w:rPr>
        <w:t>Competencies</w:t>
      </w:r>
    </w:p>
    <w:p>
      <w:pPr>
        <w:pStyle w:val="BodyText"/>
        <w:spacing w:before="50"/>
        <w:ind w:left="0"/>
        <w:jc w:val="left"/>
        <w:rPr>
          <w:b/>
          <w:sz w:val="20"/>
        </w:rPr>
      </w:pPr>
    </w:p>
    <w:tbl>
      <w:tblPr>
        <w:tblW w:w="0" w:type="auto"/>
        <w:jc w:val="left"/>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6"/>
        <w:gridCol w:w="3270"/>
        <w:gridCol w:w="3333"/>
      </w:tblGrid>
      <w:tr>
        <w:trPr>
          <w:trHeight w:val="950" w:hRule="atLeast"/>
        </w:trPr>
        <w:tc>
          <w:tcPr>
            <w:tcW w:w="2506" w:type="dxa"/>
            <w:tcBorders>
              <w:top w:val="single" w:sz="4" w:space="0" w:color="000000"/>
              <w:bottom w:val="single" w:sz="4" w:space="0" w:color="000000"/>
            </w:tcBorders>
          </w:tcPr>
          <w:p>
            <w:pPr>
              <w:pStyle w:val="TableParagraph"/>
              <w:rPr>
                <w:sz w:val="24"/>
              </w:rPr>
            </w:pPr>
          </w:p>
        </w:tc>
        <w:tc>
          <w:tcPr>
            <w:tcW w:w="3270" w:type="dxa"/>
            <w:tcBorders>
              <w:top w:val="single" w:sz="4" w:space="0" w:color="000000"/>
              <w:bottom w:val="single" w:sz="4" w:space="0" w:color="000000"/>
            </w:tcBorders>
          </w:tcPr>
          <w:p>
            <w:pPr>
              <w:pStyle w:val="TableParagraph"/>
              <w:spacing w:line="276" w:lineRule="auto"/>
              <w:ind w:left="322" w:right="109"/>
              <w:rPr>
                <w:b/>
                <w:sz w:val="24"/>
              </w:rPr>
            </w:pPr>
            <w:r>
              <w:rPr>
                <w:b/>
                <w:sz w:val="24"/>
              </w:rPr>
              <w:t>Self</w:t>
            </w:r>
            <w:r>
              <w:rPr>
                <w:b/>
                <w:spacing w:val="40"/>
                <w:sz w:val="24"/>
              </w:rPr>
              <w:t> </w:t>
            </w:r>
            <w:r>
              <w:rPr>
                <w:b/>
                <w:sz w:val="24"/>
              </w:rPr>
              <w:t>Personal</w:t>
            </w:r>
            <w:r>
              <w:rPr>
                <w:b/>
                <w:spacing w:val="40"/>
                <w:sz w:val="24"/>
              </w:rPr>
              <w:t> </w:t>
            </w:r>
            <w:r>
              <w:rPr>
                <w:b/>
                <w:sz w:val="24"/>
              </w:rPr>
              <w:t>Competence </w:t>
            </w:r>
            <w:r>
              <w:rPr>
                <w:b/>
                <w:spacing w:val="-2"/>
                <w:sz w:val="24"/>
              </w:rPr>
              <w:t>Self-Awareness</w:t>
            </w:r>
          </w:p>
        </w:tc>
        <w:tc>
          <w:tcPr>
            <w:tcW w:w="3333" w:type="dxa"/>
            <w:tcBorders>
              <w:top w:val="single" w:sz="4" w:space="0" w:color="000000"/>
              <w:bottom w:val="single" w:sz="4" w:space="0" w:color="000000"/>
            </w:tcBorders>
          </w:tcPr>
          <w:p>
            <w:pPr>
              <w:pStyle w:val="TableParagraph"/>
              <w:tabs>
                <w:tab w:pos="1031" w:val="left" w:leader="none"/>
                <w:tab w:pos="1952" w:val="left" w:leader="none"/>
              </w:tabs>
              <w:spacing w:line="276" w:lineRule="auto"/>
              <w:ind w:left="111" w:right="110"/>
              <w:rPr>
                <w:b/>
                <w:sz w:val="24"/>
              </w:rPr>
            </w:pPr>
            <w:r>
              <w:rPr>
                <w:b/>
                <w:spacing w:val="-2"/>
                <w:sz w:val="24"/>
              </w:rPr>
              <w:t>Other</w:t>
            </w:r>
            <w:r>
              <w:rPr>
                <w:b/>
                <w:sz w:val="24"/>
              </w:rPr>
              <w:tab/>
            </w:r>
            <w:r>
              <w:rPr>
                <w:b/>
                <w:spacing w:val="-2"/>
                <w:sz w:val="24"/>
              </w:rPr>
              <w:t>Social</w:t>
            </w:r>
            <w:r>
              <w:rPr>
                <w:b/>
                <w:sz w:val="24"/>
              </w:rPr>
              <w:tab/>
            </w:r>
            <w:r>
              <w:rPr>
                <w:b/>
                <w:spacing w:val="-2"/>
                <w:sz w:val="24"/>
              </w:rPr>
              <w:t>Competence </w:t>
            </w:r>
            <w:r>
              <w:rPr>
                <w:b/>
                <w:sz w:val="24"/>
              </w:rPr>
              <w:t>Social Awareness</w:t>
            </w:r>
          </w:p>
        </w:tc>
      </w:tr>
      <w:tr>
        <w:trPr>
          <w:trHeight w:val="932" w:hRule="atLeast"/>
        </w:trPr>
        <w:tc>
          <w:tcPr>
            <w:tcW w:w="2506" w:type="dxa"/>
            <w:tcBorders>
              <w:top w:val="single" w:sz="4" w:space="0" w:color="000000"/>
            </w:tcBorders>
          </w:tcPr>
          <w:p>
            <w:pPr>
              <w:pStyle w:val="TableParagraph"/>
              <w:rPr>
                <w:b/>
                <w:sz w:val="24"/>
              </w:rPr>
            </w:pPr>
          </w:p>
          <w:p>
            <w:pPr>
              <w:pStyle w:val="TableParagraph"/>
              <w:spacing w:before="78"/>
              <w:rPr>
                <w:b/>
                <w:sz w:val="24"/>
              </w:rPr>
            </w:pPr>
          </w:p>
          <w:p>
            <w:pPr>
              <w:pStyle w:val="TableParagraph"/>
              <w:ind w:right="319"/>
              <w:jc w:val="right"/>
              <w:rPr>
                <w:sz w:val="24"/>
              </w:rPr>
            </w:pPr>
            <w:r>
              <w:rPr>
                <w:spacing w:val="-2"/>
                <w:sz w:val="24"/>
              </w:rPr>
              <w:t>RECOGNITION</w:t>
            </w:r>
          </w:p>
        </w:tc>
        <w:tc>
          <w:tcPr>
            <w:tcW w:w="3270" w:type="dxa"/>
            <w:tcBorders>
              <w:top w:val="single" w:sz="4" w:space="0" w:color="000000"/>
            </w:tcBorders>
          </w:tcPr>
          <w:p>
            <w:pPr>
              <w:pStyle w:val="TableParagraph"/>
              <w:spacing w:line="268" w:lineRule="exact"/>
              <w:ind w:left="322"/>
              <w:rPr>
                <w:sz w:val="24"/>
              </w:rPr>
            </w:pPr>
            <w:r>
              <w:rPr>
                <w:sz w:val="24"/>
              </w:rPr>
              <w:t>Emotional</w:t>
            </w:r>
            <w:r>
              <w:rPr>
                <w:spacing w:val="-8"/>
                <w:sz w:val="24"/>
              </w:rPr>
              <w:t> </w:t>
            </w:r>
            <w:r>
              <w:rPr>
                <w:sz w:val="24"/>
              </w:rPr>
              <w:t>Self-</w:t>
            </w:r>
            <w:r>
              <w:rPr>
                <w:spacing w:val="-2"/>
                <w:sz w:val="24"/>
              </w:rPr>
              <w:t>Awareness</w:t>
            </w:r>
          </w:p>
          <w:p>
            <w:pPr>
              <w:pStyle w:val="TableParagraph"/>
              <w:spacing w:line="310" w:lineRule="atLeast" w:before="11"/>
              <w:ind w:left="322" w:right="426"/>
              <w:rPr>
                <w:sz w:val="24"/>
              </w:rPr>
            </w:pPr>
            <w:r>
              <w:rPr>
                <w:sz w:val="24"/>
              </w:rPr>
              <w:t>Accurate</w:t>
            </w:r>
            <w:r>
              <w:rPr>
                <w:spacing w:val="-15"/>
                <w:sz w:val="24"/>
              </w:rPr>
              <w:t> </w:t>
            </w:r>
            <w:r>
              <w:rPr>
                <w:sz w:val="24"/>
              </w:rPr>
              <w:t>Self-Assessment </w:t>
            </w:r>
            <w:r>
              <w:rPr>
                <w:spacing w:val="-2"/>
                <w:sz w:val="24"/>
              </w:rPr>
              <w:t>Self-confidence</w:t>
            </w:r>
          </w:p>
        </w:tc>
        <w:tc>
          <w:tcPr>
            <w:tcW w:w="3333" w:type="dxa"/>
            <w:tcBorders>
              <w:top w:val="single" w:sz="4" w:space="0" w:color="000000"/>
            </w:tcBorders>
          </w:tcPr>
          <w:p>
            <w:pPr>
              <w:pStyle w:val="TableParagraph"/>
              <w:spacing w:line="268" w:lineRule="exact"/>
              <w:ind w:left="111"/>
              <w:rPr>
                <w:sz w:val="24"/>
              </w:rPr>
            </w:pPr>
            <w:r>
              <w:rPr>
                <w:spacing w:val="-2"/>
                <w:sz w:val="24"/>
              </w:rPr>
              <w:t>Empathy</w:t>
            </w:r>
          </w:p>
          <w:p>
            <w:pPr>
              <w:pStyle w:val="TableParagraph"/>
              <w:spacing w:line="310" w:lineRule="atLeast" w:before="11"/>
              <w:ind w:left="111" w:right="678"/>
              <w:rPr>
                <w:sz w:val="24"/>
              </w:rPr>
            </w:pPr>
            <w:r>
              <w:rPr>
                <w:sz w:val="24"/>
              </w:rPr>
              <w:t>Service Orientation Organizational</w:t>
            </w:r>
            <w:r>
              <w:rPr>
                <w:spacing w:val="-15"/>
                <w:sz w:val="24"/>
              </w:rPr>
              <w:t> </w:t>
            </w:r>
            <w:r>
              <w:rPr>
                <w:sz w:val="24"/>
              </w:rPr>
              <w:t>Awareness</w:t>
            </w:r>
          </w:p>
        </w:tc>
      </w:tr>
      <w:tr>
        <w:trPr>
          <w:trHeight w:val="2880" w:hRule="atLeast"/>
        </w:trPr>
        <w:tc>
          <w:tcPr>
            <w:tcW w:w="2506" w:type="dxa"/>
            <w:tcBorders>
              <w:bottom w:val="single" w:sz="4" w:space="0" w:color="000000"/>
            </w:tcBorders>
          </w:tcPr>
          <w:p>
            <w:pPr>
              <w:pStyle w:val="TableParagraph"/>
              <w:spacing w:before="15"/>
              <w:ind w:right="367"/>
              <w:jc w:val="right"/>
              <w:rPr>
                <w:sz w:val="24"/>
              </w:rPr>
            </w:pPr>
            <w:r>
              <w:rPr>
                <w:spacing w:val="-2"/>
                <w:sz w:val="24"/>
              </w:rPr>
              <w:t>REGULATION</w:t>
            </w:r>
          </w:p>
        </w:tc>
        <w:tc>
          <w:tcPr>
            <w:tcW w:w="3270" w:type="dxa"/>
            <w:tcBorders>
              <w:bottom w:val="single" w:sz="4" w:space="0" w:color="000000"/>
            </w:tcBorders>
          </w:tcPr>
          <w:p>
            <w:pPr>
              <w:pStyle w:val="TableParagraph"/>
              <w:spacing w:line="276" w:lineRule="auto" w:before="20"/>
              <w:ind w:left="322" w:right="975"/>
              <w:rPr>
                <w:sz w:val="24"/>
              </w:rPr>
            </w:pPr>
            <w:r>
              <w:rPr>
                <w:b/>
                <w:sz w:val="24"/>
              </w:rPr>
              <w:t>Self</w:t>
            </w:r>
            <w:r>
              <w:rPr>
                <w:b/>
                <w:spacing w:val="-15"/>
                <w:sz w:val="24"/>
              </w:rPr>
              <w:t> </w:t>
            </w:r>
            <w:r>
              <w:rPr>
                <w:b/>
                <w:sz w:val="24"/>
              </w:rPr>
              <w:t>–</w:t>
            </w:r>
            <w:r>
              <w:rPr>
                <w:b/>
                <w:spacing w:val="-15"/>
                <w:sz w:val="24"/>
              </w:rPr>
              <w:t> </w:t>
            </w:r>
            <w:r>
              <w:rPr>
                <w:b/>
                <w:sz w:val="24"/>
              </w:rPr>
              <w:t>Management </w:t>
            </w:r>
            <w:r>
              <w:rPr>
                <w:spacing w:val="-2"/>
                <w:sz w:val="24"/>
              </w:rPr>
              <w:t>Self-Control Trustworthiness Conscientiousness Adaptability </w:t>
            </w:r>
            <w:r>
              <w:rPr>
                <w:sz w:val="24"/>
              </w:rPr>
              <w:t>Achievement Drive </w:t>
            </w:r>
            <w:r>
              <w:rPr>
                <w:spacing w:val="-2"/>
                <w:sz w:val="24"/>
              </w:rPr>
              <w:t>Initiative</w:t>
            </w:r>
          </w:p>
        </w:tc>
        <w:tc>
          <w:tcPr>
            <w:tcW w:w="3333" w:type="dxa"/>
            <w:tcBorders>
              <w:bottom w:val="single" w:sz="4" w:space="0" w:color="000000"/>
            </w:tcBorders>
          </w:tcPr>
          <w:p>
            <w:pPr>
              <w:pStyle w:val="TableParagraph"/>
              <w:spacing w:line="273" w:lineRule="auto" w:before="20"/>
              <w:ind w:left="111" w:right="522"/>
              <w:rPr>
                <w:sz w:val="24"/>
              </w:rPr>
            </w:pPr>
            <w:r>
              <w:rPr>
                <w:b/>
                <w:sz w:val="24"/>
              </w:rPr>
              <w:t>Relationship</w:t>
            </w:r>
            <w:r>
              <w:rPr>
                <w:b/>
                <w:spacing w:val="-15"/>
                <w:sz w:val="24"/>
              </w:rPr>
              <w:t> </w:t>
            </w:r>
            <w:r>
              <w:rPr>
                <w:b/>
                <w:sz w:val="24"/>
              </w:rPr>
              <w:t>Management </w:t>
            </w:r>
            <w:r>
              <w:rPr>
                <w:sz w:val="24"/>
              </w:rPr>
              <w:t>Developing others</w:t>
            </w:r>
            <w:r>
              <w:rPr>
                <w:spacing w:val="40"/>
                <w:sz w:val="24"/>
              </w:rPr>
              <w:t> </w:t>
            </w:r>
            <w:r>
              <w:rPr>
                <w:spacing w:val="-2"/>
                <w:sz w:val="24"/>
              </w:rPr>
              <w:t>Influence</w:t>
            </w:r>
          </w:p>
          <w:p>
            <w:pPr>
              <w:pStyle w:val="TableParagraph"/>
              <w:spacing w:line="276" w:lineRule="auto" w:before="2"/>
              <w:ind w:left="111" w:right="950"/>
              <w:rPr>
                <w:sz w:val="24"/>
              </w:rPr>
            </w:pPr>
            <w:r>
              <w:rPr>
                <w:spacing w:val="-2"/>
                <w:sz w:val="24"/>
              </w:rPr>
              <w:t>Communication Conflict</w:t>
            </w:r>
            <w:r>
              <w:rPr>
                <w:spacing w:val="-11"/>
                <w:sz w:val="24"/>
              </w:rPr>
              <w:t> </w:t>
            </w:r>
            <w:r>
              <w:rPr>
                <w:spacing w:val="-2"/>
                <w:sz w:val="24"/>
              </w:rPr>
              <w:t>Management Leadership</w:t>
            </w:r>
          </w:p>
          <w:p>
            <w:pPr>
              <w:pStyle w:val="TableParagraph"/>
              <w:spacing w:line="276" w:lineRule="auto" w:before="3"/>
              <w:ind w:left="111" w:right="1637"/>
              <w:rPr>
                <w:sz w:val="24"/>
              </w:rPr>
            </w:pPr>
            <w:r>
              <w:rPr>
                <w:sz w:val="24"/>
              </w:rPr>
              <w:t>Change</w:t>
            </w:r>
            <w:r>
              <w:rPr>
                <w:spacing w:val="-15"/>
                <w:sz w:val="24"/>
              </w:rPr>
              <w:t> </w:t>
            </w:r>
            <w:r>
              <w:rPr>
                <w:sz w:val="24"/>
              </w:rPr>
              <w:t>Catalyst Building Bonds</w:t>
            </w:r>
          </w:p>
          <w:p>
            <w:pPr>
              <w:pStyle w:val="TableParagraph"/>
              <w:spacing w:line="275" w:lineRule="exact"/>
              <w:ind w:left="111"/>
              <w:rPr>
                <w:sz w:val="24"/>
              </w:rPr>
            </w:pPr>
            <w:r>
              <w:rPr>
                <w:sz w:val="24"/>
              </w:rPr>
              <w:t>Teamwork</w:t>
            </w:r>
            <w:r>
              <w:rPr>
                <w:spacing w:val="-2"/>
                <w:sz w:val="24"/>
              </w:rPr>
              <w:t> </w:t>
            </w:r>
            <w:r>
              <w:rPr>
                <w:sz w:val="24"/>
              </w:rPr>
              <w:t>and</w:t>
            </w:r>
            <w:r>
              <w:rPr>
                <w:spacing w:val="-2"/>
                <w:sz w:val="24"/>
              </w:rPr>
              <w:t> Collaboration</w:t>
            </w:r>
          </w:p>
        </w:tc>
      </w:tr>
    </w:tbl>
    <w:p>
      <w:pPr>
        <w:pStyle w:val="BodyText"/>
        <w:spacing w:before="272"/>
        <w:ind w:left="0"/>
        <w:jc w:val="left"/>
        <w:rPr>
          <w:b/>
        </w:rPr>
      </w:pPr>
    </w:p>
    <w:p>
      <w:pPr>
        <w:spacing w:before="0"/>
        <w:ind w:left="480" w:right="0" w:firstLine="0"/>
        <w:jc w:val="both"/>
        <w:rPr>
          <w:b/>
          <w:sz w:val="24"/>
        </w:rPr>
      </w:pPr>
      <w:r>
        <w:rPr>
          <w:b/>
          <w:sz w:val="24"/>
        </w:rPr>
        <w:t>Other</w:t>
      </w:r>
      <w:r>
        <w:rPr>
          <w:b/>
          <w:spacing w:val="-4"/>
          <w:sz w:val="24"/>
        </w:rPr>
        <w:t> </w:t>
      </w:r>
      <w:r>
        <w:rPr>
          <w:b/>
          <w:spacing w:val="-2"/>
          <w:sz w:val="24"/>
        </w:rPr>
        <w:t>Models</w:t>
      </w:r>
    </w:p>
    <w:p>
      <w:pPr>
        <w:pStyle w:val="BodyText"/>
        <w:spacing w:line="480" w:lineRule="auto" w:before="272"/>
        <w:ind w:right="1155" w:firstLine="720"/>
      </w:pPr>
      <w:r>
        <w:rPr/>
        <w:t>Several measures of emotional intelligence used in scientific research, particularly those sold for use in industrial and organizational settings, are not based on any of the aforementioned theories of emotional intelligence. Two of these measures: the Levels of Emotional Awareness Scale (LEAS) and the Self-Report Emotional Intelligence Test (SREIT) are described in the following section.</w:t>
      </w:r>
    </w:p>
    <w:p>
      <w:pPr>
        <w:spacing w:after="0" w:line="480" w:lineRule="auto"/>
        <w:sectPr>
          <w:pgSz w:w="11910" w:h="16840"/>
          <w:pgMar w:header="0" w:footer="1012" w:top="1340" w:bottom="1200" w:left="1680" w:right="280"/>
        </w:sectPr>
      </w:pPr>
    </w:p>
    <w:p>
      <w:pPr>
        <w:pStyle w:val="Heading3"/>
        <w:numPr>
          <w:ilvl w:val="1"/>
          <w:numId w:val="13"/>
        </w:numPr>
        <w:tabs>
          <w:tab w:pos="1199" w:val="left" w:leader="none"/>
        </w:tabs>
        <w:spacing w:line="240" w:lineRule="auto" w:before="78" w:after="0"/>
        <w:ind w:left="1199" w:right="0" w:hanging="719"/>
        <w:jc w:val="both"/>
      </w:pPr>
      <w:bookmarkStart w:name="_TOC_250003" w:id="25"/>
      <w:r>
        <w:rPr/>
        <w:t>Instructional</w:t>
      </w:r>
      <w:r>
        <w:rPr>
          <w:spacing w:val="-6"/>
        </w:rPr>
        <w:t> </w:t>
      </w:r>
      <w:r>
        <w:rPr/>
        <w:t>Models</w:t>
      </w:r>
      <w:r>
        <w:rPr>
          <w:spacing w:val="-3"/>
        </w:rPr>
        <w:t> </w:t>
      </w:r>
      <w:r>
        <w:rPr/>
        <w:t>and</w:t>
      </w:r>
      <w:r>
        <w:rPr>
          <w:spacing w:val="-1"/>
        </w:rPr>
        <w:t> </w:t>
      </w:r>
      <w:r>
        <w:rPr/>
        <w:t>Reasoning</w:t>
      </w:r>
      <w:r>
        <w:rPr>
          <w:spacing w:val="-1"/>
        </w:rPr>
        <w:t> </w:t>
      </w:r>
      <w:bookmarkEnd w:id="25"/>
      <w:r>
        <w:rPr>
          <w:spacing w:val="-2"/>
        </w:rPr>
        <w:t>Ability</w:t>
      </w:r>
    </w:p>
    <w:p>
      <w:pPr>
        <w:pStyle w:val="BodyText"/>
        <w:spacing w:line="480" w:lineRule="auto" w:before="272"/>
        <w:ind w:right="1152" w:firstLine="720"/>
      </w:pPr>
      <w:r>
        <w:rPr/>
        <w:t>Development of reasoning started with piaget‘s theory of cognitive development, Demetriou, (1998), describes a sequence of stages in the development</w:t>
      </w:r>
      <w:r>
        <w:rPr>
          <w:spacing w:val="40"/>
        </w:rPr>
        <w:t> </w:t>
      </w:r>
      <w:r>
        <w:rPr/>
        <w:t>of reasoning from infancy to adulthood.</w:t>
      </w:r>
      <w:r>
        <w:rPr>
          <w:spacing w:val="40"/>
        </w:rPr>
        <w:t> </w:t>
      </w:r>
      <w:r>
        <w:rPr/>
        <w:t>According to the neo-Piagetian theories of cognitive development, changes in</w:t>
      </w:r>
      <w:r>
        <w:rPr>
          <w:spacing w:val="-1"/>
        </w:rPr>
        <w:t> </w:t>
      </w:r>
      <w:r>
        <w:rPr/>
        <w:t>reasoning with development come from</w:t>
      </w:r>
      <w:r>
        <w:rPr>
          <w:spacing w:val="-6"/>
        </w:rPr>
        <w:t> </w:t>
      </w:r>
      <w:r>
        <w:rPr/>
        <w:t>increasing working memory capacity, increasing speed of processing, and enhanced from increasing working memory capacity, increasing speed of processing, and enhanced executive</w:t>
      </w:r>
      <w:r>
        <w:rPr>
          <w:spacing w:val="-1"/>
        </w:rPr>
        <w:t> </w:t>
      </w:r>
      <w:r>
        <w:rPr/>
        <w:t>functions</w:t>
      </w:r>
      <w:r>
        <w:rPr>
          <w:spacing w:val="-6"/>
        </w:rPr>
        <w:t> </w:t>
      </w:r>
      <w:r>
        <w:rPr/>
        <w:t>and</w:t>
      </w:r>
      <w:r>
        <w:rPr>
          <w:spacing w:val="-4"/>
        </w:rPr>
        <w:t> </w:t>
      </w:r>
      <w:r>
        <w:rPr/>
        <w:t>control.</w:t>
      </w:r>
      <w:r>
        <w:rPr>
          <w:spacing w:val="40"/>
        </w:rPr>
        <w:t> </w:t>
      </w:r>
      <w:r>
        <w:rPr/>
        <w:t>Increasing self-awareness</w:t>
      </w:r>
      <w:r>
        <w:rPr>
          <w:spacing w:val="-2"/>
        </w:rPr>
        <w:t> </w:t>
      </w:r>
      <w:r>
        <w:rPr/>
        <w:t>is</w:t>
      </w:r>
      <w:r>
        <w:rPr>
          <w:spacing w:val="-6"/>
        </w:rPr>
        <w:t> </w:t>
      </w:r>
      <w:r>
        <w:rPr/>
        <w:t>also</w:t>
      </w:r>
      <w:r>
        <w:rPr>
          <w:spacing w:val="-1"/>
        </w:rPr>
        <w:t> </w:t>
      </w:r>
      <w:r>
        <w:rPr/>
        <w:t>an</w:t>
      </w:r>
      <w:r>
        <w:rPr>
          <w:spacing w:val="-4"/>
        </w:rPr>
        <w:t> </w:t>
      </w:r>
      <w:r>
        <w:rPr/>
        <w:t>important factor, (Demetriou, Mouyi &amp; Sponoudis, 2010).</w:t>
      </w:r>
    </w:p>
    <w:p>
      <w:pPr>
        <w:pStyle w:val="BodyText"/>
        <w:spacing w:line="480" w:lineRule="auto" w:before="2"/>
        <w:ind w:right="1149" w:firstLine="720"/>
      </w:pPr>
      <w:r>
        <w:rPr/>
        <w:t>There are several competing theories for the description and explanation of reasoning processes.</w:t>
      </w:r>
      <w:r>
        <w:rPr>
          <w:spacing w:val="40"/>
        </w:rPr>
        <w:t> </w:t>
      </w:r>
      <w:r>
        <w:rPr/>
        <w:t>The theories are distinguished by the broadness of phenomena they can explain and how profound the proposed explanations are.</w:t>
      </w:r>
      <w:r>
        <w:rPr>
          <w:spacing w:val="40"/>
        </w:rPr>
        <w:t> </w:t>
      </w:r>
      <w:r>
        <w:rPr/>
        <w:t>They are also different with respect to how much experimental research was done to investigate them</w:t>
      </w:r>
      <w:r>
        <w:rPr>
          <w:spacing w:val="-1"/>
        </w:rPr>
        <w:t> </w:t>
      </w:r>
      <w:r>
        <w:rPr/>
        <w:t>and how much</w:t>
      </w:r>
      <w:r>
        <w:rPr>
          <w:spacing w:val="-1"/>
        </w:rPr>
        <w:t> </w:t>
      </w:r>
      <w:r>
        <w:rPr/>
        <w:t>supportive evidence was collected.</w:t>
      </w:r>
      <w:r>
        <w:rPr>
          <w:spacing w:val="40"/>
        </w:rPr>
        <w:t> </w:t>
      </w:r>
      <w:r>
        <w:rPr/>
        <w:t>One view is that people rely on a mental logic consisting of formal (obstract or</w:t>
      </w:r>
      <w:r>
        <w:rPr>
          <w:spacing w:val="27"/>
        </w:rPr>
        <w:t> </w:t>
      </w:r>
      <w:r>
        <w:rPr/>
        <w:t>Synthetic)</w:t>
      </w:r>
      <w:r>
        <w:rPr>
          <w:spacing w:val="25"/>
        </w:rPr>
        <w:t> </w:t>
      </w:r>
      <w:r>
        <w:rPr/>
        <w:t>inference rules similar to those developed by logicians in the propositional calculus (O‘ Brien, 2009). Another view is that people rely on domain-specific or content-sensitive rules of inference.</w:t>
      </w:r>
      <w:r>
        <w:rPr>
          <w:spacing w:val="40"/>
        </w:rPr>
        <w:t> </w:t>
      </w:r>
      <w:r>
        <w:rPr/>
        <w:t>(Cosmides</w:t>
      </w:r>
      <w:r>
        <w:rPr>
          <w:spacing w:val="-2"/>
        </w:rPr>
        <w:t> </w:t>
      </w:r>
      <w:r>
        <w:rPr/>
        <w:t>2005).</w:t>
      </w:r>
      <w:r>
        <w:rPr>
          <w:spacing w:val="40"/>
        </w:rPr>
        <w:t> </w:t>
      </w:r>
      <w:r>
        <w:rPr/>
        <w:t>A</w:t>
      </w:r>
      <w:r>
        <w:rPr>
          <w:spacing w:val="-6"/>
        </w:rPr>
        <w:t> </w:t>
      </w:r>
      <w:r>
        <w:rPr/>
        <w:t>third view is</w:t>
      </w:r>
      <w:r>
        <w:rPr>
          <w:spacing w:val="-2"/>
        </w:rPr>
        <w:t> </w:t>
      </w:r>
      <w:r>
        <w:rPr/>
        <w:t>that</w:t>
      </w:r>
      <w:r>
        <w:rPr>
          <w:spacing w:val="-1"/>
        </w:rPr>
        <w:t> </w:t>
      </w:r>
      <w:r>
        <w:rPr/>
        <w:t>people</w:t>
      </w:r>
      <w:r>
        <w:rPr>
          <w:spacing w:val="-2"/>
        </w:rPr>
        <w:t> </w:t>
      </w:r>
      <w:r>
        <w:rPr/>
        <w:t>rely</w:t>
      </w:r>
      <w:r>
        <w:rPr>
          <w:spacing w:val="-9"/>
        </w:rPr>
        <w:t> </w:t>
      </w:r>
      <w:r>
        <w:rPr/>
        <w:t>on</w:t>
      </w:r>
      <w:r>
        <w:rPr>
          <w:spacing w:val="-1"/>
        </w:rPr>
        <w:t> </w:t>
      </w:r>
      <w:r>
        <w:rPr/>
        <w:t>mental</w:t>
      </w:r>
      <w:r>
        <w:rPr>
          <w:spacing w:val="-5"/>
        </w:rPr>
        <w:t> </w:t>
      </w:r>
      <w:r>
        <w:rPr/>
        <w:t>models</w:t>
      </w:r>
      <w:r>
        <w:rPr>
          <w:spacing w:val="-2"/>
        </w:rPr>
        <w:t> </w:t>
      </w:r>
      <w:r>
        <w:rPr/>
        <w:t>that is mental</w:t>
      </w:r>
      <w:r>
        <w:rPr>
          <w:spacing w:val="-10"/>
        </w:rPr>
        <w:t> </w:t>
      </w:r>
      <w:r>
        <w:rPr/>
        <w:t>representations</w:t>
      </w:r>
      <w:r>
        <w:rPr>
          <w:spacing w:val="-3"/>
        </w:rPr>
        <w:t> </w:t>
      </w:r>
      <w:r>
        <w:rPr/>
        <w:t>that correspond</w:t>
      </w:r>
      <w:r>
        <w:rPr>
          <w:spacing w:val="-1"/>
        </w:rPr>
        <w:t> </w:t>
      </w:r>
      <w:r>
        <w:rPr/>
        <w:t>to imagine possibilities</w:t>
      </w:r>
      <w:r>
        <w:rPr>
          <w:spacing w:val="-3"/>
        </w:rPr>
        <w:t> </w:t>
      </w:r>
      <w:r>
        <w:rPr/>
        <w:t>(Laird</w:t>
      </w:r>
      <w:r>
        <w:rPr>
          <w:spacing w:val="-1"/>
        </w:rPr>
        <w:t> </w:t>
      </w:r>
      <w:r>
        <w:rPr/>
        <w:t>&amp;</w:t>
      </w:r>
      <w:r>
        <w:rPr>
          <w:spacing w:val="-6"/>
        </w:rPr>
        <w:t> </w:t>
      </w:r>
      <w:r>
        <w:rPr/>
        <w:t>Byrne, 2002). A fought view is that people compute probabilities, (Oaksford &amp; Chater, 2007.Two theories have dominated psychological theorizing about reasoning: mental rules and mental models. Both theories were first applied to the study of deductive reasoning tasks such as syllogisms and then later applied to a broader range of reasoning tasks. The mental</w:t>
      </w:r>
      <w:r>
        <w:rPr>
          <w:spacing w:val="-8"/>
        </w:rPr>
        <w:t> </w:t>
      </w:r>
      <w:r>
        <w:rPr/>
        <w:t>rules</w:t>
      </w:r>
      <w:r>
        <w:rPr>
          <w:spacing w:val="-1"/>
        </w:rPr>
        <w:t> </w:t>
      </w:r>
      <w:r>
        <w:rPr/>
        <w:t>theory</w:t>
      </w:r>
      <w:r>
        <w:rPr>
          <w:spacing w:val="-9"/>
        </w:rPr>
        <w:t> </w:t>
      </w:r>
      <w:r>
        <w:rPr/>
        <w:t>of</w:t>
      </w:r>
      <w:r>
        <w:rPr>
          <w:spacing w:val="-7"/>
        </w:rPr>
        <w:t> </w:t>
      </w:r>
      <w:r>
        <w:rPr/>
        <w:t>deductive reasoning (Lohman &amp;</w:t>
      </w:r>
      <w:r>
        <w:rPr>
          <w:spacing w:val="-4"/>
        </w:rPr>
        <w:t> </w:t>
      </w:r>
      <w:r>
        <w:rPr/>
        <w:t>Lakin 2009) posits mental processes</w:t>
      </w:r>
      <w:r>
        <w:rPr>
          <w:spacing w:val="61"/>
        </w:rPr>
        <w:t> </w:t>
      </w:r>
      <w:r>
        <w:rPr/>
        <w:t>common</w:t>
      </w:r>
      <w:r>
        <w:rPr>
          <w:spacing w:val="40"/>
        </w:rPr>
        <w:t> </w:t>
      </w:r>
      <w:r>
        <w:rPr/>
        <w:t>to</w:t>
      </w:r>
      <w:r>
        <w:rPr>
          <w:spacing w:val="68"/>
        </w:rPr>
        <w:t> </w:t>
      </w:r>
      <w:r>
        <w:rPr/>
        <w:t>all</w:t>
      </w:r>
      <w:r>
        <w:rPr>
          <w:spacing w:val="64"/>
        </w:rPr>
        <w:t> </w:t>
      </w:r>
      <w:r>
        <w:rPr/>
        <w:t>normally</w:t>
      </w:r>
      <w:r>
        <w:rPr>
          <w:spacing w:val="40"/>
        </w:rPr>
        <w:t> </w:t>
      </w:r>
      <w:r>
        <w:rPr/>
        <w:t>developed</w:t>
      </w:r>
      <w:r>
        <w:rPr>
          <w:spacing w:val="63"/>
        </w:rPr>
        <w:t> </w:t>
      </w:r>
      <w:r>
        <w:rPr/>
        <w:t>adults</w:t>
      </w:r>
      <w:r>
        <w:rPr>
          <w:spacing w:val="61"/>
        </w:rPr>
        <w:t> </w:t>
      </w:r>
      <w:r>
        <w:rPr/>
        <w:t>that</w:t>
      </w:r>
      <w:r>
        <w:rPr>
          <w:spacing w:val="63"/>
        </w:rPr>
        <w:t> </w:t>
      </w:r>
      <w:r>
        <w:rPr/>
        <w:t>operate</w:t>
      </w:r>
      <w:r>
        <w:rPr>
          <w:spacing w:val="62"/>
        </w:rPr>
        <w:t> </w:t>
      </w:r>
      <w:r>
        <w:rPr/>
        <w:t>directly</w:t>
      </w:r>
      <w:r>
        <w:rPr>
          <w:spacing w:val="40"/>
        </w:rPr>
        <w:t> </w:t>
      </w:r>
      <w:r>
        <w:rPr/>
        <w:t>on</w:t>
      </w:r>
      <w:r>
        <w:rPr>
          <w:spacing w:val="40"/>
        </w:rPr>
        <w:t> </w:t>
      </w:r>
      <w:r>
        <w:rPr/>
        <w:t>the</w:t>
      </w:r>
    </w:p>
    <w:p>
      <w:pPr>
        <w:spacing w:after="0" w:line="480" w:lineRule="auto"/>
        <w:sectPr>
          <w:pgSz w:w="11910" w:h="16840"/>
          <w:pgMar w:header="0" w:footer="1012" w:top="1340" w:bottom="1200" w:left="1680" w:right="280"/>
        </w:sectPr>
      </w:pPr>
    </w:p>
    <w:p>
      <w:pPr>
        <w:pStyle w:val="BodyText"/>
        <w:spacing w:line="480" w:lineRule="auto" w:before="74"/>
        <w:ind w:right="1158"/>
      </w:pPr>
      <w:r>
        <w:rPr/>
        <w:t>representations of the premises. Humans are assumed to be natural logicians who are sometimes fallible because of errors in processing or because of limitations of the human cognitive system. According to mental rules theory, the basic processes involved in solving deductive reasoning problems are (a) encoding the premises into representations stored in working memory, (b) applying abstract, rule-based schemas to these representations to derive a conclusion, and (c) applying other rules to check the contents of working memory for incompatibilities. Although the model posits several sources of error, the number of steps to be executed in applying rules is the major source of difficulty. Errors in performance are thus primarily attributable to working memory overload (Gilhooly, 2004).</w:t>
      </w:r>
    </w:p>
    <w:p>
      <w:pPr>
        <w:pStyle w:val="BodyText"/>
        <w:spacing w:line="480" w:lineRule="auto" w:before="2"/>
        <w:ind w:right="1158" w:firstLine="720"/>
      </w:pPr>
      <w:r>
        <w:rPr/>
        <w:t>The mental</w:t>
      </w:r>
      <w:r>
        <w:rPr>
          <w:spacing w:val="-6"/>
        </w:rPr>
        <w:t> </w:t>
      </w:r>
      <w:r>
        <w:rPr/>
        <w:t>models</w:t>
      </w:r>
      <w:r>
        <w:rPr>
          <w:spacing w:val="-4"/>
        </w:rPr>
        <w:t> </w:t>
      </w:r>
      <w:r>
        <w:rPr/>
        <w:t>theory</w:t>
      </w:r>
      <w:r>
        <w:rPr>
          <w:spacing w:val="-11"/>
        </w:rPr>
        <w:t> </w:t>
      </w:r>
      <w:r>
        <w:rPr/>
        <w:t>(Johnson-Laird, 2004)</w:t>
      </w:r>
      <w:r>
        <w:rPr>
          <w:spacing w:val="-5"/>
        </w:rPr>
        <w:t> </w:t>
      </w:r>
      <w:r>
        <w:rPr/>
        <w:t>of</w:t>
      </w:r>
      <w:r>
        <w:rPr>
          <w:spacing w:val="-9"/>
        </w:rPr>
        <w:t> </w:t>
      </w:r>
      <w:r>
        <w:rPr/>
        <w:t>deductive</w:t>
      </w:r>
      <w:r>
        <w:rPr>
          <w:spacing w:val="-3"/>
        </w:rPr>
        <w:t> </w:t>
      </w:r>
      <w:r>
        <w:rPr/>
        <w:t>reasoning</w:t>
      </w:r>
      <w:r>
        <w:rPr>
          <w:spacing w:val="-2"/>
        </w:rPr>
        <w:t> </w:t>
      </w:r>
      <w:r>
        <w:rPr/>
        <w:t>posits that the individual first transforms the premises of an argument into another representation (i.e., a mental model) that is consistent with the premises. Importantly, multiple mental models that are consistent with the premises must often be</w:t>
      </w:r>
      <w:r>
        <w:rPr>
          <w:spacing w:val="40"/>
        </w:rPr>
        <w:t> </w:t>
      </w:r>
      <w:r>
        <w:rPr/>
        <w:t>constructed and then compared in order to reach a valid conclusion. Each mental model represents a possible state of affairs that must be evaluated. Bara, Bucciarelli, and Johnson-Laird and Byrne (2002) identified the following factors that affect syllogistic inference in the mental models approach: (a) assembling a prepositional representation of premises; (b) constructing models that integrate information from premises;</w:t>
      </w:r>
      <w:r>
        <w:rPr>
          <w:spacing w:val="-2"/>
        </w:rPr>
        <w:t> </w:t>
      </w:r>
      <w:r>
        <w:rPr/>
        <w:t>(c) formulating a conclusion</w:t>
      </w:r>
      <w:r>
        <w:rPr>
          <w:spacing w:val="-2"/>
        </w:rPr>
        <w:t> </w:t>
      </w:r>
      <w:r>
        <w:rPr/>
        <w:t>which integrates relationships not expressed in the premises; (d) searching for alternative models to refute conclusions; and (e) recognizing</w:t>
      </w:r>
      <w:r>
        <w:rPr>
          <w:spacing w:val="-3"/>
        </w:rPr>
        <w:t> </w:t>
      </w:r>
      <w:r>
        <w:rPr/>
        <w:t>similarities</w:t>
      </w:r>
      <w:r>
        <w:rPr>
          <w:spacing w:val="-2"/>
        </w:rPr>
        <w:t> </w:t>
      </w:r>
      <w:r>
        <w:rPr/>
        <w:t>between</w:t>
      </w:r>
      <w:r>
        <w:rPr>
          <w:spacing w:val="-3"/>
        </w:rPr>
        <w:t> </w:t>
      </w:r>
      <w:r>
        <w:rPr/>
        <w:t>models. All</w:t>
      </w:r>
      <w:r>
        <w:rPr>
          <w:spacing w:val="-8"/>
        </w:rPr>
        <w:t> </w:t>
      </w:r>
      <w:r>
        <w:rPr/>
        <w:t>these</w:t>
      </w:r>
      <w:r>
        <w:rPr>
          <w:spacing w:val="-1"/>
        </w:rPr>
        <w:t> </w:t>
      </w:r>
      <w:r>
        <w:rPr/>
        <w:t>processes</w:t>
      </w:r>
      <w:r>
        <w:rPr>
          <w:spacing w:val="-5"/>
        </w:rPr>
        <w:t> </w:t>
      </w:r>
      <w:r>
        <w:rPr/>
        <w:t>require</w:t>
      </w:r>
      <w:r>
        <w:rPr>
          <w:spacing w:val="-4"/>
        </w:rPr>
        <w:t> </w:t>
      </w:r>
      <w:r>
        <w:rPr/>
        <w:t>working memory resources. Limitations of working memory are considered especially important in understanding individual differences in reasoning in this theory, because working memory</w:t>
      </w:r>
      <w:r>
        <w:rPr>
          <w:spacing w:val="56"/>
        </w:rPr>
        <w:t> </w:t>
      </w:r>
      <w:r>
        <w:rPr/>
        <w:t>limits</w:t>
      </w:r>
      <w:r>
        <w:rPr>
          <w:spacing w:val="54"/>
        </w:rPr>
        <w:t> </w:t>
      </w:r>
      <w:r>
        <w:rPr/>
        <w:t>the</w:t>
      </w:r>
      <w:r>
        <w:rPr>
          <w:spacing w:val="60"/>
        </w:rPr>
        <w:t> </w:t>
      </w:r>
      <w:r>
        <w:rPr/>
        <w:t>number</w:t>
      </w:r>
      <w:r>
        <w:rPr>
          <w:spacing w:val="58"/>
        </w:rPr>
        <w:t> </w:t>
      </w:r>
      <w:r>
        <w:rPr/>
        <w:t>of</w:t>
      </w:r>
      <w:r>
        <w:rPr>
          <w:spacing w:val="58"/>
        </w:rPr>
        <w:t> </w:t>
      </w:r>
      <w:r>
        <w:rPr/>
        <w:t>mental</w:t>
      </w:r>
      <w:r>
        <w:rPr>
          <w:spacing w:val="40"/>
        </w:rPr>
        <w:t> </w:t>
      </w:r>
      <w:r>
        <w:rPr/>
        <w:t>models</w:t>
      </w:r>
      <w:r>
        <w:rPr>
          <w:spacing w:val="54"/>
        </w:rPr>
        <w:t> </w:t>
      </w:r>
      <w:r>
        <w:rPr/>
        <w:t>that</w:t>
      </w:r>
      <w:r>
        <w:rPr>
          <w:spacing w:val="61"/>
        </w:rPr>
        <w:t> </w:t>
      </w:r>
      <w:r>
        <w:rPr/>
        <w:t>can</w:t>
      </w:r>
      <w:r>
        <w:rPr>
          <w:spacing w:val="56"/>
        </w:rPr>
        <w:t> </w:t>
      </w:r>
      <w:r>
        <w:rPr/>
        <w:t>be</w:t>
      </w:r>
      <w:r>
        <w:rPr>
          <w:spacing w:val="60"/>
        </w:rPr>
        <w:t> </w:t>
      </w:r>
      <w:r>
        <w:rPr/>
        <w:t>held</w:t>
      </w:r>
      <w:r>
        <w:rPr>
          <w:spacing w:val="61"/>
        </w:rPr>
        <w:t> </w:t>
      </w:r>
      <w:r>
        <w:rPr/>
        <w:t>in</w:t>
      </w:r>
      <w:r>
        <w:rPr>
          <w:spacing w:val="61"/>
        </w:rPr>
        <w:t> </w:t>
      </w:r>
      <w:r>
        <w:rPr/>
        <w:t>mind</w:t>
      </w:r>
      <w:r>
        <w:rPr>
          <w:spacing w:val="56"/>
        </w:rPr>
        <w:t> </w:t>
      </w:r>
      <w:r>
        <w:rPr/>
        <w:t>at</w:t>
      </w:r>
      <w:r>
        <w:rPr>
          <w:spacing w:val="61"/>
        </w:rPr>
        <w:t> </w:t>
      </w:r>
      <w:r>
        <w:rPr/>
        <w:t>once.</w:t>
      </w:r>
    </w:p>
    <w:p>
      <w:pPr>
        <w:spacing w:after="0" w:line="480" w:lineRule="auto"/>
        <w:sectPr>
          <w:pgSz w:w="11910" w:h="16840"/>
          <w:pgMar w:header="0" w:footer="1012" w:top="1340" w:bottom="1200" w:left="1680" w:right="280"/>
        </w:sectPr>
      </w:pPr>
    </w:p>
    <w:p>
      <w:pPr>
        <w:pStyle w:val="BodyText"/>
        <w:spacing w:line="480" w:lineRule="auto" w:before="74"/>
        <w:ind w:right="1159"/>
      </w:pPr>
      <w:r>
        <w:rPr/>
        <w:t>Individuals</w:t>
      </w:r>
      <w:r>
        <w:rPr>
          <w:spacing w:val="-4"/>
        </w:rPr>
        <w:t> </w:t>
      </w:r>
      <w:r>
        <w:rPr/>
        <w:t>with</w:t>
      </w:r>
      <w:r>
        <w:rPr>
          <w:spacing w:val="-2"/>
        </w:rPr>
        <w:t> </w:t>
      </w:r>
      <w:r>
        <w:rPr/>
        <w:t>limited</w:t>
      </w:r>
      <w:r>
        <w:rPr>
          <w:spacing w:val="-2"/>
        </w:rPr>
        <w:t> </w:t>
      </w:r>
      <w:r>
        <w:rPr/>
        <w:t>working memory</w:t>
      </w:r>
      <w:r>
        <w:rPr>
          <w:spacing w:val="-11"/>
        </w:rPr>
        <w:t> </w:t>
      </w:r>
      <w:r>
        <w:rPr/>
        <w:t>capacity</w:t>
      </w:r>
      <w:r>
        <w:rPr>
          <w:spacing w:val="-2"/>
        </w:rPr>
        <w:t> </w:t>
      </w:r>
      <w:r>
        <w:rPr/>
        <w:t>can</w:t>
      </w:r>
      <w:r>
        <w:rPr>
          <w:spacing w:val="-2"/>
        </w:rPr>
        <w:t> </w:t>
      </w:r>
      <w:r>
        <w:rPr/>
        <w:t>fail</w:t>
      </w:r>
      <w:r>
        <w:rPr>
          <w:spacing w:val="-6"/>
        </w:rPr>
        <w:t> </w:t>
      </w:r>
      <w:r>
        <w:rPr/>
        <w:t>to generate</w:t>
      </w:r>
      <w:r>
        <w:rPr>
          <w:spacing w:val="-3"/>
        </w:rPr>
        <w:t> </w:t>
      </w:r>
      <w:r>
        <w:rPr/>
        <w:t>enough</w:t>
      </w:r>
      <w:r>
        <w:rPr>
          <w:spacing w:val="-6"/>
        </w:rPr>
        <w:t> </w:t>
      </w:r>
      <w:r>
        <w:rPr/>
        <w:t>models to evaluate the validity of a conclusion (Stanovich, Sa, &amp; West, 2004).</w:t>
      </w:r>
    </w:p>
    <w:p>
      <w:pPr>
        <w:pStyle w:val="BodyText"/>
        <w:spacing w:line="480" w:lineRule="auto"/>
        <w:ind w:right="1162" w:firstLine="720"/>
      </w:pPr>
      <w:r>
        <w:rPr/>
        <w:t>The mental rules and mental models theories of reasoning propose universal but somewhat contradictory mechanisms for deductive reasoning (Roberts, 1993). Furthermore, advocates of both theories have been able to marshal considerable evidence in support of their position. Research that explicitly attempts to account for individual differences in reasoning offers a possible explanation for this paradox: On some problems, the behavior of some reasoners is more consistent with the mental models theory, whereas the behavior of other reasoners is more consistent with the predictions of a mental rules theory (Stanovich et al., 2004). In addition to stable individual differences in propensity to solve reasoning problems in one way or another, how the problem is presented can encourage individuals to change their strategies across items (Galotti, Baron, &amp; Sabini, 1986). Therefore, what a task measures cannot be determined by simple inspection. Rather, what is measured depends on a complex interaction between the characteristics of the examinee, the task, and</w:t>
      </w:r>
      <w:r>
        <w:rPr>
          <w:spacing w:val="-2"/>
        </w:rPr>
        <w:t> </w:t>
      </w:r>
      <w:r>
        <w:rPr/>
        <w:t>the</w:t>
      </w:r>
      <w:r>
        <w:rPr>
          <w:spacing w:val="-3"/>
        </w:rPr>
        <w:t> </w:t>
      </w:r>
      <w:r>
        <w:rPr/>
        <w:t>situation. This</w:t>
      </w:r>
      <w:r>
        <w:rPr>
          <w:spacing w:val="-4"/>
        </w:rPr>
        <w:t> </w:t>
      </w:r>
      <w:r>
        <w:rPr/>
        <w:t>does not mean, however,</w:t>
      </w:r>
      <w:r>
        <w:rPr>
          <w:spacing w:val="-5"/>
        </w:rPr>
        <w:t> </w:t>
      </w:r>
      <w:r>
        <w:rPr/>
        <w:t>that</w:t>
      </w:r>
      <w:r>
        <w:rPr>
          <w:spacing w:val="-2"/>
        </w:rPr>
        <w:t> </w:t>
      </w:r>
      <w:r>
        <w:rPr/>
        <w:t>one</w:t>
      </w:r>
      <w:r>
        <w:rPr>
          <w:spacing w:val="-3"/>
        </w:rPr>
        <w:t> </w:t>
      </w:r>
      <w:r>
        <w:rPr/>
        <w:t>cannot</w:t>
      </w:r>
      <w:r>
        <w:rPr>
          <w:spacing w:val="-2"/>
        </w:rPr>
        <w:t> </w:t>
      </w:r>
      <w:r>
        <w:rPr/>
        <w:t>know</w:t>
      </w:r>
      <w:r>
        <w:rPr>
          <w:spacing w:val="-3"/>
        </w:rPr>
        <w:t> </w:t>
      </w:r>
      <w:r>
        <w:rPr/>
        <w:t>what</w:t>
      </w:r>
      <w:r>
        <w:rPr>
          <w:spacing w:val="-2"/>
        </w:rPr>
        <w:t> </w:t>
      </w:r>
      <w:r>
        <w:rPr/>
        <w:t>tasks typically measure when they are attempted by individuals of known characteristics, but that what tasks measure and for whom and under what circumstances are inferences that must be supported by</w:t>
      </w:r>
      <w:r>
        <w:rPr>
          <w:spacing w:val="-1"/>
        </w:rPr>
        <w:t> </w:t>
      </w:r>
      <w:r>
        <w:rPr/>
        <w:t>other data-not merely presumed to be the case.</w:t>
      </w:r>
    </w:p>
    <w:p>
      <w:pPr>
        <w:pStyle w:val="Heading3"/>
        <w:numPr>
          <w:ilvl w:val="1"/>
          <w:numId w:val="13"/>
        </w:numPr>
        <w:tabs>
          <w:tab w:pos="1199" w:val="left" w:leader="none"/>
        </w:tabs>
        <w:spacing w:line="240" w:lineRule="auto" w:before="8" w:after="0"/>
        <w:ind w:left="1199" w:right="0" w:hanging="719"/>
        <w:jc w:val="both"/>
      </w:pPr>
      <w:bookmarkStart w:name="_TOC_250002" w:id="26"/>
      <w:r>
        <w:rPr/>
        <w:t>Instructional</w:t>
      </w:r>
      <w:r>
        <w:rPr>
          <w:spacing w:val="-9"/>
        </w:rPr>
        <w:t> </w:t>
      </w:r>
      <w:r>
        <w:rPr/>
        <w:t>models</w:t>
      </w:r>
      <w:r>
        <w:rPr>
          <w:spacing w:val="-5"/>
        </w:rPr>
        <w:t> </w:t>
      </w:r>
      <w:r>
        <w:rPr/>
        <w:t>and</w:t>
      </w:r>
      <w:r>
        <w:rPr>
          <w:spacing w:val="1"/>
        </w:rPr>
        <w:t> </w:t>
      </w:r>
      <w:r>
        <w:rPr/>
        <w:t>self-</w:t>
      </w:r>
      <w:bookmarkEnd w:id="26"/>
      <w:r>
        <w:rPr>
          <w:spacing w:val="-2"/>
        </w:rPr>
        <w:t>efficacy</w:t>
      </w:r>
    </w:p>
    <w:p>
      <w:pPr>
        <w:pStyle w:val="BodyText"/>
        <w:spacing w:line="480" w:lineRule="auto" w:before="272"/>
        <w:ind w:right="1157" w:firstLine="720"/>
      </w:pPr>
      <w:r>
        <w:rPr/>
        <w:t>Models provide an important vicarious source of self-efficacy information (Bandura, 1986). Observing competent models successfully per-form</w:t>
      </w:r>
      <w:r>
        <w:rPr>
          <w:spacing w:val="-5"/>
        </w:rPr>
        <w:t> </w:t>
      </w:r>
      <w:r>
        <w:rPr/>
        <w:t>actions conveys information to observers about the sequence of actions one should use to succeed. Modeled displays convey that observers are capable of learning or accomplishing the task</w:t>
      </w:r>
      <w:r>
        <w:rPr>
          <w:spacing w:val="-1"/>
        </w:rPr>
        <w:t> </w:t>
      </w:r>
      <w:r>
        <w:rPr/>
        <w:t>if</w:t>
      </w:r>
      <w:r>
        <w:rPr>
          <w:spacing w:val="-4"/>
        </w:rPr>
        <w:t> </w:t>
      </w:r>
      <w:r>
        <w:rPr/>
        <w:t>they</w:t>
      </w:r>
      <w:r>
        <w:rPr>
          <w:spacing w:val="-1"/>
        </w:rPr>
        <w:t> </w:t>
      </w:r>
      <w:r>
        <w:rPr/>
        <w:t>follow</w:t>
      </w:r>
      <w:r>
        <w:rPr>
          <w:spacing w:val="-2"/>
        </w:rPr>
        <w:t> </w:t>
      </w:r>
      <w:r>
        <w:rPr/>
        <w:t>the</w:t>
      </w:r>
      <w:r>
        <w:rPr>
          <w:spacing w:val="-2"/>
        </w:rPr>
        <w:t> </w:t>
      </w:r>
      <w:r>
        <w:rPr/>
        <w:t>same sequence</w:t>
      </w:r>
      <w:r>
        <w:rPr>
          <w:spacing w:val="-2"/>
        </w:rPr>
        <w:t> </w:t>
      </w:r>
      <w:r>
        <w:rPr/>
        <w:t>of</w:t>
      </w:r>
      <w:r>
        <w:rPr>
          <w:spacing w:val="-9"/>
        </w:rPr>
        <w:t> </w:t>
      </w:r>
      <w:r>
        <w:rPr/>
        <w:t>actions. The belief</w:t>
      </w:r>
      <w:r>
        <w:rPr>
          <w:spacing w:val="-4"/>
        </w:rPr>
        <w:t> </w:t>
      </w:r>
      <w:r>
        <w:rPr/>
        <w:t>that</w:t>
      </w:r>
      <w:r>
        <w:rPr>
          <w:spacing w:val="-1"/>
        </w:rPr>
        <w:t> </w:t>
      </w:r>
      <w:r>
        <w:rPr/>
        <w:t>one</w:t>
      </w:r>
      <w:r>
        <w:rPr>
          <w:spacing w:val="-2"/>
        </w:rPr>
        <w:t> </w:t>
      </w:r>
      <w:r>
        <w:rPr/>
        <w:t>knows</w:t>
      </w:r>
      <w:r>
        <w:rPr>
          <w:spacing w:val="-4"/>
        </w:rPr>
        <w:t> </w:t>
      </w:r>
      <w:r>
        <w:rPr/>
        <w:t>what to</w:t>
      </w:r>
      <w:r>
        <w:rPr>
          <w:spacing w:val="-1"/>
        </w:rPr>
        <w:t> </w:t>
      </w:r>
      <w:r>
        <w:rPr/>
        <w:t>do</w:t>
      </w:r>
    </w:p>
    <w:p>
      <w:pPr>
        <w:spacing w:after="0" w:line="480" w:lineRule="auto"/>
        <w:sectPr>
          <w:pgSz w:w="11910" w:h="16840"/>
          <w:pgMar w:header="0" w:footer="1012" w:top="1340" w:bottom="1200" w:left="1680" w:right="280"/>
        </w:sectPr>
      </w:pPr>
    </w:p>
    <w:p>
      <w:pPr>
        <w:pStyle w:val="BodyText"/>
        <w:spacing w:line="480" w:lineRule="auto" w:before="74"/>
        <w:ind w:right="1160"/>
      </w:pPr>
      <w:r>
        <w:rPr/>
        <w:t>to perform a task raises self-efficacy, and this vicarious increase can motivate observers to perform the task (Schunk, 1989).</w:t>
      </w:r>
    </w:p>
    <w:p>
      <w:pPr>
        <w:pStyle w:val="BodyText"/>
        <w:spacing w:line="480" w:lineRule="auto"/>
        <w:ind w:right="1162" w:firstLine="720"/>
      </w:pPr>
      <w:r>
        <w:rPr/>
        <w:t>Research shows that models can have profound effects on self-efficacy, motivation, and achievement. In the context of a long-division instructional program, Schunk (1981) provided low-achieving children with either cognitive modeling or didactic instruction. For the cognitive modeling, children observed an adult model explain division operations and apply them to sample problems. Following this modeled exposure, children received guided practice as they solved problems and received corrective instruction from the models as necessary. Children then solved problems alone during independent practice. In the didactic condition, children reviewed instructional material that explained and exemplified division operations, after which they received guided and independent practice. Before and after instruction children's division skill, persistence, and self-efficacy for solving different types of division problems were assessed.</w:t>
      </w:r>
    </w:p>
    <w:p>
      <w:pPr>
        <w:pStyle w:val="BodyText"/>
        <w:spacing w:line="480" w:lineRule="auto" w:before="3"/>
        <w:ind w:right="1162" w:firstLine="720"/>
      </w:pPr>
      <w:r>
        <w:rPr/>
        <w:t>Cognitive modeling and didactic instruction raised self-efficacy equally well; however, modeling led to greater gains in division skill and to more accurate perceptions of capabilities as these children's efficacy judgments corresponded more closely to their actual performances. Didactic subjects tended to overestimate what t.hey could do. Regardless of treatment condition, self-efficacy related positively to persistence and achievement. As will be discussed later, path analysis showed that self-efficacy mediated the relation between instructional treatment and division </w:t>
      </w:r>
      <w:r>
        <w:rPr>
          <w:spacing w:val="-2"/>
        </w:rPr>
        <w:t>performance.</w:t>
      </w:r>
    </w:p>
    <w:p>
      <w:pPr>
        <w:pStyle w:val="BodyText"/>
        <w:spacing w:line="480" w:lineRule="auto" w:before="1"/>
        <w:ind w:right="1162" w:firstLine="720"/>
      </w:pPr>
      <w:r>
        <w:rPr/>
        <w:t>Other achievement research supports the influence of models on self-efficacy. Zimmerman and Ringle (1981) had children observe a model unsuccessfully attempt to</w:t>
      </w:r>
      <w:r>
        <w:rPr>
          <w:spacing w:val="25"/>
        </w:rPr>
        <w:t> </w:t>
      </w:r>
      <w:r>
        <w:rPr/>
        <w:t>solve</w:t>
      </w:r>
      <w:r>
        <w:rPr>
          <w:spacing w:val="21"/>
        </w:rPr>
        <w:t> </w:t>
      </w:r>
      <w:r>
        <w:rPr/>
        <w:t>a</w:t>
      </w:r>
      <w:r>
        <w:rPr>
          <w:spacing w:val="21"/>
        </w:rPr>
        <w:t> </w:t>
      </w:r>
      <w:r>
        <w:rPr/>
        <w:t>puzzle</w:t>
      </w:r>
      <w:r>
        <w:rPr>
          <w:spacing w:val="26"/>
        </w:rPr>
        <w:t> </w:t>
      </w:r>
      <w:r>
        <w:rPr/>
        <w:t>for</w:t>
      </w:r>
      <w:r>
        <w:rPr>
          <w:spacing w:val="23"/>
        </w:rPr>
        <w:t> </w:t>
      </w:r>
      <w:r>
        <w:rPr/>
        <w:t>a</w:t>
      </w:r>
      <w:r>
        <w:rPr>
          <w:spacing w:val="22"/>
        </w:rPr>
        <w:t> </w:t>
      </w:r>
      <w:r>
        <w:rPr/>
        <w:t>long</w:t>
      </w:r>
      <w:r>
        <w:rPr>
          <w:spacing w:val="22"/>
        </w:rPr>
        <w:t> </w:t>
      </w:r>
      <w:r>
        <w:rPr/>
        <w:t>or</w:t>
      </w:r>
      <w:r>
        <w:rPr>
          <w:spacing w:val="23"/>
        </w:rPr>
        <w:t> </w:t>
      </w:r>
      <w:r>
        <w:rPr/>
        <w:t>short</w:t>
      </w:r>
      <w:r>
        <w:rPr>
          <w:spacing w:val="23"/>
        </w:rPr>
        <w:t> </w:t>
      </w:r>
      <w:r>
        <w:rPr/>
        <w:t>time</w:t>
      </w:r>
      <w:r>
        <w:rPr>
          <w:spacing w:val="21"/>
        </w:rPr>
        <w:t> </w:t>
      </w:r>
      <w:r>
        <w:rPr/>
        <w:t>and</w:t>
      </w:r>
      <w:r>
        <w:rPr>
          <w:spacing w:val="26"/>
        </w:rPr>
        <w:t> </w:t>
      </w:r>
      <w:r>
        <w:rPr/>
        <w:t>verbalize</w:t>
      </w:r>
      <w:r>
        <w:rPr>
          <w:spacing w:val="21"/>
        </w:rPr>
        <w:t> </w:t>
      </w:r>
      <w:r>
        <w:rPr/>
        <w:t>statements</w:t>
      </w:r>
      <w:r>
        <w:rPr>
          <w:spacing w:val="21"/>
        </w:rPr>
        <w:t> </w:t>
      </w:r>
      <w:r>
        <w:rPr/>
        <w:t>of</w:t>
      </w:r>
      <w:r>
        <w:rPr>
          <w:spacing w:val="14"/>
        </w:rPr>
        <w:t> </w:t>
      </w:r>
      <w:r>
        <w:rPr/>
        <w:t>confidence</w:t>
      </w:r>
      <w:r>
        <w:rPr>
          <w:spacing w:val="22"/>
        </w:rPr>
        <w:t> </w:t>
      </w:r>
      <w:r>
        <w:rPr>
          <w:spacing w:val="-5"/>
        </w:rPr>
        <w:t>or</w:t>
      </w:r>
    </w:p>
    <w:p>
      <w:pPr>
        <w:spacing w:after="0" w:line="480" w:lineRule="auto"/>
        <w:sectPr>
          <w:pgSz w:w="11910" w:h="16840"/>
          <w:pgMar w:header="0" w:footer="1012" w:top="1340" w:bottom="1200" w:left="1680" w:right="280"/>
        </w:sectPr>
      </w:pPr>
    </w:p>
    <w:p>
      <w:pPr>
        <w:pStyle w:val="BodyText"/>
        <w:spacing w:line="480" w:lineRule="auto" w:before="74"/>
        <w:ind w:right="1160"/>
      </w:pPr>
      <w:r>
        <w:rPr/>
        <w:t>pessimism, after which children attempted the puzzle themselves. Observing a low- persistent but confident model raised self-efficacy; children who observed a pessimistic model persist for a long time lowered their self-efficacy. Relich, Debus, and Walker (1986) found that exposing low-achieving children to models explaining mathematical division and providing them with feedback stressing the importance of ability and effort had a positive effect on self-efficacy.</w:t>
      </w:r>
    </w:p>
    <w:p>
      <w:pPr>
        <w:pStyle w:val="BodyText"/>
        <w:spacing w:line="480" w:lineRule="auto" w:before="1"/>
        <w:ind w:right="1162" w:firstLine="720"/>
      </w:pPr>
      <w:r>
        <w:rPr/>
        <w:t>Perceived similarity to models is an important attribute. Observing similar others succeed can raise observers' self-efficacy and motivate them to try the task because they are apt to believe that if others can succeed, they can as well (Schunk, 1987), Similarity may be especially influential when individuals are uncertain about their</w:t>
      </w:r>
      <w:r>
        <w:rPr>
          <w:spacing w:val="-1"/>
        </w:rPr>
        <w:t> </w:t>
      </w:r>
      <w:r>
        <w:rPr/>
        <w:t>capabilities,</w:t>
      </w:r>
      <w:r>
        <w:rPr>
          <w:spacing w:val="-1"/>
        </w:rPr>
        <w:t> </w:t>
      </w:r>
      <w:r>
        <w:rPr/>
        <w:t>such</w:t>
      </w:r>
      <w:r>
        <w:rPr>
          <w:spacing w:val="-7"/>
        </w:rPr>
        <w:t> </w:t>
      </w:r>
      <w:r>
        <w:rPr/>
        <w:t>as</w:t>
      </w:r>
      <w:r>
        <w:rPr>
          <w:spacing w:val="-4"/>
        </w:rPr>
        <w:t> </w:t>
      </w:r>
      <w:r>
        <w:rPr/>
        <w:t>when</w:t>
      </w:r>
      <w:r>
        <w:rPr>
          <w:spacing w:val="-7"/>
        </w:rPr>
        <w:t> </w:t>
      </w:r>
      <w:r>
        <w:rPr/>
        <w:t>they</w:t>
      </w:r>
      <w:r>
        <w:rPr>
          <w:spacing w:val="-2"/>
        </w:rPr>
        <w:t> </w:t>
      </w:r>
      <w:r>
        <w:rPr/>
        <w:t>lack</w:t>
      </w:r>
      <w:r>
        <w:rPr>
          <w:spacing w:val="-2"/>
        </w:rPr>
        <w:t> </w:t>
      </w:r>
      <w:r>
        <w:rPr/>
        <w:t>task</w:t>
      </w:r>
      <w:r>
        <w:rPr>
          <w:spacing w:val="-2"/>
        </w:rPr>
        <w:t> </w:t>
      </w:r>
      <w:r>
        <w:rPr/>
        <w:t>familiarity</w:t>
      </w:r>
      <w:r>
        <w:rPr>
          <w:spacing w:val="-12"/>
        </w:rPr>
        <w:t> </w:t>
      </w:r>
      <w:r>
        <w:rPr/>
        <w:t>and have little information</w:t>
      </w:r>
      <w:r>
        <w:rPr>
          <w:spacing w:val="-7"/>
        </w:rPr>
        <w:t> </w:t>
      </w:r>
      <w:r>
        <w:rPr/>
        <w:t>to use in judging efficacy or when they previously experienced difficulties and have doubts about performing well.</w:t>
      </w:r>
    </w:p>
    <w:p>
      <w:pPr>
        <w:pStyle w:val="BodyText"/>
        <w:spacing w:line="480" w:lineRule="auto" w:before="1"/>
        <w:ind w:right="1161" w:firstLine="720"/>
      </w:pPr>
      <w:r>
        <w:rPr/>
        <w:t>Similarity may be varied through the use of coping and mastery models. Coping models initially demonstrate the typical behavioral deficiencies and possibly fears of</w:t>
      </w:r>
      <w:r>
        <w:rPr>
          <w:spacing w:val="-5"/>
        </w:rPr>
        <w:t> </w:t>
      </w:r>
      <w:r>
        <w:rPr/>
        <w:t>observers but gradually improve their performances and gain self-confidence. These models illustrate how effort and positive thoughts can overcome difficulties. Mastery models demonstrate faultless performance from the outset (Schunk, 1987).</w:t>
      </w:r>
    </w:p>
    <w:p>
      <w:pPr>
        <w:pStyle w:val="BodyText"/>
        <w:spacing w:line="480" w:lineRule="auto" w:before="1"/>
        <w:ind w:right="1156" w:firstLine="720"/>
      </w:pPr>
      <w:r>
        <w:rPr/>
        <w:t>Schunk and Hanson (1985) had low-achieving children observe videotapes of peer mastery</w:t>
      </w:r>
      <w:r>
        <w:rPr>
          <w:spacing w:val="-2"/>
        </w:rPr>
        <w:t> </w:t>
      </w:r>
      <w:r>
        <w:rPr/>
        <w:t>or coping models or adult teacher models explaining and demonstrating subtraction</w:t>
      </w:r>
      <w:r>
        <w:rPr>
          <w:spacing w:val="-1"/>
        </w:rPr>
        <w:t> </w:t>
      </w:r>
      <w:r>
        <w:rPr/>
        <w:t>operations. Peer mastery</w:t>
      </w:r>
      <w:r>
        <w:rPr>
          <w:spacing w:val="-1"/>
        </w:rPr>
        <w:t> </w:t>
      </w:r>
      <w:r>
        <w:rPr/>
        <w:t>models solved</w:t>
      </w:r>
      <w:r>
        <w:rPr>
          <w:spacing w:val="-1"/>
        </w:rPr>
        <w:t> </w:t>
      </w:r>
      <w:r>
        <w:rPr/>
        <w:t>problems correctly</w:t>
      </w:r>
      <w:r>
        <w:rPr>
          <w:spacing w:val="-6"/>
        </w:rPr>
        <w:t> </w:t>
      </w:r>
      <w:r>
        <w:rPr/>
        <w:t>and verbalized statements reflecting high self-efficacy and ability, low task difficulty, and positive attitudes.</w:t>
      </w:r>
      <w:r>
        <w:rPr>
          <w:spacing w:val="-2"/>
        </w:rPr>
        <w:t> </w:t>
      </w:r>
      <w:r>
        <w:rPr/>
        <w:t>Peer</w:t>
      </w:r>
      <w:r>
        <w:rPr>
          <w:spacing w:val="-3"/>
        </w:rPr>
        <w:t> </w:t>
      </w:r>
      <w:r>
        <w:rPr/>
        <w:t>coping models</w:t>
      </w:r>
      <w:r>
        <w:rPr>
          <w:spacing w:val="-2"/>
        </w:rPr>
        <w:t> </w:t>
      </w:r>
      <w:r>
        <w:rPr/>
        <w:t>initially</w:t>
      </w:r>
      <w:r>
        <w:rPr>
          <w:spacing w:val="-4"/>
        </w:rPr>
        <w:t> </w:t>
      </w:r>
      <w:r>
        <w:rPr/>
        <w:t>made</w:t>
      </w:r>
      <w:r>
        <w:rPr>
          <w:spacing w:val="-5"/>
        </w:rPr>
        <w:t> </w:t>
      </w:r>
      <w:r>
        <w:rPr/>
        <w:t>errors</w:t>
      </w:r>
      <w:r>
        <w:rPr>
          <w:spacing w:val="-10"/>
        </w:rPr>
        <w:t> </w:t>
      </w:r>
      <w:r>
        <w:rPr/>
        <w:t>and verbalized</w:t>
      </w:r>
      <w:r>
        <w:rPr>
          <w:spacing w:val="-4"/>
        </w:rPr>
        <w:t> </w:t>
      </w:r>
      <w:r>
        <w:rPr/>
        <w:t>negative</w:t>
      </w:r>
      <w:r>
        <w:rPr>
          <w:spacing w:val="-5"/>
        </w:rPr>
        <w:t> </w:t>
      </w:r>
      <w:r>
        <w:rPr/>
        <w:t>statements, but then began to verbalize coping statements (e.g., "I need to pay attention to what I'm</w:t>
      </w:r>
      <w:r>
        <w:rPr>
          <w:spacing w:val="40"/>
        </w:rPr>
        <w:t> </w:t>
      </w:r>
      <w:r>
        <w:rPr/>
        <w:t>doing")</w:t>
      </w:r>
      <w:r>
        <w:rPr>
          <w:spacing w:val="40"/>
        </w:rPr>
        <w:t> </w:t>
      </w:r>
      <w:r>
        <w:rPr/>
        <w:t>and</w:t>
      </w:r>
      <w:r>
        <w:rPr>
          <w:spacing w:val="40"/>
        </w:rPr>
        <w:t> </w:t>
      </w:r>
      <w:r>
        <w:rPr/>
        <w:t>eventually</w:t>
      </w:r>
      <w:r>
        <w:rPr>
          <w:spacing w:val="40"/>
        </w:rPr>
        <w:t> </w:t>
      </w:r>
      <w:r>
        <w:rPr/>
        <w:t>verbalized</w:t>
      </w:r>
      <w:r>
        <w:rPr>
          <w:spacing w:val="40"/>
        </w:rPr>
        <w:t> </w:t>
      </w:r>
      <w:r>
        <w:rPr/>
        <w:t>and</w:t>
      </w:r>
      <w:r>
        <w:rPr>
          <w:spacing w:val="40"/>
        </w:rPr>
        <w:t> </w:t>
      </w:r>
      <w:r>
        <w:rPr/>
        <w:t>performed</w:t>
      </w:r>
      <w:r>
        <w:rPr>
          <w:spacing w:val="40"/>
        </w:rPr>
        <w:t> </w:t>
      </w:r>
      <w:r>
        <w:rPr/>
        <w:t>as</w:t>
      </w:r>
      <w:r>
        <w:rPr>
          <w:spacing w:val="40"/>
        </w:rPr>
        <w:t> </w:t>
      </w:r>
      <w:r>
        <w:rPr/>
        <w:t>well</w:t>
      </w:r>
      <w:r>
        <w:rPr>
          <w:spacing w:val="40"/>
        </w:rPr>
        <w:t> </w:t>
      </w:r>
      <w:r>
        <w:rPr/>
        <w:t>as</w:t>
      </w:r>
      <w:r>
        <w:rPr>
          <w:spacing w:val="40"/>
        </w:rPr>
        <w:t> </w:t>
      </w:r>
      <w:r>
        <w:rPr/>
        <w:t>mastery</w:t>
      </w:r>
      <w:r>
        <w:rPr>
          <w:spacing w:val="40"/>
        </w:rPr>
        <w:t> </w:t>
      </w:r>
      <w:r>
        <w:rPr/>
        <w:t>models.</w:t>
      </w:r>
    </w:p>
    <w:p>
      <w:pPr>
        <w:spacing w:after="0" w:line="480" w:lineRule="auto"/>
        <w:sectPr>
          <w:pgSz w:w="11910" w:h="16840"/>
          <w:pgMar w:header="0" w:footer="1012" w:top="1340" w:bottom="1200" w:left="1680" w:right="280"/>
        </w:sectPr>
      </w:pPr>
    </w:p>
    <w:p>
      <w:pPr>
        <w:pStyle w:val="BodyText"/>
        <w:spacing w:line="480" w:lineRule="auto" w:before="74"/>
        <w:ind w:right="1162"/>
      </w:pPr>
      <w:r>
        <w:rPr/>
        <w:t>Teacher models displayed mastery behaviors. Other children did not observe models. Following this modeling phase all children judged self-efficacy for learning to solve problems, received subtraction instruction and practice solving problems over sessions, and a posttest on self-efficacy and skill.</w:t>
      </w:r>
    </w:p>
    <w:p>
      <w:pPr>
        <w:pStyle w:val="BodyText"/>
        <w:spacing w:line="480" w:lineRule="auto"/>
        <w:ind w:right="1155" w:firstLine="720"/>
      </w:pPr>
      <w:r>
        <w:rPr/>
        <w:t>Peer models increased self-efficacy for learning and posttest self-efficacy and skill better than the teacher model or no model; teacher-model children outperformed no-model students. All model conditions displayed higher motivation than did no- model subjects based on the number of problems solved during the instructional sessions. Schunk and Hanson hypothesized that subjects might perceive themselves more similar to coping models, but the mastery- and coping-model</w:t>
      </w:r>
      <w:r>
        <w:rPr>
          <w:spacing w:val="-2"/>
        </w:rPr>
        <w:t> </w:t>
      </w:r>
      <w:r>
        <w:rPr/>
        <w:t>conditions did not differ. Subjects may have recalled instances of prior successful performance in subtraction and believed that if the models could learn, they could too.</w:t>
      </w:r>
    </w:p>
    <w:p>
      <w:pPr>
        <w:pStyle w:val="BodyText"/>
        <w:spacing w:line="480" w:lineRule="auto" w:before="2"/>
        <w:ind w:right="1159" w:firstLine="720"/>
      </w:pPr>
      <w:r>
        <w:rPr/>
        <w:t>Schunk,</w:t>
      </w:r>
      <w:r>
        <w:rPr>
          <w:spacing w:val="-2"/>
        </w:rPr>
        <w:t> </w:t>
      </w:r>
      <w:r>
        <w:rPr/>
        <w:t>Hanson,</w:t>
      </w:r>
      <w:r>
        <w:rPr>
          <w:spacing w:val="-2"/>
        </w:rPr>
        <w:t> </w:t>
      </w:r>
      <w:r>
        <w:rPr/>
        <w:t>and</w:t>
      </w:r>
      <w:r>
        <w:rPr>
          <w:spacing w:val="-3"/>
        </w:rPr>
        <w:t> </w:t>
      </w:r>
      <w:r>
        <w:rPr/>
        <w:t>Cox</w:t>
      </w:r>
      <w:r>
        <w:rPr>
          <w:spacing w:val="-8"/>
        </w:rPr>
        <w:t> </w:t>
      </w:r>
      <w:r>
        <w:rPr/>
        <w:t>(1987)</w:t>
      </w:r>
      <w:r>
        <w:rPr>
          <w:spacing w:val="-3"/>
        </w:rPr>
        <w:t> </w:t>
      </w:r>
      <w:r>
        <w:rPr/>
        <w:t>employed</w:t>
      </w:r>
      <w:r>
        <w:rPr>
          <w:spacing w:val="-3"/>
        </w:rPr>
        <w:t> </w:t>
      </w:r>
      <w:r>
        <w:rPr/>
        <w:t>a</w:t>
      </w:r>
      <w:r>
        <w:rPr>
          <w:spacing w:val="-4"/>
        </w:rPr>
        <w:t> </w:t>
      </w:r>
      <w:r>
        <w:rPr/>
        <w:t>similar methodology</w:t>
      </w:r>
      <w:r>
        <w:rPr>
          <w:spacing w:val="-8"/>
        </w:rPr>
        <w:t> </w:t>
      </w:r>
      <w:r>
        <w:rPr/>
        <w:t>but used</w:t>
      </w:r>
      <w:r>
        <w:rPr>
          <w:spacing w:val="-3"/>
        </w:rPr>
        <w:t> </w:t>
      </w:r>
      <w:r>
        <w:rPr/>
        <w:t>an arithmetic task (fractions) on</w:t>
      </w:r>
      <w:r>
        <w:rPr>
          <w:spacing w:val="-1"/>
        </w:rPr>
        <w:t> </w:t>
      </w:r>
      <w:r>
        <w:rPr/>
        <w:t>which</w:t>
      </w:r>
      <w:r>
        <w:rPr>
          <w:spacing w:val="-1"/>
        </w:rPr>
        <w:t> </w:t>
      </w:r>
      <w:r>
        <w:rPr/>
        <w:t>children had experienced few previous successes. These researchers also tested the idea that multiple models are better than a single model because multiple models increase the likelihood that students will view themselves similar to at least one model (Schunk, 1989). The first study showed that benefits of coping models were obtained with a more-difficult task: Observing a coping model enhanced self-efficacy for learning, motivation, and posttest self- efficacy and skill, more than did observing a mastery model. In the second study, multiple models-coping or mastery promoted achievement out-comes as well as a single coping model and better than a single mastery model. Children who observed single models judged themselves more similar in competence to coping than mastery models.</w:t>
      </w:r>
      <w:r>
        <w:rPr>
          <w:spacing w:val="64"/>
          <w:w w:val="150"/>
        </w:rPr>
        <w:t> </w:t>
      </w:r>
      <w:r>
        <w:rPr/>
        <w:t>Benefits</w:t>
      </w:r>
      <w:r>
        <w:rPr>
          <w:spacing w:val="58"/>
          <w:w w:val="150"/>
        </w:rPr>
        <w:t> </w:t>
      </w:r>
      <w:r>
        <w:rPr/>
        <w:t>of</w:t>
      </w:r>
      <w:r>
        <w:rPr>
          <w:spacing w:val="61"/>
          <w:w w:val="150"/>
        </w:rPr>
        <w:t> </w:t>
      </w:r>
      <w:r>
        <w:rPr/>
        <w:t>multiple</w:t>
      </w:r>
      <w:r>
        <w:rPr>
          <w:spacing w:val="68"/>
          <w:w w:val="150"/>
        </w:rPr>
        <w:t> </w:t>
      </w:r>
      <w:r>
        <w:rPr/>
        <w:t>models</w:t>
      </w:r>
      <w:r>
        <w:rPr>
          <w:spacing w:val="62"/>
          <w:w w:val="150"/>
        </w:rPr>
        <w:t> </w:t>
      </w:r>
      <w:r>
        <w:rPr/>
        <w:t>were</w:t>
      </w:r>
      <w:r>
        <w:rPr>
          <w:spacing w:val="63"/>
          <w:w w:val="150"/>
        </w:rPr>
        <w:t> </w:t>
      </w:r>
      <w:r>
        <w:rPr/>
        <w:t>not</w:t>
      </w:r>
      <w:r>
        <w:rPr>
          <w:spacing w:val="65"/>
          <w:w w:val="150"/>
        </w:rPr>
        <w:t> </w:t>
      </w:r>
      <w:r>
        <w:rPr/>
        <w:t>due</w:t>
      </w:r>
      <w:r>
        <w:rPr>
          <w:spacing w:val="59"/>
          <w:w w:val="150"/>
        </w:rPr>
        <w:t> </w:t>
      </w:r>
      <w:r>
        <w:rPr/>
        <w:t>to</w:t>
      </w:r>
      <w:r>
        <w:rPr>
          <w:spacing w:val="64"/>
          <w:w w:val="150"/>
        </w:rPr>
        <w:t> </w:t>
      </w:r>
      <w:r>
        <w:rPr/>
        <w:t>perceived</w:t>
      </w:r>
      <w:r>
        <w:rPr>
          <w:spacing w:val="65"/>
          <w:w w:val="150"/>
        </w:rPr>
        <w:t> </w:t>
      </w:r>
      <w:r>
        <w:rPr/>
        <w:t>similarity</w:t>
      </w:r>
      <w:r>
        <w:rPr>
          <w:spacing w:val="60"/>
          <w:w w:val="150"/>
        </w:rPr>
        <w:t> </w:t>
      </w:r>
      <w:r>
        <w:rPr>
          <w:spacing w:val="-5"/>
        </w:rPr>
        <w:t>in</w:t>
      </w:r>
    </w:p>
    <w:p>
      <w:pPr>
        <w:spacing w:after="0" w:line="480" w:lineRule="auto"/>
        <w:sectPr>
          <w:pgSz w:w="11910" w:h="16840"/>
          <w:pgMar w:header="0" w:footer="1012" w:top="1340" w:bottom="1200" w:left="1680" w:right="280"/>
        </w:sectPr>
      </w:pPr>
    </w:p>
    <w:p>
      <w:pPr>
        <w:pStyle w:val="BodyText"/>
        <w:spacing w:line="480" w:lineRule="auto" w:before="74"/>
        <w:ind w:right="1169"/>
      </w:pPr>
      <w:r>
        <w:rPr/>
        <w:t>competence, which</w:t>
      </w:r>
      <w:r>
        <w:rPr>
          <w:spacing w:val="-3"/>
        </w:rPr>
        <w:t> </w:t>
      </w:r>
      <w:r>
        <w:rPr/>
        <w:t>suggests</w:t>
      </w:r>
      <w:r>
        <w:rPr>
          <w:spacing w:val="-1"/>
        </w:rPr>
        <w:t> </w:t>
      </w:r>
      <w:r>
        <w:rPr/>
        <w:t>that similarity</w:t>
      </w:r>
      <w:r>
        <w:rPr>
          <w:spacing w:val="-3"/>
        </w:rPr>
        <w:t> </w:t>
      </w:r>
      <w:r>
        <w:rPr/>
        <w:t>may be important when students</w:t>
      </w:r>
      <w:r>
        <w:rPr>
          <w:spacing w:val="-1"/>
        </w:rPr>
        <w:t> </w:t>
      </w:r>
      <w:r>
        <w:rPr/>
        <w:t>have few cues to assess efficacy.</w:t>
      </w:r>
    </w:p>
    <w:p>
      <w:pPr>
        <w:pStyle w:val="BodyText"/>
        <w:spacing w:line="480" w:lineRule="auto"/>
        <w:ind w:right="1151" w:firstLine="720"/>
      </w:pPr>
      <w:r>
        <w:rPr/>
        <w:t>In a follow-up study, Schunk and Hanson (1989a) further explored variations in perceived similarity by exposing average-achieving children to one of three types</w:t>
      </w:r>
      <w:r>
        <w:rPr>
          <w:spacing w:val="40"/>
        </w:rPr>
        <w:t> </w:t>
      </w:r>
      <w:r>
        <w:rPr/>
        <w:t>of peer models. Mastery models easily grasped arithmetic operations and verbalized positive beliefs (e.g., "I know I can do this one"). Coping-emotive models initially experienced difficulties and verbalized negative statements (e.g., "I'm not very good</w:t>
      </w:r>
      <w:r>
        <w:rPr>
          <w:spacing w:val="80"/>
        </w:rPr>
        <w:t> </w:t>
      </w:r>
      <w:r>
        <w:rPr/>
        <w:t>at this"), after which they verbalized coping statements (e.g., "I'll have to work hard</w:t>
      </w:r>
      <w:r>
        <w:rPr>
          <w:spacing w:val="40"/>
        </w:rPr>
        <w:t> </w:t>
      </w:r>
      <w:r>
        <w:rPr/>
        <w:t>on this one") and displayed coping behaviors; eventually they per-formed as well as mastery models. Coping-alone models performed in identical fashion to coping- emotive models but never verbalized negative beliefs. Coping-emotive models led to the highest self-efficacy for learning. Mastery and coping-alone subjects perceived themselves as equal in competence to the model; coping-emotive subjects viewed themselves as more competent than the model. The belief that one is more talented than an unsuccessful model can raise efficacy and motivation. Following the instructional program the three conditions did not differ in efficacy or skill, which shows that actual task experience outweighed initial vicarious model effects.</w:t>
      </w:r>
    </w:p>
    <w:p>
      <w:pPr>
        <w:pStyle w:val="BodyText"/>
        <w:spacing w:line="480" w:lineRule="auto" w:before="3"/>
        <w:ind w:right="1156" w:firstLine="720"/>
      </w:pPr>
      <w:r>
        <w:rPr/>
        <w:t>The highest degree of model-observer similarity is attained through self- modeling, or behavioral-change that occurs from observing one's own behaviors (Dowrick, 1983). Typically one is viewed while performing a task and subsequently views the tape. Self-model tapes allow for review and are especially informative for tasks one cannot watch while performing, such as a golf swing or tennis serve. When performance errors occur, commentary by a knowledgeable individual during tape review helps to prevent performers from becoming discouraged (Hosford, 1981). The ex-pert</w:t>
      </w:r>
      <w:r>
        <w:rPr>
          <w:spacing w:val="56"/>
        </w:rPr>
        <w:t> </w:t>
      </w:r>
      <w:r>
        <w:rPr/>
        <w:t>can</w:t>
      </w:r>
      <w:r>
        <w:rPr>
          <w:spacing w:val="47"/>
        </w:rPr>
        <w:t> </w:t>
      </w:r>
      <w:r>
        <w:rPr/>
        <w:t>explain</w:t>
      </w:r>
      <w:r>
        <w:rPr>
          <w:spacing w:val="56"/>
        </w:rPr>
        <w:t> </w:t>
      </w:r>
      <w:r>
        <w:rPr/>
        <w:t>how</w:t>
      </w:r>
      <w:r>
        <w:rPr>
          <w:spacing w:val="51"/>
        </w:rPr>
        <w:t> </w:t>
      </w:r>
      <w:r>
        <w:rPr/>
        <w:t>to</w:t>
      </w:r>
      <w:r>
        <w:rPr>
          <w:spacing w:val="52"/>
        </w:rPr>
        <w:t> </w:t>
      </w:r>
      <w:r>
        <w:rPr/>
        <w:t>execute</w:t>
      </w:r>
      <w:r>
        <w:rPr>
          <w:spacing w:val="50"/>
        </w:rPr>
        <w:t> </w:t>
      </w:r>
      <w:r>
        <w:rPr/>
        <w:t>the</w:t>
      </w:r>
      <w:r>
        <w:rPr>
          <w:spacing w:val="51"/>
        </w:rPr>
        <w:t> </w:t>
      </w:r>
      <w:r>
        <w:rPr/>
        <w:t>behavior</w:t>
      </w:r>
      <w:r>
        <w:rPr>
          <w:spacing w:val="53"/>
        </w:rPr>
        <w:t> </w:t>
      </w:r>
      <w:r>
        <w:rPr/>
        <w:t>better</w:t>
      </w:r>
      <w:r>
        <w:rPr>
          <w:spacing w:val="48"/>
        </w:rPr>
        <w:t> </w:t>
      </w:r>
      <w:r>
        <w:rPr/>
        <w:t>the</w:t>
      </w:r>
      <w:r>
        <w:rPr>
          <w:spacing w:val="51"/>
        </w:rPr>
        <w:t> </w:t>
      </w:r>
      <w:r>
        <w:rPr/>
        <w:t>next</w:t>
      </w:r>
      <w:r>
        <w:rPr>
          <w:spacing w:val="52"/>
        </w:rPr>
        <w:t> </w:t>
      </w:r>
      <w:r>
        <w:rPr/>
        <w:t>time.</w:t>
      </w:r>
      <w:r>
        <w:rPr>
          <w:spacing w:val="54"/>
        </w:rPr>
        <w:t> </w:t>
      </w:r>
      <w:r>
        <w:rPr/>
        <w:t>Tapes</w:t>
      </w:r>
      <w:r>
        <w:rPr>
          <w:spacing w:val="49"/>
        </w:rPr>
        <w:t> </w:t>
      </w:r>
      <w:r>
        <w:rPr>
          <w:spacing w:val="-5"/>
        </w:rPr>
        <w:t>can</w:t>
      </w:r>
    </w:p>
    <w:p>
      <w:pPr>
        <w:spacing w:after="0" w:line="480" w:lineRule="auto"/>
        <w:sectPr>
          <w:pgSz w:w="11910" w:h="16840"/>
          <w:pgMar w:header="0" w:footer="1012" w:top="1340" w:bottom="1200" w:left="1680" w:right="280"/>
        </w:sectPr>
      </w:pPr>
    </w:p>
    <w:p>
      <w:pPr>
        <w:pStyle w:val="BodyText"/>
        <w:spacing w:line="480" w:lineRule="auto" w:before="74"/>
        <w:ind w:right="1168"/>
      </w:pPr>
      <w:r>
        <w:rPr/>
        <w:t>convey to observers that they are becoming more skillful and can continue to make progress, which raises self-efficacy.</w:t>
      </w:r>
    </w:p>
    <w:p>
      <w:pPr>
        <w:pStyle w:val="BodyText"/>
        <w:spacing w:line="480" w:lineRule="auto"/>
        <w:ind w:right="1150" w:firstLine="720"/>
      </w:pPr>
      <w:r>
        <w:rPr/>
        <w:t>Schunk and Hanson (1989b) found support for these points during acquisition of arithmetic (fraction) skills. Subjects were children who had been identified by school personnel as working on below-grade-level material. Children received instruction and problem solving practice. Self-modeling subjects were videotaped while successfully solving problems and were shown their tapes, others were videotaped but not shown their tapes until after the study was completed (to control</w:t>
      </w:r>
      <w:r>
        <w:rPr>
          <w:spacing w:val="40"/>
        </w:rPr>
        <w:t> </w:t>
      </w:r>
      <w:r>
        <w:rPr/>
        <w:t>for potential effects of taping), and those in a third condition were not taped (to</w:t>
      </w:r>
      <w:r>
        <w:rPr>
          <w:spacing w:val="40"/>
        </w:rPr>
        <w:t> </w:t>
      </w:r>
      <w:r>
        <w:rPr/>
        <w:t>control for effects of participation). Self-modeling benefits were obtained as these children scored higher on self-efficacy for learning, motivation, and post-test self- efficacy and skill, than did children in the other two conditions. There were no differences between mastery</w:t>
      </w:r>
      <w:r>
        <w:rPr>
          <w:spacing w:val="-5"/>
        </w:rPr>
        <w:t> </w:t>
      </w:r>
      <w:r>
        <w:rPr/>
        <w:t>self-model subjects who viewed tapes of</w:t>
      </w:r>
      <w:r>
        <w:rPr>
          <w:spacing w:val="-3"/>
        </w:rPr>
        <w:t> </w:t>
      </w:r>
      <w:r>
        <w:rPr/>
        <w:t>their successful problem</w:t>
      </w:r>
      <w:r>
        <w:rPr>
          <w:spacing w:val="-3"/>
        </w:rPr>
        <w:t> </w:t>
      </w:r>
      <w:r>
        <w:rPr/>
        <w:t>solving and progress self-model</w:t>
      </w:r>
      <w:r>
        <w:rPr>
          <w:spacing w:val="-3"/>
        </w:rPr>
        <w:t> </w:t>
      </w:r>
      <w:r>
        <w:rPr/>
        <w:t>children whose tapes portrayed their gradual improvement as they acquired skills, which support the point that the perception of progress or of mastery can build efficacy (Schunk, 1989).</w:t>
      </w:r>
    </w:p>
    <w:p>
      <w:pPr>
        <w:pStyle w:val="BodyText"/>
        <w:spacing w:line="480" w:lineRule="auto" w:before="3"/>
        <w:ind w:right="1150" w:firstLine="720"/>
      </w:pPr>
      <w:r>
        <w:rPr/>
        <w:t>Research in the sport domain has yielded benefits due to model similarity. Gould and Weiss (1981) had college women view a similar model (female student with no athletic background) or dissimilar model (male physical education professor) perform</w:t>
      </w:r>
      <w:r>
        <w:rPr>
          <w:spacing w:val="-11"/>
        </w:rPr>
        <w:t> </w:t>
      </w:r>
      <w:r>
        <w:rPr/>
        <w:t>a muscular</w:t>
      </w:r>
      <w:r>
        <w:rPr>
          <w:spacing w:val="-2"/>
        </w:rPr>
        <w:t> </w:t>
      </w:r>
      <w:r>
        <w:rPr/>
        <w:t>endurance</w:t>
      </w:r>
      <w:r>
        <w:rPr>
          <w:spacing w:val="-4"/>
        </w:rPr>
        <w:t> </w:t>
      </w:r>
      <w:r>
        <w:rPr/>
        <w:t>task.</w:t>
      </w:r>
      <w:r>
        <w:rPr>
          <w:spacing w:val="-1"/>
        </w:rPr>
        <w:t> </w:t>
      </w:r>
      <w:r>
        <w:rPr/>
        <w:t>While</w:t>
      </w:r>
      <w:r>
        <w:rPr>
          <w:spacing w:val="-4"/>
        </w:rPr>
        <w:t> </w:t>
      </w:r>
      <w:r>
        <w:rPr/>
        <w:t>performing,</w:t>
      </w:r>
      <w:r>
        <w:rPr>
          <w:spacing w:val="-1"/>
        </w:rPr>
        <w:t> </w:t>
      </w:r>
      <w:r>
        <w:rPr/>
        <w:t>the model</w:t>
      </w:r>
      <w:r>
        <w:rPr>
          <w:spacing w:val="-7"/>
        </w:rPr>
        <w:t> </w:t>
      </w:r>
      <w:r>
        <w:rPr/>
        <w:t>made either</w:t>
      </w:r>
      <w:r>
        <w:rPr>
          <w:spacing w:val="-2"/>
        </w:rPr>
        <w:t> </w:t>
      </w:r>
      <w:r>
        <w:rPr/>
        <w:t>positive or negative efficacy statements; irrelevant- and no-statement conditions also were included. Subjects who viewed the similar model performed the task better and</w:t>
      </w:r>
      <w:r>
        <w:rPr>
          <w:spacing w:val="80"/>
        </w:rPr>
        <w:t> </w:t>
      </w:r>
      <w:r>
        <w:rPr/>
        <w:t>judged efficacy higher than students who observed dissimilar models. Regardless of treatment condition, self-efficacy related positively to performance.</w:t>
      </w:r>
    </w:p>
    <w:p>
      <w:pPr>
        <w:spacing w:after="0" w:line="480" w:lineRule="auto"/>
        <w:sectPr>
          <w:pgSz w:w="11910" w:h="16840"/>
          <w:pgMar w:header="0" w:footer="1012" w:top="1340" w:bottom="1200" w:left="1680" w:right="280"/>
        </w:sectPr>
      </w:pPr>
    </w:p>
    <w:p>
      <w:pPr>
        <w:pStyle w:val="BodyText"/>
        <w:spacing w:line="480" w:lineRule="auto" w:before="74"/>
        <w:ind w:right="1179" w:firstLine="720"/>
        <w:jc w:val="left"/>
      </w:pPr>
      <w:r>
        <w:rPr/>
        <w:t>These</w:t>
      </w:r>
      <w:r>
        <w:rPr>
          <w:spacing w:val="-4"/>
        </w:rPr>
        <w:t> </w:t>
      </w:r>
      <w:r>
        <w:rPr/>
        <w:t>results</w:t>
      </w:r>
      <w:r>
        <w:rPr>
          <w:spacing w:val="-5"/>
        </w:rPr>
        <w:t> </w:t>
      </w:r>
      <w:r>
        <w:rPr/>
        <w:t>were</w:t>
      </w:r>
      <w:r>
        <w:rPr>
          <w:spacing w:val="-4"/>
        </w:rPr>
        <w:t> </w:t>
      </w:r>
      <w:r>
        <w:rPr/>
        <w:t>replicated</w:t>
      </w:r>
      <w:r>
        <w:rPr>
          <w:spacing w:val="-3"/>
        </w:rPr>
        <w:t> </w:t>
      </w:r>
      <w:r>
        <w:rPr/>
        <w:t>by</w:t>
      </w:r>
      <w:r>
        <w:rPr>
          <w:spacing w:val="-8"/>
        </w:rPr>
        <w:t> </w:t>
      </w:r>
      <w:r>
        <w:rPr/>
        <w:t>George,</w:t>
      </w:r>
      <w:r>
        <w:rPr>
          <w:spacing w:val="-2"/>
        </w:rPr>
        <w:t> </w:t>
      </w:r>
      <w:r>
        <w:rPr/>
        <w:t>Feltz,</w:t>
      </w:r>
      <w:r>
        <w:rPr>
          <w:spacing w:val="-2"/>
        </w:rPr>
        <w:t> </w:t>
      </w:r>
      <w:r>
        <w:rPr/>
        <w:t>and</w:t>
      </w:r>
      <w:r>
        <w:rPr>
          <w:spacing w:val="-3"/>
        </w:rPr>
        <w:t> </w:t>
      </w:r>
      <w:r>
        <w:rPr/>
        <w:t>Chase</w:t>
      </w:r>
      <w:r>
        <w:rPr>
          <w:spacing w:val="-4"/>
        </w:rPr>
        <w:t> </w:t>
      </w:r>
      <w:r>
        <w:rPr/>
        <w:t>(1992)</w:t>
      </w:r>
      <w:r>
        <w:rPr>
          <w:spacing w:val="-3"/>
        </w:rPr>
        <w:t> </w:t>
      </w:r>
      <w:r>
        <w:rPr/>
        <w:t>using female college</w:t>
      </w:r>
      <w:r>
        <w:rPr>
          <w:spacing w:val="-3"/>
        </w:rPr>
        <w:t> </w:t>
      </w:r>
      <w:r>
        <w:rPr/>
        <w:t>students</w:t>
      </w:r>
      <w:r>
        <w:rPr>
          <w:spacing w:val="-4"/>
        </w:rPr>
        <w:t> </w:t>
      </w:r>
      <w:r>
        <w:rPr/>
        <w:t>and models</w:t>
      </w:r>
      <w:r>
        <w:rPr>
          <w:spacing w:val="-4"/>
        </w:rPr>
        <w:t> </w:t>
      </w:r>
      <w:r>
        <w:rPr/>
        <w:t>performing</w:t>
      </w:r>
      <w:r>
        <w:rPr>
          <w:spacing w:val="-2"/>
        </w:rPr>
        <w:t> </w:t>
      </w:r>
      <w:r>
        <w:rPr/>
        <w:t>a leg-extension</w:t>
      </w:r>
      <w:r>
        <w:rPr>
          <w:spacing w:val="-7"/>
        </w:rPr>
        <w:t> </w:t>
      </w:r>
      <w:r>
        <w:rPr/>
        <w:t>endurance</w:t>
      </w:r>
      <w:r>
        <w:rPr>
          <w:spacing w:val="-3"/>
        </w:rPr>
        <w:t> </w:t>
      </w:r>
      <w:r>
        <w:rPr/>
        <w:t>task. Students</w:t>
      </w:r>
      <w:r>
        <w:rPr>
          <w:spacing w:val="-4"/>
        </w:rPr>
        <w:t> </w:t>
      </w:r>
      <w:r>
        <w:rPr/>
        <w:t>who observed a nonathletic male or female model</w:t>
      </w:r>
      <w:r>
        <w:rPr>
          <w:spacing w:val="-2"/>
        </w:rPr>
        <w:t> </w:t>
      </w:r>
      <w:r>
        <w:rPr/>
        <w:t>extended their legs longer and judged self-efficacy</w:t>
      </w:r>
      <w:r>
        <w:rPr>
          <w:spacing w:val="-9"/>
        </w:rPr>
        <w:t> </w:t>
      </w:r>
      <w:r>
        <w:rPr/>
        <w:t>higher</w:t>
      </w:r>
      <w:r>
        <w:rPr>
          <w:spacing w:val="-3"/>
        </w:rPr>
        <w:t> </w:t>
      </w:r>
      <w:r>
        <w:rPr/>
        <w:t>than</w:t>
      </w:r>
      <w:r>
        <w:rPr>
          <w:spacing w:val="-9"/>
        </w:rPr>
        <w:t> </w:t>
      </w:r>
      <w:r>
        <w:rPr/>
        <w:t>those</w:t>
      </w:r>
      <w:r>
        <w:rPr>
          <w:spacing w:val="-5"/>
        </w:rPr>
        <w:t> </w:t>
      </w:r>
      <w:r>
        <w:rPr/>
        <w:t>who</w:t>
      </w:r>
      <w:r>
        <w:rPr>
          <w:spacing w:val="-4"/>
        </w:rPr>
        <w:t> </w:t>
      </w:r>
      <w:r>
        <w:rPr/>
        <w:t>observed</w:t>
      </w:r>
      <w:r>
        <w:rPr>
          <w:spacing w:val="-4"/>
        </w:rPr>
        <w:t> </w:t>
      </w:r>
      <w:r>
        <w:rPr/>
        <w:t>an</w:t>
      </w:r>
      <w:r>
        <w:rPr>
          <w:spacing w:val="-9"/>
        </w:rPr>
        <w:t> </w:t>
      </w:r>
      <w:r>
        <w:rPr/>
        <w:t>athletic model, among</w:t>
      </w:r>
      <w:r>
        <w:rPr>
          <w:spacing w:val="-3"/>
        </w:rPr>
        <w:t> </w:t>
      </w:r>
      <w:r>
        <w:rPr/>
        <w:t>these</w:t>
      </w:r>
      <w:r>
        <w:rPr>
          <w:spacing w:val="-5"/>
        </w:rPr>
        <w:t> </w:t>
      </w:r>
      <w:r>
        <w:rPr/>
        <w:t>unskilled observers, model ability was a more important similarity cue than model gender.</w:t>
      </w:r>
    </w:p>
    <w:p>
      <w:pPr>
        <w:pStyle w:val="BodyText"/>
        <w:spacing w:line="480" w:lineRule="auto" w:before="1"/>
        <w:ind w:right="1150" w:firstLine="720"/>
      </w:pPr>
      <w:r>
        <w:rPr/>
        <w:t>McCullagh's (1987) study assessed the effects of model similarity on motor performance, College women were exposed to a videotaped peer performing a</w:t>
      </w:r>
      <w:r>
        <w:rPr>
          <w:spacing w:val="80"/>
        </w:rPr>
        <w:t> </w:t>
      </w:r>
      <w:r>
        <w:rPr/>
        <w:t>balance task. Subjects in the similar condition were told that the model was a college student who had no previous experience; dissimilar-condition subjects were informed that the model</w:t>
      </w:r>
      <w:r>
        <w:rPr>
          <w:spacing w:val="-1"/>
        </w:rPr>
        <w:t> </w:t>
      </w:r>
      <w:r>
        <w:rPr/>
        <w:t>was a dancer and gymnast who had extensive experience with balance tasks. Similar-model subjects performed the task better than those who observed the dissimilar model. The similar and dissimilar conditions did not differ in self-efficacy and efficacy was not related to actual performance, which may have resulted because subjects' efficacy scores were high and far exceeded their performances.</w:t>
      </w:r>
    </w:p>
    <w:p>
      <w:pPr>
        <w:pStyle w:val="BodyText"/>
        <w:spacing w:line="480" w:lineRule="auto" w:before="2"/>
        <w:ind w:right="1159" w:firstLine="720"/>
      </w:pPr>
      <w:r>
        <w:rPr/>
        <w:t>Results of a study by Lirgg and Feltz (1991) conflict with the earlier evidence on the benefits of peer models compared with adult models (Schunk &amp; Hanson,</w:t>
      </w:r>
      <w:r>
        <w:rPr>
          <w:spacing w:val="40"/>
        </w:rPr>
        <w:t> </w:t>
      </w:r>
      <w:r>
        <w:rPr/>
        <w:t>1985). Lirgg and Feltz exposed sixth-grade girls to a skilled or unskilled teacher or peer videotaped model demonstrating a ladder-climbing task; control subjects observed no model. Subjects then judged self-efficacy for climbing successively higher levels on the ladder and performed the task over trials. Controls demonstrated poorer performance than those exposed to models; among the latter, children who viewed a skilled model (adult or peer) performed better than those who observed an unskilled model. Skilled-model subjects also judged self-efficacy higher.</w:t>
      </w:r>
    </w:p>
    <w:p>
      <w:pPr>
        <w:pStyle w:val="BodyText"/>
        <w:spacing w:line="480" w:lineRule="auto" w:before="2"/>
        <w:ind w:right="1163" w:firstLine="720"/>
      </w:pPr>
      <w:r>
        <w:rPr/>
        <w:t>It is difficult to resolve the discrepancy with Schunk and Hanson's (1985) results</w:t>
      </w:r>
      <w:r>
        <w:rPr>
          <w:spacing w:val="28"/>
        </w:rPr>
        <w:t> </w:t>
      </w:r>
      <w:r>
        <w:rPr/>
        <w:t>because</w:t>
      </w:r>
      <w:r>
        <w:rPr>
          <w:spacing w:val="31"/>
        </w:rPr>
        <w:t> </w:t>
      </w:r>
      <w:r>
        <w:rPr/>
        <w:t>all</w:t>
      </w:r>
      <w:r>
        <w:rPr>
          <w:spacing w:val="25"/>
        </w:rPr>
        <w:t> </w:t>
      </w:r>
      <w:r>
        <w:rPr/>
        <w:t>of</w:t>
      </w:r>
      <w:r>
        <w:rPr>
          <w:spacing w:val="25"/>
        </w:rPr>
        <w:t> </w:t>
      </w:r>
      <w:r>
        <w:rPr/>
        <w:t>their</w:t>
      </w:r>
      <w:r>
        <w:rPr>
          <w:spacing w:val="39"/>
        </w:rPr>
        <w:t> </w:t>
      </w:r>
      <w:r>
        <w:rPr/>
        <w:t>models</w:t>
      </w:r>
      <w:r>
        <w:rPr>
          <w:spacing w:val="30"/>
        </w:rPr>
        <w:t> </w:t>
      </w:r>
      <w:r>
        <w:rPr/>
        <w:t>were</w:t>
      </w:r>
      <w:r>
        <w:rPr>
          <w:spacing w:val="32"/>
        </w:rPr>
        <w:t> </w:t>
      </w:r>
      <w:r>
        <w:rPr/>
        <w:t>skilled</w:t>
      </w:r>
      <w:r>
        <w:rPr>
          <w:spacing w:val="37"/>
        </w:rPr>
        <w:t> </w:t>
      </w:r>
      <w:r>
        <w:rPr/>
        <w:t>and</w:t>
      </w:r>
      <w:r>
        <w:rPr>
          <w:spacing w:val="32"/>
        </w:rPr>
        <w:t> </w:t>
      </w:r>
      <w:r>
        <w:rPr/>
        <w:t>their</w:t>
      </w:r>
      <w:r>
        <w:rPr>
          <w:spacing w:val="35"/>
        </w:rPr>
        <w:t> </w:t>
      </w:r>
      <w:r>
        <w:rPr/>
        <w:t>task</w:t>
      </w:r>
      <w:r>
        <w:rPr>
          <w:spacing w:val="37"/>
        </w:rPr>
        <w:t> </w:t>
      </w:r>
      <w:r>
        <w:rPr/>
        <w:t>involved</w:t>
      </w:r>
      <w:r>
        <w:rPr>
          <w:spacing w:val="37"/>
        </w:rPr>
        <w:t> </w:t>
      </w:r>
      <w:r>
        <w:rPr/>
        <w:t>learning</w:t>
      </w:r>
      <w:r>
        <w:rPr>
          <w:spacing w:val="33"/>
        </w:rPr>
        <w:t> </w:t>
      </w:r>
      <w:r>
        <w:rPr>
          <w:spacing w:val="-5"/>
        </w:rPr>
        <w:t>of</w:t>
      </w:r>
    </w:p>
    <w:p>
      <w:pPr>
        <w:spacing w:after="0" w:line="480" w:lineRule="auto"/>
        <w:sectPr>
          <w:pgSz w:w="11910" w:h="16840"/>
          <w:pgMar w:header="0" w:footer="1012" w:top="1340" w:bottom="1200" w:left="1680" w:right="280"/>
        </w:sectPr>
      </w:pPr>
    </w:p>
    <w:p>
      <w:pPr>
        <w:pStyle w:val="BodyText"/>
        <w:spacing w:line="480" w:lineRule="auto" w:before="74"/>
        <w:ind w:right="1154"/>
      </w:pPr>
      <w:r>
        <w:rPr/>
        <w:t>cognitive skills. Schunk and Hanson also employed as subjects students who previously had experienced learning difficulties. Peer models may be more effective for such subjects as a means of raising self-efficacy for learning which in turn enhances motivation</w:t>
      </w:r>
      <w:r>
        <w:rPr>
          <w:spacing w:val="-2"/>
        </w:rPr>
        <w:t> </w:t>
      </w:r>
      <w:r>
        <w:rPr/>
        <w:t>and skill acquisition. The modeling literature is clear in showing that model competence moderates the effect of exposure to models on observers' behaviors (Bandura, 1986; Schunk, 1987).</w:t>
      </w:r>
    </w:p>
    <w:p>
      <w:pPr>
        <w:pStyle w:val="BodyText"/>
        <w:spacing w:line="480" w:lineRule="auto" w:before="1"/>
        <w:ind w:right="1150" w:firstLine="720"/>
      </w:pPr>
      <w:r>
        <w:rPr/>
        <w:t>In summary, models teach skills and are vicarious sources of self-efficacy information, and perceived similarity to models affects self-efficacy and motivation. The latter effect may be especially pronounced among students who have had difficulty acquiring skills. Also, the belief that one is more competent than a model can raise efficacy. Benefits of multiple models presumably occur because one can identify with at least one of the models and because many peers accomplishing the task imply that it must not be too hard. Self-model tapes convey progress and allow</w:t>
      </w:r>
      <w:r>
        <w:rPr>
          <w:spacing w:val="40"/>
        </w:rPr>
        <w:t> </w:t>
      </w:r>
      <w:r>
        <w:rPr/>
        <w:t>for close observation of behavior, which is especially important when progress is difficult to gauge or one cannot observe one's actions while performing.</w:t>
      </w:r>
    </w:p>
    <w:p>
      <w:pPr>
        <w:pStyle w:val="Heading3"/>
        <w:numPr>
          <w:ilvl w:val="1"/>
          <w:numId w:val="13"/>
        </w:numPr>
        <w:tabs>
          <w:tab w:pos="1199" w:val="left" w:leader="none"/>
        </w:tabs>
        <w:spacing w:line="240" w:lineRule="auto" w:before="7" w:after="0"/>
        <w:ind w:left="1199" w:right="0" w:hanging="719"/>
        <w:jc w:val="both"/>
      </w:pPr>
      <w:bookmarkStart w:name="_TOC_250001" w:id="27"/>
      <w:r>
        <w:rPr/>
        <w:t>Gender-Related</w:t>
      </w:r>
      <w:r>
        <w:rPr>
          <w:spacing w:val="-5"/>
        </w:rPr>
        <w:t> </w:t>
      </w:r>
      <w:r>
        <w:rPr/>
        <w:t>Differences</w:t>
      </w:r>
      <w:r>
        <w:rPr>
          <w:spacing w:val="-5"/>
        </w:rPr>
        <w:t> </w:t>
      </w:r>
      <w:r>
        <w:rPr/>
        <w:t>in</w:t>
      </w:r>
      <w:r>
        <w:rPr>
          <w:spacing w:val="-1"/>
        </w:rPr>
        <w:t> </w:t>
      </w:r>
      <w:r>
        <w:rPr/>
        <w:t>Academic</w:t>
      </w:r>
      <w:r>
        <w:rPr>
          <w:spacing w:val="-4"/>
        </w:rPr>
        <w:t> </w:t>
      </w:r>
      <w:r>
        <w:rPr/>
        <w:t>Achievement</w:t>
      </w:r>
      <w:r>
        <w:rPr>
          <w:spacing w:val="-2"/>
        </w:rPr>
        <w:t> </w:t>
      </w:r>
      <w:r>
        <w:rPr/>
        <w:t>in</w:t>
      </w:r>
      <w:r>
        <w:rPr>
          <w:spacing w:val="-1"/>
        </w:rPr>
        <w:t> </w:t>
      </w:r>
      <w:bookmarkEnd w:id="27"/>
      <w:r>
        <w:rPr>
          <w:spacing w:val="-2"/>
        </w:rPr>
        <w:t>Chemistry</w:t>
      </w:r>
    </w:p>
    <w:p>
      <w:pPr>
        <w:pStyle w:val="BodyText"/>
        <w:spacing w:line="480" w:lineRule="auto" w:before="271"/>
        <w:ind w:right="1162" w:firstLine="720"/>
      </w:pPr>
      <w:r>
        <w:rPr/>
        <w:t>The advent of colonisation and the introduction of western education and western</w:t>
      </w:r>
      <w:r>
        <w:rPr>
          <w:spacing w:val="-6"/>
        </w:rPr>
        <w:t> </w:t>
      </w:r>
      <w:r>
        <w:rPr/>
        <w:t>social</w:t>
      </w:r>
      <w:r>
        <w:rPr>
          <w:spacing w:val="-1"/>
        </w:rPr>
        <w:t> </w:t>
      </w:r>
      <w:r>
        <w:rPr/>
        <w:t>values, brought education</w:t>
      </w:r>
      <w:r>
        <w:rPr>
          <w:spacing w:val="-6"/>
        </w:rPr>
        <w:t> </w:t>
      </w:r>
      <w:r>
        <w:rPr/>
        <w:t>that was modeled</w:t>
      </w:r>
      <w:r>
        <w:rPr>
          <w:spacing w:val="-1"/>
        </w:rPr>
        <w:t> </w:t>
      </w:r>
      <w:r>
        <w:rPr/>
        <w:t>predominantly</w:t>
      </w:r>
      <w:r>
        <w:rPr>
          <w:spacing w:val="-6"/>
        </w:rPr>
        <w:t> </w:t>
      </w:r>
      <w:r>
        <w:rPr/>
        <w:t>towards</w:t>
      </w:r>
      <w:r>
        <w:rPr>
          <w:spacing w:val="-3"/>
        </w:rPr>
        <w:t> </w:t>
      </w:r>
      <w:r>
        <w:rPr/>
        <w:t>the mental development of boys and men; this was evidenced by the number of boys' schools. There were established during this era and the enrolment figures of boys, compared to girls (Uwaezuoke and Ezeh, 2008).</w:t>
      </w:r>
      <w:r>
        <w:rPr>
          <w:spacing w:val="40"/>
        </w:rPr>
        <w:t> </w:t>
      </w:r>
      <w:r>
        <w:rPr/>
        <w:t>Girls' secondary schools came after serious agitations, and when it did, parents were already skeptical about sending their girls to school (Anugwom, 2009). Also, the work establishment created by these institutions, such</w:t>
      </w:r>
      <w:r>
        <w:rPr>
          <w:spacing w:val="-6"/>
        </w:rPr>
        <w:t> </w:t>
      </w:r>
      <w:r>
        <w:rPr/>
        <w:t>as</w:t>
      </w:r>
      <w:r>
        <w:rPr>
          <w:spacing w:val="-3"/>
        </w:rPr>
        <w:t> </w:t>
      </w:r>
      <w:r>
        <w:rPr/>
        <w:t>Civil</w:t>
      </w:r>
      <w:r>
        <w:rPr>
          <w:spacing w:val="-5"/>
        </w:rPr>
        <w:t> </w:t>
      </w:r>
      <w:r>
        <w:rPr/>
        <w:t>Service, Boat Industries, Churches and</w:t>
      </w:r>
      <w:r>
        <w:rPr>
          <w:spacing w:val="-1"/>
        </w:rPr>
        <w:t> </w:t>
      </w:r>
      <w:r>
        <w:rPr/>
        <w:t>Schools were</w:t>
      </w:r>
      <w:r>
        <w:rPr>
          <w:spacing w:val="-2"/>
        </w:rPr>
        <w:t> </w:t>
      </w:r>
      <w:r>
        <w:rPr/>
        <w:t>almost exclusively open to men only (Nka, Zuga-Oti, 2013).</w:t>
      </w:r>
    </w:p>
    <w:p>
      <w:pPr>
        <w:spacing w:after="0" w:line="480" w:lineRule="auto"/>
        <w:sectPr>
          <w:pgSz w:w="11910" w:h="16840"/>
          <w:pgMar w:header="0" w:footer="1012" w:top="1340" w:bottom="1200" w:left="1680" w:right="280"/>
        </w:sectPr>
      </w:pPr>
    </w:p>
    <w:p>
      <w:pPr>
        <w:pStyle w:val="BodyText"/>
        <w:spacing w:line="480" w:lineRule="auto" w:before="74"/>
        <w:ind w:right="1158" w:firstLine="720"/>
      </w:pPr>
      <w:r>
        <w:rPr/>
        <w:t>Aside from psychological factors of self-esteem and self-efficacy influencing the career growth of women, Colletti, Mulholland, and Sonnad (2000) found social and family issues to be (a) major concern for both male and female academic surgeons. However, both men and women report differences in the conflict between family and career responsibilities and perceptions of balancing those responsibilities for men</w:t>
      </w:r>
      <w:r>
        <w:rPr>
          <w:spacing w:val="-5"/>
        </w:rPr>
        <w:t> </w:t>
      </w:r>
      <w:r>
        <w:rPr/>
        <w:t>and women. Two</w:t>
      </w:r>
      <w:r>
        <w:rPr>
          <w:spacing w:val="-1"/>
        </w:rPr>
        <w:t> </w:t>
      </w:r>
      <w:r>
        <w:rPr/>
        <w:t>thirds</w:t>
      </w:r>
      <w:r>
        <w:rPr>
          <w:spacing w:val="-2"/>
        </w:rPr>
        <w:t> </w:t>
      </w:r>
      <w:r>
        <w:rPr/>
        <w:t>of</w:t>
      </w:r>
      <w:r>
        <w:rPr>
          <w:spacing w:val="-8"/>
        </w:rPr>
        <w:t> </w:t>
      </w:r>
      <w:r>
        <w:rPr/>
        <w:t>both men</w:t>
      </w:r>
      <w:r>
        <w:rPr>
          <w:spacing w:val="-5"/>
        </w:rPr>
        <w:t> </w:t>
      </w:r>
      <w:r>
        <w:rPr/>
        <w:t>and women</w:t>
      </w:r>
      <w:r>
        <w:rPr>
          <w:spacing w:val="-5"/>
        </w:rPr>
        <w:t> </w:t>
      </w:r>
      <w:r>
        <w:rPr/>
        <w:t>reported</w:t>
      </w:r>
      <w:r>
        <w:rPr>
          <w:spacing w:val="-5"/>
        </w:rPr>
        <w:t> </w:t>
      </w:r>
      <w:r>
        <w:rPr/>
        <w:t>that the</w:t>
      </w:r>
      <w:r>
        <w:rPr>
          <w:spacing w:val="-1"/>
        </w:rPr>
        <w:t> </w:t>
      </w:r>
      <w:r>
        <w:rPr/>
        <w:t>demands</w:t>
      </w:r>
      <w:r>
        <w:rPr>
          <w:spacing w:val="-2"/>
        </w:rPr>
        <w:t> </w:t>
      </w:r>
      <w:r>
        <w:rPr/>
        <w:t>of their surgical faculty position adversely affect their relationships with spouses. Men reported a slightly higher tendency to miss family activities because of job demands, while women</w:t>
      </w:r>
      <w:r>
        <w:rPr>
          <w:spacing w:val="-1"/>
        </w:rPr>
        <w:t> </w:t>
      </w:r>
      <w:r>
        <w:rPr/>
        <w:t>were significantly more likely</w:t>
      </w:r>
      <w:r>
        <w:rPr>
          <w:spacing w:val="-1"/>
        </w:rPr>
        <w:t> </w:t>
      </w:r>
      <w:r>
        <w:rPr/>
        <w:t>to miss work activities because of family </w:t>
      </w:r>
      <w:r>
        <w:rPr>
          <w:spacing w:val="-2"/>
        </w:rPr>
        <w:t>responsibilities.</w:t>
      </w:r>
    </w:p>
    <w:p>
      <w:pPr>
        <w:pStyle w:val="BodyText"/>
        <w:spacing w:line="480" w:lineRule="auto" w:before="2"/>
        <w:ind w:right="1163" w:firstLine="720"/>
      </w:pPr>
      <w:r>
        <w:rPr/>
        <w:t>In addition, women have been known to be care givers. This is why they have excelled in careers like Nursing, Secretarial profession, and teaching at lower levels. Studies have also affirmed that they give support to their spouses, children and significant others, (James, 2002; Okonweze, 2005; Oluwole, Hammed, and Hal. Awaebe, 2010),but women themselves lack the necessary support that may be required to foster the growth they</w:t>
      </w:r>
      <w:r>
        <w:rPr>
          <w:spacing w:val="-2"/>
        </w:rPr>
        <w:t> </w:t>
      </w:r>
      <w:r>
        <w:rPr/>
        <w:t>need in their different careers and life's endeavours Chovwen, (2004); Oti and Oyelude, (2006). Oti and Oyelude, (2006) found work/home conflict to be a strong determinant of female academics' career path to leadership. They found that the career mobility of their respondents were slower during the 1</w:t>
      </w:r>
      <w:r>
        <w:rPr>
          <w:vertAlign w:val="superscript"/>
        </w:rPr>
        <w:t>st</w:t>
      </w:r>
      <w:r>
        <w:rPr>
          <w:vertAlign w:val="baseline"/>
        </w:rPr>
        <w:t> five years of marriage; then they began to have full concentration as their children matured.</w:t>
      </w:r>
    </w:p>
    <w:p>
      <w:pPr>
        <w:pStyle w:val="BodyText"/>
        <w:spacing w:line="480" w:lineRule="auto" w:before="2"/>
        <w:ind w:right="1157" w:firstLine="720"/>
      </w:pPr>
      <w:r>
        <w:rPr/>
        <w:t>Scott and King-Oti, (2013) found that spousal support is a predictor of</w:t>
      </w:r>
      <w:r>
        <w:rPr>
          <w:spacing w:val="80"/>
        </w:rPr>
        <w:t> </w:t>
      </w:r>
      <w:r>
        <w:rPr/>
        <w:t>whether female college students will return to school, while Cutrona and Suhr, Derlega, Barbee, and Winstead-Oti (2013) found that lack of social support is a predictor</w:t>
      </w:r>
      <w:r>
        <w:rPr>
          <w:spacing w:val="76"/>
        </w:rPr>
        <w:t> </w:t>
      </w:r>
      <w:r>
        <w:rPr/>
        <w:t>of</w:t>
      </w:r>
      <w:r>
        <w:rPr>
          <w:spacing w:val="71"/>
        </w:rPr>
        <w:t> </w:t>
      </w:r>
      <w:r>
        <w:rPr/>
        <w:t>negative</w:t>
      </w:r>
      <w:r>
        <w:rPr>
          <w:spacing w:val="78"/>
        </w:rPr>
        <w:t> </w:t>
      </w:r>
      <w:r>
        <w:rPr/>
        <w:t>outcomes,</w:t>
      </w:r>
      <w:r>
        <w:rPr>
          <w:spacing w:val="80"/>
        </w:rPr>
        <w:t> </w:t>
      </w:r>
      <w:r>
        <w:rPr/>
        <w:t>including</w:t>
      </w:r>
      <w:r>
        <w:rPr>
          <w:spacing w:val="79"/>
        </w:rPr>
        <w:t> </w:t>
      </w:r>
      <w:r>
        <w:rPr/>
        <w:t>absenteeism,</w:t>
      </w:r>
      <w:r>
        <w:rPr>
          <w:spacing w:val="80"/>
        </w:rPr>
        <w:t> </w:t>
      </w:r>
      <w:r>
        <w:rPr/>
        <w:t>burnout,</w:t>
      </w:r>
      <w:r>
        <w:rPr>
          <w:spacing w:val="77"/>
        </w:rPr>
        <w:t> </w:t>
      </w:r>
      <w:r>
        <w:rPr/>
        <w:t>depression</w:t>
      </w:r>
      <w:r>
        <w:rPr>
          <w:spacing w:val="70"/>
        </w:rPr>
        <w:t> </w:t>
      </w:r>
      <w:r>
        <w:rPr/>
        <w:t>and</w:t>
      </w:r>
    </w:p>
    <w:p>
      <w:pPr>
        <w:spacing w:after="0" w:line="480" w:lineRule="auto"/>
        <w:sectPr>
          <w:pgSz w:w="11910" w:h="16840"/>
          <w:pgMar w:header="0" w:footer="1012" w:top="1340" w:bottom="1200" w:left="1680" w:right="280"/>
        </w:sectPr>
      </w:pPr>
    </w:p>
    <w:p>
      <w:pPr>
        <w:pStyle w:val="BodyText"/>
        <w:spacing w:line="480" w:lineRule="auto" w:before="74"/>
        <w:ind w:right="1151"/>
      </w:pPr>
      <w:r>
        <w:rPr/>
        <w:t>anxiety. Harris, Winskowski and Enghahl – Oti (2013) found perceived spousal support, workplace social support to predict job satisfaction, and job tenure.</w:t>
      </w:r>
    </w:p>
    <w:p>
      <w:pPr>
        <w:pStyle w:val="BodyText"/>
        <w:spacing w:line="480" w:lineRule="auto"/>
        <w:ind w:right="1148" w:firstLine="720"/>
      </w:pPr>
      <w:r>
        <w:rPr/>
        <w:t>Luke (2001) further observes that despite years of affirmative action and the passing of statutes outlawing sexual discrimination (USA and UK in 1972; Australia in 1984), "the rate at which women have ascended academic career ladders in these countries is maddeningly slow". Women in the United Kingdom constitute 7-8</w:t>
      </w:r>
      <w:r>
        <w:rPr>
          <w:spacing w:val="40"/>
        </w:rPr>
        <w:t> </w:t>
      </w:r>
      <w:r>
        <w:rPr/>
        <w:t>percent of the professoriate, in Ireland just over 5 percent, in the United States 16 percent of those with full professorial status and in Finland 18 percent.</w:t>
      </w:r>
    </w:p>
    <w:p>
      <w:pPr>
        <w:pStyle w:val="BodyText"/>
        <w:spacing w:line="480" w:lineRule="auto" w:before="2"/>
        <w:ind w:right="1161" w:firstLine="720"/>
      </w:pPr>
      <w:r>
        <w:rPr/>
        <w:t>In a study, Forster (2001) reports on the views that female academics have about their career prospects, growth, equal opportunities and the conflicts they experience between their work and personal lives in one UK University. The university in question has formal equal opportunities policies, and gender monitoring systems in place. However, very few women have progressed into senior academic </w:t>
      </w:r>
      <w:r>
        <w:rPr>
          <w:spacing w:val="-2"/>
        </w:rPr>
        <w:t>roles.</w:t>
      </w:r>
    </w:p>
    <w:p>
      <w:pPr>
        <w:pStyle w:val="BodyText"/>
        <w:spacing w:line="480" w:lineRule="auto" w:before="1"/>
        <w:ind w:right="1156" w:firstLine="720"/>
      </w:pPr>
      <w:r>
        <w:rPr/>
        <w:t>Despite of the efforts aiming at improving science and technology in Nigeria, the benefits of scientific and technological development seem to have been unevenly distributed. In particular, the benefits seem not to have been the same for boys and girls. In educational institutions, girls and women over the years have tended not to study science and technology when compared with boys and men (Djallo, 2004; Agueler &amp; Agwagalu, 2007). There is a persistent gender stereotype. Djallo (2004) noted that, "Being a scientist appears to be one of the most stereotyped of all occupations</w:t>
      </w:r>
      <w:r>
        <w:rPr>
          <w:spacing w:val="-3"/>
        </w:rPr>
        <w:t> </w:t>
      </w:r>
      <w:r>
        <w:rPr/>
        <w:t>and</w:t>
      </w:r>
      <w:r>
        <w:rPr>
          <w:spacing w:val="-1"/>
        </w:rPr>
        <w:t> </w:t>
      </w:r>
      <w:r>
        <w:rPr/>
        <w:t>there is</w:t>
      </w:r>
      <w:r>
        <w:rPr>
          <w:spacing w:val="-3"/>
        </w:rPr>
        <w:t> </w:t>
      </w:r>
      <w:r>
        <w:rPr/>
        <w:t>quiet a</w:t>
      </w:r>
      <w:r>
        <w:rPr>
          <w:spacing w:val="-2"/>
        </w:rPr>
        <w:t> </w:t>
      </w:r>
      <w:r>
        <w:rPr/>
        <w:t>psychological</w:t>
      </w:r>
      <w:r>
        <w:rPr>
          <w:spacing w:val="-1"/>
        </w:rPr>
        <w:t> </w:t>
      </w:r>
      <w:r>
        <w:rPr/>
        <w:t>barrier to</w:t>
      </w:r>
      <w:r>
        <w:rPr>
          <w:spacing w:val="-1"/>
        </w:rPr>
        <w:t> </w:t>
      </w:r>
      <w:r>
        <w:rPr/>
        <w:t>overcome, if more</w:t>
      </w:r>
      <w:r>
        <w:rPr>
          <w:spacing w:val="-2"/>
        </w:rPr>
        <w:t> </w:t>
      </w:r>
      <w:r>
        <w:rPr/>
        <w:t>girls are</w:t>
      </w:r>
      <w:r>
        <w:rPr>
          <w:spacing w:val="-2"/>
        </w:rPr>
        <w:t> </w:t>
      </w:r>
      <w:r>
        <w:rPr/>
        <w:t>to be</w:t>
      </w:r>
      <w:r>
        <w:rPr>
          <w:spacing w:val="-2"/>
        </w:rPr>
        <w:t> </w:t>
      </w:r>
      <w:r>
        <w:rPr/>
        <w:t>attracted</w:t>
      </w:r>
      <w:r>
        <w:rPr>
          <w:spacing w:val="-5"/>
        </w:rPr>
        <w:t> </w:t>
      </w:r>
      <w:r>
        <w:rPr/>
        <w:t>to science subjects". The</w:t>
      </w:r>
      <w:r>
        <w:rPr>
          <w:spacing w:val="-2"/>
        </w:rPr>
        <w:t> </w:t>
      </w:r>
      <w:r>
        <w:rPr/>
        <w:t>problem</w:t>
      </w:r>
      <w:r>
        <w:rPr>
          <w:spacing w:val="-9"/>
        </w:rPr>
        <w:t> </w:t>
      </w:r>
      <w:r>
        <w:rPr/>
        <w:t>of</w:t>
      </w:r>
      <w:r>
        <w:rPr>
          <w:spacing w:val="-8"/>
        </w:rPr>
        <w:t> </w:t>
      </w:r>
      <w:r>
        <w:rPr/>
        <w:t>dwindling</w:t>
      </w:r>
      <w:r>
        <w:rPr>
          <w:spacing w:val="-1"/>
        </w:rPr>
        <w:t> </w:t>
      </w:r>
      <w:r>
        <w:rPr/>
        <w:t>girls'</w:t>
      </w:r>
      <w:r>
        <w:rPr>
          <w:spacing w:val="-1"/>
        </w:rPr>
        <w:t> </w:t>
      </w:r>
      <w:r>
        <w:rPr/>
        <w:t>enrolment in</w:t>
      </w:r>
      <w:r>
        <w:rPr>
          <w:spacing w:val="-1"/>
        </w:rPr>
        <w:t> </w:t>
      </w:r>
      <w:r>
        <w:rPr/>
        <w:t>science exists all over Africa. This has necessitated the development of several projects, one</w:t>
      </w:r>
      <w:r>
        <w:rPr>
          <w:spacing w:val="40"/>
        </w:rPr>
        <w:t> </w:t>
      </w:r>
      <w:r>
        <w:rPr/>
        <w:t>of</w:t>
      </w:r>
      <w:r>
        <w:rPr>
          <w:spacing w:val="34"/>
        </w:rPr>
        <w:t> </w:t>
      </w:r>
      <w:r>
        <w:rPr/>
        <w:t>which</w:t>
      </w:r>
      <w:r>
        <w:rPr>
          <w:spacing w:val="40"/>
        </w:rPr>
        <w:t> </w:t>
      </w:r>
      <w:r>
        <w:rPr/>
        <w:t>is</w:t>
      </w:r>
      <w:r>
        <w:rPr>
          <w:spacing w:val="40"/>
        </w:rPr>
        <w:t> </w:t>
      </w:r>
      <w:r>
        <w:rPr/>
        <w:t>"FEMSA</w:t>
      </w:r>
      <w:r>
        <w:rPr>
          <w:spacing w:val="37"/>
        </w:rPr>
        <w:t> </w:t>
      </w:r>
      <w:r>
        <w:rPr/>
        <w:t>(Female</w:t>
      </w:r>
      <w:r>
        <w:rPr>
          <w:spacing w:val="40"/>
        </w:rPr>
        <w:t> </w:t>
      </w:r>
      <w:r>
        <w:rPr/>
        <w:t>Education</w:t>
      </w:r>
      <w:r>
        <w:rPr>
          <w:spacing w:val="40"/>
        </w:rPr>
        <w:t> </w:t>
      </w:r>
      <w:r>
        <w:rPr/>
        <w:t>in</w:t>
      </w:r>
      <w:r>
        <w:rPr>
          <w:spacing w:val="40"/>
        </w:rPr>
        <w:t> </w:t>
      </w:r>
      <w:r>
        <w:rPr/>
        <w:t>Mathematics</w:t>
      </w:r>
      <w:r>
        <w:rPr>
          <w:spacing w:val="40"/>
        </w:rPr>
        <w:t> </w:t>
      </w:r>
      <w:r>
        <w:rPr/>
        <w:t>and</w:t>
      </w:r>
      <w:r>
        <w:rPr>
          <w:spacing w:val="40"/>
        </w:rPr>
        <w:t> </w:t>
      </w:r>
      <w:r>
        <w:rPr/>
        <w:t>Science</w:t>
      </w:r>
      <w:r>
        <w:rPr>
          <w:spacing w:val="40"/>
        </w:rPr>
        <w:t> </w:t>
      </w:r>
      <w:r>
        <w:rPr/>
        <w:t>in</w:t>
      </w:r>
      <w:r>
        <w:rPr>
          <w:spacing w:val="40"/>
        </w:rPr>
        <w:t> </w:t>
      </w:r>
      <w:r>
        <w:rPr/>
        <w:t>Africa)".</w:t>
      </w:r>
    </w:p>
    <w:p>
      <w:pPr>
        <w:spacing w:after="0" w:line="480" w:lineRule="auto"/>
        <w:sectPr>
          <w:pgSz w:w="11910" w:h="16840"/>
          <w:pgMar w:header="0" w:footer="1012" w:top="1340" w:bottom="1200" w:left="1680" w:right="280"/>
        </w:sectPr>
      </w:pPr>
    </w:p>
    <w:p>
      <w:pPr>
        <w:pStyle w:val="BodyText"/>
        <w:spacing w:line="480" w:lineRule="auto" w:before="74"/>
        <w:ind w:right="1149"/>
      </w:pPr>
      <w:r>
        <w:rPr/>
        <w:t>This regional NGO (non-governmental organization) aims to improve the</w:t>
      </w:r>
      <w:r>
        <w:rPr>
          <w:spacing w:val="40"/>
        </w:rPr>
        <w:t> </w:t>
      </w:r>
      <w:r>
        <w:rPr/>
        <w:t>participation</w:t>
      </w:r>
      <w:r>
        <w:rPr>
          <w:spacing w:val="-5"/>
        </w:rPr>
        <w:t> </w:t>
      </w:r>
      <w:r>
        <w:rPr/>
        <w:t>and</w:t>
      </w:r>
      <w:r>
        <w:rPr>
          <w:spacing w:val="-1"/>
        </w:rPr>
        <w:t> </w:t>
      </w:r>
      <w:r>
        <w:rPr/>
        <w:t>performance</w:t>
      </w:r>
      <w:r>
        <w:rPr>
          <w:spacing w:val="-2"/>
        </w:rPr>
        <w:t> </w:t>
      </w:r>
      <w:r>
        <w:rPr/>
        <w:t>of</w:t>
      </w:r>
      <w:r>
        <w:rPr>
          <w:spacing w:val="-8"/>
        </w:rPr>
        <w:t> </w:t>
      </w:r>
      <w:r>
        <w:rPr/>
        <w:t>girls in</w:t>
      </w:r>
      <w:r>
        <w:rPr>
          <w:spacing w:val="-1"/>
        </w:rPr>
        <w:t> </w:t>
      </w:r>
      <w:r>
        <w:rPr/>
        <w:t>science</w:t>
      </w:r>
      <w:r>
        <w:rPr>
          <w:spacing w:val="-2"/>
        </w:rPr>
        <w:t> </w:t>
      </w:r>
      <w:r>
        <w:rPr/>
        <w:t>and</w:t>
      </w:r>
      <w:r>
        <w:rPr>
          <w:spacing w:val="-1"/>
        </w:rPr>
        <w:t> </w:t>
      </w:r>
      <w:r>
        <w:rPr/>
        <w:t>technological</w:t>
      </w:r>
      <w:r>
        <w:rPr>
          <w:spacing w:val="-5"/>
        </w:rPr>
        <w:t> </w:t>
      </w:r>
      <w:r>
        <w:rPr/>
        <w:t>subjects</w:t>
      </w:r>
      <w:r>
        <w:rPr>
          <w:spacing w:val="-3"/>
        </w:rPr>
        <w:t> </w:t>
      </w:r>
      <w:r>
        <w:rPr/>
        <w:t>at primary and secondary levels. It sets up national centers to provide teacher capacity building and a forum for brainstorming by women scientists.</w:t>
      </w:r>
    </w:p>
    <w:p>
      <w:pPr>
        <w:pStyle w:val="BodyText"/>
        <w:spacing w:line="480" w:lineRule="auto"/>
        <w:ind w:right="1161" w:firstLine="720"/>
      </w:pPr>
      <w:r>
        <w:rPr/>
        <w:t>From Table 3, it can be seen that the number of females in both primary and secondary</w:t>
      </w:r>
      <w:r>
        <w:rPr>
          <w:spacing w:val="-6"/>
        </w:rPr>
        <w:t> </w:t>
      </w:r>
      <w:r>
        <w:rPr/>
        <w:t>schools is</w:t>
      </w:r>
      <w:r>
        <w:rPr>
          <w:spacing w:val="-3"/>
        </w:rPr>
        <w:t> </w:t>
      </w:r>
      <w:r>
        <w:rPr/>
        <w:t>greater</w:t>
      </w:r>
      <w:r>
        <w:rPr>
          <w:spacing w:val="-1"/>
        </w:rPr>
        <w:t> </w:t>
      </w:r>
      <w:r>
        <w:rPr/>
        <w:t>than</w:t>
      </w:r>
      <w:r>
        <w:rPr>
          <w:spacing w:val="-6"/>
        </w:rPr>
        <w:t> </w:t>
      </w:r>
      <w:r>
        <w:rPr/>
        <w:t>that of</w:t>
      </w:r>
      <w:r>
        <w:rPr>
          <w:spacing w:val="-4"/>
        </w:rPr>
        <w:t> </w:t>
      </w:r>
      <w:r>
        <w:rPr/>
        <w:t>males. But what percentages</w:t>
      </w:r>
      <w:r>
        <w:rPr>
          <w:spacing w:val="-3"/>
        </w:rPr>
        <w:t> </w:t>
      </w:r>
      <w:r>
        <w:rPr/>
        <w:t>of</w:t>
      </w:r>
      <w:r>
        <w:rPr>
          <w:spacing w:val="-9"/>
        </w:rPr>
        <w:t> </w:t>
      </w:r>
      <w:r>
        <w:rPr/>
        <w:t>these females offer science, it must be noted</w:t>
      </w:r>
      <w:r>
        <w:rPr>
          <w:spacing w:val="-1"/>
        </w:rPr>
        <w:t> </w:t>
      </w:r>
      <w:r>
        <w:rPr/>
        <w:t>that women in developing countries are a repository</w:t>
      </w:r>
      <w:r>
        <w:rPr>
          <w:spacing w:val="-6"/>
        </w:rPr>
        <w:t> </w:t>
      </w:r>
      <w:r>
        <w:rPr/>
        <w:t>of indigenous technologies because of the nature of activities in which they are traditionally</w:t>
      </w:r>
      <w:r>
        <w:rPr>
          <w:spacing w:val="-2"/>
        </w:rPr>
        <w:t> </w:t>
      </w:r>
      <w:r>
        <w:rPr/>
        <w:t>involved</w:t>
      </w:r>
      <w:r>
        <w:rPr>
          <w:spacing w:val="-2"/>
        </w:rPr>
        <w:t> </w:t>
      </w:r>
      <w:r>
        <w:rPr/>
        <w:t>(Daris,</w:t>
      </w:r>
      <w:r>
        <w:rPr>
          <w:spacing w:val="-1"/>
        </w:rPr>
        <w:t> </w:t>
      </w:r>
      <w:r>
        <w:rPr/>
        <w:t>2006).</w:t>
      </w:r>
      <w:r>
        <w:rPr>
          <w:spacing w:val="-1"/>
        </w:rPr>
        <w:t> </w:t>
      </w:r>
      <w:r>
        <w:rPr/>
        <w:t>This should be</w:t>
      </w:r>
      <w:r>
        <w:rPr>
          <w:spacing w:val="-3"/>
        </w:rPr>
        <w:t> </w:t>
      </w:r>
      <w:r>
        <w:rPr/>
        <w:t>a boost for female</w:t>
      </w:r>
      <w:r>
        <w:rPr>
          <w:spacing w:val="-3"/>
        </w:rPr>
        <w:t> </w:t>
      </w:r>
      <w:r>
        <w:rPr/>
        <w:t>participation in science and technology, if the knowledge possessed by women is used to relate local learning experiences to science and technology in the school curricula.</w:t>
      </w:r>
    </w:p>
    <w:p>
      <w:pPr>
        <w:spacing w:line="237" w:lineRule="auto" w:before="9" w:after="7"/>
        <w:ind w:left="480" w:right="1162" w:firstLine="0"/>
        <w:jc w:val="both"/>
        <w:rPr>
          <w:b/>
          <w:i/>
          <w:sz w:val="24"/>
        </w:rPr>
      </w:pPr>
      <w:r>
        <w:rPr>
          <w:b/>
          <w:sz w:val="24"/>
        </w:rPr>
        <w:t>Table 3:</w:t>
      </w:r>
      <w:r>
        <w:rPr>
          <w:b/>
          <w:spacing w:val="40"/>
          <w:sz w:val="24"/>
        </w:rPr>
        <w:t> </w:t>
      </w:r>
      <w:r>
        <w:rPr>
          <w:b/>
          <w:i/>
          <w:sz w:val="24"/>
        </w:rPr>
        <w:t>Females as Percentage of Males in Primary and Secondary in Selected African Countries 2004</w:t>
      </w:r>
    </w:p>
    <w:tbl>
      <w:tblPr>
        <w:tblW w:w="0" w:type="auto"/>
        <w:jc w:val="left"/>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1"/>
        <w:gridCol w:w="3004"/>
        <w:gridCol w:w="3353"/>
      </w:tblGrid>
      <w:tr>
        <w:trPr>
          <w:trHeight w:val="470" w:hRule="atLeast"/>
        </w:trPr>
        <w:tc>
          <w:tcPr>
            <w:tcW w:w="2271" w:type="dxa"/>
            <w:tcBorders>
              <w:top w:val="single" w:sz="4" w:space="0" w:color="000000"/>
              <w:bottom w:val="single" w:sz="4" w:space="0" w:color="000000"/>
            </w:tcBorders>
          </w:tcPr>
          <w:p>
            <w:pPr>
              <w:pStyle w:val="TableParagraph"/>
              <w:spacing w:line="273" w:lineRule="exact"/>
              <w:ind w:left="172"/>
              <w:rPr>
                <w:b/>
                <w:sz w:val="24"/>
              </w:rPr>
            </w:pPr>
            <w:r>
              <w:rPr>
                <w:b/>
                <w:spacing w:val="-2"/>
                <w:sz w:val="24"/>
              </w:rPr>
              <w:t>Country</w:t>
            </w:r>
          </w:p>
        </w:tc>
        <w:tc>
          <w:tcPr>
            <w:tcW w:w="3004" w:type="dxa"/>
            <w:tcBorders>
              <w:top w:val="single" w:sz="4" w:space="0" w:color="000000"/>
              <w:bottom w:val="single" w:sz="4" w:space="0" w:color="000000"/>
            </w:tcBorders>
          </w:tcPr>
          <w:p>
            <w:pPr>
              <w:pStyle w:val="TableParagraph"/>
              <w:spacing w:line="273" w:lineRule="exact"/>
              <w:ind w:right="8"/>
              <w:jc w:val="center"/>
              <w:rPr>
                <w:b/>
                <w:sz w:val="24"/>
              </w:rPr>
            </w:pPr>
            <w:r>
              <w:rPr>
                <w:b/>
                <w:sz w:val="24"/>
              </w:rPr>
              <w:t>Primary</w:t>
            </w:r>
            <w:r>
              <w:rPr>
                <w:b/>
                <w:spacing w:val="-8"/>
                <w:sz w:val="24"/>
              </w:rPr>
              <w:t> </w:t>
            </w:r>
            <w:r>
              <w:rPr>
                <w:b/>
                <w:spacing w:val="-5"/>
                <w:sz w:val="24"/>
              </w:rPr>
              <w:t>(%)</w:t>
            </w:r>
          </w:p>
        </w:tc>
        <w:tc>
          <w:tcPr>
            <w:tcW w:w="3353" w:type="dxa"/>
            <w:tcBorders>
              <w:top w:val="single" w:sz="4" w:space="0" w:color="000000"/>
              <w:bottom w:val="single" w:sz="4" w:space="0" w:color="000000"/>
            </w:tcBorders>
          </w:tcPr>
          <w:p>
            <w:pPr>
              <w:pStyle w:val="TableParagraph"/>
              <w:spacing w:line="273" w:lineRule="exact"/>
              <w:ind w:right="123"/>
              <w:jc w:val="center"/>
              <w:rPr>
                <w:b/>
                <w:sz w:val="24"/>
              </w:rPr>
            </w:pPr>
            <w:r>
              <w:rPr>
                <w:b/>
                <w:sz w:val="24"/>
              </w:rPr>
              <w:t>Secondary</w:t>
            </w:r>
            <w:r>
              <w:rPr>
                <w:b/>
                <w:spacing w:val="-6"/>
                <w:sz w:val="24"/>
              </w:rPr>
              <w:t> </w:t>
            </w:r>
            <w:r>
              <w:rPr>
                <w:b/>
                <w:spacing w:val="-5"/>
                <w:sz w:val="24"/>
              </w:rPr>
              <w:t>(%)</w:t>
            </w:r>
          </w:p>
        </w:tc>
      </w:tr>
      <w:tr>
        <w:trPr>
          <w:trHeight w:val="351" w:hRule="atLeast"/>
        </w:trPr>
        <w:tc>
          <w:tcPr>
            <w:tcW w:w="2271" w:type="dxa"/>
            <w:tcBorders>
              <w:top w:val="single" w:sz="4" w:space="0" w:color="000000"/>
            </w:tcBorders>
          </w:tcPr>
          <w:p>
            <w:pPr>
              <w:pStyle w:val="TableParagraph"/>
              <w:spacing w:line="268" w:lineRule="exact"/>
              <w:ind w:left="172"/>
              <w:rPr>
                <w:sz w:val="24"/>
              </w:rPr>
            </w:pPr>
            <w:r>
              <w:rPr>
                <w:spacing w:val="-2"/>
                <w:sz w:val="24"/>
              </w:rPr>
              <w:t>Cameroun</w:t>
            </w:r>
          </w:p>
        </w:tc>
        <w:tc>
          <w:tcPr>
            <w:tcW w:w="3004" w:type="dxa"/>
            <w:tcBorders>
              <w:top w:val="single" w:sz="4" w:space="0" w:color="000000"/>
            </w:tcBorders>
          </w:tcPr>
          <w:p>
            <w:pPr>
              <w:pStyle w:val="TableParagraph"/>
              <w:spacing w:line="268" w:lineRule="exact"/>
              <w:ind w:left="3" w:right="8"/>
              <w:jc w:val="center"/>
              <w:rPr>
                <w:sz w:val="24"/>
              </w:rPr>
            </w:pPr>
            <w:r>
              <w:rPr>
                <w:spacing w:val="-5"/>
                <w:sz w:val="24"/>
              </w:rPr>
              <w:t>85</w:t>
            </w:r>
          </w:p>
        </w:tc>
        <w:tc>
          <w:tcPr>
            <w:tcW w:w="3353" w:type="dxa"/>
            <w:tcBorders>
              <w:top w:val="single" w:sz="4" w:space="0" w:color="000000"/>
            </w:tcBorders>
          </w:tcPr>
          <w:p>
            <w:pPr>
              <w:pStyle w:val="TableParagraph"/>
              <w:spacing w:line="268" w:lineRule="exact"/>
              <w:ind w:left="13" w:right="123"/>
              <w:jc w:val="center"/>
              <w:rPr>
                <w:sz w:val="24"/>
              </w:rPr>
            </w:pPr>
            <w:r>
              <w:rPr>
                <w:spacing w:val="-5"/>
                <w:sz w:val="24"/>
              </w:rPr>
              <w:t>70</w:t>
            </w:r>
          </w:p>
        </w:tc>
      </w:tr>
      <w:tr>
        <w:trPr>
          <w:trHeight w:val="446" w:hRule="atLeast"/>
        </w:trPr>
        <w:tc>
          <w:tcPr>
            <w:tcW w:w="2271" w:type="dxa"/>
          </w:tcPr>
          <w:p>
            <w:pPr>
              <w:pStyle w:val="TableParagraph"/>
              <w:spacing w:before="73"/>
              <w:ind w:left="172"/>
              <w:rPr>
                <w:sz w:val="24"/>
              </w:rPr>
            </w:pPr>
            <w:r>
              <w:rPr>
                <w:spacing w:val="-2"/>
                <w:sz w:val="24"/>
              </w:rPr>
              <w:t>Kenya</w:t>
            </w:r>
          </w:p>
        </w:tc>
        <w:tc>
          <w:tcPr>
            <w:tcW w:w="3004" w:type="dxa"/>
          </w:tcPr>
          <w:p>
            <w:pPr>
              <w:pStyle w:val="TableParagraph"/>
              <w:spacing w:before="73"/>
              <w:ind w:left="3" w:right="8"/>
              <w:jc w:val="center"/>
              <w:rPr>
                <w:sz w:val="24"/>
              </w:rPr>
            </w:pPr>
            <w:r>
              <w:rPr>
                <w:spacing w:val="-5"/>
                <w:sz w:val="24"/>
              </w:rPr>
              <w:t>94</w:t>
            </w:r>
          </w:p>
        </w:tc>
        <w:tc>
          <w:tcPr>
            <w:tcW w:w="3353" w:type="dxa"/>
          </w:tcPr>
          <w:p>
            <w:pPr>
              <w:pStyle w:val="TableParagraph"/>
              <w:spacing w:before="73"/>
              <w:ind w:left="13" w:right="123"/>
              <w:jc w:val="center"/>
              <w:rPr>
                <w:sz w:val="24"/>
              </w:rPr>
            </w:pPr>
            <w:r>
              <w:rPr>
                <w:spacing w:val="-5"/>
                <w:sz w:val="24"/>
              </w:rPr>
              <w:t>93</w:t>
            </w:r>
          </w:p>
        </w:tc>
      </w:tr>
      <w:tr>
        <w:trPr>
          <w:trHeight w:val="436" w:hRule="atLeast"/>
        </w:trPr>
        <w:tc>
          <w:tcPr>
            <w:tcW w:w="2271" w:type="dxa"/>
          </w:tcPr>
          <w:p>
            <w:pPr>
              <w:pStyle w:val="TableParagraph"/>
              <w:spacing w:before="87"/>
              <w:ind w:left="172"/>
              <w:rPr>
                <w:sz w:val="24"/>
              </w:rPr>
            </w:pPr>
            <w:r>
              <w:rPr>
                <w:spacing w:val="-2"/>
                <w:sz w:val="24"/>
              </w:rPr>
              <w:t>Lesotho</w:t>
            </w:r>
          </w:p>
        </w:tc>
        <w:tc>
          <w:tcPr>
            <w:tcW w:w="3004" w:type="dxa"/>
          </w:tcPr>
          <w:p>
            <w:pPr>
              <w:pStyle w:val="TableParagraph"/>
              <w:spacing w:before="87"/>
              <w:ind w:left="8" w:right="8"/>
              <w:jc w:val="center"/>
              <w:rPr>
                <w:sz w:val="24"/>
              </w:rPr>
            </w:pPr>
            <w:r>
              <w:rPr>
                <w:spacing w:val="-5"/>
                <w:sz w:val="24"/>
              </w:rPr>
              <w:t>100</w:t>
            </w:r>
          </w:p>
        </w:tc>
        <w:tc>
          <w:tcPr>
            <w:tcW w:w="3353" w:type="dxa"/>
          </w:tcPr>
          <w:p>
            <w:pPr>
              <w:pStyle w:val="TableParagraph"/>
              <w:spacing w:before="87"/>
              <w:ind w:left="8" w:right="123"/>
              <w:jc w:val="center"/>
              <w:rPr>
                <w:sz w:val="24"/>
              </w:rPr>
            </w:pPr>
            <w:r>
              <w:rPr>
                <w:spacing w:val="-5"/>
                <w:sz w:val="24"/>
              </w:rPr>
              <w:t>127</w:t>
            </w:r>
          </w:p>
        </w:tc>
      </w:tr>
      <w:tr>
        <w:trPr>
          <w:trHeight w:val="412" w:hRule="atLeast"/>
        </w:trPr>
        <w:tc>
          <w:tcPr>
            <w:tcW w:w="2271" w:type="dxa"/>
          </w:tcPr>
          <w:p>
            <w:pPr>
              <w:pStyle w:val="TableParagraph"/>
              <w:spacing w:before="63"/>
              <w:ind w:left="172"/>
              <w:rPr>
                <w:sz w:val="24"/>
              </w:rPr>
            </w:pPr>
            <w:r>
              <w:rPr>
                <w:spacing w:val="-2"/>
                <w:sz w:val="24"/>
              </w:rPr>
              <w:t>Malawi</w:t>
            </w:r>
          </w:p>
        </w:tc>
        <w:tc>
          <w:tcPr>
            <w:tcW w:w="3004" w:type="dxa"/>
          </w:tcPr>
          <w:p>
            <w:pPr>
              <w:pStyle w:val="TableParagraph"/>
              <w:spacing w:before="63"/>
              <w:ind w:left="8" w:right="8"/>
              <w:jc w:val="center"/>
              <w:rPr>
                <w:sz w:val="24"/>
              </w:rPr>
            </w:pPr>
            <w:r>
              <w:rPr>
                <w:spacing w:val="-5"/>
                <w:sz w:val="24"/>
              </w:rPr>
              <w:t>102</w:t>
            </w:r>
          </w:p>
        </w:tc>
        <w:tc>
          <w:tcPr>
            <w:tcW w:w="3353" w:type="dxa"/>
          </w:tcPr>
          <w:p>
            <w:pPr>
              <w:pStyle w:val="TableParagraph"/>
              <w:spacing w:before="63"/>
              <w:ind w:left="13" w:right="123"/>
              <w:jc w:val="center"/>
              <w:rPr>
                <w:sz w:val="24"/>
              </w:rPr>
            </w:pPr>
            <w:r>
              <w:rPr>
                <w:spacing w:val="-5"/>
                <w:sz w:val="24"/>
              </w:rPr>
              <w:t>81</w:t>
            </w:r>
          </w:p>
        </w:tc>
      </w:tr>
      <w:tr>
        <w:trPr>
          <w:trHeight w:val="403" w:hRule="atLeast"/>
        </w:trPr>
        <w:tc>
          <w:tcPr>
            <w:tcW w:w="2271" w:type="dxa"/>
          </w:tcPr>
          <w:p>
            <w:pPr>
              <w:pStyle w:val="TableParagraph"/>
              <w:spacing w:before="63"/>
              <w:ind w:left="172"/>
              <w:rPr>
                <w:sz w:val="24"/>
              </w:rPr>
            </w:pPr>
            <w:r>
              <w:rPr>
                <w:spacing w:val="-2"/>
                <w:sz w:val="24"/>
              </w:rPr>
              <w:t>Mozambique</w:t>
            </w:r>
          </w:p>
        </w:tc>
        <w:tc>
          <w:tcPr>
            <w:tcW w:w="3004" w:type="dxa"/>
          </w:tcPr>
          <w:p>
            <w:pPr>
              <w:pStyle w:val="TableParagraph"/>
              <w:spacing w:before="63"/>
              <w:ind w:left="3" w:right="8"/>
              <w:jc w:val="center"/>
              <w:rPr>
                <w:sz w:val="24"/>
              </w:rPr>
            </w:pPr>
            <w:r>
              <w:rPr>
                <w:spacing w:val="-5"/>
                <w:sz w:val="24"/>
              </w:rPr>
              <w:t>83</w:t>
            </w:r>
          </w:p>
        </w:tc>
        <w:tc>
          <w:tcPr>
            <w:tcW w:w="3353" w:type="dxa"/>
          </w:tcPr>
          <w:p>
            <w:pPr>
              <w:pStyle w:val="TableParagraph"/>
              <w:spacing w:before="63"/>
              <w:ind w:left="13" w:right="123"/>
              <w:jc w:val="center"/>
              <w:rPr>
                <w:sz w:val="24"/>
              </w:rPr>
            </w:pPr>
            <w:r>
              <w:rPr>
                <w:spacing w:val="-5"/>
                <w:sz w:val="24"/>
              </w:rPr>
              <w:t>70</w:t>
            </w:r>
          </w:p>
        </w:tc>
      </w:tr>
      <w:tr>
        <w:trPr>
          <w:trHeight w:val="439" w:hRule="atLeast"/>
        </w:trPr>
        <w:tc>
          <w:tcPr>
            <w:tcW w:w="2271" w:type="dxa"/>
          </w:tcPr>
          <w:p>
            <w:pPr>
              <w:pStyle w:val="TableParagraph"/>
              <w:spacing w:before="54"/>
              <w:ind w:left="172"/>
              <w:rPr>
                <w:sz w:val="24"/>
              </w:rPr>
            </w:pPr>
            <w:r>
              <w:rPr>
                <w:spacing w:val="-2"/>
                <w:sz w:val="24"/>
              </w:rPr>
              <w:t>Nigeria</w:t>
            </w:r>
          </w:p>
        </w:tc>
        <w:tc>
          <w:tcPr>
            <w:tcW w:w="3004" w:type="dxa"/>
          </w:tcPr>
          <w:p>
            <w:pPr>
              <w:pStyle w:val="TableParagraph"/>
              <w:spacing w:before="54"/>
              <w:ind w:left="3" w:right="8"/>
              <w:jc w:val="center"/>
              <w:rPr>
                <w:sz w:val="24"/>
              </w:rPr>
            </w:pPr>
            <w:r>
              <w:rPr>
                <w:spacing w:val="-5"/>
                <w:sz w:val="24"/>
              </w:rPr>
              <w:t>85</w:t>
            </w:r>
          </w:p>
        </w:tc>
        <w:tc>
          <w:tcPr>
            <w:tcW w:w="3353" w:type="dxa"/>
          </w:tcPr>
          <w:p>
            <w:pPr>
              <w:pStyle w:val="TableParagraph"/>
              <w:spacing w:before="54"/>
              <w:ind w:left="13" w:right="123"/>
              <w:jc w:val="center"/>
              <w:rPr>
                <w:sz w:val="24"/>
              </w:rPr>
            </w:pPr>
            <w:r>
              <w:rPr>
                <w:spacing w:val="-5"/>
                <w:sz w:val="24"/>
              </w:rPr>
              <w:t>81</w:t>
            </w:r>
          </w:p>
        </w:tc>
      </w:tr>
      <w:tr>
        <w:trPr>
          <w:trHeight w:val="410" w:hRule="atLeast"/>
        </w:trPr>
        <w:tc>
          <w:tcPr>
            <w:tcW w:w="2271" w:type="dxa"/>
          </w:tcPr>
          <w:p>
            <w:pPr>
              <w:pStyle w:val="TableParagraph"/>
              <w:spacing w:before="99"/>
              <w:ind w:left="172"/>
              <w:rPr>
                <w:sz w:val="24"/>
              </w:rPr>
            </w:pPr>
            <w:r>
              <w:rPr>
                <w:spacing w:val="-2"/>
                <w:sz w:val="24"/>
              </w:rPr>
              <w:t>Tanzania</w:t>
            </w:r>
          </w:p>
        </w:tc>
        <w:tc>
          <w:tcPr>
            <w:tcW w:w="3004" w:type="dxa"/>
          </w:tcPr>
          <w:p>
            <w:pPr>
              <w:pStyle w:val="TableParagraph"/>
              <w:spacing w:before="99"/>
              <w:ind w:left="3" w:right="8"/>
              <w:jc w:val="center"/>
              <w:rPr>
                <w:sz w:val="24"/>
              </w:rPr>
            </w:pPr>
            <w:r>
              <w:rPr>
                <w:spacing w:val="-5"/>
                <w:sz w:val="24"/>
              </w:rPr>
              <w:t>96</w:t>
            </w:r>
          </w:p>
        </w:tc>
        <w:tc>
          <w:tcPr>
            <w:tcW w:w="3353" w:type="dxa"/>
          </w:tcPr>
          <w:p>
            <w:pPr>
              <w:pStyle w:val="TableParagraph"/>
              <w:rPr>
                <w:sz w:val="24"/>
              </w:rPr>
            </w:pPr>
          </w:p>
        </w:tc>
      </w:tr>
      <w:tr>
        <w:trPr>
          <w:trHeight w:val="383" w:hRule="atLeast"/>
        </w:trPr>
        <w:tc>
          <w:tcPr>
            <w:tcW w:w="2271" w:type="dxa"/>
          </w:tcPr>
          <w:p>
            <w:pPr>
              <w:pStyle w:val="TableParagraph"/>
              <w:spacing w:before="25"/>
              <w:ind w:left="172"/>
              <w:rPr>
                <w:sz w:val="24"/>
              </w:rPr>
            </w:pPr>
            <w:r>
              <w:rPr>
                <w:spacing w:val="-2"/>
                <w:sz w:val="24"/>
              </w:rPr>
              <w:t>Uganda</w:t>
            </w:r>
          </w:p>
        </w:tc>
        <w:tc>
          <w:tcPr>
            <w:tcW w:w="3004" w:type="dxa"/>
          </w:tcPr>
          <w:p>
            <w:pPr>
              <w:pStyle w:val="TableParagraph"/>
              <w:spacing w:before="25"/>
              <w:ind w:left="8" w:right="8"/>
              <w:jc w:val="center"/>
              <w:rPr>
                <w:sz w:val="24"/>
              </w:rPr>
            </w:pPr>
            <w:r>
              <w:rPr>
                <w:spacing w:val="-5"/>
                <w:sz w:val="24"/>
              </w:rPr>
              <w:t>100</w:t>
            </w:r>
          </w:p>
        </w:tc>
        <w:tc>
          <w:tcPr>
            <w:tcW w:w="3353" w:type="dxa"/>
          </w:tcPr>
          <w:p>
            <w:pPr>
              <w:pStyle w:val="TableParagraph"/>
              <w:spacing w:before="25"/>
              <w:ind w:left="13" w:right="123"/>
              <w:jc w:val="center"/>
              <w:rPr>
                <w:sz w:val="24"/>
              </w:rPr>
            </w:pPr>
            <w:r>
              <w:rPr>
                <w:spacing w:val="-5"/>
                <w:sz w:val="24"/>
              </w:rPr>
              <w:t>79</w:t>
            </w:r>
          </w:p>
        </w:tc>
      </w:tr>
      <w:tr>
        <w:trPr>
          <w:trHeight w:val="469" w:hRule="atLeast"/>
        </w:trPr>
        <w:tc>
          <w:tcPr>
            <w:tcW w:w="2271" w:type="dxa"/>
            <w:tcBorders>
              <w:bottom w:val="single" w:sz="4" w:space="0" w:color="000000"/>
            </w:tcBorders>
          </w:tcPr>
          <w:p>
            <w:pPr>
              <w:pStyle w:val="TableParagraph"/>
              <w:spacing w:before="73"/>
              <w:ind w:left="172"/>
              <w:rPr>
                <w:sz w:val="24"/>
              </w:rPr>
            </w:pPr>
            <w:r>
              <w:rPr>
                <w:spacing w:val="-2"/>
                <w:sz w:val="24"/>
              </w:rPr>
              <w:t>Zambia</w:t>
            </w:r>
          </w:p>
        </w:tc>
        <w:tc>
          <w:tcPr>
            <w:tcW w:w="3004" w:type="dxa"/>
            <w:tcBorders>
              <w:bottom w:val="single" w:sz="4" w:space="0" w:color="000000"/>
            </w:tcBorders>
          </w:tcPr>
          <w:p>
            <w:pPr>
              <w:pStyle w:val="TableParagraph"/>
              <w:spacing w:before="73"/>
              <w:ind w:left="3" w:right="8"/>
              <w:jc w:val="center"/>
              <w:rPr>
                <w:sz w:val="24"/>
              </w:rPr>
            </w:pPr>
            <w:r>
              <w:rPr>
                <w:spacing w:val="-5"/>
                <w:sz w:val="24"/>
              </w:rPr>
              <w:t>96</w:t>
            </w:r>
          </w:p>
        </w:tc>
        <w:tc>
          <w:tcPr>
            <w:tcW w:w="3353" w:type="dxa"/>
            <w:tcBorders>
              <w:bottom w:val="single" w:sz="4" w:space="0" w:color="000000"/>
            </w:tcBorders>
          </w:tcPr>
          <w:p>
            <w:pPr>
              <w:pStyle w:val="TableParagraph"/>
              <w:spacing w:before="73"/>
              <w:ind w:left="13" w:right="123"/>
              <w:jc w:val="center"/>
              <w:rPr>
                <w:sz w:val="24"/>
              </w:rPr>
            </w:pPr>
            <w:r>
              <w:rPr>
                <w:spacing w:val="-5"/>
                <w:sz w:val="24"/>
              </w:rPr>
              <w:t>79</w:t>
            </w:r>
          </w:p>
        </w:tc>
      </w:tr>
    </w:tbl>
    <w:p>
      <w:pPr>
        <w:pStyle w:val="BodyText"/>
      </w:pPr>
      <w:r>
        <w:rPr/>
        <w:t>Source:</w:t>
      </w:r>
      <w:r>
        <w:rPr>
          <w:spacing w:val="-1"/>
        </w:rPr>
        <w:t> </w:t>
      </w:r>
      <w:r>
        <w:rPr/>
        <w:t>UNESCO,</w:t>
      </w:r>
      <w:r>
        <w:rPr>
          <w:spacing w:val="-3"/>
        </w:rPr>
        <w:t> </w:t>
      </w:r>
      <w:r>
        <w:rPr/>
        <w:t>Global</w:t>
      </w:r>
      <w:r>
        <w:rPr>
          <w:spacing w:val="-6"/>
        </w:rPr>
        <w:t> </w:t>
      </w:r>
      <w:r>
        <w:rPr/>
        <w:t>Education</w:t>
      </w:r>
      <w:r>
        <w:rPr>
          <w:spacing w:val="-5"/>
        </w:rPr>
        <w:t> </w:t>
      </w:r>
      <w:r>
        <w:rPr/>
        <w:t>Digest</w:t>
      </w:r>
      <w:r>
        <w:rPr>
          <w:spacing w:val="4"/>
        </w:rPr>
        <w:t> </w:t>
      </w:r>
      <w:r>
        <w:rPr>
          <w:spacing w:val="-2"/>
        </w:rPr>
        <w:t>(2006).</w:t>
      </w:r>
    </w:p>
    <w:p>
      <w:pPr>
        <w:pStyle w:val="BodyText"/>
        <w:spacing w:line="480" w:lineRule="auto" w:before="273"/>
        <w:ind w:right="1159" w:firstLine="720"/>
      </w:pPr>
      <w:r>
        <w:rPr/>
        <w:t>There are, however, some encouraging signs observed (Adetunde &amp; Akinsina, 2008). In Ghana, for example, the government adopted the Science and Technology Clinic for Girls Program aiming at giving girls more accesses to science and technology education, and targeting at girls in secondary schools. In Botswana, also, there</w:t>
      </w:r>
      <w:r>
        <w:rPr>
          <w:spacing w:val="76"/>
        </w:rPr>
        <w:t> </w:t>
      </w:r>
      <w:r>
        <w:rPr/>
        <w:t>is</w:t>
      </w:r>
      <w:r>
        <w:rPr>
          <w:spacing w:val="70"/>
        </w:rPr>
        <w:t> </w:t>
      </w:r>
      <w:r>
        <w:rPr/>
        <w:t>a</w:t>
      </w:r>
      <w:r>
        <w:rPr>
          <w:spacing w:val="75"/>
        </w:rPr>
        <w:t> </w:t>
      </w:r>
      <w:r>
        <w:rPr/>
        <w:t>science</w:t>
      </w:r>
      <w:r>
        <w:rPr>
          <w:spacing w:val="71"/>
        </w:rPr>
        <w:t> </w:t>
      </w:r>
      <w:r>
        <w:rPr/>
        <w:t>and</w:t>
      </w:r>
      <w:r>
        <w:rPr>
          <w:spacing w:val="76"/>
        </w:rPr>
        <w:t> </w:t>
      </w:r>
      <w:r>
        <w:rPr/>
        <w:t>technology</w:t>
      </w:r>
      <w:r>
        <w:rPr>
          <w:spacing w:val="62"/>
        </w:rPr>
        <w:t> </w:t>
      </w:r>
      <w:r>
        <w:rPr/>
        <w:t>road</w:t>
      </w:r>
      <w:r>
        <w:rPr>
          <w:spacing w:val="72"/>
        </w:rPr>
        <w:t> </w:t>
      </w:r>
      <w:r>
        <w:rPr/>
        <w:t>shown</w:t>
      </w:r>
      <w:r>
        <w:rPr>
          <w:spacing w:val="76"/>
        </w:rPr>
        <w:t> </w:t>
      </w:r>
      <w:r>
        <w:rPr/>
        <w:t>for</w:t>
      </w:r>
      <w:r>
        <w:rPr>
          <w:spacing w:val="73"/>
        </w:rPr>
        <w:t> </w:t>
      </w:r>
      <w:r>
        <w:rPr/>
        <w:t>girls.</w:t>
      </w:r>
      <w:r>
        <w:rPr>
          <w:spacing w:val="74"/>
        </w:rPr>
        <w:t> </w:t>
      </w:r>
      <w:r>
        <w:rPr/>
        <w:t>These</w:t>
      </w:r>
      <w:r>
        <w:rPr>
          <w:spacing w:val="80"/>
        </w:rPr>
        <w:t> </w:t>
      </w:r>
      <w:r>
        <w:rPr/>
        <w:t>initiatives</w:t>
      </w:r>
      <w:r>
        <w:rPr>
          <w:spacing w:val="70"/>
        </w:rPr>
        <w:t> </w:t>
      </w:r>
      <w:r>
        <w:rPr/>
        <w:t>were</w:t>
      </w:r>
    </w:p>
    <w:p>
      <w:pPr>
        <w:spacing w:after="0" w:line="480" w:lineRule="auto"/>
        <w:sectPr>
          <w:pgSz w:w="11910" w:h="16840"/>
          <w:pgMar w:header="0" w:footer="1012" w:top="1340" w:bottom="1200" w:left="1680" w:right="280"/>
        </w:sectPr>
      </w:pPr>
    </w:p>
    <w:p>
      <w:pPr>
        <w:pStyle w:val="BodyText"/>
        <w:spacing w:line="480" w:lineRule="auto" w:before="74"/>
        <w:ind w:right="1158"/>
      </w:pPr>
      <w:r>
        <w:rPr/>
        <w:t>launched in collaboration with the Commonwealth Secretariat and NGO, such as GESAT (gender in science and technology) (Adetunde &amp; Akinsina, 2008).</w:t>
      </w:r>
    </w:p>
    <w:p>
      <w:pPr>
        <w:pStyle w:val="BodyText"/>
        <w:spacing w:line="480" w:lineRule="auto"/>
        <w:ind w:right="1155" w:firstLine="720"/>
      </w:pPr>
      <w:r>
        <w:rPr/>
        <w:t>Girls' underachievement and low enrolment in science are also pronounced in Nigeria (Agueler &amp; Agwagalu, 2007), and being the most populous nation in Africa and having more females than males who are surprising, as it is a source of worry. According to the 1991 census figures, the population of women was 49.7%. The</w:t>
      </w:r>
      <w:r>
        <w:rPr>
          <w:spacing w:val="40"/>
        </w:rPr>
        <w:t> </w:t>
      </w:r>
      <w:r>
        <w:rPr/>
        <w:t>figure</w:t>
      </w:r>
      <w:r>
        <w:rPr>
          <w:spacing w:val="-3"/>
        </w:rPr>
        <w:t> </w:t>
      </w:r>
      <w:r>
        <w:rPr/>
        <w:t>rose</w:t>
      </w:r>
      <w:r>
        <w:rPr>
          <w:spacing w:val="-8"/>
        </w:rPr>
        <w:t> </w:t>
      </w:r>
      <w:r>
        <w:rPr/>
        <w:t>to 51.2%</w:t>
      </w:r>
      <w:r>
        <w:rPr>
          <w:spacing w:val="-1"/>
        </w:rPr>
        <w:t> </w:t>
      </w:r>
      <w:r>
        <w:rPr/>
        <w:t>in</w:t>
      </w:r>
      <w:r>
        <w:rPr>
          <w:spacing w:val="-2"/>
        </w:rPr>
        <w:t> </w:t>
      </w:r>
      <w:r>
        <w:rPr/>
        <w:t>year</w:t>
      </w:r>
      <w:r>
        <w:rPr>
          <w:spacing w:val="-1"/>
        </w:rPr>
        <w:t> </w:t>
      </w:r>
      <w:r>
        <w:rPr/>
        <w:t>2005. There is likely</w:t>
      </w:r>
      <w:r>
        <w:rPr>
          <w:spacing w:val="-7"/>
        </w:rPr>
        <w:t> </w:t>
      </w:r>
      <w:r>
        <w:rPr/>
        <w:t>to be</w:t>
      </w:r>
      <w:r>
        <w:rPr>
          <w:spacing w:val="-3"/>
        </w:rPr>
        <w:t> </w:t>
      </w:r>
      <w:r>
        <w:rPr/>
        <w:t>a</w:t>
      </w:r>
      <w:r>
        <w:rPr>
          <w:spacing w:val="-3"/>
        </w:rPr>
        <w:t> </w:t>
      </w:r>
      <w:r>
        <w:rPr/>
        <w:t>consistent increase following this trend. It is, therefore, said that despite of this large number, women still underachieve and are underrepresented in science and technology in Nigeria. In a cross-national study and educational attainment at the university level, Dorman</w:t>
      </w:r>
      <w:r>
        <w:rPr>
          <w:spacing w:val="80"/>
        </w:rPr>
        <w:t> </w:t>
      </w:r>
      <w:r>
        <w:rPr/>
        <w:t>(2004) established that girls appeared to perform less well than boys in science and technological courses.</w:t>
      </w:r>
    </w:p>
    <w:p>
      <w:pPr>
        <w:pStyle w:val="BodyText"/>
        <w:spacing w:line="480" w:lineRule="auto" w:before="2"/>
        <w:ind w:right="1153" w:firstLine="720"/>
      </w:pPr>
      <w:r>
        <w:rPr/>
        <w:t>Also, in the study</w:t>
      </w:r>
      <w:r>
        <w:rPr>
          <w:spacing w:val="-4"/>
        </w:rPr>
        <w:t> </w:t>
      </w:r>
      <w:r>
        <w:rPr/>
        <w:t>of</w:t>
      </w:r>
      <w:r>
        <w:rPr>
          <w:spacing w:val="-2"/>
        </w:rPr>
        <w:t> </w:t>
      </w:r>
      <w:r>
        <w:rPr/>
        <w:t>employment statistics according to occupation and sex in Nigeria industries, Omoniyi &amp; Oloruntegbe (2012) observed that women were more</w:t>
      </w:r>
      <w:r>
        <w:rPr>
          <w:spacing w:val="40"/>
        </w:rPr>
        <w:t> </w:t>
      </w:r>
      <w:r>
        <w:rPr/>
        <w:t>in secretariat jobs and very few in engineering and technological professions. Gorriz and Medina (2007) equally observed that for years, women have held a minority position in the high-status, high-salaried jobs in computer and technology fields. In their study, they</w:t>
      </w:r>
      <w:r>
        <w:rPr>
          <w:spacing w:val="-1"/>
        </w:rPr>
        <w:t> </w:t>
      </w:r>
      <w:r>
        <w:rPr/>
        <w:t>found that many boys and young men</w:t>
      </w:r>
      <w:r>
        <w:rPr>
          <w:spacing w:val="-1"/>
        </w:rPr>
        <w:t> </w:t>
      </w:r>
      <w:r>
        <w:rPr/>
        <w:t>are drawn</w:t>
      </w:r>
      <w:r>
        <w:rPr>
          <w:spacing w:val="-1"/>
        </w:rPr>
        <w:t> </w:t>
      </w:r>
      <w:r>
        <w:rPr/>
        <w:t>towards</w:t>
      </w:r>
      <w:r>
        <w:rPr>
          <w:spacing w:val="-2"/>
        </w:rPr>
        <w:t> </w:t>
      </w:r>
      <w:r>
        <w:rPr/>
        <w:t>these fields at an early age by their involvement with computer games and other high-tech activities. Their findings were also corroborated by the work of Comber, (2006) who also found</w:t>
      </w:r>
      <w:r>
        <w:rPr>
          <w:spacing w:val="-2"/>
        </w:rPr>
        <w:t> </w:t>
      </w:r>
      <w:r>
        <w:rPr/>
        <w:t>that girls</w:t>
      </w:r>
      <w:r>
        <w:rPr>
          <w:spacing w:val="-4"/>
        </w:rPr>
        <w:t> </w:t>
      </w:r>
      <w:r>
        <w:rPr/>
        <w:t>and young</w:t>
      </w:r>
      <w:r>
        <w:rPr>
          <w:spacing w:val="-2"/>
        </w:rPr>
        <w:t> </w:t>
      </w:r>
      <w:r>
        <w:rPr/>
        <w:t>women</w:t>
      </w:r>
      <w:r>
        <w:rPr>
          <w:spacing w:val="-7"/>
        </w:rPr>
        <w:t> </w:t>
      </w:r>
      <w:r>
        <w:rPr/>
        <w:t>often</w:t>
      </w:r>
      <w:r>
        <w:rPr>
          <w:spacing w:val="-7"/>
        </w:rPr>
        <w:t> </w:t>
      </w:r>
      <w:r>
        <w:rPr/>
        <w:t>were less</w:t>
      </w:r>
      <w:r>
        <w:rPr>
          <w:spacing w:val="-4"/>
        </w:rPr>
        <w:t> </w:t>
      </w:r>
      <w:r>
        <w:rPr/>
        <w:t>confident and less interested in computers and the skills associated with science and technology.</w:t>
      </w:r>
    </w:p>
    <w:p>
      <w:pPr>
        <w:pStyle w:val="BodyText"/>
        <w:spacing w:line="480" w:lineRule="auto" w:before="2"/>
        <w:ind w:right="1161" w:firstLine="720"/>
      </w:pPr>
      <w:r>
        <w:rPr/>
        <w:t>Many researchers, Sheila (2004), DeRemer (2005), and Duyilemi (2006) had identified variables, such as religious factors, school</w:t>
      </w:r>
      <w:r>
        <w:rPr>
          <w:spacing w:val="-6"/>
        </w:rPr>
        <w:t> </w:t>
      </w:r>
      <w:r>
        <w:rPr/>
        <w:t>environment, poor performances in</w:t>
      </w:r>
      <w:r>
        <w:rPr>
          <w:spacing w:val="54"/>
          <w:w w:val="150"/>
        </w:rPr>
        <w:t> </w:t>
      </w:r>
      <w:r>
        <w:rPr/>
        <w:t>mathematics,</w:t>
      </w:r>
      <w:r>
        <w:rPr>
          <w:spacing w:val="53"/>
          <w:w w:val="150"/>
        </w:rPr>
        <w:t> </w:t>
      </w:r>
      <w:r>
        <w:rPr/>
        <w:t>socialization</w:t>
      </w:r>
      <w:r>
        <w:rPr>
          <w:spacing w:val="77"/>
        </w:rPr>
        <w:t> </w:t>
      </w:r>
      <w:r>
        <w:rPr/>
        <w:t>patterns</w:t>
      </w:r>
      <w:r>
        <w:rPr>
          <w:spacing w:val="50"/>
          <w:w w:val="150"/>
        </w:rPr>
        <w:t> </w:t>
      </w:r>
      <w:r>
        <w:rPr/>
        <w:t>and</w:t>
      </w:r>
      <w:r>
        <w:rPr>
          <w:spacing w:val="51"/>
          <w:w w:val="150"/>
        </w:rPr>
        <w:t> </w:t>
      </w:r>
      <w:r>
        <w:rPr/>
        <w:t>gender-stereotyping</w:t>
      </w:r>
      <w:r>
        <w:rPr>
          <w:spacing w:val="52"/>
          <w:w w:val="150"/>
        </w:rPr>
        <w:t> </w:t>
      </w:r>
      <w:r>
        <w:rPr/>
        <w:t>among</w:t>
      </w:r>
      <w:r>
        <w:rPr>
          <w:spacing w:val="56"/>
          <w:w w:val="150"/>
        </w:rPr>
        <w:t> </w:t>
      </w:r>
      <w:r>
        <w:rPr/>
        <w:t>others</w:t>
      </w:r>
      <w:r>
        <w:rPr>
          <w:spacing w:val="80"/>
        </w:rPr>
        <w:t> </w:t>
      </w:r>
      <w:r>
        <w:rPr>
          <w:spacing w:val="-5"/>
        </w:rPr>
        <w:t>as</w:t>
      </w:r>
    </w:p>
    <w:p>
      <w:pPr>
        <w:spacing w:after="0" w:line="480" w:lineRule="auto"/>
        <w:sectPr>
          <w:pgSz w:w="11910" w:h="16840"/>
          <w:pgMar w:header="0" w:footer="1012" w:top="1340" w:bottom="1200" w:left="1680" w:right="280"/>
        </w:sectPr>
      </w:pPr>
    </w:p>
    <w:p>
      <w:pPr>
        <w:pStyle w:val="BodyText"/>
        <w:spacing w:line="480" w:lineRule="auto" w:before="74"/>
        <w:ind w:right="1163"/>
      </w:pPr>
      <w:r>
        <w:rPr/>
        <w:t>factors militating against the participation of girls and women in science and technological advancement. Added to these factors is girls' anxiety towards mathematics which is a core subject in science and technology.</w:t>
      </w:r>
    </w:p>
    <w:p>
      <w:pPr>
        <w:pStyle w:val="BodyText"/>
        <w:spacing w:line="480" w:lineRule="auto"/>
        <w:ind w:right="1155" w:firstLine="720"/>
      </w:pPr>
      <w:r>
        <w:rPr/>
        <w:t>In some studies, mixed results have been revealed regarding the gender differences in science achievement. In the comparison study of 2011 Trends in International Mathematics and Science Study</w:t>
      </w:r>
      <w:r>
        <w:rPr>
          <w:spacing w:val="-3"/>
        </w:rPr>
        <w:t> </w:t>
      </w:r>
      <w:r>
        <w:rPr/>
        <w:t>(TIMSS), Amelink (2009) reported that American male and female fourth-graders did not show a significant difference in</w:t>
      </w:r>
      <w:r>
        <w:rPr>
          <w:spacing w:val="40"/>
        </w:rPr>
        <w:t> </w:t>
      </w:r>
      <w:r>
        <w:rPr/>
        <w:t>their science performances, but male eighth-graders represented significantly better performances than female counterparts overall in science (i.e., physics, biology &amp; earth science) except chemistry. This phenomenon has been consistent based on the American data of the National Assessment of Educational Progress (NAEP) from 1969</w:t>
      </w:r>
      <w:r>
        <w:rPr>
          <w:spacing w:val="-1"/>
        </w:rPr>
        <w:t> </w:t>
      </w:r>
      <w:r>
        <w:rPr/>
        <w:t>to 1999</w:t>
      </w:r>
      <w:r>
        <w:rPr>
          <w:spacing w:val="-1"/>
        </w:rPr>
        <w:t> </w:t>
      </w:r>
      <w:r>
        <w:rPr/>
        <w:t>which</w:t>
      </w:r>
      <w:r>
        <w:rPr>
          <w:spacing w:val="-1"/>
        </w:rPr>
        <w:t> </w:t>
      </w:r>
      <w:r>
        <w:rPr/>
        <w:t>found</w:t>
      </w:r>
      <w:r>
        <w:rPr>
          <w:spacing w:val="-2"/>
        </w:rPr>
        <w:t> </w:t>
      </w:r>
      <w:r>
        <w:rPr/>
        <w:t>that males in</w:t>
      </w:r>
      <w:r>
        <w:rPr>
          <w:spacing w:val="-1"/>
        </w:rPr>
        <w:t> </w:t>
      </w:r>
      <w:r>
        <w:rPr/>
        <w:t>the</w:t>
      </w:r>
      <w:r>
        <w:rPr>
          <w:spacing w:val="-2"/>
        </w:rPr>
        <w:t> </w:t>
      </w:r>
      <w:r>
        <w:rPr/>
        <w:t>primary</w:t>
      </w:r>
      <w:r>
        <w:rPr>
          <w:spacing w:val="-6"/>
        </w:rPr>
        <w:t> </w:t>
      </w:r>
      <w:r>
        <w:rPr/>
        <w:t>and middle schools</w:t>
      </w:r>
      <w:r>
        <w:rPr>
          <w:spacing w:val="-3"/>
        </w:rPr>
        <w:t> </w:t>
      </w:r>
      <w:r>
        <w:rPr/>
        <w:t>outperformed females on science achievement tests, and the data of 1999 TIMSS which indicated that males outperformed females significantly in science tests. In addition, the result from Advanced Placement Program</w:t>
      </w:r>
      <w:r>
        <w:rPr>
          <w:spacing w:val="-5"/>
        </w:rPr>
        <w:t> </w:t>
      </w:r>
      <w:r>
        <w:rPr/>
        <w:t>(APP) for American high school</w:t>
      </w:r>
      <w:r>
        <w:rPr>
          <w:spacing w:val="-5"/>
        </w:rPr>
        <w:t> </w:t>
      </w:r>
      <w:r>
        <w:rPr/>
        <w:t>students in 2007 confirmed that male students scored higher on 35 tests including chemistry test than female students. The percentage of male students receiving a score of</w:t>
      </w:r>
      <w:r>
        <w:rPr>
          <w:spacing w:val="-4"/>
        </w:rPr>
        <w:t> </w:t>
      </w:r>
      <w:r>
        <w:rPr/>
        <w:t>5(i.e. extremely well qualified) in APP chemistry test participants is 18% while the one of female students is 11%. This phenomenon seemed to be extended to the American higher institutions. Obrentz</w:t>
      </w:r>
      <w:r>
        <w:rPr>
          <w:spacing w:val="-2"/>
        </w:rPr>
        <w:t> </w:t>
      </w:r>
      <w:r>
        <w:rPr/>
        <w:t>(2012)</w:t>
      </w:r>
      <w:r>
        <w:rPr>
          <w:spacing w:val="-4"/>
        </w:rPr>
        <w:t> </w:t>
      </w:r>
      <w:r>
        <w:rPr/>
        <w:t>reported</w:t>
      </w:r>
      <w:r>
        <w:rPr>
          <w:spacing w:val="-6"/>
        </w:rPr>
        <w:t> </w:t>
      </w:r>
      <w:r>
        <w:rPr/>
        <w:t>that</w:t>
      </w:r>
      <w:r>
        <w:rPr>
          <w:spacing w:val="-1"/>
        </w:rPr>
        <w:t> </w:t>
      </w:r>
      <w:r>
        <w:rPr/>
        <w:t>there</w:t>
      </w:r>
      <w:r>
        <w:rPr>
          <w:spacing w:val="-2"/>
        </w:rPr>
        <w:t> </w:t>
      </w:r>
      <w:r>
        <w:rPr/>
        <w:t>was</w:t>
      </w:r>
      <w:r>
        <w:rPr>
          <w:spacing w:val="-3"/>
        </w:rPr>
        <w:t> </w:t>
      </w:r>
      <w:r>
        <w:rPr/>
        <w:t>a</w:t>
      </w:r>
      <w:r>
        <w:rPr>
          <w:spacing w:val="-2"/>
        </w:rPr>
        <w:t> </w:t>
      </w:r>
      <w:r>
        <w:rPr/>
        <w:t>significant difference in</w:t>
      </w:r>
      <w:r>
        <w:rPr>
          <w:spacing w:val="-1"/>
        </w:rPr>
        <w:t> </w:t>
      </w:r>
      <w:r>
        <w:rPr/>
        <w:t>the final chemistry grades between university males and females. Male students scored better than female students.</w:t>
      </w:r>
    </w:p>
    <w:p>
      <w:pPr>
        <w:pStyle w:val="BodyText"/>
        <w:spacing w:line="480" w:lineRule="auto" w:before="4"/>
        <w:ind w:right="1158" w:firstLine="720"/>
      </w:pPr>
      <w:r>
        <w:rPr/>
        <w:t>The cross-cultural evaluation of science achievement conducted by International Evaluation of Education Achievement (IEA) also pointed out the same trend</w:t>
      </w:r>
      <w:r>
        <w:rPr>
          <w:spacing w:val="6"/>
        </w:rPr>
        <w:t> </w:t>
      </w:r>
      <w:r>
        <w:rPr/>
        <w:t>of</w:t>
      </w:r>
      <w:r>
        <w:rPr>
          <w:spacing w:val="9"/>
        </w:rPr>
        <w:t> </w:t>
      </w:r>
      <w:r>
        <w:rPr/>
        <w:t>lower</w:t>
      </w:r>
      <w:r>
        <w:rPr>
          <w:spacing w:val="18"/>
        </w:rPr>
        <w:t> </w:t>
      </w:r>
      <w:r>
        <w:rPr/>
        <w:t>female</w:t>
      </w:r>
      <w:r>
        <w:rPr>
          <w:spacing w:val="10"/>
        </w:rPr>
        <w:t> </w:t>
      </w:r>
      <w:r>
        <w:rPr/>
        <w:t>achievement</w:t>
      </w:r>
      <w:r>
        <w:rPr>
          <w:spacing w:val="17"/>
        </w:rPr>
        <w:t> </w:t>
      </w:r>
      <w:r>
        <w:rPr/>
        <w:t>compared</w:t>
      </w:r>
      <w:r>
        <w:rPr>
          <w:spacing w:val="11"/>
        </w:rPr>
        <w:t> </w:t>
      </w:r>
      <w:r>
        <w:rPr/>
        <w:t>with</w:t>
      </w:r>
      <w:r>
        <w:rPr>
          <w:spacing w:val="12"/>
        </w:rPr>
        <w:t> </w:t>
      </w:r>
      <w:r>
        <w:rPr/>
        <w:t>male</w:t>
      </w:r>
      <w:r>
        <w:rPr>
          <w:spacing w:val="11"/>
        </w:rPr>
        <w:t> </w:t>
      </w:r>
      <w:r>
        <w:rPr/>
        <w:t>students.</w:t>
      </w:r>
      <w:r>
        <w:rPr>
          <w:spacing w:val="66"/>
          <w:w w:val="150"/>
        </w:rPr>
        <w:t> </w:t>
      </w:r>
      <w:r>
        <w:rPr/>
        <w:t>Also</w:t>
      </w:r>
      <w:r>
        <w:rPr>
          <w:spacing w:val="16"/>
        </w:rPr>
        <w:t> </w:t>
      </w:r>
      <w:r>
        <w:rPr/>
        <w:t>the</w:t>
      </w:r>
      <w:r>
        <w:rPr>
          <w:spacing w:val="11"/>
        </w:rPr>
        <w:t> </w:t>
      </w:r>
      <w:r>
        <w:rPr/>
        <w:t>First</w:t>
      </w:r>
      <w:r>
        <w:rPr>
          <w:spacing w:val="17"/>
        </w:rPr>
        <w:t> </w:t>
      </w:r>
      <w:r>
        <w:rPr>
          <w:spacing w:val="-5"/>
        </w:rPr>
        <w:t>and</w:t>
      </w:r>
    </w:p>
    <w:p>
      <w:pPr>
        <w:spacing w:after="0" w:line="480" w:lineRule="auto"/>
        <w:sectPr>
          <w:pgSz w:w="11910" w:h="16840"/>
          <w:pgMar w:header="0" w:footer="1012" w:top="1340" w:bottom="1200" w:left="1680" w:right="280"/>
        </w:sectPr>
      </w:pPr>
    </w:p>
    <w:p>
      <w:pPr>
        <w:pStyle w:val="BodyText"/>
        <w:spacing w:line="480" w:lineRule="auto" w:before="74"/>
        <w:ind w:right="1158"/>
      </w:pPr>
      <w:r>
        <w:rPr/>
        <w:t>Second International Science Study (FISS &amp; SISS), and Third International Mathematics and Science Study (TIMSS) revealed that there has been consistent outperforming of male students in the written achievement tests of every science subject Amunga, Amadalo, &amp; Musera, (2011). Also found out male students outperformed female students in chemistry in 32 secondary schools in Western Province of Kenya. The chemistry results of male students had the upper hand from the year of 2005 until 2009 compared with female students. Likewise, Male students' higher performances in chemistry have also been seen in other countries such as Nigeria and Kenya.</w:t>
      </w:r>
    </w:p>
    <w:p>
      <w:pPr>
        <w:pStyle w:val="BodyText"/>
        <w:spacing w:line="480" w:lineRule="auto" w:before="2"/>
        <w:ind w:right="1162" w:firstLine="720"/>
      </w:pPr>
      <w:r>
        <w:rPr/>
        <w:t>Ezeudu</w:t>
      </w:r>
      <w:r>
        <w:rPr>
          <w:spacing w:val="-2"/>
        </w:rPr>
        <w:t> </w:t>
      </w:r>
      <w:r>
        <w:rPr/>
        <w:t>and</w:t>
      </w:r>
      <w:r>
        <w:rPr>
          <w:spacing w:val="-2"/>
        </w:rPr>
        <w:t> </w:t>
      </w:r>
      <w:r>
        <w:rPr/>
        <w:t>Obi-Theresa</w:t>
      </w:r>
      <w:r>
        <w:rPr>
          <w:spacing w:val="-3"/>
        </w:rPr>
        <w:t> </w:t>
      </w:r>
      <w:r>
        <w:rPr/>
        <w:t>(2013)</w:t>
      </w:r>
      <w:r>
        <w:rPr>
          <w:spacing w:val="-1"/>
        </w:rPr>
        <w:t> </w:t>
      </w:r>
      <w:r>
        <w:rPr/>
        <w:t>investigated</w:t>
      </w:r>
      <w:r>
        <w:rPr>
          <w:spacing w:val="-2"/>
        </w:rPr>
        <w:t> </w:t>
      </w:r>
      <w:r>
        <w:rPr/>
        <w:t>the</w:t>
      </w:r>
      <w:r>
        <w:rPr>
          <w:spacing w:val="-3"/>
        </w:rPr>
        <w:t> </w:t>
      </w:r>
      <w:r>
        <w:rPr/>
        <w:t>effects</w:t>
      </w:r>
      <w:r>
        <w:rPr>
          <w:spacing w:val="-4"/>
        </w:rPr>
        <w:t> </w:t>
      </w:r>
      <w:r>
        <w:rPr/>
        <w:t>of</w:t>
      </w:r>
      <w:r>
        <w:rPr>
          <w:spacing w:val="-10"/>
        </w:rPr>
        <w:t> </w:t>
      </w:r>
      <w:r>
        <w:rPr/>
        <w:t>gender</w:t>
      </w:r>
      <w:r>
        <w:rPr>
          <w:spacing w:val="-1"/>
        </w:rPr>
        <w:t> </w:t>
      </w:r>
      <w:r>
        <w:rPr/>
        <w:t>and location on students' chemistry achievement in a local government area in Nigeria. The findings</w:t>
      </w:r>
      <w:r>
        <w:rPr>
          <w:spacing w:val="-3"/>
        </w:rPr>
        <w:t> </w:t>
      </w:r>
      <w:r>
        <w:rPr/>
        <w:t>showed</w:t>
      </w:r>
      <w:r>
        <w:rPr>
          <w:spacing w:val="-1"/>
        </w:rPr>
        <w:t> </w:t>
      </w:r>
      <w:r>
        <w:rPr/>
        <w:t>that chemistry</w:t>
      </w:r>
      <w:r>
        <w:rPr>
          <w:spacing w:val="-11"/>
        </w:rPr>
        <w:t> </w:t>
      </w:r>
      <w:r>
        <w:rPr/>
        <w:t>achievement of</w:t>
      </w:r>
      <w:r>
        <w:rPr>
          <w:spacing w:val="-4"/>
        </w:rPr>
        <w:t> </w:t>
      </w:r>
      <w:r>
        <w:rPr/>
        <w:t>male students</w:t>
      </w:r>
      <w:r>
        <w:rPr>
          <w:spacing w:val="-3"/>
        </w:rPr>
        <w:t> </w:t>
      </w:r>
      <w:r>
        <w:rPr/>
        <w:t>was</w:t>
      </w:r>
      <w:r>
        <w:rPr>
          <w:spacing w:val="-3"/>
        </w:rPr>
        <w:t> </w:t>
      </w:r>
      <w:r>
        <w:rPr/>
        <w:t>significantly</w:t>
      </w:r>
      <w:r>
        <w:rPr>
          <w:spacing w:val="-1"/>
        </w:rPr>
        <w:t> </w:t>
      </w:r>
      <w:r>
        <w:rPr/>
        <w:t>higher than the one of female students in both rural and urban areas. The same phenomenon was found in an Ethiopian college in which Tenaw (2013) investigated the gender difference of 100 students in terms of chemistry performance. The finding showed</w:t>
      </w:r>
      <w:r>
        <w:rPr>
          <w:spacing w:val="40"/>
        </w:rPr>
        <w:t> </w:t>
      </w:r>
      <w:r>
        <w:rPr/>
        <w:t>that male students are better performers than female in chemistry.</w:t>
      </w:r>
    </w:p>
    <w:p>
      <w:pPr>
        <w:pStyle w:val="BodyText"/>
        <w:spacing w:line="480" w:lineRule="auto" w:before="1"/>
        <w:ind w:right="1149" w:firstLine="720"/>
      </w:pPr>
      <w:r>
        <w:rPr/>
        <w:t>Also Oludipe's</w:t>
      </w:r>
      <w:r>
        <w:rPr>
          <w:spacing w:val="-5"/>
        </w:rPr>
        <w:t> </w:t>
      </w:r>
      <w:r>
        <w:rPr/>
        <w:t>(2012)</w:t>
      </w:r>
      <w:r>
        <w:rPr>
          <w:spacing w:val="-2"/>
        </w:rPr>
        <w:t> </w:t>
      </w:r>
      <w:r>
        <w:rPr/>
        <w:t>reported</w:t>
      </w:r>
      <w:r>
        <w:rPr>
          <w:spacing w:val="-12"/>
        </w:rPr>
        <w:t> </w:t>
      </w:r>
      <w:r>
        <w:rPr/>
        <w:t>that</w:t>
      </w:r>
      <w:r>
        <w:rPr>
          <w:spacing w:val="-3"/>
        </w:rPr>
        <w:t> </w:t>
      </w:r>
      <w:r>
        <w:rPr/>
        <w:t>there</w:t>
      </w:r>
      <w:r>
        <w:rPr>
          <w:spacing w:val="-4"/>
        </w:rPr>
        <w:t> </w:t>
      </w:r>
      <w:r>
        <w:rPr/>
        <w:t>was</w:t>
      </w:r>
      <w:r>
        <w:rPr>
          <w:spacing w:val="-5"/>
        </w:rPr>
        <w:t> </w:t>
      </w:r>
      <w:r>
        <w:rPr/>
        <w:t>no significant difference in</w:t>
      </w:r>
      <w:r>
        <w:rPr>
          <w:spacing w:val="-3"/>
        </w:rPr>
        <w:t> </w:t>
      </w:r>
      <w:r>
        <w:rPr/>
        <w:t>basic science achievement between male and female junior secondary school students in Nigeria. This study was based on a quasi-experimental design which had a treatment period of cooperative learning strategy in basic science class. The same result was</w:t>
      </w:r>
      <w:r>
        <w:rPr>
          <w:spacing w:val="40"/>
        </w:rPr>
        <w:t> </w:t>
      </w:r>
      <w:r>
        <w:rPr/>
        <w:t>also found by Afuwape (2011) who used an ex post facto research design. The performance of secondary school male and female students in basic science had no significant difference. Given that there were some other studies reporting the disadvantaged position</w:t>
      </w:r>
      <w:r>
        <w:rPr>
          <w:spacing w:val="-2"/>
        </w:rPr>
        <w:t> </w:t>
      </w:r>
      <w:r>
        <w:rPr/>
        <w:t>and low interest of</w:t>
      </w:r>
      <w:r>
        <w:rPr>
          <w:spacing w:val="-1"/>
        </w:rPr>
        <w:t> </w:t>
      </w:r>
      <w:r>
        <w:rPr/>
        <w:t>male students in</w:t>
      </w:r>
      <w:r>
        <w:rPr>
          <w:spacing w:val="-2"/>
        </w:rPr>
        <w:t> </w:t>
      </w:r>
      <w:r>
        <w:rPr/>
        <w:t>science subjects Omoniyi, (2006),</w:t>
      </w:r>
      <w:r>
        <w:rPr>
          <w:spacing w:val="58"/>
        </w:rPr>
        <w:t> </w:t>
      </w:r>
      <w:r>
        <w:rPr/>
        <w:t>eventual</w:t>
      </w:r>
      <w:r>
        <w:rPr>
          <w:spacing w:val="49"/>
        </w:rPr>
        <w:t> </w:t>
      </w:r>
      <w:r>
        <w:rPr/>
        <w:t>achievement</w:t>
      </w:r>
      <w:r>
        <w:rPr>
          <w:spacing w:val="64"/>
        </w:rPr>
        <w:t> </w:t>
      </w:r>
      <w:r>
        <w:rPr/>
        <w:t>by</w:t>
      </w:r>
      <w:r>
        <w:rPr>
          <w:spacing w:val="58"/>
        </w:rPr>
        <w:t> </w:t>
      </w:r>
      <w:r>
        <w:rPr/>
        <w:t>learners</w:t>
      </w:r>
      <w:r>
        <w:rPr>
          <w:spacing w:val="62"/>
        </w:rPr>
        <w:t> </w:t>
      </w:r>
      <w:r>
        <w:rPr/>
        <w:t>seem</w:t>
      </w:r>
      <w:r>
        <w:rPr>
          <w:spacing w:val="59"/>
        </w:rPr>
        <w:t> </w:t>
      </w:r>
      <w:r>
        <w:rPr/>
        <w:t>to</w:t>
      </w:r>
      <w:r>
        <w:rPr>
          <w:spacing w:val="64"/>
        </w:rPr>
        <w:t> </w:t>
      </w:r>
      <w:r>
        <w:rPr/>
        <w:t>be</w:t>
      </w:r>
      <w:r>
        <w:rPr>
          <w:spacing w:val="62"/>
        </w:rPr>
        <w:t> </w:t>
      </w:r>
      <w:r>
        <w:rPr/>
        <w:t>closely</w:t>
      </w:r>
      <w:r>
        <w:rPr>
          <w:spacing w:val="55"/>
        </w:rPr>
        <w:t> </w:t>
      </w:r>
      <w:r>
        <w:rPr/>
        <w:t>related</w:t>
      </w:r>
      <w:r>
        <w:rPr>
          <w:spacing w:val="58"/>
        </w:rPr>
        <w:t> </w:t>
      </w:r>
      <w:r>
        <w:rPr/>
        <w:t>to</w:t>
      </w:r>
      <w:r>
        <w:rPr>
          <w:spacing w:val="64"/>
        </w:rPr>
        <w:t> </w:t>
      </w:r>
      <w:r>
        <w:rPr>
          <w:spacing w:val="-2"/>
        </w:rPr>
        <w:t>personal</w:t>
      </w:r>
    </w:p>
    <w:p>
      <w:pPr>
        <w:spacing w:after="0" w:line="480" w:lineRule="auto"/>
        <w:sectPr>
          <w:pgSz w:w="11910" w:h="16840"/>
          <w:pgMar w:header="0" w:footer="1012" w:top="1340" w:bottom="1200" w:left="1680" w:right="280"/>
        </w:sectPr>
      </w:pPr>
    </w:p>
    <w:p>
      <w:pPr>
        <w:pStyle w:val="BodyText"/>
        <w:spacing w:line="480" w:lineRule="auto" w:before="74"/>
        <w:ind w:right="1160"/>
      </w:pPr>
      <w:r>
        <w:rPr/>
        <w:t>efforts,</w:t>
      </w:r>
      <w:r>
        <w:rPr>
          <w:spacing w:val="-1"/>
        </w:rPr>
        <w:t> </w:t>
      </w:r>
      <w:r>
        <w:rPr/>
        <w:t>cognitive</w:t>
      </w:r>
      <w:r>
        <w:rPr>
          <w:spacing w:val="-4"/>
        </w:rPr>
        <w:t> </w:t>
      </w:r>
      <w:r>
        <w:rPr/>
        <w:t>abilities.</w:t>
      </w:r>
      <w:r>
        <w:rPr>
          <w:spacing w:val="40"/>
        </w:rPr>
        <w:t> </w:t>
      </w:r>
      <w:r>
        <w:rPr/>
        <w:t>The</w:t>
      </w:r>
      <w:r>
        <w:rPr>
          <w:spacing w:val="-4"/>
        </w:rPr>
        <w:t> </w:t>
      </w:r>
      <w:r>
        <w:rPr/>
        <w:t>present sought</w:t>
      </w:r>
      <w:r>
        <w:rPr>
          <w:spacing w:val="-3"/>
        </w:rPr>
        <w:t> </w:t>
      </w:r>
      <w:r>
        <w:rPr/>
        <w:t>to</w:t>
      </w:r>
      <w:r>
        <w:rPr>
          <w:spacing w:val="-3"/>
        </w:rPr>
        <w:t> </w:t>
      </w:r>
      <w:r>
        <w:rPr/>
        <w:t>find</w:t>
      </w:r>
      <w:r>
        <w:rPr>
          <w:spacing w:val="-3"/>
        </w:rPr>
        <w:t> </w:t>
      </w:r>
      <w:r>
        <w:rPr/>
        <w:t>out</w:t>
      </w:r>
      <w:r>
        <w:rPr>
          <w:spacing w:val="-3"/>
        </w:rPr>
        <w:t> </w:t>
      </w:r>
      <w:r>
        <w:rPr/>
        <w:t>the</w:t>
      </w:r>
      <w:r>
        <w:rPr>
          <w:spacing w:val="-4"/>
        </w:rPr>
        <w:t> </w:t>
      </w:r>
      <w:r>
        <w:rPr/>
        <w:t>difference between</w:t>
      </w:r>
      <w:r>
        <w:rPr>
          <w:spacing w:val="-3"/>
        </w:rPr>
        <w:t> </w:t>
      </w:r>
      <w:r>
        <w:rPr/>
        <w:t>male and female students emotional intelligence reasoning ability, self-efficacy and chemistry achievement of SS II students.</w:t>
      </w:r>
      <w:r>
        <w:rPr>
          <w:spacing w:val="40"/>
        </w:rPr>
        <w:t> </w:t>
      </w:r>
      <w:r>
        <w:rPr/>
        <w:t>A different study area is used for a better </w:t>
      </w:r>
      <w:r>
        <w:rPr>
          <w:spacing w:val="-2"/>
        </w:rPr>
        <w:t>result.</w:t>
      </w:r>
    </w:p>
    <w:p>
      <w:pPr>
        <w:pStyle w:val="Heading3"/>
        <w:numPr>
          <w:ilvl w:val="1"/>
          <w:numId w:val="13"/>
        </w:numPr>
        <w:tabs>
          <w:tab w:pos="1199" w:val="left" w:leader="none"/>
        </w:tabs>
        <w:spacing w:line="240" w:lineRule="auto" w:before="5" w:after="0"/>
        <w:ind w:left="1199" w:right="0" w:hanging="719"/>
        <w:jc w:val="both"/>
      </w:pPr>
      <w:bookmarkStart w:name="_TOC_250000" w:id="28"/>
      <w:r>
        <w:rPr/>
        <w:t>Over</w:t>
      </w:r>
      <w:r>
        <w:rPr>
          <w:spacing w:val="-5"/>
        </w:rPr>
        <w:t> </w:t>
      </w:r>
      <w:r>
        <w:rPr/>
        <w:t>View</w:t>
      </w:r>
      <w:r>
        <w:rPr>
          <w:spacing w:val="1"/>
        </w:rPr>
        <w:t> </w:t>
      </w:r>
      <w:r>
        <w:rPr/>
        <w:t>of</w:t>
      </w:r>
      <w:r>
        <w:rPr>
          <w:spacing w:val="-1"/>
        </w:rPr>
        <w:t> </w:t>
      </w:r>
      <w:r>
        <w:rPr/>
        <w:t>Similar</w:t>
      </w:r>
      <w:r>
        <w:rPr>
          <w:spacing w:val="-1"/>
        </w:rPr>
        <w:t> </w:t>
      </w:r>
      <w:bookmarkEnd w:id="28"/>
      <w:r>
        <w:rPr>
          <w:spacing w:val="-2"/>
        </w:rPr>
        <w:t>Studies</w:t>
      </w:r>
    </w:p>
    <w:p>
      <w:pPr>
        <w:pStyle w:val="BodyText"/>
        <w:spacing w:line="480" w:lineRule="auto" w:before="272"/>
        <w:ind w:right="1160" w:firstLine="720"/>
      </w:pPr>
      <w:r>
        <w:rPr/>
        <w:t>This section contains a summary of some related studies in Emotional- intelligence, reasoning ability, self-efficacy and achievement in chemistry.</w:t>
      </w:r>
    </w:p>
    <w:p>
      <w:pPr>
        <w:pStyle w:val="BodyText"/>
        <w:spacing w:line="480" w:lineRule="auto"/>
        <w:ind w:right="1152" w:firstLine="720"/>
      </w:pPr>
      <w:r>
        <w:rPr/>
        <w:t>The study carried out by Arockia, M. and Sangeetha, R. (2013), on the</w:t>
      </w:r>
      <w:r>
        <w:rPr>
          <w:spacing w:val="80"/>
        </w:rPr>
        <w:t> </w:t>
      </w:r>
      <w:r>
        <w:rPr/>
        <w:t>relation between emotional intelligence and academic performance among the final year undergraduates has been a popular topic of debate in the field of education in general and management in particular. It is considered as a successful predictor of academic success/performance/achievement. Researchers have claimed that EI predicts success at schools, and colleges. However, little empirical research has been conducted to test this assertion. In the study of the relationship of EI as measured by Mangal and Shubra Mangal‘s EI Inventory (MEII) and academic performance were examined in a sample of final year under graduate students (N=300). EI in its four specified domains namely Intrapersonal Awareness, Interpersonal Awareness, Intrapersonal Management and Interpersonal Management separately as well as</w:t>
      </w:r>
      <w:r>
        <w:rPr>
          <w:spacing w:val="40"/>
        </w:rPr>
        <w:t> </w:t>
      </w:r>
      <w:r>
        <w:rPr/>
        <w:t>totally was found to be positively associated with academic performance of the selected respondents. Also the total EI score showed a percentage of 7.5 per cent of the sample being emotionally intelligent. The significant ‗f‘ value has evidently showed that EI could predict academic performance of</w:t>
      </w:r>
      <w:r>
        <w:rPr>
          <w:spacing w:val="-1"/>
        </w:rPr>
        <w:t> </w:t>
      </w:r>
      <w:r>
        <w:rPr/>
        <w:t>college students. The findings provide a further need on how to improve upon the academics of students. Also, the study</w:t>
      </w:r>
      <w:r>
        <w:rPr>
          <w:spacing w:val="-6"/>
        </w:rPr>
        <w:t> </w:t>
      </w:r>
      <w:r>
        <w:rPr/>
        <w:t>has</w:t>
      </w:r>
      <w:r>
        <w:rPr>
          <w:spacing w:val="-3"/>
        </w:rPr>
        <w:t> </w:t>
      </w:r>
      <w:r>
        <w:rPr/>
        <w:t>shown</w:t>
      </w:r>
      <w:r>
        <w:rPr>
          <w:spacing w:val="-7"/>
        </w:rPr>
        <w:t> </w:t>
      </w:r>
      <w:r>
        <w:rPr/>
        <w:t>that emotional</w:t>
      </w:r>
      <w:r>
        <w:rPr>
          <w:spacing w:val="-6"/>
        </w:rPr>
        <w:t> </w:t>
      </w:r>
      <w:r>
        <w:rPr/>
        <w:t>well-being</w:t>
      </w:r>
      <w:r>
        <w:rPr>
          <w:spacing w:val="-1"/>
        </w:rPr>
        <w:t> </w:t>
      </w:r>
      <w:r>
        <w:rPr/>
        <w:t>could be</w:t>
      </w:r>
      <w:r>
        <w:rPr>
          <w:spacing w:val="-2"/>
        </w:rPr>
        <w:t> </w:t>
      </w:r>
      <w:r>
        <w:rPr/>
        <w:t>emphasized</w:t>
      </w:r>
      <w:r>
        <w:rPr>
          <w:spacing w:val="-1"/>
        </w:rPr>
        <w:t> </w:t>
      </w:r>
      <w:r>
        <w:rPr/>
        <w:t>on</w:t>
      </w:r>
      <w:r>
        <w:rPr>
          <w:spacing w:val="-6"/>
        </w:rPr>
        <w:t> </w:t>
      </w:r>
      <w:r>
        <w:rPr/>
        <w:t>academic success. The</w:t>
      </w:r>
      <w:r>
        <w:rPr>
          <w:spacing w:val="30"/>
        </w:rPr>
        <w:t> </w:t>
      </w:r>
      <w:r>
        <w:rPr/>
        <w:t>present</w:t>
      </w:r>
      <w:r>
        <w:rPr>
          <w:spacing w:val="36"/>
        </w:rPr>
        <w:t> </w:t>
      </w:r>
      <w:r>
        <w:rPr/>
        <w:t>study</w:t>
      </w:r>
      <w:r>
        <w:rPr>
          <w:spacing w:val="23"/>
        </w:rPr>
        <w:t> </w:t>
      </w:r>
      <w:r>
        <w:rPr/>
        <w:t>examined</w:t>
      </w:r>
      <w:r>
        <w:rPr>
          <w:spacing w:val="40"/>
        </w:rPr>
        <w:t> </w:t>
      </w:r>
      <w:r>
        <w:rPr/>
        <w:t>if</w:t>
      </w:r>
      <w:r>
        <w:rPr>
          <w:spacing w:val="28"/>
        </w:rPr>
        <w:t> </w:t>
      </w:r>
      <w:r>
        <w:rPr/>
        <w:t>Emotional-Intelligence,</w:t>
      </w:r>
      <w:r>
        <w:rPr>
          <w:spacing w:val="33"/>
        </w:rPr>
        <w:t> </w:t>
      </w:r>
      <w:r>
        <w:rPr/>
        <w:t>Reasoning</w:t>
      </w:r>
      <w:r>
        <w:rPr>
          <w:spacing w:val="36"/>
        </w:rPr>
        <w:t> </w:t>
      </w:r>
      <w:r>
        <w:rPr/>
        <w:t>Ability</w:t>
      </w:r>
      <w:r>
        <w:rPr>
          <w:spacing w:val="26"/>
        </w:rPr>
        <w:t> </w:t>
      </w:r>
      <w:r>
        <w:rPr/>
        <w:t>and</w:t>
      </w:r>
      <w:r>
        <w:rPr>
          <w:spacing w:val="36"/>
        </w:rPr>
        <w:t> </w:t>
      </w:r>
      <w:r>
        <w:rPr/>
        <w:t>Self-</w:t>
      </w:r>
    </w:p>
    <w:p>
      <w:pPr>
        <w:spacing w:after="0" w:line="480" w:lineRule="auto"/>
        <w:sectPr>
          <w:pgSz w:w="11910" w:h="16840"/>
          <w:pgMar w:header="0" w:footer="1012" w:top="1340" w:bottom="1200" w:left="1680" w:right="280"/>
        </w:sectPr>
      </w:pPr>
    </w:p>
    <w:p>
      <w:pPr>
        <w:pStyle w:val="BodyText"/>
        <w:spacing w:line="480" w:lineRule="auto" w:before="74"/>
        <w:ind w:right="1152"/>
      </w:pPr>
      <w:r>
        <w:rPr/>
        <w:t>Efficacy can be used as Predicators of Achievement of Senior Secondary School Chemistry in Zonkwa Zone Kaduna State Nigeria</w:t>
      </w:r>
    </w:p>
    <w:p>
      <w:pPr>
        <w:pStyle w:val="BodyText"/>
        <w:spacing w:line="480" w:lineRule="auto"/>
        <w:ind w:right="1149" w:firstLine="777"/>
      </w:pPr>
      <w:r>
        <w:rPr/>
        <w:t>Fayombo (2012) examined the relationships between emotional intelligence and academic achievement among 163 undergraduate psychology students in The University of</w:t>
      </w:r>
      <w:r>
        <w:rPr>
          <w:spacing w:val="-3"/>
        </w:rPr>
        <w:t> </w:t>
      </w:r>
      <w:r>
        <w:rPr/>
        <w:t>the West Indies (UWI), Barbados, Survey research design was used and the two instrument used for data collection were Barchard (2001)‘s Emotional Intelligence Scale and an Academic Achievement Scale. Findings</w:t>
      </w:r>
      <w:r>
        <w:rPr>
          <w:spacing w:val="-2"/>
        </w:rPr>
        <w:t> </w:t>
      </w:r>
      <w:r>
        <w:rPr/>
        <w:t>revealed significant positive correlations between academic achievement and six of the emotional intelligence components, and a negative correlation with negative expressivity. The emotional intelligence components also jointly contributed 48% of the variance in academic achievement. Attending to emotions was the best predictor of academic achievement while positive expressivity, negative expressivity and empathic concern were other significant predictors.</w:t>
      </w:r>
      <w:r>
        <w:rPr>
          <w:spacing w:val="-1"/>
        </w:rPr>
        <w:t> </w:t>
      </w:r>
      <w:r>
        <w:rPr/>
        <w:t>Emotion-based decision-making, responsive joy</w:t>
      </w:r>
      <w:r>
        <w:rPr>
          <w:spacing w:val="-7"/>
        </w:rPr>
        <w:t> </w:t>
      </w:r>
      <w:r>
        <w:rPr/>
        <w:t>and responsive distress did not make any significant relative contribution to academic achievement, indicating that academic achievement is only partially predicted by emotional intelligence. These results were discussed in the context of</w:t>
      </w:r>
      <w:r>
        <w:rPr>
          <w:spacing w:val="-3"/>
        </w:rPr>
        <w:t> </w:t>
      </w:r>
      <w:r>
        <w:rPr/>
        <w:t>the influence of emotional intelligence on university students‘ academic achievement.</w:t>
      </w:r>
      <w:r>
        <w:rPr>
          <w:spacing w:val="40"/>
        </w:rPr>
        <w:t> </w:t>
      </w:r>
      <w:r>
        <w:rPr/>
        <w:t>The present study used trait emotional intelligence questionnaire (TEI Que) instrument, which is different from the Barchard (2001), emotional intelligence scale.</w:t>
      </w:r>
      <w:r>
        <w:rPr>
          <w:spacing w:val="40"/>
        </w:rPr>
        <w:t> </w:t>
      </w:r>
      <w:r>
        <w:rPr/>
        <w:t>A different study area was used for a better result.</w:t>
      </w:r>
    </w:p>
    <w:p>
      <w:pPr>
        <w:pStyle w:val="BodyText"/>
        <w:spacing w:line="480" w:lineRule="auto" w:before="4"/>
        <w:ind w:right="1152" w:firstLine="782"/>
      </w:pPr>
      <w:r>
        <w:rPr/>
        <w:t>Azizi, Noordin, Yusuf, Shehrin &amp; Goh (2012) examined the impact of the</w:t>
      </w:r>
      <w:r>
        <w:rPr>
          <w:spacing w:val="40"/>
        </w:rPr>
        <w:t> </w:t>
      </w:r>
      <w:r>
        <w:rPr/>
        <w:t>five emotional intelligence elements identified as self-awareness, emotional management, self motivation, empathy, interpersonal skills towards secondary</w:t>
      </w:r>
      <w:r>
        <w:rPr>
          <w:spacing w:val="-1"/>
        </w:rPr>
        <w:t> </w:t>
      </w:r>
      <w:r>
        <w:rPr/>
        <w:t>school students‘ academic achievement. Their study also aims to identify whether the five elements</w:t>
      </w:r>
      <w:r>
        <w:rPr>
          <w:spacing w:val="67"/>
          <w:w w:val="150"/>
        </w:rPr>
        <w:t> </w:t>
      </w:r>
      <w:r>
        <w:rPr/>
        <w:t>of</w:t>
      </w:r>
      <w:r>
        <w:rPr>
          <w:spacing w:val="62"/>
          <w:w w:val="150"/>
        </w:rPr>
        <w:t> </w:t>
      </w:r>
      <w:r>
        <w:rPr/>
        <w:t>emotional</w:t>
      </w:r>
      <w:r>
        <w:rPr>
          <w:spacing w:val="66"/>
          <w:w w:val="150"/>
        </w:rPr>
        <w:t> </w:t>
      </w:r>
      <w:r>
        <w:rPr/>
        <w:t>intelligence</w:t>
      </w:r>
      <w:r>
        <w:rPr>
          <w:spacing w:val="73"/>
          <w:w w:val="150"/>
        </w:rPr>
        <w:t> </w:t>
      </w:r>
      <w:r>
        <w:rPr/>
        <w:t>have</w:t>
      </w:r>
      <w:r>
        <w:rPr>
          <w:spacing w:val="76"/>
          <w:w w:val="150"/>
        </w:rPr>
        <w:t> </w:t>
      </w:r>
      <w:r>
        <w:rPr/>
        <w:t>been</w:t>
      </w:r>
      <w:r>
        <w:rPr>
          <w:spacing w:val="69"/>
          <w:w w:val="150"/>
        </w:rPr>
        <w:t> </w:t>
      </w:r>
      <w:r>
        <w:rPr/>
        <w:t>able</w:t>
      </w:r>
      <w:r>
        <w:rPr>
          <w:spacing w:val="70"/>
          <w:w w:val="150"/>
        </w:rPr>
        <w:t> </w:t>
      </w:r>
      <w:r>
        <w:rPr/>
        <w:t>to</w:t>
      </w:r>
      <w:r>
        <w:rPr>
          <w:spacing w:val="75"/>
          <w:w w:val="150"/>
        </w:rPr>
        <w:t> </w:t>
      </w:r>
      <w:r>
        <w:rPr/>
        <w:t>contribute</w:t>
      </w:r>
      <w:r>
        <w:rPr>
          <w:spacing w:val="64"/>
          <w:w w:val="150"/>
        </w:rPr>
        <w:t> </w:t>
      </w:r>
      <w:r>
        <w:rPr/>
        <w:t>to</w:t>
      </w:r>
      <w:r>
        <w:rPr>
          <w:spacing w:val="76"/>
          <w:w w:val="150"/>
        </w:rPr>
        <w:t> </w:t>
      </w:r>
      <w:r>
        <w:rPr>
          <w:spacing w:val="-2"/>
        </w:rPr>
        <w:t>academic</w:t>
      </w:r>
    </w:p>
    <w:p>
      <w:pPr>
        <w:spacing w:after="0" w:line="480" w:lineRule="auto"/>
        <w:sectPr>
          <w:pgSz w:w="11910" w:h="16840"/>
          <w:pgMar w:header="0" w:footer="1012" w:top="1340" w:bottom="1200" w:left="1680" w:right="280"/>
        </w:sectPr>
      </w:pPr>
    </w:p>
    <w:p>
      <w:pPr>
        <w:pStyle w:val="BodyText"/>
        <w:spacing w:line="480" w:lineRule="auto" w:before="74"/>
        <w:ind w:right="1153"/>
      </w:pPr>
      <w:r>
        <w:rPr/>
        <w:t>achievement. The survey method was used with a focus on inference the relationship of emotional intelligence on academic performance of students in some secondary schools in Johor Bahru. The subjects were secondary school form four students (N = 370) with Statistical inference of the Pearson-r and multiple regression was used to analyze the data. The results showed that the significant relationship between self awareness (r = 0.21), emotional management (r = 0.21) and empathy (r = 0.21) at the level of p &lt;0.05 with academic achievement. Multiple regression analysis (stepwise) result showed that only three elements of emotional intelligence which is self- awareness (ß = 0261), self motivation (ß =-0182) and empathy (ß = 0167) accounted for 8.7% of variation in criterion (academic achievement). Research also presented a model designed to reflect the relationship between the elements of emotional intelligence and academic achievement. These studies imply that the level of emotional intelligence contributes to and enhances the cognitive abilities in student. Thus, to produce a competent generation and successful country in line with the philosophy of education, persistence of the emotional intelligence in student is essential.</w:t>
      </w:r>
      <w:r>
        <w:rPr>
          <w:spacing w:val="40"/>
        </w:rPr>
        <w:t> </w:t>
      </w:r>
      <w:r>
        <w:rPr/>
        <w:t>The subjects for the present are SS II students, and instrument used is traid emotional-intelligence questionnaire and a different study area was used for a better </w:t>
      </w:r>
      <w:r>
        <w:rPr>
          <w:spacing w:val="-2"/>
        </w:rPr>
        <w:t>result.</w:t>
      </w:r>
    </w:p>
    <w:p>
      <w:pPr>
        <w:pStyle w:val="BodyText"/>
        <w:spacing w:line="480" w:lineRule="auto" w:before="3"/>
        <w:ind w:right="1154" w:firstLine="720"/>
      </w:pPr>
      <w:r>
        <w:rPr/>
        <w:t>In his study Azuka (2012) to determine the relationship between emotional intelligence and academic achievement of senior secondary students in mathematics. To guide the study some research questions and hypotheses were generated. The research design for the study</w:t>
      </w:r>
      <w:r>
        <w:rPr>
          <w:spacing w:val="-1"/>
        </w:rPr>
        <w:t> </w:t>
      </w:r>
      <w:r>
        <w:rPr/>
        <w:t>was correlation survey</w:t>
      </w:r>
      <w:r>
        <w:rPr>
          <w:spacing w:val="-1"/>
        </w:rPr>
        <w:t> </w:t>
      </w:r>
      <w:r>
        <w:rPr/>
        <w:t>design. The instruments used for the study were the Emotional Intelligence Inventory and Mathematics Achievement Test.</w:t>
      </w:r>
      <w:r>
        <w:rPr>
          <w:spacing w:val="-3"/>
        </w:rPr>
        <w:t> </w:t>
      </w:r>
      <w:r>
        <w:rPr/>
        <w:t>The</w:t>
      </w:r>
      <w:r>
        <w:rPr>
          <w:spacing w:val="-1"/>
        </w:rPr>
        <w:t> </w:t>
      </w:r>
      <w:r>
        <w:rPr/>
        <w:t>Emotional</w:t>
      </w:r>
      <w:r>
        <w:rPr>
          <w:spacing w:val="-5"/>
        </w:rPr>
        <w:t> </w:t>
      </w:r>
      <w:r>
        <w:rPr/>
        <w:t>Intelligence</w:t>
      </w:r>
      <w:r>
        <w:rPr>
          <w:spacing w:val="-1"/>
        </w:rPr>
        <w:t> </w:t>
      </w:r>
      <w:r>
        <w:rPr/>
        <w:t>Inventory</w:t>
      </w:r>
      <w:r>
        <w:rPr>
          <w:spacing w:val="-9"/>
        </w:rPr>
        <w:t> </w:t>
      </w:r>
      <w:r>
        <w:rPr/>
        <w:t>has</w:t>
      </w:r>
      <w:r>
        <w:rPr>
          <w:spacing w:val="-2"/>
        </w:rPr>
        <w:t> </w:t>
      </w:r>
      <w:r>
        <w:rPr/>
        <w:t>reliability</w:t>
      </w:r>
      <w:r>
        <w:rPr>
          <w:spacing w:val="-5"/>
        </w:rPr>
        <w:t> </w:t>
      </w:r>
      <w:r>
        <w:rPr/>
        <w:t>coefficient of</w:t>
      </w:r>
      <w:r>
        <w:rPr>
          <w:spacing w:val="-8"/>
        </w:rPr>
        <w:t> </w:t>
      </w:r>
      <w:r>
        <w:rPr/>
        <w:t>0.79 while</w:t>
      </w:r>
      <w:r>
        <w:rPr>
          <w:spacing w:val="-1"/>
        </w:rPr>
        <w:t> </w:t>
      </w:r>
      <w:r>
        <w:rPr/>
        <w:t>the Mathematics Achievement Test has reliability coefficient of 0.94. The population for</w:t>
      </w:r>
    </w:p>
    <w:p>
      <w:pPr>
        <w:spacing w:after="0" w:line="480" w:lineRule="auto"/>
        <w:sectPr>
          <w:pgSz w:w="11910" w:h="16840"/>
          <w:pgMar w:header="0" w:footer="1012" w:top="1340" w:bottom="1200" w:left="1680" w:right="280"/>
        </w:sectPr>
      </w:pPr>
    </w:p>
    <w:p>
      <w:pPr>
        <w:pStyle w:val="BodyText"/>
        <w:spacing w:line="480" w:lineRule="auto" w:before="74"/>
        <w:ind w:right="1157"/>
      </w:pPr>
      <w:r>
        <w:rPr/>
        <w:t>the study was the senior secondary school two students in public schools in the Federal Capital Territory, Abuja, Nigeria. Proportionate stratified sampling was used to select the sample (N=1160) for the study. The responses of the students to the instruments were scored and analyzed using mean and Pearson Product Moment Correlation. To test the level of significance of the correlation coefficient the t-test was used. The result showed that there was a significant low positive relationship between</w:t>
      </w:r>
      <w:r>
        <w:rPr>
          <w:spacing w:val="-6"/>
        </w:rPr>
        <w:t> </w:t>
      </w:r>
      <w:r>
        <w:rPr/>
        <w:t>the</w:t>
      </w:r>
      <w:r>
        <w:rPr>
          <w:spacing w:val="-3"/>
        </w:rPr>
        <w:t> </w:t>
      </w:r>
      <w:r>
        <w:rPr/>
        <w:t>emotional</w:t>
      </w:r>
      <w:r>
        <w:rPr>
          <w:spacing w:val="-2"/>
        </w:rPr>
        <w:t> </w:t>
      </w:r>
      <w:r>
        <w:rPr/>
        <w:t>intelligence</w:t>
      </w:r>
      <w:r>
        <w:rPr>
          <w:spacing w:val="-3"/>
        </w:rPr>
        <w:t> </w:t>
      </w:r>
      <w:r>
        <w:rPr/>
        <w:t>of</w:t>
      </w:r>
      <w:r>
        <w:rPr>
          <w:spacing w:val="-9"/>
        </w:rPr>
        <w:t> </w:t>
      </w:r>
      <w:r>
        <w:rPr/>
        <w:t>SS2</w:t>
      </w:r>
      <w:r>
        <w:rPr>
          <w:spacing w:val="-2"/>
        </w:rPr>
        <w:t> </w:t>
      </w:r>
      <w:r>
        <w:rPr/>
        <w:t>students</w:t>
      </w:r>
      <w:r>
        <w:rPr>
          <w:spacing w:val="-4"/>
        </w:rPr>
        <w:t> </w:t>
      </w:r>
      <w:r>
        <w:rPr/>
        <w:t>and</w:t>
      </w:r>
      <w:r>
        <w:rPr>
          <w:spacing w:val="-2"/>
        </w:rPr>
        <w:t> </w:t>
      </w:r>
      <w:r>
        <w:rPr/>
        <w:t>their</w:t>
      </w:r>
      <w:r>
        <w:rPr>
          <w:spacing w:val="-1"/>
        </w:rPr>
        <w:t> </w:t>
      </w:r>
      <w:r>
        <w:rPr/>
        <w:t>academic</w:t>
      </w:r>
      <w:r>
        <w:rPr>
          <w:spacing w:val="-3"/>
        </w:rPr>
        <w:t> </w:t>
      </w:r>
      <w:r>
        <w:rPr/>
        <w:t>achievement in mathematics. The result also indicated that there was a significant low positive relationship between the emotional intelligence of SS2 male students, SS2 female students, urban school students, and rural school students, and their academic achievement in mathematics. It was therefore concluded that apart from cognitive factors, emotional intelligence of students also affects their academic achievement in mathematics. It is recommended that there is need to include emotional intelligence curriculum in schools.The present study used SS II students from a different study area to find the correlation between emotional intelligence and chemistry</w:t>
      </w:r>
      <w:r>
        <w:rPr>
          <w:spacing w:val="40"/>
        </w:rPr>
        <w:t> </w:t>
      </w:r>
      <w:r>
        <w:rPr/>
        <w:t>achievement.</w:t>
      </w:r>
      <w:r>
        <w:rPr>
          <w:spacing w:val="40"/>
        </w:rPr>
        <w:t> </w:t>
      </w:r>
      <w:r>
        <w:rPr/>
        <w:t>The trait emotional-intelligence questionnaire was used in place of emotional intelligence inventory and chemistry achievement score was used in place of mathematic achievement score for a better result.</w:t>
      </w:r>
    </w:p>
    <w:p>
      <w:pPr>
        <w:pStyle w:val="BodyText"/>
        <w:spacing w:line="480" w:lineRule="auto" w:before="3"/>
        <w:ind w:right="1152" w:firstLine="720"/>
      </w:pPr>
      <w:r>
        <w:rPr/>
        <w:t>In their study Sirajo, Mari and Olorukooba (2013) investigated, the relationship between students‘ reasoning ability, self-efficacy and achievement in chemistry among pre-degree chemistry students. This study employed a descriptive research design. Group Assessment of Logical Thinking Test (GALT) and chemistry self-efficacy instrument were administered to 546 pre-degree chemistry students to determine their reasoning ability and chemistry self-efficacy respectively. Their final semester</w:t>
      </w:r>
      <w:r>
        <w:rPr>
          <w:spacing w:val="31"/>
        </w:rPr>
        <w:t> </w:t>
      </w:r>
      <w:r>
        <w:rPr/>
        <w:t>examination</w:t>
      </w:r>
      <w:r>
        <w:rPr>
          <w:spacing w:val="25"/>
        </w:rPr>
        <w:t> </w:t>
      </w:r>
      <w:r>
        <w:rPr/>
        <w:t>scores</w:t>
      </w:r>
      <w:r>
        <w:rPr>
          <w:spacing w:val="32"/>
        </w:rPr>
        <w:t> </w:t>
      </w:r>
      <w:r>
        <w:rPr/>
        <w:t>in</w:t>
      </w:r>
      <w:r>
        <w:rPr>
          <w:spacing w:val="25"/>
        </w:rPr>
        <w:t> </w:t>
      </w:r>
      <w:r>
        <w:rPr/>
        <w:t>chemistry</w:t>
      </w:r>
      <w:r>
        <w:rPr>
          <w:spacing w:val="20"/>
        </w:rPr>
        <w:t> </w:t>
      </w:r>
      <w:r>
        <w:rPr/>
        <w:t>were</w:t>
      </w:r>
      <w:r>
        <w:rPr>
          <w:spacing w:val="29"/>
        </w:rPr>
        <w:t> </w:t>
      </w:r>
      <w:r>
        <w:rPr/>
        <w:t>used</w:t>
      </w:r>
      <w:r>
        <w:rPr>
          <w:spacing w:val="29"/>
        </w:rPr>
        <w:t> </w:t>
      </w:r>
      <w:r>
        <w:rPr/>
        <w:t>as</w:t>
      </w:r>
      <w:r>
        <w:rPr>
          <w:spacing w:val="27"/>
        </w:rPr>
        <w:t> </w:t>
      </w:r>
      <w:r>
        <w:rPr/>
        <w:t>their</w:t>
      </w:r>
      <w:r>
        <w:rPr>
          <w:spacing w:val="31"/>
        </w:rPr>
        <w:t> </w:t>
      </w:r>
      <w:r>
        <w:rPr/>
        <w:t>achievement</w:t>
      </w:r>
      <w:r>
        <w:rPr>
          <w:spacing w:val="35"/>
        </w:rPr>
        <w:t> </w:t>
      </w:r>
      <w:r>
        <w:rPr/>
        <w:t>scores</w:t>
      </w:r>
      <w:r>
        <w:rPr>
          <w:spacing w:val="27"/>
        </w:rPr>
        <w:t> </w:t>
      </w:r>
      <w:r>
        <w:rPr/>
        <w:t>in</w:t>
      </w:r>
    </w:p>
    <w:p>
      <w:pPr>
        <w:spacing w:after="0" w:line="480" w:lineRule="auto"/>
        <w:sectPr>
          <w:pgSz w:w="11910" w:h="16840"/>
          <w:pgMar w:header="0" w:footer="1012" w:top="1340" w:bottom="1200" w:left="1680" w:right="280"/>
        </w:sectPr>
      </w:pPr>
    </w:p>
    <w:p>
      <w:pPr>
        <w:pStyle w:val="BodyText"/>
        <w:spacing w:line="480" w:lineRule="auto" w:before="74"/>
        <w:ind w:right="1151"/>
      </w:pPr>
      <w:r>
        <w:rPr/>
        <w:t>chemistry. The results were correlated using Pearson Product-Moment Correlation (PPMC) statistical technique to test the hypothesis postulated at p≤ 0.05. Regression analysis procedure was used to determine the predictive effect of the variables on</w:t>
      </w:r>
      <w:r>
        <w:rPr>
          <w:spacing w:val="80"/>
        </w:rPr>
        <w:t> </w:t>
      </w:r>
      <w:r>
        <w:rPr/>
        <w:t>each other. The results of the analysis revealed that there was a significant</w:t>
      </w:r>
      <w:r>
        <w:rPr>
          <w:spacing w:val="80"/>
        </w:rPr>
        <w:t> </w:t>
      </w:r>
      <w:r>
        <w:rPr/>
        <w:t>relationship between students‘ reasoning ability, self-efficacy and achievement in chemistry. The regression analysis also revealed that both self-efficacy and reasoning ability can be used to predict the performance of students in chemistry. This study therefore, concluded that for students to perform better in chemistry, there is a need</w:t>
      </w:r>
      <w:r>
        <w:rPr>
          <w:spacing w:val="40"/>
        </w:rPr>
        <w:t> </w:t>
      </w:r>
      <w:r>
        <w:rPr/>
        <w:t>for them</w:t>
      </w:r>
      <w:r>
        <w:rPr>
          <w:spacing w:val="-3"/>
        </w:rPr>
        <w:t> </w:t>
      </w:r>
      <w:r>
        <w:rPr/>
        <w:t>to have a</w:t>
      </w:r>
      <w:r>
        <w:rPr>
          <w:spacing w:val="-2"/>
        </w:rPr>
        <w:t> </w:t>
      </w:r>
      <w:r>
        <w:rPr/>
        <w:t>positive self-efficacy</w:t>
      </w:r>
      <w:r>
        <w:rPr>
          <w:spacing w:val="-1"/>
        </w:rPr>
        <w:t> </w:t>
      </w:r>
      <w:r>
        <w:rPr/>
        <w:t>and</w:t>
      </w:r>
      <w:r>
        <w:rPr>
          <w:spacing w:val="-1"/>
        </w:rPr>
        <w:t> </w:t>
      </w:r>
      <w:r>
        <w:rPr/>
        <w:t>operate</w:t>
      </w:r>
      <w:r>
        <w:rPr>
          <w:spacing w:val="-2"/>
        </w:rPr>
        <w:t> </w:t>
      </w:r>
      <w:r>
        <w:rPr/>
        <w:t>at a formal</w:t>
      </w:r>
      <w:r>
        <w:rPr>
          <w:spacing w:val="-5"/>
        </w:rPr>
        <w:t> </w:t>
      </w:r>
      <w:r>
        <w:rPr/>
        <w:t>reasoning level. From the findings of this study, recommendations are made such as chemistry teachers should put at the back of their minds the reasoning ability and self-efficacy of chemistry students when teaching them.</w:t>
      </w:r>
      <w:r>
        <w:rPr>
          <w:spacing w:val="80"/>
        </w:rPr>
        <w:t> </w:t>
      </w:r>
      <w:r>
        <w:rPr/>
        <w:t>The present study used SS II students and</w:t>
      </w:r>
      <w:r>
        <w:rPr>
          <w:spacing w:val="40"/>
        </w:rPr>
        <w:t> </w:t>
      </w:r>
      <w:r>
        <w:rPr/>
        <w:t>not pre-degree student.</w:t>
      </w:r>
      <w:r>
        <w:rPr>
          <w:spacing w:val="40"/>
        </w:rPr>
        <w:t> </w:t>
      </w:r>
      <w:r>
        <w:rPr/>
        <w:t>A different study area was used for a better result.</w:t>
      </w:r>
    </w:p>
    <w:p>
      <w:pPr>
        <w:pStyle w:val="BodyText"/>
        <w:spacing w:line="480" w:lineRule="auto" w:before="2"/>
        <w:ind w:right="1153" w:firstLine="777"/>
      </w:pPr>
      <w:r>
        <w:rPr/>
        <w:t>Bhat (2016) examined the predictive power of reasoning ability on academic achievement. The contribution of six components of reasoning ability (inductive reasoning, deductive reasoning, linear reasoning, conditional reasoning, cause-and- effect reasoning and analogical reasoning) to explain the variation in academic achievement of class 10</w:t>
      </w:r>
      <w:r>
        <w:rPr>
          <w:vertAlign w:val="superscript"/>
        </w:rPr>
        <w:t>th</w:t>
      </w:r>
      <w:r>
        <w:rPr>
          <w:vertAlign w:val="baseline"/>
        </w:rPr>
        <w:t> students. The survey method was used. Through stratified random sampling technique five hundred and ninety eight students solved 35 contextualized different components of reasoning standardized by the investigator. The different components of reasoning ability were assessed with help of automatic linear modeling. The predictive power of various components of reasoning ability for academic achievement was 31.5%. Out of</w:t>
      </w:r>
      <w:r>
        <w:rPr>
          <w:spacing w:val="-3"/>
          <w:vertAlign w:val="baseline"/>
        </w:rPr>
        <w:t> </w:t>
      </w:r>
      <w:r>
        <w:rPr>
          <w:vertAlign w:val="baseline"/>
        </w:rPr>
        <w:t>the six dimensions of</w:t>
      </w:r>
      <w:r>
        <w:rPr>
          <w:spacing w:val="-3"/>
          <w:vertAlign w:val="baseline"/>
        </w:rPr>
        <w:t> </w:t>
      </w:r>
      <w:r>
        <w:rPr>
          <w:vertAlign w:val="baseline"/>
        </w:rPr>
        <w:t>reasoning ability, the maximum involvement was reflected by deductive reasoning (.49) followed by cause and</w:t>
      </w:r>
      <w:r>
        <w:rPr>
          <w:spacing w:val="80"/>
          <w:w w:val="150"/>
          <w:vertAlign w:val="baseline"/>
        </w:rPr>
        <w:t> </w:t>
      </w:r>
      <w:r>
        <w:rPr>
          <w:vertAlign w:val="baseline"/>
        </w:rPr>
        <w:t>effect</w:t>
      </w:r>
      <w:r>
        <w:rPr>
          <w:spacing w:val="80"/>
          <w:w w:val="150"/>
          <w:vertAlign w:val="baseline"/>
        </w:rPr>
        <w:t> </w:t>
      </w:r>
      <w:r>
        <w:rPr>
          <w:vertAlign w:val="baseline"/>
        </w:rPr>
        <w:t>reasoning</w:t>
      </w:r>
      <w:r>
        <w:rPr>
          <w:spacing w:val="80"/>
          <w:w w:val="150"/>
          <w:vertAlign w:val="baseline"/>
        </w:rPr>
        <w:t> </w:t>
      </w:r>
      <w:r>
        <w:rPr>
          <w:vertAlign w:val="baseline"/>
        </w:rPr>
        <w:t>(.26)</w:t>
      </w:r>
      <w:r>
        <w:rPr>
          <w:spacing w:val="80"/>
          <w:w w:val="150"/>
          <w:vertAlign w:val="baseline"/>
        </w:rPr>
        <w:t> </w:t>
      </w:r>
      <w:r>
        <w:rPr>
          <w:vertAlign w:val="baseline"/>
        </w:rPr>
        <w:t>inductive</w:t>
      </w:r>
      <w:r>
        <w:rPr>
          <w:spacing w:val="80"/>
          <w:w w:val="150"/>
          <w:vertAlign w:val="baseline"/>
        </w:rPr>
        <w:t> </w:t>
      </w:r>
      <w:r>
        <w:rPr>
          <w:vertAlign w:val="baseline"/>
        </w:rPr>
        <w:t>reasoning</w:t>
      </w:r>
      <w:r>
        <w:rPr>
          <w:spacing w:val="80"/>
          <w:w w:val="150"/>
          <w:vertAlign w:val="baseline"/>
        </w:rPr>
        <w:t> </w:t>
      </w:r>
      <w:r>
        <w:rPr>
          <w:vertAlign w:val="baseline"/>
        </w:rPr>
        <w:t>(.16),</w:t>
      </w:r>
      <w:r>
        <w:rPr>
          <w:spacing w:val="80"/>
          <w:w w:val="150"/>
          <w:vertAlign w:val="baseline"/>
        </w:rPr>
        <w:t> </w:t>
      </w:r>
      <w:r>
        <w:rPr>
          <w:vertAlign w:val="baseline"/>
        </w:rPr>
        <w:t>linear</w:t>
      </w:r>
      <w:r>
        <w:rPr>
          <w:spacing w:val="80"/>
          <w:w w:val="150"/>
          <w:vertAlign w:val="baseline"/>
        </w:rPr>
        <w:t> </w:t>
      </w:r>
      <w:r>
        <w:rPr>
          <w:vertAlign w:val="baseline"/>
        </w:rPr>
        <w:t>reasoning</w:t>
      </w:r>
      <w:r>
        <w:rPr>
          <w:spacing w:val="80"/>
          <w:w w:val="150"/>
          <w:vertAlign w:val="baseline"/>
        </w:rPr>
        <w:t> </w:t>
      </w:r>
      <w:r>
        <w:rPr>
          <w:vertAlign w:val="baseline"/>
        </w:rPr>
        <w:t>(.05),</w:t>
      </w:r>
    </w:p>
    <w:p>
      <w:pPr>
        <w:spacing w:after="0" w:line="480" w:lineRule="auto"/>
        <w:sectPr>
          <w:pgSz w:w="11910" w:h="16840"/>
          <w:pgMar w:header="0" w:footer="1012" w:top="1340" w:bottom="1200" w:left="1680" w:right="280"/>
        </w:sectPr>
      </w:pPr>
    </w:p>
    <w:p>
      <w:pPr>
        <w:pStyle w:val="BodyText"/>
        <w:spacing w:line="480" w:lineRule="auto" w:before="74"/>
        <w:ind w:right="1158"/>
      </w:pPr>
      <w:r>
        <w:rPr/>
        <w:t>conditional reasoning (.03) and analogical reasoning (.02) on academic achievement. The results achieved with the help of this method predicted greater accuracy and authenticity.</w:t>
      </w:r>
      <w:r>
        <w:rPr>
          <w:spacing w:val="40"/>
        </w:rPr>
        <w:t> </w:t>
      </w:r>
      <w:r>
        <w:rPr/>
        <w:t>A</w:t>
      </w:r>
      <w:r>
        <w:rPr>
          <w:spacing w:val="-8"/>
        </w:rPr>
        <w:t> </w:t>
      </w:r>
      <w:r>
        <w:rPr/>
        <w:t>different instrument and</w:t>
      </w:r>
      <w:r>
        <w:rPr>
          <w:spacing w:val="-3"/>
        </w:rPr>
        <w:t> </w:t>
      </w:r>
      <w:r>
        <w:rPr/>
        <w:t>study</w:t>
      </w:r>
      <w:r>
        <w:rPr>
          <w:spacing w:val="-12"/>
        </w:rPr>
        <w:t> </w:t>
      </w:r>
      <w:r>
        <w:rPr/>
        <w:t>area were</w:t>
      </w:r>
      <w:r>
        <w:rPr>
          <w:spacing w:val="-4"/>
        </w:rPr>
        <w:t> </w:t>
      </w:r>
      <w:r>
        <w:rPr/>
        <w:t>used</w:t>
      </w:r>
      <w:r>
        <w:rPr>
          <w:spacing w:val="-3"/>
        </w:rPr>
        <w:t> </w:t>
      </w:r>
      <w:r>
        <w:rPr/>
        <w:t>for</w:t>
      </w:r>
      <w:r>
        <w:rPr>
          <w:spacing w:val="-2"/>
        </w:rPr>
        <w:t> </w:t>
      </w:r>
      <w:r>
        <w:rPr/>
        <w:t>the</w:t>
      </w:r>
      <w:r>
        <w:rPr>
          <w:spacing w:val="-4"/>
        </w:rPr>
        <w:t> </w:t>
      </w:r>
      <w:r>
        <w:rPr/>
        <w:t>present study</w:t>
      </w:r>
      <w:r>
        <w:rPr>
          <w:spacing w:val="-7"/>
        </w:rPr>
        <w:t> </w:t>
      </w:r>
      <w:r>
        <w:rPr/>
        <w:t>for a better result.</w:t>
      </w:r>
    </w:p>
    <w:p>
      <w:pPr>
        <w:pStyle w:val="BodyText"/>
        <w:spacing w:line="480" w:lineRule="auto"/>
        <w:ind w:right="1150" w:firstLine="720"/>
      </w:pPr>
      <w:r>
        <w:rPr/>
        <w:t>Tenaw (2013) in his study to investigate the relationship between self- efficacy, academic achievement and gender in analytical chemistry at Debre Markos College of Teacher Education. The level of students‘ self-efficacy, gender difference in self-efficacy and achievement and also relationships between self-efficacy and achievement for second year students in the fall of 2012 in Analytical Chemistry I (ACI) at Debre Markos College of Teacher Education (DMCTE). The self-efficacy survey and the ACI achievement test were completed by 100 students. The self- efficacy survey data were gathered by Likert scale questionnaire. By using inferential statistics (t-test), difference of self-efficacy and achievement in gender is calculated and by using Pearson correlation, the relationships between self-efficacy and achievement were investigated. The analysis of the data indicated that students‘ level of self-efficacy is medium (50.08), and there is no significant difference in theirself- efficacy between sexes (t (98) = 0.161, p&gt; 0.1), but there is a statistically significant difference in achievement between sexes (t (98) = 0.68, p&lt; 0.1) and also a significant relationship exists between self-efficacy and achievement (r=0.385, at 0.01 level with 98 degree of freedom). Based on these results, recommendations which will improve the quality of our training specifically in the field of chemistry were forwarded. The present study used SS II students, different instrument and different study area for a better result.</w:t>
      </w:r>
    </w:p>
    <w:p>
      <w:pPr>
        <w:pStyle w:val="BodyText"/>
        <w:spacing w:line="480" w:lineRule="auto" w:before="5"/>
        <w:ind w:right="1160" w:firstLine="720"/>
      </w:pPr>
      <w:r>
        <w:rPr/>
        <w:t>In</w:t>
      </w:r>
      <w:r>
        <w:rPr>
          <w:spacing w:val="-2"/>
        </w:rPr>
        <w:t> </w:t>
      </w:r>
      <w:r>
        <w:rPr/>
        <w:t>the study</w:t>
      </w:r>
      <w:r>
        <w:rPr>
          <w:spacing w:val="-2"/>
        </w:rPr>
        <w:t> </w:t>
      </w:r>
      <w:r>
        <w:rPr/>
        <w:t>by</w:t>
      </w:r>
      <w:r>
        <w:rPr>
          <w:spacing w:val="-2"/>
        </w:rPr>
        <w:t> </w:t>
      </w:r>
      <w:r>
        <w:rPr/>
        <w:t>Baanu, Oyelekan</w:t>
      </w:r>
      <w:r>
        <w:rPr>
          <w:spacing w:val="-2"/>
        </w:rPr>
        <w:t> </w:t>
      </w:r>
      <w:r>
        <w:rPr/>
        <w:t>and Olorundare (2016) sought</w:t>
      </w:r>
      <w:r>
        <w:rPr>
          <w:spacing w:val="-2"/>
        </w:rPr>
        <w:t> </w:t>
      </w:r>
      <w:r>
        <w:rPr/>
        <w:t>to find out</w:t>
      </w:r>
      <w:r>
        <w:rPr>
          <w:spacing w:val="-2"/>
        </w:rPr>
        <w:t> </w:t>
      </w:r>
      <w:r>
        <w:rPr/>
        <w:t>the relationship</w:t>
      </w:r>
      <w:r>
        <w:rPr>
          <w:spacing w:val="61"/>
        </w:rPr>
        <w:t>  </w:t>
      </w:r>
      <w:r>
        <w:rPr/>
        <w:t>between</w:t>
      </w:r>
      <w:r>
        <w:rPr>
          <w:spacing w:val="56"/>
        </w:rPr>
        <w:t>  </w:t>
      </w:r>
      <w:r>
        <w:rPr/>
        <w:t>chemistry</w:t>
      </w:r>
      <w:r>
        <w:rPr>
          <w:spacing w:val="53"/>
        </w:rPr>
        <w:t>  </w:t>
      </w:r>
      <w:r>
        <w:rPr/>
        <w:t>students‘</w:t>
      </w:r>
      <w:r>
        <w:rPr>
          <w:spacing w:val="57"/>
        </w:rPr>
        <w:t>  </w:t>
      </w:r>
      <w:r>
        <w:rPr/>
        <w:t>self-efficacy</w:t>
      </w:r>
      <w:r>
        <w:rPr>
          <w:spacing w:val="56"/>
        </w:rPr>
        <w:t>  </w:t>
      </w:r>
      <w:r>
        <w:rPr/>
        <w:t>and</w:t>
      </w:r>
      <w:r>
        <w:rPr>
          <w:spacing w:val="58"/>
        </w:rPr>
        <w:t>  </w:t>
      </w:r>
      <w:r>
        <w:rPr/>
        <w:t>their</w:t>
      </w:r>
      <w:r>
        <w:rPr>
          <w:spacing w:val="59"/>
        </w:rPr>
        <w:t>  </w:t>
      </w:r>
      <w:r>
        <w:rPr>
          <w:spacing w:val="-2"/>
        </w:rPr>
        <w:t>academic</w:t>
      </w:r>
    </w:p>
    <w:p>
      <w:pPr>
        <w:spacing w:after="0" w:line="480" w:lineRule="auto"/>
        <w:sectPr>
          <w:pgSz w:w="11910" w:h="16840"/>
          <w:pgMar w:header="0" w:footer="1012" w:top="1340" w:bottom="1200" w:left="1680" w:right="280"/>
        </w:sectPr>
      </w:pPr>
    </w:p>
    <w:p>
      <w:pPr>
        <w:pStyle w:val="BodyText"/>
        <w:spacing w:line="480" w:lineRule="auto" w:before="74"/>
        <w:ind w:right="1152"/>
      </w:pPr>
      <w:r>
        <w:rPr/>
        <w:t>achievement in</w:t>
      </w:r>
      <w:r>
        <w:rPr>
          <w:spacing w:val="-1"/>
        </w:rPr>
        <w:t> </w:t>
      </w:r>
      <w:r>
        <w:rPr/>
        <w:t>senior secondary</w:t>
      </w:r>
      <w:r>
        <w:rPr>
          <w:spacing w:val="-1"/>
        </w:rPr>
        <w:t> </w:t>
      </w:r>
      <w:r>
        <w:rPr/>
        <w:t>schools in north-central, Nigeria. The</w:t>
      </w:r>
      <w:r>
        <w:rPr>
          <w:spacing w:val="-2"/>
        </w:rPr>
        <w:t> </w:t>
      </w:r>
      <w:r>
        <w:rPr/>
        <w:t>study</w:t>
      </w:r>
      <w:r>
        <w:rPr>
          <w:spacing w:val="-1"/>
        </w:rPr>
        <w:t> </w:t>
      </w:r>
      <w:r>
        <w:rPr/>
        <w:t>is an</w:t>
      </w:r>
      <w:r>
        <w:rPr>
          <w:spacing w:val="-1"/>
        </w:rPr>
        <w:t> </w:t>
      </w:r>
      <w:r>
        <w:rPr/>
        <w:t>ex- post facto research and is a descriptive survey. The subjects of the study were one thousand one hundred and fifty (1150) senior secondary school</w:t>
      </w:r>
      <w:r>
        <w:rPr>
          <w:spacing w:val="-4"/>
        </w:rPr>
        <w:t> </w:t>
      </w:r>
      <w:r>
        <w:rPr/>
        <w:t>III chemistry students selected from Kogi, Kwara and Niger States of Nigeria. The instruments used for the study are students‘ self-efficacy questionnaire (SEQ) and Joint Mock School Certificate Examination jointly conducted by all states is North-Central Nigeria.</w:t>
      </w:r>
      <w:r>
        <w:rPr>
          <w:spacing w:val="40"/>
        </w:rPr>
        <w:t> </w:t>
      </w:r>
      <w:r>
        <w:rPr/>
        <w:t>The data collected were analyzed using descriptive and inferential statistics of mean, percentage and Pearson Product Moment Correlation. The findings revealed that no significant relationship existed between self-efficacy and the academic achievement</w:t>
      </w:r>
      <w:r>
        <w:rPr>
          <w:spacing w:val="40"/>
        </w:rPr>
        <w:t> </w:t>
      </w:r>
      <w:r>
        <w:rPr/>
        <w:t>of the chemistry students. The study concludes that students‘ self-efficacy needs in chemistry. It is</w:t>
      </w:r>
      <w:r>
        <w:rPr>
          <w:spacing w:val="-2"/>
        </w:rPr>
        <w:t> </w:t>
      </w:r>
      <w:r>
        <w:rPr/>
        <w:t>therefore</w:t>
      </w:r>
      <w:r>
        <w:rPr>
          <w:spacing w:val="-1"/>
        </w:rPr>
        <w:t> </w:t>
      </w:r>
      <w:r>
        <w:rPr/>
        <w:t>a</w:t>
      </w:r>
      <w:r>
        <w:rPr>
          <w:spacing w:val="-1"/>
        </w:rPr>
        <w:t> </w:t>
      </w:r>
      <w:r>
        <w:rPr/>
        <w:t>host of</w:t>
      </w:r>
      <w:r>
        <w:rPr>
          <w:spacing w:val="-8"/>
        </w:rPr>
        <w:t> </w:t>
      </w:r>
      <w:r>
        <w:rPr/>
        <w:t>other factors</w:t>
      </w:r>
      <w:r>
        <w:rPr>
          <w:spacing w:val="-2"/>
        </w:rPr>
        <w:t> </w:t>
      </w:r>
      <w:r>
        <w:rPr/>
        <w:t>to achieve high</w:t>
      </w:r>
      <w:r>
        <w:rPr>
          <w:spacing w:val="-5"/>
        </w:rPr>
        <w:t> </w:t>
      </w:r>
      <w:r>
        <w:rPr/>
        <w:t>academic</w:t>
      </w:r>
      <w:r>
        <w:rPr>
          <w:spacing w:val="-1"/>
        </w:rPr>
        <w:t> </w:t>
      </w:r>
      <w:r>
        <w:rPr/>
        <w:t>achievement in chemistry to complement students‘ high self-efficacy, so that a combination of</w:t>
      </w:r>
      <w:r>
        <w:rPr>
          <w:spacing w:val="40"/>
        </w:rPr>
        <w:t> </w:t>
      </w:r>
      <w:r>
        <w:rPr/>
        <w:t>these factors could result in high academic achievement in chemistry.</w:t>
      </w:r>
      <w:r>
        <w:rPr>
          <w:spacing w:val="40"/>
        </w:rPr>
        <w:t> </w:t>
      </w:r>
      <w:r>
        <w:rPr/>
        <w:t>A different study</w:t>
      </w:r>
      <w:r>
        <w:rPr>
          <w:spacing w:val="-1"/>
        </w:rPr>
        <w:t> </w:t>
      </w:r>
      <w:r>
        <w:rPr/>
        <w:t>area, and instrument were used for the present study, for a better result.</w:t>
      </w:r>
    </w:p>
    <w:p>
      <w:pPr>
        <w:pStyle w:val="BodyText"/>
        <w:spacing w:line="480" w:lineRule="auto" w:before="3"/>
        <w:ind w:right="1157" w:firstLine="720"/>
      </w:pPr>
      <w:r>
        <w:rPr/>
        <w:t>Xin Wu (2008) investigated relationship between Self-efficacy, gender, and motivations are subjective predictors of students' academic achievement. Self- assessment prompted by knowledge surveys involves meta-cognition, i.e., students' awareness of how they learn. Knowledge surveys can be used to measure changes in students' achievement level and to assist students in content review and inspire reflection on one's ability to learn. In his work, he combined these predictors (self- efficacy, gender, motivation, knowledge survey scores) into a survey to determine whether achievement in general chemistry can be predicted. My proposed research was</w:t>
      </w:r>
      <w:r>
        <w:rPr>
          <w:spacing w:val="-3"/>
        </w:rPr>
        <w:t> </w:t>
      </w:r>
      <w:r>
        <w:rPr/>
        <w:t>conducted</w:t>
      </w:r>
      <w:r>
        <w:rPr>
          <w:spacing w:val="-5"/>
        </w:rPr>
        <w:t> </w:t>
      </w:r>
      <w:r>
        <w:rPr/>
        <w:t>on</w:t>
      </w:r>
      <w:r>
        <w:rPr>
          <w:spacing w:val="-5"/>
        </w:rPr>
        <w:t> </w:t>
      </w:r>
      <w:r>
        <w:rPr/>
        <w:t>426</w:t>
      </w:r>
      <w:r>
        <w:rPr>
          <w:spacing w:val="-1"/>
        </w:rPr>
        <w:t> </w:t>
      </w:r>
      <w:r>
        <w:rPr/>
        <w:t>students</w:t>
      </w:r>
      <w:r>
        <w:rPr>
          <w:spacing w:val="-3"/>
        </w:rPr>
        <w:t> </w:t>
      </w:r>
      <w:r>
        <w:rPr/>
        <w:t>enrolled in</w:t>
      </w:r>
      <w:r>
        <w:rPr>
          <w:spacing w:val="-5"/>
        </w:rPr>
        <w:t> </w:t>
      </w:r>
      <w:r>
        <w:rPr/>
        <w:t>General</w:t>
      </w:r>
      <w:r>
        <w:rPr>
          <w:spacing w:val="-1"/>
        </w:rPr>
        <w:t> </w:t>
      </w:r>
      <w:r>
        <w:rPr/>
        <w:t>Chemistry</w:t>
      </w:r>
      <w:r>
        <w:rPr>
          <w:spacing w:val="-10"/>
        </w:rPr>
        <w:t> </w:t>
      </w:r>
      <w:r>
        <w:rPr/>
        <w:t>I classes</w:t>
      </w:r>
      <w:r>
        <w:rPr>
          <w:spacing w:val="-3"/>
        </w:rPr>
        <w:t> </w:t>
      </w:r>
      <w:r>
        <w:rPr/>
        <w:t>(Chemistry</w:t>
      </w:r>
      <w:r>
        <w:rPr>
          <w:spacing w:val="-5"/>
        </w:rPr>
        <w:t> </w:t>
      </w:r>
      <w:r>
        <w:rPr/>
        <w:t>for science majors) during a regular 15-week semester at Louisiana State University. The research</w:t>
      </w:r>
      <w:r>
        <w:rPr>
          <w:spacing w:val="40"/>
        </w:rPr>
        <w:t> </w:t>
      </w:r>
      <w:r>
        <w:rPr/>
        <w:t>design</w:t>
      </w:r>
      <w:r>
        <w:rPr>
          <w:spacing w:val="40"/>
        </w:rPr>
        <w:t> </w:t>
      </w:r>
      <w:r>
        <w:rPr/>
        <w:t>employed</w:t>
      </w:r>
      <w:r>
        <w:rPr>
          <w:spacing w:val="40"/>
        </w:rPr>
        <w:t> </w:t>
      </w:r>
      <w:r>
        <w:rPr/>
        <w:t>two</w:t>
      </w:r>
      <w:r>
        <w:rPr>
          <w:spacing w:val="40"/>
        </w:rPr>
        <w:t> </w:t>
      </w:r>
      <w:r>
        <w:rPr/>
        <w:t>instruments:</w:t>
      </w:r>
      <w:r>
        <w:rPr>
          <w:spacing w:val="40"/>
        </w:rPr>
        <w:t> </w:t>
      </w:r>
      <w:r>
        <w:rPr/>
        <w:t>the</w:t>
      </w:r>
      <w:r>
        <w:rPr>
          <w:spacing w:val="40"/>
        </w:rPr>
        <w:t> </w:t>
      </w:r>
      <w:r>
        <w:rPr/>
        <w:t>MSLQ</w:t>
      </w:r>
      <w:r>
        <w:rPr>
          <w:spacing w:val="40"/>
        </w:rPr>
        <w:t> </w:t>
      </w:r>
      <w:r>
        <w:rPr/>
        <w:t>instrument</w:t>
      </w:r>
      <w:r>
        <w:rPr>
          <w:spacing w:val="40"/>
        </w:rPr>
        <w:t> </w:t>
      </w:r>
      <w:r>
        <w:rPr/>
        <w:t>and</w:t>
      </w:r>
      <w:r>
        <w:rPr>
          <w:spacing w:val="40"/>
        </w:rPr>
        <w:t> </w:t>
      </w:r>
      <w:r>
        <w:rPr/>
        <w:t>a</w:t>
      </w:r>
      <w:r>
        <w:rPr>
          <w:spacing w:val="40"/>
        </w:rPr>
        <w:t> </w:t>
      </w:r>
      <w:r>
        <w:rPr/>
        <w:t>Content</w:t>
      </w:r>
    </w:p>
    <w:p>
      <w:pPr>
        <w:spacing w:after="0" w:line="480" w:lineRule="auto"/>
        <w:sectPr>
          <w:pgSz w:w="11910" w:h="16840"/>
          <w:pgMar w:header="0" w:footer="1012" w:top="1340" w:bottom="1200" w:left="1680" w:right="280"/>
        </w:sectPr>
      </w:pPr>
    </w:p>
    <w:p>
      <w:pPr>
        <w:pStyle w:val="BodyText"/>
        <w:spacing w:line="480" w:lineRule="auto" w:before="74"/>
        <w:ind w:right="1157"/>
      </w:pPr>
      <w:r>
        <w:rPr/>
        <w:t>Knowledge Confidence Survey (CKCS). MSLQ instrument will used to measure the three factors indicating students‘ academic achievement: self-efficacy, motivation,</w:t>
      </w:r>
      <w:r>
        <w:rPr>
          <w:spacing w:val="40"/>
        </w:rPr>
        <w:t> </w:t>
      </w:r>
      <w:r>
        <w:rPr/>
        <w:t>and</w:t>
      </w:r>
      <w:r>
        <w:rPr>
          <w:spacing w:val="-3"/>
        </w:rPr>
        <w:t> </w:t>
      </w:r>
      <w:r>
        <w:rPr/>
        <w:t>gender. The</w:t>
      </w:r>
      <w:r>
        <w:rPr>
          <w:spacing w:val="-4"/>
        </w:rPr>
        <w:t> </w:t>
      </w:r>
      <w:r>
        <w:rPr/>
        <w:t>Motivated</w:t>
      </w:r>
      <w:r>
        <w:rPr>
          <w:spacing w:val="-3"/>
        </w:rPr>
        <w:t> </w:t>
      </w:r>
      <w:r>
        <w:rPr/>
        <w:t>Strategies</w:t>
      </w:r>
      <w:r>
        <w:rPr>
          <w:spacing w:val="-2"/>
        </w:rPr>
        <w:t> </w:t>
      </w:r>
      <w:r>
        <w:rPr/>
        <w:t>for</w:t>
      </w:r>
      <w:r>
        <w:rPr>
          <w:spacing w:val="-3"/>
        </w:rPr>
        <w:t> </w:t>
      </w:r>
      <w:r>
        <w:rPr/>
        <w:t>Learning Questionnaire</w:t>
      </w:r>
      <w:r>
        <w:rPr>
          <w:spacing w:val="-4"/>
        </w:rPr>
        <w:t> </w:t>
      </w:r>
      <w:r>
        <w:rPr/>
        <w:t>(MSLQ)</w:t>
      </w:r>
      <w:r>
        <w:rPr>
          <w:spacing w:val="-3"/>
        </w:rPr>
        <w:t> </w:t>
      </w:r>
      <w:r>
        <w:rPr/>
        <w:t>survey</w:t>
      </w:r>
      <w:r>
        <w:rPr>
          <w:spacing w:val="-8"/>
        </w:rPr>
        <w:t> </w:t>
      </w:r>
      <w:r>
        <w:rPr/>
        <w:t>was administered during the last week of classes. Data were analyzed via descriptive statistics, as</w:t>
      </w:r>
      <w:r>
        <w:rPr>
          <w:spacing w:val="-3"/>
        </w:rPr>
        <w:t> </w:t>
      </w:r>
      <w:r>
        <w:rPr/>
        <w:t>well</w:t>
      </w:r>
      <w:r>
        <w:rPr>
          <w:spacing w:val="-5"/>
        </w:rPr>
        <w:t> </w:t>
      </w:r>
      <w:r>
        <w:rPr/>
        <w:t>as</w:t>
      </w:r>
      <w:r>
        <w:rPr>
          <w:spacing w:val="-3"/>
        </w:rPr>
        <w:t> </w:t>
      </w:r>
      <w:r>
        <w:rPr/>
        <w:t>correlation, linear and multiple</w:t>
      </w:r>
      <w:r>
        <w:rPr>
          <w:spacing w:val="-2"/>
        </w:rPr>
        <w:t> </w:t>
      </w:r>
      <w:r>
        <w:rPr/>
        <w:t>regression</w:t>
      </w:r>
      <w:r>
        <w:rPr>
          <w:spacing w:val="-6"/>
        </w:rPr>
        <w:t> </w:t>
      </w:r>
      <w:r>
        <w:rPr/>
        <w:t>statistical</w:t>
      </w:r>
      <w:r>
        <w:rPr>
          <w:spacing w:val="-6"/>
        </w:rPr>
        <w:t> </w:t>
      </w:r>
      <w:r>
        <w:rPr/>
        <w:t>analyses</w:t>
      </w:r>
      <w:r>
        <w:rPr>
          <w:spacing w:val="-3"/>
        </w:rPr>
        <w:t> </w:t>
      </w:r>
      <w:r>
        <w:rPr/>
        <w:t>with the correlation of total grades throughout the semester. The analysis results show that self-efficacy, motivation and knowledge survey scores can be used to statistically significantly</w:t>
      </w:r>
      <w:r>
        <w:rPr>
          <w:spacing w:val="-1"/>
        </w:rPr>
        <w:t> </w:t>
      </w:r>
      <w:r>
        <w:rPr/>
        <w:t>predict students‘ future chemistry</w:t>
      </w:r>
      <w:r>
        <w:rPr>
          <w:spacing w:val="-6"/>
        </w:rPr>
        <w:t> </w:t>
      </w:r>
      <w:r>
        <w:rPr/>
        <w:t>achievement, and gender turned out to be not a statistically significant predictor in this study.</w:t>
      </w:r>
      <w:r>
        <w:rPr>
          <w:spacing w:val="40"/>
        </w:rPr>
        <w:t> </w:t>
      </w:r>
      <w:r>
        <w:rPr/>
        <w:t>The present study used SS II students, and different instruments were used while a different study area was also used for a better result.</w:t>
      </w:r>
    </w:p>
    <w:p>
      <w:pPr>
        <w:pStyle w:val="BodyText"/>
        <w:spacing w:line="480" w:lineRule="auto" w:before="2"/>
        <w:ind w:right="1156" w:firstLine="720"/>
      </w:pPr>
      <w:r>
        <w:rPr/>
        <w:t>Diane (2003) investigated the relationships between</w:t>
      </w:r>
      <w:r>
        <w:rPr>
          <w:spacing w:val="-3"/>
        </w:rPr>
        <w:t> </w:t>
      </w:r>
      <w:r>
        <w:rPr/>
        <w:t>self-efficacy, gender, age, and academic achievement in a two-year college science course, Anatomy and Physiology</w:t>
      </w:r>
      <w:r>
        <w:rPr>
          <w:spacing w:val="-4"/>
        </w:rPr>
        <w:t> </w:t>
      </w:r>
      <w:r>
        <w:rPr/>
        <w:t>(A &amp; P). A confidential</w:t>
      </w:r>
      <w:r>
        <w:rPr>
          <w:spacing w:val="-4"/>
        </w:rPr>
        <w:t> </w:t>
      </w:r>
      <w:r>
        <w:rPr/>
        <w:t>self-report survey was administered to 216 A &amp; P students to measure student self-efficacy levels. Most students had moderate to high levels of self-efficacy in A &amp; P. A potential relationship between gender and self- efficacy was studied but no significant relationship was found between them. A connection between age and self-efficacy was also examined to determine whether differences existed in self-efficacy between traditional college students (18 to 24</w:t>
      </w:r>
      <w:r>
        <w:rPr>
          <w:spacing w:val="80"/>
        </w:rPr>
        <w:t> </w:t>
      </w:r>
      <w:r>
        <w:rPr/>
        <w:t>years of age) and nontraditional college students (greater than 24 years of age). No significant findings linked age to self-efficacy. However, there was a significant positive relationship found between self-efficacy and the number of completed</w:t>
      </w:r>
      <w:r>
        <w:rPr>
          <w:spacing w:val="40"/>
        </w:rPr>
        <w:t> </w:t>
      </w:r>
      <w:r>
        <w:rPr/>
        <w:t>college semesters. Finally, the relationship between self-efficacy level and academic achievement in A &amp; P was investigated. Students‘ midterm and final A &amp; P grades were</w:t>
      </w:r>
      <w:r>
        <w:rPr>
          <w:spacing w:val="14"/>
        </w:rPr>
        <w:t> </w:t>
      </w:r>
      <w:r>
        <w:rPr/>
        <w:t>used</w:t>
      </w:r>
      <w:r>
        <w:rPr>
          <w:spacing w:val="14"/>
        </w:rPr>
        <w:t> </w:t>
      </w:r>
      <w:r>
        <w:rPr/>
        <w:t>as</w:t>
      </w:r>
      <w:r>
        <w:rPr>
          <w:spacing w:val="13"/>
        </w:rPr>
        <w:t> </w:t>
      </w:r>
      <w:r>
        <w:rPr/>
        <w:t>the</w:t>
      </w:r>
      <w:r>
        <w:rPr>
          <w:spacing w:val="19"/>
        </w:rPr>
        <w:t> </w:t>
      </w:r>
      <w:r>
        <w:rPr/>
        <w:t>measure</w:t>
      </w:r>
      <w:r>
        <w:rPr>
          <w:spacing w:val="14"/>
        </w:rPr>
        <w:t> </w:t>
      </w:r>
      <w:r>
        <w:rPr/>
        <w:t>of</w:t>
      </w:r>
      <w:r>
        <w:rPr>
          <w:spacing w:val="7"/>
        </w:rPr>
        <w:t> </w:t>
      </w:r>
      <w:r>
        <w:rPr/>
        <w:t>academic</w:t>
      </w:r>
      <w:r>
        <w:rPr>
          <w:spacing w:val="14"/>
        </w:rPr>
        <w:t> </w:t>
      </w:r>
      <w:r>
        <w:rPr/>
        <w:t>achievement.</w:t>
      </w:r>
      <w:r>
        <w:rPr>
          <w:spacing w:val="17"/>
        </w:rPr>
        <w:t> </w:t>
      </w:r>
      <w:r>
        <w:rPr/>
        <w:t>Of</w:t>
      </w:r>
      <w:r>
        <w:rPr>
          <w:spacing w:val="8"/>
        </w:rPr>
        <w:t> </w:t>
      </w:r>
      <w:r>
        <w:rPr/>
        <w:t>216</w:t>
      </w:r>
      <w:r>
        <w:rPr>
          <w:spacing w:val="15"/>
        </w:rPr>
        <w:t> </w:t>
      </w:r>
      <w:r>
        <w:rPr/>
        <w:t>survey</w:t>
      </w:r>
      <w:r>
        <w:rPr>
          <w:spacing w:val="10"/>
        </w:rPr>
        <w:t> </w:t>
      </w:r>
      <w:r>
        <w:rPr/>
        <w:t>respondents,</w:t>
      </w:r>
      <w:r>
        <w:rPr>
          <w:spacing w:val="17"/>
        </w:rPr>
        <w:t> </w:t>
      </w:r>
      <w:r>
        <w:rPr>
          <w:spacing w:val="-5"/>
        </w:rPr>
        <w:t>158</w:t>
      </w:r>
    </w:p>
    <w:p>
      <w:pPr>
        <w:spacing w:after="0" w:line="480" w:lineRule="auto"/>
        <w:sectPr>
          <w:pgSz w:w="11910" w:h="16840"/>
          <w:pgMar w:header="0" w:footer="1012" w:top="1340" w:bottom="1200" w:left="1680" w:right="280"/>
        </w:sectPr>
      </w:pPr>
    </w:p>
    <w:p>
      <w:pPr>
        <w:pStyle w:val="BodyText"/>
        <w:spacing w:line="480" w:lineRule="auto" w:before="74"/>
        <w:ind w:right="1159"/>
      </w:pPr>
      <w:r>
        <w:rPr/>
        <w:t>released their A</w:t>
      </w:r>
      <w:r>
        <w:rPr>
          <w:spacing w:val="-2"/>
        </w:rPr>
        <w:t> </w:t>
      </w:r>
      <w:r>
        <w:rPr/>
        <w:t>&amp;</w:t>
      </w:r>
      <w:r>
        <w:rPr>
          <w:spacing w:val="-1"/>
        </w:rPr>
        <w:t> </w:t>
      </w:r>
      <w:r>
        <w:rPr/>
        <w:t>P grades for this study. ANOVA</w:t>
      </w:r>
      <w:r>
        <w:rPr>
          <w:spacing w:val="-2"/>
        </w:rPr>
        <w:t> </w:t>
      </w:r>
      <w:r>
        <w:rPr/>
        <w:t>results comparing self-efficacy</w:t>
      </w:r>
      <w:r>
        <w:rPr>
          <w:spacing w:val="-1"/>
        </w:rPr>
        <w:t> </w:t>
      </w:r>
      <w:r>
        <w:rPr/>
        <w:t>to both midterm</w:t>
      </w:r>
      <w:r>
        <w:rPr>
          <w:spacing w:val="-1"/>
        </w:rPr>
        <w:t> </w:t>
      </w:r>
      <w:r>
        <w:rPr/>
        <w:t>and final A &amp;</w:t>
      </w:r>
      <w:r>
        <w:rPr>
          <w:spacing w:val="-1"/>
        </w:rPr>
        <w:t> </w:t>
      </w:r>
      <w:r>
        <w:rPr/>
        <w:t>P grades showed highly</w:t>
      </w:r>
      <w:r>
        <w:rPr>
          <w:spacing w:val="-1"/>
        </w:rPr>
        <w:t> </w:t>
      </w:r>
      <w:r>
        <w:rPr/>
        <w:t>significant positive relationships between self-efficacy and academic achievement in A &amp; P. Because of</w:t>
      </w:r>
      <w:r>
        <w:rPr>
          <w:spacing w:val="-3"/>
        </w:rPr>
        <w:t> </w:t>
      </w:r>
      <w:r>
        <w:rPr/>
        <w:t>the significant link found between self-efficacy and academic achievement, recommendations are presented for educators on how they can address low student self-efficacy levels.</w:t>
      </w:r>
      <w:r>
        <w:rPr>
          <w:spacing w:val="80"/>
        </w:rPr>
        <w:t> </w:t>
      </w:r>
      <w:r>
        <w:rPr/>
        <w:t>SS II</w:t>
      </w:r>
      <w:r>
        <w:rPr>
          <w:spacing w:val="-1"/>
        </w:rPr>
        <w:t> </w:t>
      </w:r>
      <w:r>
        <w:rPr/>
        <w:t>students</w:t>
      </w:r>
      <w:r>
        <w:rPr>
          <w:spacing w:val="-4"/>
        </w:rPr>
        <w:t> </w:t>
      </w:r>
      <w:r>
        <w:rPr/>
        <w:t>have been</w:t>
      </w:r>
      <w:r>
        <w:rPr>
          <w:spacing w:val="-2"/>
        </w:rPr>
        <w:t> </w:t>
      </w:r>
      <w:r>
        <w:rPr/>
        <w:t>used for</w:t>
      </w:r>
      <w:r>
        <w:rPr>
          <w:spacing w:val="-1"/>
        </w:rPr>
        <w:t> </w:t>
      </w:r>
      <w:r>
        <w:rPr/>
        <w:t>the</w:t>
      </w:r>
      <w:r>
        <w:rPr>
          <w:spacing w:val="-3"/>
        </w:rPr>
        <w:t> </w:t>
      </w:r>
      <w:r>
        <w:rPr/>
        <w:t>present study.</w:t>
      </w:r>
      <w:r>
        <w:rPr>
          <w:spacing w:val="40"/>
        </w:rPr>
        <w:t> </w:t>
      </w:r>
      <w:r>
        <w:rPr/>
        <w:t>Also different instruments</w:t>
      </w:r>
      <w:r>
        <w:rPr>
          <w:spacing w:val="-4"/>
        </w:rPr>
        <w:t> </w:t>
      </w:r>
      <w:r>
        <w:rPr/>
        <w:t>and study area were used for a better result.</w:t>
      </w:r>
    </w:p>
    <w:p>
      <w:pPr>
        <w:pStyle w:val="BodyText"/>
        <w:spacing w:line="480" w:lineRule="auto" w:before="1"/>
        <w:ind w:right="1155" w:firstLine="720"/>
      </w:pPr>
      <w:r>
        <w:rPr/>
        <w:t>Mari (2012), Investigated Gender Related Differences in Acquisition of Formal Reasoning Schemata: Pedagogic Implication of Teaching Chemistry Using Process-Based Approaches to determine the effects of process based instruction on acquisition of formal reasoning ability in male and female Subjects under study. To determine the gender related differences in acquisition of formal reasoning ability 38 Subjects randomly selected from a Secondary School in Kaduna State, Nigeria were pre-tested using Group Assessment of Logical Thinking Test (GALT), after which they were exposed to process-based instruction for six weeks. The male and female subjects‘ posttest scores were compared using t-test statistics. The initial</w:t>
      </w:r>
      <w:r>
        <w:rPr>
          <w:spacing w:val="-1"/>
        </w:rPr>
        <w:t> </w:t>
      </w:r>
      <w:r>
        <w:rPr/>
        <w:t>gap between the male and female subjects in formal reasoning ability was bridged in all the Schemata (conservation, control of variables, proportional reasoning, probability reasoning, and combinatorial reasoning) except in correlational reasoning. Based on the</w:t>
      </w:r>
      <w:r>
        <w:rPr>
          <w:spacing w:val="-2"/>
        </w:rPr>
        <w:t> </w:t>
      </w:r>
      <w:r>
        <w:rPr/>
        <w:t>results, one</w:t>
      </w:r>
      <w:r>
        <w:rPr>
          <w:spacing w:val="-2"/>
        </w:rPr>
        <w:t> </w:t>
      </w:r>
      <w:r>
        <w:rPr/>
        <w:t>of</w:t>
      </w:r>
      <w:r>
        <w:rPr>
          <w:spacing w:val="-9"/>
        </w:rPr>
        <w:t> </w:t>
      </w:r>
      <w:r>
        <w:rPr/>
        <w:t>the major recommendation</w:t>
      </w:r>
      <w:r>
        <w:rPr>
          <w:spacing w:val="-1"/>
        </w:rPr>
        <w:t> </w:t>
      </w:r>
      <w:r>
        <w:rPr/>
        <w:t>made</w:t>
      </w:r>
      <w:r>
        <w:rPr>
          <w:spacing w:val="-2"/>
        </w:rPr>
        <w:t> </w:t>
      </w:r>
      <w:r>
        <w:rPr/>
        <w:t>was</w:t>
      </w:r>
      <w:r>
        <w:rPr>
          <w:spacing w:val="-3"/>
        </w:rPr>
        <w:t> </w:t>
      </w:r>
      <w:r>
        <w:rPr/>
        <w:t>that process-based instruction should be introduced</w:t>
      </w:r>
      <w:r>
        <w:rPr>
          <w:spacing w:val="-2"/>
        </w:rPr>
        <w:t> </w:t>
      </w:r>
      <w:r>
        <w:rPr/>
        <w:t>in</w:t>
      </w:r>
      <w:r>
        <w:rPr>
          <w:spacing w:val="-6"/>
        </w:rPr>
        <w:t> </w:t>
      </w:r>
      <w:r>
        <w:rPr/>
        <w:t>the</w:t>
      </w:r>
      <w:r>
        <w:rPr>
          <w:spacing w:val="-3"/>
        </w:rPr>
        <w:t> </w:t>
      </w:r>
      <w:r>
        <w:rPr/>
        <w:t>early</w:t>
      </w:r>
      <w:r>
        <w:rPr>
          <w:spacing w:val="-2"/>
        </w:rPr>
        <w:t> </w:t>
      </w:r>
      <w:r>
        <w:rPr/>
        <w:t>years in</w:t>
      </w:r>
      <w:r>
        <w:rPr>
          <w:spacing w:val="-2"/>
        </w:rPr>
        <w:t> </w:t>
      </w:r>
      <w:r>
        <w:rPr/>
        <w:t>the</w:t>
      </w:r>
      <w:r>
        <w:rPr>
          <w:spacing w:val="-3"/>
        </w:rPr>
        <w:t> </w:t>
      </w:r>
      <w:r>
        <w:rPr/>
        <w:t>Secondary</w:t>
      </w:r>
      <w:r>
        <w:rPr>
          <w:spacing w:val="-11"/>
        </w:rPr>
        <w:t> </w:t>
      </w:r>
      <w:r>
        <w:rPr/>
        <w:t>Schools</w:t>
      </w:r>
      <w:r>
        <w:rPr>
          <w:spacing w:val="-4"/>
        </w:rPr>
        <w:t> </w:t>
      </w:r>
      <w:r>
        <w:rPr/>
        <w:t>as means</w:t>
      </w:r>
      <w:r>
        <w:rPr>
          <w:spacing w:val="-4"/>
        </w:rPr>
        <w:t> </w:t>
      </w:r>
      <w:r>
        <w:rPr/>
        <w:t>to</w:t>
      </w:r>
      <w:r>
        <w:rPr>
          <w:spacing w:val="-2"/>
        </w:rPr>
        <w:t> </w:t>
      </w:r>
      <w:r>
        <w:rPr/>
        <w:t>reduce if not totally eliminate the gender-related differences in reasoning ability between male and female students in secondary schools.</w:t>
      </w:r>
      <w:r>
        <w:rPr>
          <w:spacing w:val="40"/>
        </w:rPr>
        <w:t> </w:t>
      </w:r>
      <w:r>
        <w:rPr/>
        <w:t>The same instrument and same level of students but different study</w:t>
      </w:r>
      <w:r>
        <w:rPr>
          <w:spacing w:val="-1"/>
        </w:rPr>
        <w:t> </w:t>
      </w:r>
      <w:r>
        <w:rPr/>
        <w:t>area were used for the present study for a better result.</w:t>
      </w:r>
    </w:p>
    <w:p>
      <w:pPr>
        <w:spacing w:after="0" w:line="480" w:lineRule="auto"/>
        <w:sectPr>
          <w:pgSz w:w="11910" w:h="16840"/>
          <w:pgMar w:header="0" w:footer="1012" w:top="1340" w:bottom="1200" w:left="1680" w:right="280"/>
        </w:sectPr>
      </w:pPr>
    </w:p>
    <w:p>
      <w:pPr>
        <w:pStyle w:val="BodyText"/>
        <w:spacing w:line="480" w:lineRule="auto" w:before="74"/>
        <w:ind w:right="1155" w:firstLine="720"/>
      </w:pPr>
      <w:r>
        <w:rPr/>
        <w:t>Tekkaya and Yenilmez (2006) carried out a study to investigate students' logical thinking abilities: the effect of gender and grade level. A total of one hundred and</w:t>
      </w:r>
      <w:r>
        <w:rPr>
          <w:spacing w:val="-2"/>
        </w:rPr>
        <w:t> </w:t>
      </w:r>
      <w:r>
        <w:rPr/>
        <w:t>seventy</w:t>
      </w:r>
      <w:r>
        <w:rPr>
          <w:spacing w:val="-7"/>
        </w:rPr>
        <w:t> </w:t>
      </w:r>
      <w:r>
        <w:rPr/>
        <w:t>four</w:t>
      </w:r>
      <w:r>
        <w:rPr>
          <w:spacing w:val="-1"/>
        </w:rPr>
        <w:t> </w:t>
      </w:r>
      <w:r>
        <w:rPr/>
        <w:t>students</w:t>
      </w:r>
      <w:r>
        <w:rPr>
          <w:spacing w:val="-4"/>
        </w:rPr>
        <w:t> </w:t>
      </w:r>
      <w:r>
        <w:rPr/>
        <w:t>(109</w:t>
      </w:r>
      <w:r>
        <w:rPr>
          <w:spacing w:val="-2"/>
        </w:rPr>
        <w:t> </w:t>
      </w:r>
      <w:r>
        <w:rPr/>
        <w:t>boys</w:t>
      </w:r>
      <w:r>
        <w:rPr>
          <w:spacing w:val="-4"/>
        </w:rPr>
        <w:t> </w:t>
      </w:r>
      <w:r>
        <w:rPr/>
        <w:t>and </w:t>
      </w:r>
      <w:r>
        <w:rPr>
          <w:i/>
        </w:rPr>
        <w:t>65</w:t>
      </w:r>
      <w:r>
        <w:rPr>
          <w:i/>
          <w:spacing w:val="-2"/>
        </w:rPr>
        <w:t> </w:t>
      </w:r>
      <w:r>
        <w:rPr/>
        <w:t>girls)</w:t>
      </w:r>
      <w:r>
        <w:rPr>
          <w:spacing w:val="-1"/>
        </w:rPr>
        <w:t> </w:t>
      </w:r>
      <w:r>
        <w:rPr/>
        <w:t>participated</w:t>
      </w:r>
      <w:r>
        <w:rPr>
          <w:spacing w:val="-2"/>
        </w:rPr>
        <w:t> </w:t>
      </w:r>
      <w:r>
        <w:rPr/>
        <w:t>in</w:t>
      </w:r>
      <w:r>
        <w:rPr>
          <w:spacing w:val="-7"/>
        </w:rPr>
        <w:t> </w:t>
      </w:r>
      <w:r>
        <w:rPr/>
        <w:t>the</w:t>
      </w:r>
      <w:r>
        <w:rPr>
          <w:spacing w:val="-3"/>
        </w:rPr>
        <w:t> </w:t>
      </w:r>
      <w:r>
        <w:rPr/>
        <w:t>study. Among</w:t>
      </w:r>
      <w:r>
        <w:rPr>
          <w:spacing w:val="-2"/>
        </w:rPr>
        <w:t> </w:t>
      </w:r>
      <w:r>
        <w:rPr/>
        <w:t>the students sixty two were in sixth-grade, fifty eight in seventh- and fifty four in eight- grade. The mean ages of students ranges from eleven-nineteen years. The results revealed that boys have higher scores than girls on proportional probabilistic and combinatorial</w:t>
      </w:r>
      <w:r>
        <w:rPr>
          <w:spacing w:val="-1"/>
        </w:rPr>
        <w:t> </w:t>
      </w:r>
      <w:r>
        <w:rPr/>
        <w:t>reasoning, while girls have higher scores on</w:t>
      </w:r>
      <w:r>
        <w:rPr>
          <w:spacing w:val="-1"/>
        </w:rPr>
        <w:t> </w:t>
      </w:r>
      <w:r>
        <w:rPr/>
        <w:t>controlling and correlation reasoning. Gender different was found to be statistically significant only for proportional reasoning in favor of boys. The results also revealed that students attending higher grade levels had higher scores in test of logical thinking (TOLT).</w:t>
      </w:r>
      <w:r>
        <w:rPr>
          <w:spacing w:val="40"/>
        </w:rPr>
        <w:t> </w:t>
      </w:r>
      <w:r>
        <w:rPr/>
        <w:t>The mean scores of students in four reasoning modes (proportional reasoning, controlling variables, correlation and combinatorial reasoning) increased as the grade level increased. MANOVA results showed that there was significant effect of grade level on the three modes of reasoning ability; proportional reasoning controlling variables</w:t>
      </w:r>
      <w:r>
        <w:rPr>
          <w:spacing w:val="80"/>
          <w:w w:val="150"/>
        </w:rPr>
        <w:t> </w:t>
      </w:r>
      <w:r>
        <w:rPr/>
        <w:t>and combinatorial reasoning. However no statistically significant effect</w:t>
      </w:r>
      <w:r>
        <w:rPr>
          <w:spacing w:val="40"/>
        </w:rPr>
        <w:t> </w:t>
      </w:r>
      <w:r>
        <w:rPr/>
        <w:t>was found on probabilistic and correlation reasoning with respect to grade level. Follow-up tests revealed that there was a significant difference between grades six</w:t>
      </w:r>
      <w:r>
        <w:rPr>
          <w:spacing w:val="40"/>
        </w:rPr>
        <w:t> </w:t>
      </w:r>
      <w:r>
        <w:rPr/>
        <w:t>and eight concerning</w:t>
      </w:r>
      <w:r>
        <w:rPr>
          <w:spacing w:val="-2"/>
        </w:rPr>
        <w:t> </w:t>
      </w:r>
      <w:r>
        <w:rPr/>
        <w:t>proportional</w:t>
      </w:r>
      <w:r>
        <w:rPr>
          <w:spacing w:val="80"/>
        </w:rPr>
        <w:t> </w:t>
      </w:r>
      <w:r>
        <w:rPr/>
        <w:t>reasoning, controlling variables</w:t>
      </w:r>
      <w:r>
        <w:rPr>
          <w:spacing w:val="-4"/>
        </w:rPr>
        <w:t> </w:t>
      </w:r>
      <w:r>
        <w:rPr/>
        <w:t>and combinatorial reasoning. Moreover it was found that there was a significant difference between grades seven</w:t>
      </w:r>
      <w:r>
        <w:rPr>
          <w:spacing w:val="-1"/>
        </w:rPr>
        <w:t> </w:t>
      </w:r>
      <w:r>
        <w:rPr/>
        <w:t>and eight concerning combinatorial</w:t>
      </w:r>
      <w:r>
        <w:rPr>
          <w:spacing w:val="-1"/>
        </w:rPr>
        <w:t> </w:t>
      </w:r>
      <w:r>
        <w:rPr/>
        <w:t>reasoning (p&lt;0.05). the mean scores of</w:t>
      </w:r>
      <w:r>
        <w:rPr>
          <w:spacing w:val="-7"/>
        </w:rPr>
        <w:t> </w:t>
      </w:r>
      <w:r>
        <w:rPr/>
        <w:t>seven</w:t>
      </w:r>
      <w:r>
        <w:rPr>
          <w:spacing w:val="-4"/>
        </w:rPr>
        <w:t> </w:t>
      </w:r>
      <w:r>
        <w:rPr/>
        <w:t>and eight grade students</w:t>
      </w:r>
      <w:r>
        <w:rPr>
          <w:spacing w:val="-1"/>
        </w:rPr>
        <w:t> </w:t>
      </w:r>
      <w:r>
        <w:rPr/>
        <w:t>on</w:t>
      </w:r>
      <w:r>
        <w:rPr>
          <w:spacing w:val="-4"/>
        </w:rPr>
        <w:t> </w:t>
      </w:r>
      <w:r>
        <w:rPr/>
        <w:t>probabilistic and correlation</w:t>
      </w:r>
      <w:r>
        <w:rPr>
          <w:spacing w:val="-4"/>
        </w:rPr>
        <w:t> </w:t>
      </w:r>
      <w:r>
        <w:rPr/>
        <w:t>reasoning were very close to each other, although in general, there was an increase in the mean scores as grade level increases. In fact, it was expected that as grade level increases, because according to piagetian model of cognitive development, formal thought begin to developed at</w:t>
      </w:r>
      <w:r>
        <w:rPr>
          <w:spacing w:val="18"/>
        </w:rPr>
        <w:t> </w:t>
      </w:r>
      <w:r>
        <w:rPr/>
        <w:t>age eleven or twelve and reaches equilibrium state at</w:t>
      </w:r>
      <w:r>
        <w:rPr>
          <w:spacing w:val="18"/>
        </w:rPr>
        <w:t> </w:t>
      </w:r>
      <w:r>
        <w:rPr/>
        <w:t>fifteen or sixteen.</w:t>
      </w:r>
    </w:p>
    <w:p>
      <w:pPr>
        <w:spacing w:after="0" w:line="480" w:lineRule="auto"/>
        <w:sectPr>
          <w:pgSz w:w="11910" w:h="16840"/>
          <w:pgMar w:header="0" w:footer="1012" w:top="1340" w:bottom="1200" w:left="1680" w:right="280"/>
        </w:sectPr>
      </w:pPr>
    </w:p>
    <w:p>
      <w:pPr>
        <w:pStyle w:val="BodyText"/>
        <w:spacing w:line="480" w:lineRule="auto" w:before="74"/>
        <w:ind w:right="1172"/>
      </w:pPr>
      <w:r>
        <w:rPr/>
        <w:t>Piagetian model of cognitive development indicate that at late adolescence, young adults should function at the formal operation level of cognitive development.</w:t>
      </w:r>
    </w:p>
    <w:p>
      <w:pPr>
        <w:pStyle w:val="Heading3"/>
        <w:numPr>
          <w:ilvl w:val="1"/>
          <w:numId w:val="13"/>
        </w:numPr>
        <w:tabs>
          <w:tab w:pos="1199" w:val="left" w:leader="none"/>
        </w:tabs>
        <w:spacing w:line="240" w:lineRule="auto" w:before="5" w:after="0"/>
        <w:ind w:left="1199" w:right="0" w:hanging="719"/>
        <w:jc w:val="both"/>
      </w:pPr>
      <w:r>
        <w:rPr/>
        <w:t>Implications</w:t>
      </w:r>
      <w:r>
        <w:rPr>
          <w:spacing w:val="-5"/>
        </w:rPr>
        <w:t> </w:t>
      </w:r>
      <w:r>
        <w:rPr/>
        <w:t>of</w:t>
      </w:r>
      <w:r>
        <w:rPr>
          <w:spacing w:val="-4"/>
        </w:rPr>
        <w:t> </w:t>
      </w:r>
      <w:r>
        <w:rPr/>
        <w:t>the</w:t>
      </w:r>
      <w:r>
        <w:rPr>
          <w:spacing w:val="-2"/>
        </w:rPr>
        <w:t> </w:t>
      </w:r>
      <w:r>
        <w:rPr/>
        <w:t>Literature</w:t>
      </w:r>
      <w:r>
        <w:rPr>
          <w:spacing w:val="-1"/>
        </w:rPr>
        <w:t> </w:t>
      </w:r>
      <w:r>
        <w:rPr/>
        <w:t>Review</w:t>
      </w:r>
      <w:r>
        <w:rPr>
          <w:spacing w:val="-2"/>
        </w:rPr>
        <w:t> </w:t>
      </w:r>
      <w:r>
        <w:rPr/>
        <w:t>for</w:t>
      </w:r>
      <w:r>
        <w:rPr>
          <w:spacing w:val="-7"/>
        </w:rPr>
        <w:t> </w:t>
      </w:r>
      <w:r>
        <w:rPr/>
        <w:t>the</w:t>
      </w:r>
      <w:r>
        <w:rPr>
          <w:spacing w:val="-2"/>
        </w:rPr>
        <w:t> </w:t>
      </w:r>
      <w:r>
        <w:rPr/>
        <w:t>Present</w:t>
      </w:r>
      <w:r>
        <w:rPr>
          <w:spacing w:val="1"/>
        </w:rPr>
        <w:t> </w:t>
      </w:r>
      <w:r>
        <w:rPr>
          <w:spacing w:val="-2"/>
        </w:rPr>
        <w:t>Studies</w:t>
      </w:r>
    </w:p>
    <w:p>
      <w:pPr>
        <w:pStyle w:val="BodyText"/>
        <w:spacing w:line="480" w:lineRule="auto" w:before="271"/>
        <w:ind w:right="1155" w:firstLine="720"/>
      </w:pPr>
      <w:r>
        <w:rPr/>
        <w:t>The literatures</w:t>
      </w:r>
      <w:r>
        <w:rPr>
          <w:spacing w:val="-4"/>
        </w:rPr>
        <w:t> </w:t>
      </w:r>
      <w:r>
        <w:rPr/>
        <w:t>reviewed</w:t>
      </w:r>
      <w:r>
        <w:rPr>
          <w:spacing w:val="-2"/>
        </w:rPr>
        <w:t> </w:t>
      </w:r>
      <w:r>
        <w:rPr/>
        <w:t>clearly</w:t>
      </w:r>
      <w:r>
        <w:rPr>
          <w:spacing w:val="-7"/>
        </w:rPr>
        <w:t> </w:t>
      </w:r>
      <w:r>
        <w:rPr/>
        <w:t>explained</w:t>
      </w:r>
      <w:r>
        <w:rPr>
          <w:spacing w:val="-2"/>
        </w:rPr>
        <w:t> </w:t>
      </w:r>
      <w:r>
        <w:rPr/>
        <w:t>the</w:t>
      </w:r>
      <w:r>
        <w:rPr>
          <w:spacing w:val="-3"/>
        </w:rPr>
        <w:t> </w:t>
      </w:r>
      <w:r>
        <w:rPr/>
        <w:t>concepts</w:t>
      </w:r>
      <w:r>
        <w:rPr>
          <w:spacing w:val="-4"/>
        </w:rPr>
        <w:t> </w:t>
      </w:r>
      <w:r>
        <w:rPr/>
        <w:t>emotional-intelligence, reasoning ability, self-efficacy and academic achievement. It also highlighted many studies carried out by</w:t>
      </w:r>
      <w:r>
        <w:rPr>
          <w:spacing w:val="-1"/>
        </w:rPr>
        <w:t> </w:t>
      </w:r>
      <w:r>
        <w:rPr/>
        <w:t>several</w:t>
      </w:r>
      <w:r>
        <w:rPr>
          <w:spacing w:val="-6"/>
        </w:rPr>
        <w:t> </w:t>
      </w:r>
      <w:r>
        <w:rPr/>
        <w:t>researchers such</w:t>
      </w:r>
      <w:r>
        <w:rPr>
          <w:spacing w:val="-1"/>
        </w:rPr>
        <w:t> </w:t>
      </w:r>
      <w:r>
        <w:rPr/>
        <w:t>as Mayer, Caruso and</w:t>
      </w:r>
      <w:r>
        <w:rPr>
          <w:spacing w:val="-1"/>
        </w:rPr>
        <w:t> </w:t>
      </w:r>
      <w:r>
        <w:rPr/>
        <w:t>Salovey, (2008); Svetlana (2007) and Azuka (2012) who found a strong positive significant</w:t>
      </w:r>
      <w:r>
        <w:rPr>
          <w:spacing w:val="40"/>
        </w:rPr>
        <w:t> </w:t>
      </w:r>
      <w:r>
        <w:rPr/>
        <w:t>relationship between emotional-intelligence and academic achievement. It also highlighted studies carried out by Sungur (2001, Nasir and Mansur (2010), Oloyede (2012),</w:t>
      </w:r>
      <w:r>
        <w:rPr>
          <w:spacing w:val="-6"/>
        </w:rPr>
        <w:t> </w:t>
      </w:r>
      <w:r>
        <w:rPr/>
        <w:t>Sirajor,</w:t>
      </w:r>
      <w:r>
        <w:rPr>
          <w:spacing w:val="-1"/>
        </w:rPr>
        <w:t> </w:t>
      </w:r>
      <w:r>
        <w:rPr/>
        <w:t>Mari</w:t>
      </w:r>
      <w:r>
        <w:rPr>
          <w:spacing w:val="-7"/>
        </w:rPr>
        <w:t> </w:t>
      </w:r>
      <w:r>
        <w:rPr/>
        <w:t>and</w:t>
      </w:r>
      <w:r>
        <w:rPr>
          <w:spacing w:val="-3"/>
        </w:rPr>
        <w:t> </w:t>
      </w:r>
      <w:r>
        <w:rPr/>
        <w:t>Olorukooba</w:t>
      </w:r>
      <w:r>
        <w:rPr>
          <w:spacing w:val="-4"/>
        </w:rPr>
        <w:t> </w:t>
      </w:r>
      <w:r>
        <w:rPr/>
        <w:t>(2013)</w:t>
      </w:r>
      <w:r>
        <w:rPr>
          <w:spacing w:val="-2"/>
        </w:rPr>
        <w:t> </w:t>
      </w:r>
      <w:r>
        <w:rPr/>
        <w:t>and</w:t>
      </w:r>
      <w:r>
        <w:rPr>
          <w:spacing w:val="-7"/>
        </w:rPr>
        <w:t> </w:t>
      </w:r>
      <w:r>
        <w:rPr/>
        <w:t>Bhat (2016)</w:t>
      </w:r>
      <w:r>
        <w:rPr>
          <w:spacing w:val="-2"/>
        </w:rPr>
        <w:t> </w:t>
      </w:r>
      <w:r>
        <w:rPr/>
        <w:t>who also found</w:t>
      </w:r>
      <w:r>
        <w:rPr>
          <w:spacing w:val="-3"/>
        </w:rPr>
        <w:t> </w:t>
      </w:r>
      <w:r>
        <w:rPr/>
        <w:t>a</w:t>
      </w:r>
      <w:r>
        <w:rPr>
          <w:spacing w:val="-4"/>
        </w:rPr>
        <w:t> </w:t>
      </w:r>
      <w:r>
        <w:rPr/>
        <w:t>strong positive significant relationship between</w:t>
      </w:r>
      <w:r>
        <w:rPr>
          <w:spacing w:val="-3"/>
        </w:rPr>
        <w:t> </w:t>
      </w:r>
      <w:r>
        <w:rPr/>
        <w:t>reasoning ability</w:t>
      </w:r>
      <w:r>
        <w:rPr>
          <w:spacing w:val="-3"/>
        </w:rPr>
        <w:t> </w:t>
      </w:r>
      <w:r>
        <w:rPr/>
        <w:t>and academic achievement. Similarly Bandura (1997), Britner (2008), Kiran and Sungut (2011) and Baanu, Oyelekan and Olorundare (2016) who have affirmed the relationship between self- efficacy and student achievement. The literature reviewed clearly reveals that people with high emotional-intelligence performed better than those with low emotional- intelligence. Also shows that formal reasoning ability is a strong predictor for achievement in chemistry. This findings further revealed that people with high assurance of</w:t>
      </w:r>
      <w:r>
        <w:rPr>
          <w:spacing w:val="-1"/>
        </w:rPr>
        <w:t> </w:t>
      </w:r>
      <w:r>
        <w:rPr/>
        <w:t>their capabilities (positive efficacy) approach difficult task as challenges which eventually result in better performance in that given tasks.</w:t>
      </w:r>
    </w:p>
    <w:p>
      <w:pPr>
        <w:pStyle w:val="BodyText"/>
        <w:spacing w:line="480" w:lineRule="auto" w:before="4"/>
        <w:ind w:right="1157" w:firstLine="720"/>
      </w:pPr>
      <w:r>
        <w:rPr/>
        <w:t>Literature studies from Amelink (2009), Afuwape (2011) and Oludipe‘s (2012),</w:t>
      </w:r>
      <w:r>
        <w:rPr>
          <w:spacing w:val="-6"/>
        </w:rPr>
        <w:t> </w:t>
      </w:r>
      <w:r>
        <w:rPr/>
        <w:t>revealed</w:t>
      </w:r>
      <w:r>
        <w:rPr>
          <w:spacing w:val="-4"/>
        </w:rPr>
        <w:t> </w:t>
      </w:r>
      <w:r>
        <w:rPr/>
        <w:t>that</w:t>
      </w:r>
      <w:r>
        <w:rPr>
          <w:spacing w:val="-4"/>
        </w:rPr>
        <w:t> </w:t>
      </w:r>
      <w:r>
        <w:rPr/>
        <w:t>there</w:t>
      </w:r>
      <w:r>
        <w:rPr>
          <w:spacing w:val="-5"/>
        </w:rPr>
        <w:t> </w:t>
      </w:r>
      <w:r>
        <w:rPr/>
        <w:t>is</w:t>
      </w:r>
      <w:r>
        <w:rPr>
          <w:spacing w:val="-5"/>
        </w:rPr>
        <w:t> </w:t>
      </w:r>
      <w:r>
        <w:rPr/>
        <w:t>no significant difference in</w:t>
      </w:r>
      <w:r>
        <w:rPr>
          <w:spacing w:val="-4"/>
        </w:rPr>
        <w:t> </w:t>
      </w:r>
      <w:r>
        <w:rPr/>
        <w:t>science</w:t>
      </w:r>
      <w:r>
        <w:rPr>
          <w:spacing w:val="-5"/>
        </w:rPr>
        <w:t> </w:t>
      </w:r>
      <w:r>
        <w:rPr/>
        <w:t>performance</w:t>
      </w:r>
      <w:r>
        <w:rPr>
          <w:spacing w:val="-5"/>
        </w:rPr>
        <w:t> </w:t>
      </w:r>
      <w:r>
        <w:rPr/>
        <w:t>between male</w:t>
      </w:r>
      <w:r>
        <w:rPr>
          <w:spacing w:val="-4"/>
        </w:rPr>
        <w:t> </w:t>
      </w:r>
      <w:r>
        <w:rPr/>
        <w:t>and female</w:t>
      </w:r>
      <w:r>
        <w:rPr>
          <w:spacing w:val="-4"/>
        </w:rPr>
        <w:t> </w:t>
      </w:r>
      <w:r>
        <w:rPr/>
        <w:t>students,</w:t>
      </w:r>
      <w:r>
        <w:rPr>
          <w:spacing w:val="-1"/>
        </w:rPr>
        <w:t> </w:t>
      </w:r>
      <w:r>
        <w:rPr/>
        <w:t>while</w:t>
      </w:r>
      <w:r>
        <w:rPr>
          <w:spacing w:val="-4"/>
        </w:rPr>
        <w:t> </w:t>
      </w:r>
      <w:r>
        <w:rPr/>
        <w:t>Obrentz</w:t>
      </w:r>
      <w:r>
        <w:rPr>
          <w:spacing w:val="-4"/>
        </w:rPr>
        <w:t> </w:t>
      </w:r>
      <w:r>
        <w:rPr/>
        <w:t>(2012),</w:t>
      </w:r>
      <w:r>
        <w:rPr>
          <w:spacing w:val="-6"/>
        </w:rPr>
        <w:t> </w:t>
      </w:r>
      <w:r>
        <w:rPr/>
        <w:t>Ezeudo and</w:t>
      </w:r>
      <w:r>
        <w:rPr>
          <w:spacing w:val="-3"/>
        </w:rPr>
        <w:t> </w:t>
      </w:r>
      <w:r>
        <w:rPr/>
        <w:t>Obi-Theresa</w:t>
      </w:r>
      <w:r>
        <w:rPr>
          <w:spacing w:val="-4"/>
        </w:rPr>
        <w:t> </w:t>
      </w:r>
      <w:r>
        <w:rPr/>
        <w:t>(2013)</w:t>
      </w:r>
      <w:r>
        <w:rPr>
          <w:spacing w:val="-2"/>
        </w:rPr>
        <w:t> </w:t>
      </w:r>
      <w:r>
        <w:rPr/>
        <w:t>who revealed that male students are better performance than female students in chemistry. Also</w:t>
      </w:r>
      <w:r>
        <w:rPr>
          <w:spacing w:val="-1"/>
        </w:rPr>
        <w:t> </w:t>
      </w:r>
      <w:r>
        <w:rPr/>
        <w:t>Cheeseman,</w:t>
      </w:r>
      <w:r>
        <w:rPr>
          <w:spacing w:val="-2"/>
        </w:rPr>
        <w:t> </w:t>
      </w:r>
      <w:r>
        <w:rPr/>
        <w:t>Simpson</w:t>
      </w:r>
      <w:r>
        <w:rPr>
          <w:spacing w:val="-9"/>
        </w:rPr>
        <w:t> </w:t>
      </w:r>
      <w:r>
        <w:rPr/>
        <w:t>and</w:t>
      </w:r>
      <w:r>
        <w:rPr>
          <w:spacing w:val="-1"/>
        </w:rPr>
        <w:t> </w:t>
      </w:r>
      <w:r>
        <w:rPr/>
        <w:t>Wint (2006)</w:t>
      </w:r>
      <w:r>
        <w:rPr>
          <w:spacing w:val="-3"/>
        </w:rPr>
        <w:t> </w:t>
      </w:r>
      <w:r>
        <w:rPr/>
        <w:t>and</w:t>
      </w:r>
      <w:r>
        <w:rPr>
          <w:spacing w:val="-4"/>
        </w:rPr>
        <w:t> </w:t>
      </w:r>
      <w:r>
        <w:rPr/>
        <w:t>Fayombo</w:t>
      </w:r>
      <w:r>
        <w:rPr>
          <w:spacing w:val="-1"/>
        </w:rPr>
        <w:t> </w:t>
      </w:r>
      <w:r>
        <w:rPr/>
        <w:t>(2012),</w:t>
      </w:r>
      <w:r>
        <w:rPr>
          <w:spacing w:val="-2"/>
        </w:rPr>
        <w:t> </w:t>
      </w:r>
      <w:r>
        <w:rPr/>
        <w:t>found</w:t>
      </w:r>
      <w:r>
        <w:rPr>
          <w:spacing w:val="-4"/>
        </w:rPr>
        <w:t> </w:t>
      </w:r>
      <w:r>
        <w:rPr/>
        <w:t>out</w:t>
      </w:r>
      <w:r>
        <w:rPr>
          <w:spacing w:val="-8"/>
        </w:rPr>
        <w:t> </w:t>
      </w:r>
      <w:r>
        <w:rPr/>
        <w:t>that</w:t>
      </w:r>
      <w:r>
        <w:rPr>
          <w:spacing w:val="-4"/>
        </w:rPr>
        <w:t> </w:t>
      </w:r>
      <w:r>
        <w:rPr/>
        <w:t>there was</w:t>
      </w:r>
      <w:r>
        <w:rPr>
          <w:spacing w:val="33"/>
        </w:rPr>
        <w:t> </w:t>
      </w:r>
      <w:r>
        <w:rPr/>
        <w:t>favour</w:t>
      </w:r>
      <w:r>
        <w:rPr>
          <w:spacing w:val="34"/>
        </w:rPr>
        <w:t> </w:t>
      </w:r>
      <w:r>
        <w:rPr/>
        <w:t>at</w:t>
      </w:r>
      <w:r>
        <w:rPr>
          <w:spacing w:val="33"/>
        </w:rPr>
        <w:t> </w:t>
      </w:r>
      <w:r>
        <w:rPr/>
        <w:t>the</w:t>
      </w:r>
      <w:r>
        <w:rPr>
          <w:spacing w:val="37"/>
        </w:rPr>
        <w:t> </w:t>
      </w:r>
      <w:r>
        <w:rPr/>
        <w:t>female.</w:t>
      </w:r>
      <w:r>
        <w:rPr>
          <w:spacing w:val="34"/>
        </w:rPr>
        <w:t> </w:t>
      </w:r>
      <w:r>
        <w:rPr/>
        <w:t>This</w:t>
      </w:r>
      <w:r>
        <w:rPr>
          <w:spacing w:val="35"/>
        </w:rPr>
        <w:t> </w:t>
      </w:r>
      <w:r>
        <w:rPr/>
        <w:t>shows</w:t>
      </w:r>
      <w:r>
        <w:rPr>
          <w:spacing w:val="35"/>
        </w:rPr>
        <w:t> </w:t>
      </w:r>
      <w:r>
        <w:rPr/>
        <w:t>mixed</w:t>
      </w:r>
      <w:r>
        <w:rPr>
          <w:spacing w:val="35"/>
        </w:rPr>
        <w:t> </w:t>
      </w:r>
      <w:r>
        <w:rPr/>
        <w:t>results</w:t>
      </w:r>
      <w:r>
        <w:rPr>
          <w:spacing w:val="30"/>
        </w:rPr>
        <w:t> </w:t>
      </w:r>
      <w:r>
        <w:rPr/>
        <w:t>on</w:t>
      </w:r>
      <w:r>
        <w:rPr>
          <w:spacing w:val="28"/>
        </w:rPr>
        <w:t> </w:t>
      </w:r>
      <w:r>
        <w:rPr/>
        <w:t>gender.</w:t>
      </w:r>
      <w:r>
        <w:rPr>
          <w:spacing w:val="34"/>
        </w:rPr>
        <w:t> </w:t>
      </w:r>
      <w:r>
        <w:rPr/>
        <w:t>Gender</w:t>
      </w:r>
      <w:r>
        <w:rPr>
          <w:spacing w:val="37"/>
        </w:rPr>
        <w:t> </w:t>
      </w:r>
      <w:r>
        <w:rPr>
          <w:spacing w:val="-2"/>
        </w:rPr>
        <w:t>differences</w:t>
      </w:r>
    </w:p>
    <w:p>
      <w:pPr>
        <w:spacing w:after="0" w:line="480" w:lineRule="auto"/>
        <w:sectPr>
          <w:pgSz w:w="11910" w:h="16840"/>
          <w:pgMar w:header="0" w:footer="1012" w:top="1340" w:bottom="1200" w:left="1680" w:right="280"/>
        </w:sectPr>
      </w:pPr>
    </w:p>
    <w:p>
      <w:pPr>
        <w:pStyle w:val="BodyText"/>
        <w:spacing w:line="480" w:lineRule="auto" w:before="74"/>
        <w:ind w:right="1157"/>
      </w:pPr>
      <w:r>
        <w:rPr/>
        <w:t>have mixed result on emotional-intelligence, reasoning ability, self – efficacy and academic achievement. The previous researches on the predictive effect of emotional – intelligence, reasoning ability, self – efficacy and academic achievement has been carried out separately on the correlation of these variable on academic achievement and yielded mixed results. No study have investigated the combined correlation of emotional intelligence, reasoning ability, self – efficacy and academic achievement in chemistry. From the literature cited, most of the studies carried out used different study</w:t>
      </w:r>
      <w:r>
        <w:rPr>
          <w:spacing w:val="-5"/>
        </w:rPr>
        <w:t> </w:t>
      </w:r>
      <w:r>
        <w:rPr/>
        <w:t>areas not from</w:t>
      </w:r>
      <w:r>
        <w:rPr>
          <w:spacing w:val="-9"/>
        </w:rPr>
        <w:t> </w:t>
      </w:r>
      <w:r>
        <w:rPr/>
        <w:t>Nigeria. The aspect of</w:t>
      </w:r>
      <w:r>
        <w:rPr>
          <w:spacing w:val="-8"/>
        </w:rPr>
        <w:t> </w:t>
      </w:r>
      <w:r>
        <w:rPr/>
        <w:t>Nigeria</w:t>
      </w:r>
      <w:r>
        <w:rPr>
          <w:spacing w:val="-2"/>
        </w:rPr>
        <w:t> </w:t>
      </w:r>
      <w:r>
        <w:rPr/>
        <w:t>was not addressed in</w:t>
      </w:r>
      <w:r>
        <w:rPr>
          <w:spacing w:val="-5"/>
        </w:rPr>
        <w:t> </w:t>
      </w:r>
      <w:r>
        <w:rPr/>
        <w:t>the literature cited. No study has combined the three variable together and such studies have not been carried on Zonkwa Education Zone.</w:t>
      </w:r>
    </w:p>
    <w:p>
      <w:pPr>
        <w:pStyle w:val="BodyText"/>
        <w:spacing w:line="480" w:lineRule="auto" w:before="2"/>
        <w:ind w:right="1155" w:firstLine="720"/>
      </w:pPr>
      <w:r>
        <w:rPr/>
        <w:t>Therefore present study is conceived to fill this gap. This research therefore used a different study area for better understanding of the relationship among emotional intelligence, reasoning ability, self-efficacy and academic achievement in chemistry among senior secondary (SS II) school students in Zonkwa Education</w:t>
      </w:r>
      <w:r>
        <w:rPr>
          <w:spacing w:val="40"/>
        </w:rPr>
        <w:t> </w:t>
      </w:r>
      <w:r>
        <w:rPr/>
        <w:t>Zone, Kaduna, Nigeria.</w:t>
      </w:r>
    </w:p>
    <w:p>
      <w:pPr>
        <w:spacing w:after="0" w:line="480" w:lineRule="auto"/>
        <w:sectPr>
          <w:pgSz w:w="11910" w:h="16840"/>
          <w:pgMar w:header="0" w:footer="1012" w:top="1340" w:bottom="1200" w:left="1680" w:right="280"/>
        </w:sectPr>
      </w:pPr>
    </w:p>
    <w:p>
      <w:pPr>
        <w:pStyle w:val="Heading2"/>
        <w:spacing w:line="480" w:lineRule="auto"/>
        <w:ind w:left="2642" w:right="3324"/>
      </w:pPr>
      <w:r>
        <w:rPr/>
        <w:t>CHAPTER</w:t>
      </w:r>
      <w:r>
        <w:rPr>
          <w:spacing w:val="-15"/>
        </w:rPr>
        <w:t> </w:t>
      </w:r>
      <w:r>
        <w:rPr/>
        <w:t>THREE </w:t>
      </w:r>
      <w:r>
        <w:rPr>
          <w:spacing w:val="-2"/>
        </w:rPr>
        <w:t>METHODOLOGY</w:t>
      </w:r>
    </w:p>
    <w:p>
      <w:pPr>
        <w:pStyle w:val="Heading3"/>
        <w:numPr>
          <w:ilvl w:val="1"/>
          <w:numId w:val="14"/>
        </w:numPr>
        <w:tabs>
          <w:tab w:pos="1199" w:val="left" w:leader="none"/>
        </w:tabs>
        <w:spacing w:line="240" w:lineRule="auto" w:before="1" w:after="0"/>
        <w:ind w:left="1199" w:right="0" w:hanging="719"/>
        <w:jc w:val="both"/>
      </w:pPr>
      <w:r>
        <w:rPr>
          <w:spacing w:val="-2"/>
        </w:rPr>
        <w:t>Introduction</w:t>
      </w:r>
    </w:p>
    <w:p>
      <w:pPr>
        <w:pStyle w:val="BodyText"/>
        <w:spacing w:line="480" w:lineRule="auto" w:before="271"/>
        <w:ind w:right="1158" w:firstLine="720"/>
      </w:pPr>
      <w:r>
        <w:rPr/>
        <w:t>This study investigated the relationship among emotional-intelligence, reasoning ability, self-efficacy as predictors of achievement of senior secondary school</w:t>
      </w:r>
      <w:r>
        <w:rPr>
          <w:spacing w:val="-1"/>
        </w:rPr>
        <w:t> </w:t>
      </w:r>
      <w:r>
        <w:rPr/>
        <w:t>chemistry</w:t>
      </w:r>
      <w:r>
        <w:rPr>
          <w:spacing w:val="-1"/>
        </w:rPr>
        <w:t> </w:t>
      </w:r>
      <w:r>
        <w:rPr/>
        <w:t>students in Zonkwa Education Zone Kaduna. The chapter presented the research methodology that was used under the following sub-headings.</w:t>
      </w:r>
    </w:p>
    <w:p>
      <w:pPr>
        <w:pStyle w:val="ListParagraph"/>
        <w:numPr>
          <w:ilvl w:val="1"/>
          <w:numId w:val="14"/>
        </w:numPr>
        <w:tabs>
          <w:tab w:pos="1199" w:val="left" w:leader="none"/>
        </w:tabs>
        <w:spacing w:line="240" w:lineRule="auto" w:before="1" w:after="0"/>
        <w:ind w:left="1199" w:right="0" w:hanging="719"/>
        <w:jc w:val="both"/>
        <w:rPr>
          <w:sz w:val="24"/>
        </w:rPr>
      </w:pPr>
      <w:r>
        <w:rPr>
          <w:sz w:val="24"/>
        </w:rPr>
        <w:t>Research</w:t>
      </w:r>
      <w:r>
        <w:rPr>
          <w:spacing w:val="-7"/>
          <w:sz w:val="24"/>
        </w:rPr>
        <w:t> </w:t>
      </w:r>
      <w:r>
        <w:rPr>
          <w:spacing w:val="-2"/>
          <w:sz w:val="24"/>
        </w:rPr>
        <w:t>Design</w:t>
      </w:r>
    </w:p>
    <w:p>
      <w:pPr>
        <w:pStyle w:val="BodyText"/>
        <w:ind w:left="0"/>
        <w:jc w:val="left"/>
      </w:pPr>
    </w:p>
    <w:p>
      <w:pPr>
        <w:pStyle w:val="ListParagraph"/>
        <w:numPr>
          <w:ilvl w:val="1"/>
          <w:numId w:val="14"/>
        </w:numPr>
        <w:tabs>
          <w:tab w:pos="1199" w:val="left" w:leader="none"/>
        </w:tabs>
        <w:spacing w:line="240" w:lineRule="auto" w:before="1" w:after="0"/>
        <w:ind w:left="1199" w:right="0" w:hanging="719"/>
        <w:jc w:val="both"/>
        <w:rPr>
          <w:sz w:val="24"/>
        </w:rPr>
      </w:pPr>
      <w:r>
        <w:rPr>
          <w:sz w:val="24"/>
        </w:rPr>
        <w:t>Population</w:t>
      </w:r>
      <w:r>
        <w:rPr>
          <w:spacing w:val="-3"/>
          <w:sz w:val="24"/>
        </w:rPr>
        <w:t> </w:t>
      </w:r>
      <w:r>
        <w:rPr>
          <w:sz w:val="24"/>
        </w:rPr>
        <w:t>of</w:t>
      </w:r>
      <w:r>
        <w:rPr>
          <w:spacing w:val="-6"/>
          <w:sz w:val="24"/>
        </w:rPr>
        <w:t> </w:t>
      </w:r>
      <w:r>
        <w:rPr>
          <w:sz w:val="24"/>
        </w:rPr>
        <w:t>the</w:t>
      </w:r>
      <w:r>
        <w:rPr>
          <w:spacing w:val="1"/>
          <w:sz w:val="24"/>
        </w:rPr>
        <w:t> </w:t>
      </w:r>
      <w:r>
        <w:rPr>
          <w:spacing w:val="-4"/>
          <w:sz w:val="24"/>
        </w:rPr>
        <w:t>Study</w:t>
      </w:r>
    </w:p>
    <w:p>
      <w:pPr>
        <w:pStyle w:val="ListParagraph"/>
        <w:numPr>
          <w:ilvl w:val="1"/>
          <w:numId w:val="14"/>
        </w:numPr>
        <w:tabs>
          <w:tab w:pos="1199" w:val="left" w:leader="none"/>
        </w:tabs>
        <w:spacing w:line="240" w:lineRule="auto" w:before="276" w:after="0"/>
        <w:ind w:left="1199" w:right="0" w:hanging="719"/>
        <w:jc w:val="both"/>
        <w:rPr>
          <w:sz w:val="24"/>
        </w:rPr>
      </w:pPr>
      <w:r>
        <w:rPr>
          <w:sz w:val="24"/>
        </w:rPr>
        <w:t>Sample</w:t>
      </w:r>
      <w:r>
        <w:rPr>
          <w:spacing w:val="-5"/>
          <w:sz w:val="24"/>
        </w:rPr>
        <w:t> </w:t>
      </w:r>
      <w:r>
        <w:rPr>
          <w:sz w:val="24"/>
        </w:rPr>
        <w:t>and</w:t>
      </w:r>
      <w:r>
        <w:rPr>
          <w:spacing w:val="-4"/>
          <w:sz w:val="24"/>
        </w:rPr>
        <w:t> </w:t>
      </w:r>
      <w:r>
        <w:rPr>
          <w:sz w:val="24"/>
        </w:rPr>
        <w:t>Sampling</w:t>
      </w:r>
      <w:r>
        <w:rPr>
          <w:spacing w:val="-3"/>
          <w:sz w:val="24"/>
        </w:rPr>
        <w:t> </w:t>
      </w:r>
      <w:r>
        <w:rPr>
          <w:spacing w:val="-2"/>
          <w:sz w:val="24"/>
        </w:rPr>
        <w:t>Techniques</w:t>
      </w:r>
    </w:p>
    <w:p>
      <w:pPr>
        <w:pStyle w:val="ListParagraph"/>
        <w:numPr>
          <w:ilvl w:val="1"/>
          <w:numId w:val="14"/>
        </w:numPr>
        <w:tabs>
          <w:tab w:pos="1199" w:val="left" w:leader="none"/>
        </w:tabs>
        <w:spacing w:line="240" w:lineRule="auto" w:before="276" w:after="0"/>
        <w:ind w:left="1199" w:right="0" w:hanging="719"/>
        <w:jc w:val="both"/>
        <w:rPr>
          <w:sz w:val="24"/>
        </w:rPr>
      </w:pPr>
      <w:r>
        <w:rPr>
          <w:spacing w:val="-2"/>
          <w:sz w:val="24"/>
        </w:rPr>
        <w:t>Instrumentation</w:t>
      </w:r>
    </w:p>
    <w:p>
      <w:pPr>
        <w:pStyle w:val="BodyText"/>
        <w:ind w:left="0"/>
        <w:jc w:val="left"/>
      </w:pPr>
    </w:p>
    <w:p>
      <w:pPr>
        <w:pStyle w:val="ListParagraph"/>
        <w:numPr>
          <w:ilvl w:val="1"/>
          <w:numId w:val="14"/>
        </w:numPr>
        <w:tabs>
          <w:tab w:pos="1199" w:val="left" w:leader="none"/>
        </w:tabs>
        <w:spacing w:line="240" w:lineRule="auto" w:before="0" w:after="0"/>
        <w:ind w:left="1199" w:right="0" w:hanging="719"/>
        <w:jc w:val="both"/>
        <w:rPr>
          <w:sz w:val="24"/>
        </w:rPr>
      </w:pPr>
      <w:r>
        <w:rPr>
          <w:sz w:val="24"/>
        </w:rPr>
        <w:t>Procedure</w:t>
      </w:r>
      <w:r>
        <w:rPr>
          <w:spacing w:val="-2"/>
          <w:sz w:val="24"/>
        </w:rPr>
        <w:t> </w:t>
      </w:r>
      <w:r>
        <w:rPr>
          <w:sz w:val="24"/>
        </w:rPr>
        <w:t>for</w:t>
      </w:r>
      <w:r>
        <w:rPr>
          <w:spacing w:val="4"/>
          <w:sz w:val="24"/>
        </w:rPr>
        <w:t> </w:t>
      </w:r>
      <w:r>
        <w:rPr>
          <w:sz w:val="24"/>
        </w:rPr>
        <w:t>Data</w:t>
      </w:r>
      <w:r>
        <w:rPr>
          <w:spacing w:val="-1"/>
          <w:sz w:val="24"/>
        </w:rPr>
        <w:t> </w:t>
      </w:r>
      <w:r>
        <w:rPr>
          <w:spacing w:val="-2"/>
          <w:sz w:val="24"/>
        </w:rPr>
        <w:t>Collection</w:t>
      </w:r>
    </w:p>
    <w:p>
      <w:pPr>
        <w:pStyle w:val="BodyText"/>
        <w:ind w:left="0"/>
        <w:jc w:val="left"/>
      </w:pPr>
    </w:p>
    <w:p>
      <w:pPr>
        <w:pStyle w:val="ListParagraph"/>
        <w:numPr>
          <w:ilvl w:val="1"/>
          <w:numId w:val="14"/>
        </w:numPr>
        <w:tabs>
          <w:tab w:pos="1199" w:val="left" w:leader="none"/>
        </w:tabs>
        <w:spacing w:line="240" w:lineRule="auto" w:before="0" w:after="0"/>
        <w:ind w:left="1199" w:right="0" w:hanging="719"/>
        <w:jc w:val="both"/>
        <w:rPr>
          <w:sz w:val="24"/>
        </w:rPr>
      </w:pPr>
      <w:r>
        <w:rPr>
          <w:sz w:val="24"/>
        </w:rPr>
        <w:t>Procedure</w:t>
      </w:r>
      <w:r>
        <w:rPr>
          <w:spacing w:val="-2"/>
          <w:sz w:val="24"/>
        </w:rPr>
        <w:t> </w:t>
      </w:r>
      <w:r>
        <w:rPr>
          <w:sz w:val="24"/>
        </w:rPr>
        <w:t>for</w:t>
      </w:r>
      <w:r>
        <w:rPr>
          <w:spacing w:val="1"/>
          <w:sz w:val="24"/>
        </w:rPr>
        <w:t> </w:t>
      </w:r>
      <w:r>
        <w:rPr>
          <w:sz w:val="24"/>
        </w:rPr>
        <w:t>Data</w:t>
      </w:r>
      <w:r>
        <w:rPr>
          <w:spacing w:val="-1"/>
          <w:sz w:val="24"/>
        </w:rPr>
        <w:t> </w:t>
      </w:r>
      <w:r>
        <w:rPr>
          <w:spacing w:val="-2"/>
          <w:sz w:val="24"/>
        </w:rPr>
        <w:t>Analysis</w:t>
      </w:r>
    </w:p>
    <w:p>
      <w:pPr>
        <w:pStyle w:val="BodyText"/>
        <w:spacing w:before="5"/>
        <w:ind w:left="0"/>
        <w:jc w:val="left"/>
      </w:pPr>
    </w:p>
    <w:p>
      <w:pPr>
        <w:pStyle w:val="Heading3"/>
        <w:numPr>
          <w:ilvl w:val="1"/>
          <w:numId w:val="15"/>
        </w:numPr>
        <w:tabs>
          <w:tab w:pos="1199" w:val="left" w:leader="none"/>
        </w:tabs>
        <w:spacing w:line="240" w:lineRule="auto" w:before="0" w:after="0"/>
        <w:ind w:left="1199" w:right="0" w:hanging="719"/>
        <w:jc w:val="both"/>
      </w:pPr>
      <w:r>
        <w:rPr/>
        <w:t>Research</w:t>
      </w:r>
      <w:r>
        <w:rPr>
          <w:spacing w:val="-7"/>
        </w:rPr>
        <w:t> </w:t>
      </w:r>
      <w:r>
        <w:rPr>
          <w:spacing w:val="-2"/>
        </w:rPr>
        <w:t>Design</w:t>
      </w:r>
    </w:p>
    <w:p>
      <w:pPr>
        <w:pStyle w:val="BodyText"/>
        <w:spacing w:line="480" w:lineRule="auto" w:before="272"/>
        <w:ind w:right="1157" w:firstLine="720"/>
      </w:pPr>
      <w:r>
        <w:rPr/>
        <w:t>This study, employed correlational survey design. Correlation research involved the collection of data in order to determine whether and to what degree a relationship exists between two or more quantifiable variables.</w:t>
      </w:r>
      <w:r>
        <w:rPr>
          <w:spacing w:val="80"/>
        </w:rPr>
        <w:t> </w:t>
      </w:r>
      <w:r>
        <w:rPr/>
        <w:t>This research design is chosen because the study is interested in finding the relationship among the variables and in observing what has happened to the sample subjects without any attempt to control or manipulate them.</w:t>
      </w:r>
    </w:p>
    <w:p>
      <w:pPr>
        <w:pStyle w:val="BodyText"/>
        <w:spacing w:before="46"/>
        <w:ind w:left="0"/>
        <w:jc w:val="left"/>
      </w:pPr>
    </w:p>
    <w:p>
      <w:pPr>
        <w:pStyle w:val="Heading3"/>
        <w:numPr>
          <w:ilvl w:val="1"/>
          <w:numId w:val="15"/>
        </w:numPr>
        <w:tabs>
          <w:tab w:pos="1199" w:val="left" w:leader="none"/>
        </w:tabs>
        <w:spacing w:line="240" w:lineRule="auto" w:before="1" w:after="0"/>
        <w:ind w:left="1199" w:right="0" w:hanging="719"/>
        <w:jc w:val="both"/>
      </w:pPr>
      <w:r>
        <w:rPr/>
        <w:t>Population of</w:t>
      </w:r>
      <w:r>
        <w:rPr>
          <w:spacing w:val="-2"/>
        </w:rPr>
        <w:t> </w:t>
      </w:r>
      <w:r>
        <w:rPr/>
        <w:t>the</w:t>
      </w:r>
      <w:r>
        <w:rPr>
          <w:spacing w:val="-1"/>
        </w:rPr>
        <w:t> </w:t>
      </w:r>
      <w:r>
        <w:rPr>
          <w:spacing w:val="-2"/>
        </w:rPr>
        <w:t>Study</w:t>
      </w:r>
    </w:p>
    <w:p>
      <w:pPr>
        <w:pStyle w:val="BodyText"/>
        <w:spacing w:line="480" w:lineRule="auto" w:before="271"/>
        <w:ind w:right="1158" w:firstLine="720"/>
      </w:pPr>
      <w:r>
        <w:rPr/>
        <mc:AlternateContent>
          <mc:Choice Requires="wps">
            <w:drawing>
              <wp:anchor distT="0" distB="0" distL="0" distR="0" allowOverlap="1" layoutInCell="1" locked="0" behindDoc="1" simplePos="0" relativeHeight="484151808">
                <wp:simplePos x="0" y="0"/>
                <wp:positionH relativeFrom="page">
                  <wp:posOffset>3939540</wp:posOffset>
                </wp:positionH>
                <wp:positionV relativeFrom="paragraph">
                  <wp:posOffset>1620780</wp:posOffset>
                </wp:positionV>
                <wp:extent cx="140335" cy="1403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40335" cy="140335"/>
                        </a:xfrm>
                        <a:prstGeom prst="rect">
                          <a:avLst/>
                        </a:prstGeom>
                      </wps:spPr>
                      <wps:txbx>
                        <w:txbxContent>
                          <w:p>
                            <w:pPr>
                              <w:spacing w:line="221" w:lineRule="exact" w:before="0"/>
                              <w:ind w:left="0" w:right="0" w:firstLine="0"/>
                              <w:jc w:val="left"/>
                              <w:rPr>
                                <w:rFonts w:ascii="Calibri"/>
                                <w:sz w:val="22"/>
                              </w:rPr>
                            </w:pPr>
                            <w:r>
                              <w:rPr>
                                <w:rFonts w:ascii="Calibri"/>
                                <w:spacing w:val="-8"/>
                                <w:sz w:val="22"/>
                              </w:rPr>
                              <w:t>86</w:t>
                            </w:r>
                          </w:p>
                        </w:txbxContent>
                      </wps:txbx>
                      <wps:bodyPr wrap="square" lIns="0" tIns="0" rIns="0" bIns="0" rtlCol="0">
                        <a:noAutofit/>
                      </wps:bodyPr>
                    </wps:wsp>
                  </a:graphicData>
                </a:graphic>
              </wp:anchor>
            </w:drawing>
          </mc:Choice>
          <mc:Fallback>
            <w:pict>
              <v:shape style="position:absolute;margin-left:310.200012pt;margin-top:127.620529pt;width:11.05pt;height:11.05pt;mso-position-horizontal-relative:page;mso-position-vertical-relative:paragraph;z-index:-19164672" type="#_x0000_t202" id="docshape12" filled="false" stroked="false">
                <v:textbox inset="0,0,0,0">
                  <w:txbxContent>
                    <w:p>
                      <w:pPr>
                        <w:spacing w:line="221" w:lineRule="exact" w:before="0"/>
                        <w:ind w:left="0" w:right="0" w:firstLine="0"/>
                        <w:jc w:val="left"/>
                        <w:rPr>
                          <w:rFonts w:ascii="Calibri"/>
                          <w:sz w:val="22"/>
                        </w:rPr>
                      </w:pPr>
                      <w:r>
                        <w:rPr>
                          <w:rFonts w:ascii="Calibri"/>
                          <w:spacing w:val="-8"/>
                          <w:sz w:val="22"/>
                        </w:rPr>
                        <w:t>86</w:t>
                      </w:r>
                    </w:p>
                  </w:txbxContent>
                </v:textbox>
                <w10:wrap type="none"/>
              </v:shape>
            </w:pict>
          </mc:Fallback>
        </mc:AlternateContent>
      </w:r>
      <w:r>
        <w:rPr/>
        <w:t>The population of the study comprises of all public co-educational senior secondary school</w:t>
      </w:r>
      <w:r>
        <w:rPr>
          <w:spacing w:val="-1"/>
        </w:rPr>
        <w:t> </w:t>
      </w:r>
      <w:r>
        <w:rPr/>
        <w:t>student (SS II) offering chemistry in Zonkwa Education Zone.</w:t>
      </w:r>
      <w:r>
        <w:rPr>
          <w:spacing w:val="40"/>
        </w:rPr>
        <w:t> </w:t>
      </w:r>
      <w:r>
        <w:rPr/>
        <w:t>The schools</w:t>
      </w:r>
      <w:r>
        <w:rPr>
          <w:spacing w:val="24"/>
        </w:rPr>
        <w:t> </w:t>
      </w:r>
      <w:r>
        <w:rPr/>
        <w:t>are</w:t>
      </w:r>
      <w:r>
        <w:rPr>
          <w:spacing w:val="32"/>
        </w:rPr>
        <w:t> </w:t>
      </w:r>
      <w:r>
        <w:rPr/>
        <w:t>fifteen</w:t>
      </w:r>
      <w:r>
        <w:rPr>
          <w:spacing w:val="28"/>
        </w:rPr>
        <w:t> </w:t>
      </w:r>
      <w:r>
        <w:rPr/>
        <w:t>in</w:t>
      </w:r>
      <w:r>
        <w:rPr>
          <w:spacing w:val="33"/>
        </w:rPr>
        <w:t> </w:t>
      </w:r>
      <w:r>
        <w:rPr/>
        <w:t>number,</w:t>
      </w:r>
      <w:r>
        <w:rPr>
          <w:spacing w:val="30"/>
        </w:rPr>
        <w:t> </w:t>
      </w:r>
      <w:r>
        <w:rPr/>
        <w:t>with</w:t>
      </w:r>
      <w:r>
        <w:rPr>
          <w:spacing w:val="28"/>
        </w:rPr>
        <w:t> </w:t>
      </w:r>
      <w:r>
        <w:rPr/>
        <w:t>students</w:t>
      </w:r>
      <w:r>
        <w:rPr>
          <w:spacing w:val="26"/>
        </w:rPr>
        <w:t> </w:t>
      </w:r>
      <w:r>
        <w:rPr/>
        <w:t>population</w:t>
      </w:r>
      <w:r>
        <w:rPr>
          <w:spacing w:val="24"/>
        </w:rPr>
        <w:t> </w:t>
      </w:r>
      <w:r>
        <w:rPr/>
        <w:t>of</w:t>
      </w:r>
      <w:r>
        <w:rPr>
          <w:spacing w:val="26"/>
        </w:rPr>
        <w:t> </w:t>
      </w:r>
      <w:r>
        <w:rPr/>
        <w:t>413</w:t>
      </w:r>
      <w:r>
        <w:rPr>
          <w:spacing w:val="28"/>
        </w:rPr>
        <w:t> </w:t>
      </w:r>
      <w:r>
        <w:rPr/>
        <w:t>(246</w:t>
      </w:r>
      <w:r>
        <w:rPr>
          <w:spacing w:val="34"/>
        </w:rPr>
        <w:t> </w:t>
      </w:r>
      <w:r>
        <w:rPr/>
        <w:t>males</w:t>
      </w:r>
      <w:r>
        <w:rPr>
          <w:spacing w:val="31"/>
        </w:rPr>
        <w:t> </w:t>
      </w:r>
      <w:r>
        <w:rPr/>
        <w:t>and</w:t>
      </w:r>
      <w:r>
        <w:rPr>
          <w:spacing w:val="30"/>
        </w:rPr>
        <w:t> </w:t>
      </w:r>
      <w:r>
        <w:rPr>
          <w:spacing w:val="-5"/>
        </w:rPr>
        <w:t>167</w:t>
      </w:r>
    </w:p>
    <w:p>
      <w:pPr>
        <w:pStyle w:val="BodyText"/>
        <w:spacing w:before="6"/>
        <w:ind w:left="0"/>
        <w:jc w:val="left"/>
        <w:rPr>
          <w:sz w:val="13"/>
        </w:rPr>
      </w:pPr>
      <w:r>
        <w:rPr/>
        <mc:AlternateContent>
          <mc:Choice Requires="wps">
            <w:drawing>
              <wp:anchor distT="0" distB="0" distL="0" distR="0" allowOverlap="1" layoutInCell="1" locked="0" behindDoc="1" simplePos="0" relativeHeight="487590912">
                <wp:simplePos x="0" y="0"/>
                <wp:positionH relativeFrom="page">
                  <wp:posOffset>3667125</wp:posOffset>
                </wp:positionH>
                <wp:positionV relativeFrom="paragraph">
                  <wp:posOffset>114065</wp:posOffset>
                </wp:positionV>
                <wp:extent cx="914400" cy="91440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914400" cy="914400"/>
                        </a:xfrm>
                        <a:custGeom>
                          <a:avLst/>
                          <a:gdLst/>
                          <a:ahLst/>
                          <a:cxnLst/>
                          <a:rect l="l" t="t" r="r" b="b"/>
                          <a:pathLst>
                            <a:path w="914400" h="914400">
                              <a:moveTo>
                                <a:pt x="914400" y="0"/>
                              </a:moveTo>
                              <a:lnTo>
                                <a:pt x="0" y="0"/>
                              </a:lnTo>
                              <a:lnTo>
                                <a:pt x="0" y="914399"/>
                              </a:lnTo>
                              <a:lnTo>
                                <a:pt x="914400" y="914399"/>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88.75pt;margin-top:8.981563pt;width:72pt;height:72pt;mso-position-horizontal-relative:page;mso-position-vertical-relative:paragraph;z-index:-15725568;mso-wrap-distance-left:0;mso-wrap-distance-right:0" id="docshape13" filled="true" fillcolor="#ffffff" stroked="false">
                <v:fill type="solid"/>
                <w10:wrap type="topAndBottom"/>
              </v:rect>
            </w:pict>
          </mc:Fallback>
        </mc:AlternateContent>
      </w:r>
    </w:p>
    <w:p>
      <w:pPr>
        <w:spacing w:after="0"/>
        <w:jc w:val="left"/>
        <w:rPr>
          <w:sz w:val="13"/>
        </w:rPr>
        <w:sectPr>
          <w:footerReference w:type="default" r:id="rId15"/>
          <w:pgSz w:w="11910" w:h="16840"/>
          <w:pgMar w:header="0" w:footer="0" w:top="1340" w:bottom="0" w:left="1680" w:right="280"/>
        </w:sectPr>
      </w:pPr>
    </w:p>
    <w:p>
      <w:pPr>
        <w:pStyle w:val="BodyText"/>
        <w:spacing w:line="480" w:lineRule="auto" w:before="74"/>
        <w:ind w:right="1170"/>
        <w:jc w:val="left"/>
      </w:pPr>
      <w:r>
        <w:rPr/>
        <w:t>females)</w:t>
      </w:r>
      <w:r>
        <w:rPr>
          <w:spacing w:val="26"/>
        </w:rPr>
        <w:t> </w:t>
      </w:r>
      <w:r>
        <w:rPr/>
        <w:t>of average</w:t>
      </w:r>
      <w:r>
        <w:rPr>
          <w:spacing w:val="23"/>
        </w:rPr>
        <w:t> </w:t>
      </w:r>
      <w:r>
        <w:rPr/>
        <w:t>age</w:t>
      </w:r>
      <w:r>
        <w:rPr>
          <w:spacing w:val="23"/>
        </w:rPr>
        <w:t> </w:t>
      </w:r>
      <w:r>
        <w:rPr/>
        <w:t>of 17</w:t>
      </w:r>
      <w:r>
        <w:rPr>
          <w:spacing w:val="28"/>
        </w:rPr>
        <w:t> </w:t>
      </w:r>
      <w:r>
        <w:rPr/>
        <w:t>years,</w:t>
      </w:r>
      <w:r>
        <w:rPr>
          <w:spacing w:val="26"/>
        </w:rPr>
        <w:t> </w:t>
      </w:r>
      <w:r>
        <w:rPr/>
        <w:t>with</w:t>
      </w:r>
      <w:r>
        <w:rPr>
          <w:spacing w:val="24"/>
        </w:rPr>
        <w:t> </w:t>
      </w:r>
      <w:r>
        <w:rPr/>
        <w:t>five</w:t>
      </w:r>
      <w:r>
        <w:rPr>
          <w:spacing w:val="23"/>
        </w:rPr>
        <w:t> </w:t>
      </w:r>
      <w:r>
        <w:rPr/>
        <w:t>(5)</w:t>
      </w:r>
      <w:r>
        <w:rPr>
          <w:spacing w:val="25"/>
        </w:rPr>
        <w:t> </w:t>
      </w:r>
      <w:r>
        <w:rPr/>
        <w:t>urban</w:t>
      </w:r>
      <w:r>
        <w:rPr>
          <w:spacing w:val="32"/>
        </w:rPr>
        <w:t> </w:t>
      </w:r>
      <w:r>
        <w:rPr/>
        <w:t>and</w:t>
      </w:r>
      <w:r>
        <w:rPr>
          <w:spacing w:val="24"/>
        </w:rPr>
        <w:t> </w:t>
      </w:r>
      <w:r>
        <w:rPr/>
        <w:t>ten (10)</w:t>
      </w:r>
      <w:r>
        <w:rPr>
          <w:spacing w:val="25"/>
        </w:rPr>
        <w:t> </w:t>
      </w:r>
      <w:r>
        <w:rPr/>
        <w:t>rural schools. Detail of the population of this study is in Table 3.1.</w:t>
      </w:r>
    </w:p>
    <w:p>
      <w:pPr>
        <w:pStyle w:val="Heading3"/>
        <w:spacing w:before="5"/>
        <w:ind w:left="480" w:firstLine="0"/>
        <w:jc w:val="left"/>
      </w:pPr>
      <w:r>
        <w:rPr/>
        <w:t>Table</w:t>
      </w:r>
      <w:r>
        <w:rPr>
          <w:spacing w:val="-2"/>
        </w:rPr>
        <w:t> </w:t>
      </w:r>
      <w:r>
        <w:rPr/>
        <w:t>3.1:</w:t>
      </w:r>
      <w:r>
        <w:rPr>
          <w:spacing w:val="59"/>
        </w:rPr>
        <w:t> </w:t>
      </w:r>
      <w:r>
        <w:rPr/>
        <w:t>Population</w:t>
      </w:r>
      <w:r>
        <w:rPr>
          <w:spacing w:val="1"/>
        </w:rPr>
        <w:t> </w:t>
      </w:r>
      <w:r>
        <w:rPr/>
        <w:t>of</w:t>
      </w:r>
      <w:r>
        <w:rPr>
          <w:spacing w:val="-4"/>
        </w:rPr>
        <w:t> </w:t>
      </w:r>
      <w:r>
        <w:rPr/>
        <w:t>the</w:t>
      </w:r>
      <w:r>
        <w:rPr>
          <w:spacing w:val="-1"/>
        </w:rPr>
        <w:t> </w:t>
      </w:r>
      <w:r>
        <w:rPr>
          <w:spacing w:val="-2"/>
        </w:rPr>
        <w:t>Study</w:t>
      </w:r>
    </w:p>
    <w:p>
      <w:pPr>
        <w:pStyle w:val="BodyText"/>
        <w:spacing w:before="49"/>
        <w:ind w:left="0"/>
        <w:jc w:val="left"/>
        <w:rPr>
          <w:b/>
          <w:sz w:val="20"/>
        </w:rPr>
      </w:pPr>
    </w:p>
    <w:tbl>
      <w:tblPr>
        <w:tblW w:w="0" w:type="auto"/>
        <w:jc w:val="left"/>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5"/>
        <w:gridCol w:w="2849"/>
        <w:gridCol w:w="1756"/>
        <w:gridCol w:w="1887"/>
        <w:gridCol w:w="1580"/>
      </w:tblGrid>
      <w:tr>
        <w:trPr>
          <w:trHeight w:val="316" w:hRule="atLeast"/>
        </w:trPr>
        <w:tc>
          <w:tcPr>
            <w:tcW w:w="965" w:type="dxa"/>
            <w:tcBorders>
              <w:top w:val="single" w:sz="4" w:space="0" w:color="000000"/>
              <w:bottom w:val="single" w:sz="4" w:space="0" w:color="000000"/>
            </w:tcBorders>
          </w:tcPr>
          <w:p>
            <w:pPr>
              <w:pStyle w:val="TableParagraph"/>
              <w:spacing w:line="273" w:lineRule="exact"/>
              <w:ind w:left="124"/>
              <w:rPr>
                <w:b/>
                <w:sz w:val="24"/>
              </w:rPr>
            </w:pPr>
            <w:r>
              <w:rPr>
                <w:b/>
                <w:spacing w:val="-4"/>
                <w:sz w:val="24"/>
              </w:rPr>
              <w:t>S/No</w:t>
            </w:r>
          </w:p>
        </w:tc>
        <w:tc>
          <w:tcPr>
            <w:tcW w:w="2849" w:type="dxa"/>
            <w:tcBorders>
              <w:top w:val="single" w:sz="4" w:space="0" w:color="000000"/>
              <w:bottom w:val="single" w:sz="4" w:space="0" w:color="000000"/>
            </w:tcBorders>
          </w:tcPr>
          <w:p>
            <w:pPr>
              <w:pStyle w:val="TableParagraph"/>
              <w:spacing w:line="273" w:lineRule="exact"/>
              <w:ind w:left="345"/>
              <w:rPr>
                <w:b/>
                <w:sz w:val="24"/>
              </w:rPr>
            </w:pPr>
            <w:r>
              <w:rPr>
                <w:b/>
                <w:sz w:val="24"/>
              </w:rPr>
              <w:t>Name</w:t>
            </w:r>
            <w:r>
              <w:rPr>
                <w:b/>
                <w:spacing w:val="-2"/>
                <w:sz w:val="24"/>
              </w:rPr>
              <w:t> </w:t>
            </w:r>
            <w:r>
              <w:rPr>
                <w:b/>
                <w:sz w:val="24"/>
              </w:rPr>
              <w:t>of</w:t>
            </w:r>
            <w:r>
              <w:rPr>
                <w:b/>
                <w:spacing w:val="-2"/>
                <w:sz w:val="24"/>
              </w:rPr>
              <w:t> school</w:t>
            </w:r>
          </w:p>
        </w:tc>
        <w:tc>
          <w:tcPr>
            <w:tcW w:w="1756" w:type="dxa"/>
            <w:tcBorders>
              <w:top w:val="single" w:sz="4" w:space="0" w:color="000000"/>
              <w:bottom w:val="single" w:sz="4" w:space="0" w:color="000000"/>
            </w:tcBorders>
          </w:tcPr>
          <w:p>
            <w:pPr>
              <w:pStyle w:val="TableParagraph"/>
              <w:spacing w:line="273" w:lineRule="exact"/>
              <w:ind w:left="627"/>
              <w:rPr>
                <w:b/>
                <w:sz w:val="24"/>
              </w:rPr>
            </w:pPr>
            <w:r>
              <w:rPr>
                <w:b/>
                <w:spacing w:val="-4"/>
                <w:sz w:val="24"/>
              </w:rPr>
              <w:t>Male</w:t>
            </w:r>
          </w:p>
        </w:tc>
        <w:tc>
          <w:tcPr>
            <w:tcW w:w="1887" w:type="dxa"/>
            <w:tcBorders>
              <w:top w:val="single" w:sz="4" w:space="0" w:color="000000"/>
              <w:bottom w:val="single" w:sz="4" w:space="0" w:color="000000"/>
            </w:tcBorders>
          </w:tcPr>
          <w:p>
            <w:pPr>
              <w:pStyle w:val="TableParagraph"/>
              <w:spacing w:line="273" w:lineRule="exact"/>
              <w:ind w:left="610"/>
              <w:rPr>
                <w:b/>
                <w:sz w:val="24"/>
              </w:rPr>
            </w:pPr>
            <w:r>
              <w:rPr>
                <w:b/>
                <w:spacing w:val="-2"/>
                <w:sz w:val="24"/>
              </w:rPr>
              <w:t>Female</w:t>
            </w:r>
          </w:p>
        </w:tc>
        <w:tc>
          <w:tcPr>
            <w:tcW w:w="1580" w:type="dxa"/>
            <w:tcBorders>
              <w:top w:val="single" w:sz="4" w:space="0" w:color="000000"/>
              <w:bottom w:val="single" w:sz="4" w:space="0" w:color="000000"/>
            </w:tcBorders>
          </w:tcPr>
          <w:p>
            <w:pPr>
              <w:pStyle w:val="TableParagraph"/>
              <w:spacing w:line="273" w:lineRule="exact"/>
              <w:ind w:left="537"/>
              <w:rPr>
                <w:b/>
                <w:sz w:val="24"/>
              </w:rPr>
            </w:pPr>
            <w:r>
              <w:rPr>
                <w:b/>
                <w:spacing w:val="-2"/>
                <w:sz w:val="24"/>
              </w:rPr>
              <w:t>Total</w:t>
            </w:r>
          </w:p>
        </w:tc>
      </w:tr>
      <w:tr>
        <w:trPr>
          <w:trHeight w:val="293" w:hRule="atLeast"/>
        </w:trPr>
        <w:tc>
          <w:tcPr>
            <w:tcW w:w="965" w:type="dxa"/>
            <w:tcBorders>
              <w:top w:val="single" w:sz="4" w:space="0" w:color="000000"/>
            </w:tcBorders>
          </w:tcPr>
          <w:p>
            <w:pPr>
              <w:pStyle w:val="TableParagraph"/>
              <w:spacing w:line="268" w:lineRule="exact"/>
              <w:ind w:left="124"/>
              <w:rPr>
                <w:sz w:val="24"/>
              </w:rPr>
            </w:pPr>
            <w:r>
              <w:rPr>
                <w:spacing w:val="-10"/>
                <w:sz w:val="24"/>
              </w:rPr>
              <w:t>1</w:t>
            </w:r>
          </w:p>
        </w:tc>
        <w:tc>
          <w:tcPr>
            <w:tcW w:w="2849" w:type="dxa"/>
            <w:tcBorders>
              <w:top w:val="single" w:sz="4" w:space="0" w:color="000000"/>
            </w:tcBorders>
          </w:tcPr>
          <w:p>
            <w:pPr>
              <w:pStyle w:val="TableParagraph"/>
              <w:spacing w:line="268" w:lineRule="exact"/>
              <w:ind w:left="345"/>
              <w:rPr>
                <w:sz w:val="24"/>
              </w:rPr>
            </w:pPr>
            <w:r>
              <w:rPr>
                <w:sz w:val="24"/>
              </w:rPr>
              <w:t>G.S.S</w:t>
            </w:r>
            <w:r>
              <w:rPr>
                <w:spacing w:val="-1"/>
                <w:sz w:val="24"/>
              </w:rPr>
              <w:t> </w:t>
            </w:r>
            <w:r>
              <w:rPr>
                <w:spacing w:val="-2"/>
                <w:sz w:val="24"/>
              </w:rPr>
              <w:t>Farman</w:t>
            </w:r>
          </w:p>
        </w:tc>
        <w:tc>
          <w:tcPr>
            <w:tcW w:w="1756" w:type="dxa"/>
            <w:tcBorders>
              <w:top w:val="single" w:sz="4" w:space="0" w:color="000000"/>
            </w:tcBorders>
          </w:tcPr>
          <w:p>
            <w:pPr>
              <w:pStyle w:val="TableParagraph"/>
              <w:spacing w:line="268" w:lineRule="exact"/>
              <w:ind w:left="565"/>
              <w:rPr>
                <w:sz w:val="24"/>
              </w:rPr>
            </w:pPr>
            <w:r>
              <w:rPr>
                <w:spacing w:val="-5"/>
                <w:sz w:val="24"/>
              </w:rPr>
              <w:t>18</w:t>
            </w:r>
          </w:p>
        </w:tc>
        <w:tc>
          <w:tcPr>
            <w:tcW w:w="1887" w:type="dxa"/>
            <w:tcBorders>
              <w:top w:val="single" w:sz="4" w:space="0" w:color="000000"/>
            </w:tcBorders>
          </w:tcPr>
          <w:p>
            <w:pPr>
              <w:pStyle w:val="TableParagraph"/>
              <w:spacing w:line="268" w:lineRule="exact"/>
              <w:ind w:left="610"/>
              <w:rPr>
                <w:sz w:val="24"/>
              </w:rPr>
            </w:pPr>
            <w:r>
              <w:rPr>
                <w:spacing w:val="-5"/>
                <w:sz w:val="24"/>
              </w:rPr>
              <w:t>14</w:t>
            </w:r>
          </w:p>
        </w:tc>
        <w:tc>
          <w:tcPr>
            <w:tcW w:w="1580" w:type="dxa"/>
            <w:tcBorders>
              <w:top w:val="single" w:sz="4" w:space="0" w:color="000000"/>
            </w:tcBorders>
          </w:tcPr>
          <w:p>
            <w:pPr>
              <w:pStyle w:val="TableParagraph"/>
              <w:spacing w:line="268" w:lineRule="exact"/>
              <w:ind w:left="537"/>
              <w:rPr>
                <w:sz w:val="24"/>
              </w:rPr>
            </w:pPr>
            <w:r>
              <w:rPr>
                <w:spacing w:val="-5"/>
                <w:sz w:val="24"/>
              </w:rPr>
              <w:t>32</w:t>
            </w:r>
          </w:p>
        </w:tc>
      </w:tr>
      <w:tr>
        <w:trPr>
          <w:trHeight w:val="316" w:hRule="atLeast"/>
        </w:trPr>
        <w:tc>
          <w:tcPr>
            <w:tcW w:w="965" w:type="dxa"/>
          </w:tcPr>
          <w:p>
            <w:pPr>
              <w:pStyle w:val="TableParagraph"/>
              <w:spacing w:before="15"/>
              <w:ind w:left="124"/>
              <w:rPr>
                <w:sz w:val="24"/>
              </w:rPr>
            </w:pPr>
            <w:r>
              <w:rPr>
                <w:spacing w:val="-10"/>
                <w:sz w:val="24"/>
              </w:rPr>
              <w:t>2</w:t>
            </w:r>
          </w:p>
        </w:tc>
        <w:tc>
          <w:tcPr>
            <w:tcW w:w="2849" w:type="dxa"/>
          </w:tcPr>
          <w:p>
            <w:pPr>
              <w:pStyle w:val="TableParagraph"/>
              <w:spacing w:before="15"/>
              <w:ind w:left="345"/>
              <w:rPr>
                <w:sz w:val="24"/>
              </w:rPr>
            </w:pPr>
            <w:r>
              <w:rPr>
                <w:sz w:val="24"/>
              </w:rPr>
              <w:t>GTC</w:t>
            </w:r>
            <w:r>
              <w:rPr>
                <w:spacing w:val="-1"/>
                <w:sz w:val="24"/>
              </w:rPr>
              <w:t> </w:t>
            </w:r>
            <w:r>
              <w:rPr>
                <w:spacing w:val="-4"/>
                <w:sz w:val="24"/>
              </w:rPr>
              <w:t>Abet</w:t>
            </w:r>
          </w:p>
        </w:tc>
        <w:tc>
          <w:tcPr>
            <w:tcW w:w="1756" w:type="dxa"/>
          </w:tcPr>
          <w:p>
            <w:pPr>
              <w:pStyle w:val="TableParagraph"/>
              <w:spacing w:before="15"/>
              <w:ind w:left="565"/>
              <w:rPr>
                <w:sz w:val="24"/>
              </w:rPr>
            </w:pPr>
            <w:r>
              <w:rPr>
                <w:spacing w:val="-5"/>
                <w:sz w:val="24"/>
              </w:rPr>
              <w:t>25</w:t>
            </w:r>
          </w:p>
        </w:tc>
        <w:tc>
          <w:tcPr>
            <w:tcW w:w="1887" w:type="dxa"/>
          </w:tcPr>
          <w:p>
            <w:pPr>
              <w:pStyle w:val="TableParagraph"/>
              <w:spacing w:before="15"/>
              <w:ind w:left="610"/>
              <w:rPr>
                <w:sz w:val="24"/>
              </w:rPr>
            </w:pPr>
            <w:r>
              <w:rPr>
                <w:spacing w:val="-5"/>
                <w:sz w:val="24"/>
              </w:rPr>
              <w:t>10</w:t>
            </w:r>
          </w:p>
        </w:tc>
        <w:tc>
          <w:tcPr>
            <w:tcW w:w="1580" w:type="dxa"/>
          </w:tcPr>
          <w:p>
            <w:pPr>
              <w:pStyle w:val="TableParagraph"/>
              <w:spacing w:before="15"/>
              <w:ind w:left="537"/>
              <w:rPr>
                <w:sz w:val="24"/>
              </w:rPr>
            </w:pPr>
            <w:r>
              <w:rPr>
                <w:spacing w:val="-5"/>
                <w:sz w:val="24"/>
              </w:rPr>
              <w:t>35</w:t>
            </w:r>
          </w:p>
        </w:tc>
      </w:tr>
      <w:tr>
        <w:trPr>
          <w:trHeight w:val="319" w:hRule="atLeast"/>
        </w:trPr>
        <w:tc>
          <w:tcPr>
            <w:tcW w:w="965" w:type="dxa"/>
          </w:tcPr>
          <w:p>
            <w:pPr>
              <w:pStyle w:val="TableParagraph"/>
              <w:spacing w:before="15"/>
              <w:ind w:left="124"/>
              <w:rPr>
                <w:sz w:val="24"/>
              </w:rPr>
            </w:pPr>
            <w:r>
              <w:rPr>
                <w:spacing w:val="-10"/>
                <w:sz w:val="24"/>
              </w:rPr>
              <w:t>3</w:t>
            </w:r>
          </w:p>
        </w:tc>
        <w:tc>
          <w:tcPr>
            <w:tcW w:w="2849" w:type="dxa"/>
          </w:tcPr>
          <w:p>
            <w:pPr>
              <w:pStyle w:val="TableParagraph"/>
              <w:spacing w:before="15"/>
              <w:ind w:left="345"/>
              <w:rPr>
                <w:sz w:val="24"/>
              </w:rPr>
            </w:pPr>
            <w:r>
              <w:rPr>
                <w:sz w:val="24"/>
              </w:rPr>
              <w:t>GSS</w:t>
            </w:r>
            <w:r>
              <w:rPr>
                <w:spacing w:val="1"/>
                <w:sz w:val="24"/>
              </w:rPr>
              <w:t> </w:t>
            </w:r>
            <w:r>
              <w:rPr>
                <w:spacing w:val="-2"/>
                <w:sz w:val="24"/>
              </w:rPr>
              <w:t>Fanjim</w:t>
            </w:r>
          </w:p>
        </w:tc>
        <w:tc>
          <w:tcPr>
            <w:tcW w:w="1756" w:type="dxa"/>
          </w:tcPr>
          <w:p>
            <w:pPr>
              <w:pStyle w:val="TableParagraph"/>
              <w:spacing w:before="15"/>
              <w:ind w:left="565"/>
              <w:rPr>
                <w:sz w:val="24"/>
              </w:rPr>
            </w:pPr>
            <w:r>
              <w:rPr>
                <w:spacing w:val="-5"/>
                <w:sz w:val="24"/>
              </w:rPr>
              <w:t>10</w:t>
            </w:r>
          </w:p>
        </w:tc>
        <w:tc>
          <w:tcPr>
            <w:tcW w:w="1887" w:type="dxa"/>
          </w:tcPr>
          <w:p>
            <w:pPr>
              <w:pStyle w:val="TableParagraph"/>
              <w:spacing w:before="15"/>
              <w:ind w:left="610"/>
              <w:rPr>
                <w:sz w:val="24"/>
              </w:rPr>
            </w:pPr>
            <w:r>
              <w:rPr>
                <w:spacing w:val="-5"/>
                <w:sz w:val="24"/>
              </w:rPr>
              <w:t>11</w:t>
            </w:r>
          </w:p>
        </w:tc>
        <w:tc>
          <w:tcPr>
            <w:tcW w:w="1580" w:type="dxa"/>
          </w:tcPr>
          <w:p>
            <w:pPr>
              <w:pStyle w:val="TableParagraph"/>
              <w:spacing w:before="15"/>
              <w:ind w:left="537"/>
              <w:rPr>
                <w:sz w:val="24"/>
              </w:rPr>
            </w:pPr>
            <w:r>
              <w:rPr>
                <w:spacing w:val="-5"/>
                <w:sz w:val="24"/>
              </w:rPr>
              <w:t>21</w:t>
            </w:r>
          </w:p>
        </w:tc>
      </w:tr>
      <w:tr>
        <w:trPr>
          <w:trHeight w:val="319" w:hRule="atLeast"/>
        </w:trPr>
        <w:tc>
          <w:tcPr>
            <w:tcW w:w="965" w:type="dxa"/>
          </w:tcPr>
          <w:p>
            <w:pPr>
              <w:pStyle w:val="TableParagraph"/>
              <w:spacing w:before="17"/>
              <w:ind w:left="124"/>
              <w:rPr>
                <w:sz w:val="24"/>
              </w:rPr>
            </w:pPr>
            <w:r>
              <w:rPr>
                <w:spacing w:val="-10"/>
                <w:sz w:val="24"/>
              </w:rPr>
              <w:t>4</w:t>
            </w:r>
          </w:p>
        </w:tc>
        <w:tc>
          <w:tcPr>
            <w:tcW w:w="2849" w:type="dxa"/>
          </w:tcPr>
          <w:p>
            <w:pPr>
              <w:pStyle w:val="TableParagraph"/>
              <w:spacing w:before="17"/>
              <w:ind w:left="345"/>
              <w:rPr>
                <w:sz w:val="24"/>
              </w:rPr>
            </w:pPr>
            <w:r>
              <w:rPr>
                <w:sz w:val="24"/>
              </w:rPr>
              <w:t>GSS</w:t>
            </w:r>
            <w:r>
              <w:rPr>
                <w:spacing w:val="1"/>
                <w:sz w:val="24"/>
              </w:rPr>
              <w:t> </w:t>
            </w:r>
            <w:r>
              <w:rPr>
                <w:spacing w:val="-2"/>
                <w:sz w:val="24"/>
              </w:rPr>
              <w:t>Marsa</w:t>
            </w:r>
          </w:p>
        </w:tc>
        <w:tc>
          <w:tcPr>
            <w:tcW w:w="1756" w:type="dxa"/>
          </w:tcPr>
          <w:p>
            <w:pPr>
              <w:pStyle w:val="TableParagraph"/>
              <w:spacing w:before="17"/>
              <w:ind w:left="565"/>
              <w:rPr>
                <w:sz w:val="24"/>
              </w:rPr>
            </w:pPr>
            <w:r>
              <w:rPr>
                <w:spacing w:val="-5"/>
                <w:sz w:val="24"/>
              </w:rPr>
              <w:t>11</w:t>
            </w:r>
          </w:p>
        </w:tc>
        <w:tc>
          <w:tcPr>
            <w:tcW w:w="1887" w:type="dxa"/>
          </w:tcPr>
          <w:p>
            <w:pPr>
              <w:pStyle w:val="TableParagraph"/>
              <w:spacing w:before="17"/>
              <w:ind w:left="610"/>
              <w:rPr>
                <w:sz w:val="24"/>
              </w:rPr>
            </w:pPr>
            <w:r>
              <w:rPr>
                <w:spacing w:val="-10"/>
                <w:sz w:val="24"/>
              </w:rPr>
              <w:t>6</w:t>
            </w:r>
          </w:p>
        </w:tc>
        <w:tc>
          <w:tcPr>
            <w:tcW w:w="1580" w:type="dxa"/>
          </w:tcPr>
          <w:p>
            <w:pPr>
              <w:pStyle w:val="TableParagraph"/>
              <w:spacing w:before="17"/>
              <w:ind w:left="537"/>
              <w:rPr>
                <w:sz w:val="24"/>
              </w:rPr>
            </w:pPr>
            <w:r>
              <w:rPr>
                <w:spacing w:val="-5"/>
                <w:sz w:val="24"/>
              </w:rPr>
              <w:t>17</w:t>
            </w:r>
          </w:p>
        </w:tc>
      </w:tr>
      <w:tr>
        <w:trPr>
          <w:trHeight w:val="316" w:hRule="atLeast"/>
        </w:trPr>
        <w:tc>
          <w:tcPr>
            <w:tcW w:w="965" w:type="dxa"/>
          </w:tcPr>
          <w:p>
            <w:pPr>
              <w:pStyle w:val="TableParagraph"/>
              <w:spacing w:before="15"/>
              <w:ind w:left="124"/>
              <w:rPr>
                <w:sz w:val="24"/>
              </w:rPr>
            </w:pPr>
            <w:r>
              <w:rPr>
                <w:spacing w:val="-10"/>
                <w:sz w:val="24"/>
              </w:rPr>
              <w:t>5</w:t>
            </w:r>
          </w:p>
        </w:tc>
        <w:tc>
          <w:tcPr>
            <w:tcW w:w="2849" w:type="dxa"/>
          </w:tcPr>
          <w:p>
            <w:pPr>
              <w:pStyle w:val="TableParagraph"/>
              <w:spacing w:before="15"/>
              <w:ind w:left="345"/>
              <w:rPr>
                <w:sz w:val="24"/>
              </w:rPr>
            </w:pPr>
            <w:r>
              <w:rPr>
                <w:sz w:val="24"/>
              </w:rPr>
              <w:t>GSS</w:t>
            </w:r>
            <w:r>
              <w:rPr>
                <w:spacing w:val="-4"/>
                <w:sz w:val="24"/>
              </w:rPr>
              <w:t> </w:t>
            </w:r>
            <w:r>
              <w:rPr>
                <w:sz w:val="24"/>
              </w:rPr>
              <w:t>Anchuna</w:t>
            </w:r>
            <w:r>
              <w:rPr>
                <w:spacing w:val="-3"/>
                <w:sz w:val="24"/>
              </w:rPr>
              <w:t> </w:t>
            </w:r>
            <w:r>
              <w:rPr>
                <w:spacing w:val="-4"/>
                <w:sz w:val="24"/>
              </w:rPr>
              <w:t>Sarki</w:t>
            </w:r>
          </w:p>
        </w:tc>
        <w:tc>
          <w:tcPr>
            <w:tcW w:w="1756" w:type="dxa"/>
          </w:tcPr>
          <w:p>
            <w:pPr>
              <w:pStyle w:val="TableParagraph"/>
              <w:spacing w:before="15"/>
              <w:ind w:left="565"/>
              <w:rPr>
                <w:sz w:val="24"/>
              </w:rPr>
            </w:pPr>
            <w:r>
              <w:rPr>
                <w:spacing w:val="-5"/>
                <w:sz w:val="24"/>
              </w:rPr>
              <w:t>12</w:t>
            </w:r>
          </w:p>
        </w:tc>
        <w:tc>
          <w:tcPr>
            <w:tcW w:w="1887" w:type="dxa"/>
          </w:tcPr>
          <w:p>
            <w:pPr>
              <w:pStyle w:val="TableParagraph"/>
              <w:spacing w:before="15"/>
              <w:ind w:left="610"/>
              <w:rPr>
                <w:sz w:val="24"/>
              </w:rPr>
            </w:pPr>
            <w:r>
              <w:rPr>
                <w:spacing w:val="-10"/>
                <w:sz w:val="24"/>
              </w:rPr>
              <w:t>8</w:t>
            </w:r>
          </w:p>
        </w:tc>
        <w:tc>
          <w:tcPr>
            <w:tcW w:w="1580" w:type="dxa"/>
          </w:tcPr>
          <w:p>
            <w:pPr>
              <w:pStyle w:val="TableParagraph"/>
              <w:spacing w:before="15"/>
              <w:ind w:left="537"/>
              <w:rPr>
                <w:sz w:val="24"/>
              </w:rPr>
            </w:pPr>
            <w:r>
              <w:rPr>
                <w:spacing w:val="-5"/>
                <w:sz w:val="24"/>
              </w:rPr>
              <w:t>20</w:t>
            </w:r>
          </w:p>
        </w:tc>
      </w:tr>
      <w:tr>
        <w:trPr>
          <w:trHeight w:val="316" w:hRule="atLeast"/>
        </w:trPr>
        <w:tc>
          <w:tcPr>
            <w:tcW w:w="965" w:type="dxa"/>
          </w:tcPr>
          <w:p>
            <w:pPr>
              <w:pStyle w:val="TableParagraph"/>
              <w:spacing w:before="15"/>
              <w:ind w:left="124"/>
              <w:rPr>
                <w:sz w:val="24"/>
              </w:rPr>
            </w:pPr>
            <w:r>
              <w:rPr>
                <w:spacing w:val="-10"/>
                <w:sz w:val="24"/>
              </w:rPr>
              <w:t>6</w:t>
            </w:r>
          </w:p>
        </w:tc>
        <w:tc>
          <w:tcPr>
            <w:tcW w:w="2849" w:type="dxa"/>
          </w:tcPr>
          <w:p>
            <w:pPr>
              <w:pStyle w:val="TableParagraph"/>
              <w:spacing w:before="15"/>
              <w:ind w:left="345"/>
              <w:rPr>
                <w:sz w:val="24"/>
              </w:rPr>
            </w:pPr>
            <w:r>
              <w:rPr>
                <w:sz w:val="24"/>
              </w:rPr>
              <w:t>TBMC</w:t>
            </w:r>
            <w:r>
              <w:rPr>
                <w:spacing w:val="-4"/>
                <w:sz w:val="24"/>
              </w:rPr>
              <w:t> </w:t>
            </w:r>
            <w:r>
              <w:rPr>
                <w:spacing w:val="-2"/>
                <w:sz w:val="24"/>
              </w:rPr>
              <w:t>Samaru</w:t>
            </w:r>
          </w:p>
        </w:tc>
        <w:tc>
          <w:tcPr>
            <w:tcW w:w="1756" w:type="dxa"/>
          </w:tcPr>
          <w:p>
            <w:pPr>
              <w:pStyle w:val="TableParagraph"/>
              <w:spacing w:before="15"/>
              <w:ind w:left="565"/>
              <w:rPr>
                <w:sz w:val="24"/>
              </w:rPr>
            </w:pPr>
            <w:r>
              <w:rPr>
                <w:spacing w:val="-5"/>
                <w:sz w:val="24"/>
              </w:rPr>
              <w:t>20</w:t>
            </w:r>
          </w:p>
        </w:tc>
        <w:tc>
          <w:tcPr>
            <w:tcW w:w="1887" w:type="dxa"/>
          </w:tcPr>
          <w:p>
            <w:pPr>
              <w:pStyle w:val="TableParagraph"/>
              <w:spacing w:before="15"/>
              <w:ind w:left="610"/>
              <w:rPr>
                <w:sz w:val="24"/>
              </w:rPr>
            </w:pPr>
            <w:r>
              <w:rPr>
                <w:spacing w:val="-5"/>
                <w:sz w:val="24"/>
              </w:rPr>
              <w:t>18</w:t>
            </w:r>
          </w:p>
        </w:tc>
        <w:tc>
          <w:tcPr>
            <w:tcW w:w="1580" w:type="dxa"/>
          </w:tcPr>
          <w:p>
            <w:pPr>
              <w:pStyle w:val="TableParagraph"/>
              <w:spacing w:before="15"/>
              <w:ind w:left="537"/>
              <w:rPr>
                <w:sz w:val="24"/>
              </w:rPr>
            </w:pPr>
            <w:r>
              <w:rPr>
                <w:spacing w:val="-5"/>
                <w:sz w:val="24"/>
              </w:rPr>
              <w:t>38</w:t>
            </w:r>
          </w:p>
        </w:tc>
      </w:tr>
      <w:tr>
        <w:trPr>
          <w:trHeight w:val="317" w:hRule="atLeast"/>
        </w:trPr>
        <w:tc>
          <w:tcPr>
            <w:tcW w:w="965" w:type="dxa"/>
          </w:tcPr>
          <w:p>
            <w:pPr>
              <w:pStyle w:val="TableParagraph"/>
              <w:spacing w:before="15"/>
              <w:ind w:left="124"/>
              <w:rPr>
                <w:sz w:val="24"/>
              </w:rPr>
            </w:pPr>
            <w:r>
              <w:rPr>
                <w:spacing w:val="-10"/>
                <w:sz w:val="24"/>
              </w:rPr>
              <w:t>7</w:t>
            </w:r>
          </w:p>
        </w:tc>
        <w:tc>
          <w:tcPr>
            <w:tcW w:w="2849" w:type="dxa"/>
          </w:tcPr>
          <w:p>
            <w:pPr>
              <w:pStyle w:val="TableParagraph"/>
              <w:spacing w:before="15"/>
              <w:ind w:left="345"/>
              <w:rPr>
                <w:sz w:val="24"/>
              </w:rPr>
            </w:pPr>
            <w:r>
              <w:rPr>
                <w:sz w:val="24"/>
              </w:rPr>
              <w:t>GSS</w:t>
            </w:r>
            <w:r>
              <w:rPr>
                <w:spacing w:val="65"/>
                <w:sz w:val="24"/>
              </w:rPr>
              <w:t> </w:t>
            </w:r>
            <w:r>
              <w:rPr>
                <w:spacing w:val="-2"/>
                <w:sz w:val="24"/>
              </w:rPr>
              <w:t>Zutrung</w:t>
            </w:r>
          </w:p>
        </w:tc>
        <w:tc>
          <w:tcPr>
            <w:tcW w:w="1756" w:type="dxa"/>
          </w:tcPr>
          <w:p>
            <w:pPr>
              <w:pStyle w:val="TableParagraph"/>
              <w:spacing w:before="15"/>
              <w:ind w:left="565"/>
              <w:rPr>
                <w:sz w:val="24"/>
              </w:rPr>
            </w:pPr>
            <w:r>
              <w:rPr>
                <w:spacing w:val="-10"/>
                <w:sz w:val="24"/>
              </w:rPr>
              <w:t>8</w:t>
            </w:r>
          </w:p>
        </w:tc>
        <w:tc>
          <w:tcPr>
            <w:tcW w:w="1887" w:type="dxa"/>
          </w:tcPr>
          <w:p>
            <w:pPr>
              <w:pStyle w:val="TableParagraph"/>
              <w:spacing w:before="15"/>
              <w:ind w:left="610"/>
              <w:rPr>
                <w:sz w:val="24"/>
              </w:rPr>
            </w:pPr>
            <w:r>
              <w:rPr>
                <w:spacing w:val="-10"/>
                <w:sz w:val="24"/>
              </w:rPr>
              <w:t>7</w:t>
            </w:r>
          </w:p>
        </w:tc>
        <w:tc>
          <w:tcPr>
            <w:tcW w:w="1580" w:type="dxa"/>
          </w:tcPr>
          <w:p>
            <w:pPr>
              <w:pStyle w:val="TableParagraph"/>
              <w:spacing w:before="15"/>
              <w:ind w:left="537"/>
              <w:rPr>
                <w:sz w:val="24"/>
              </w:rPr>
            </w:pPr>
            <w:r>
              <w:rPr>
                <w:spacing w:val="-5"/>
                <w:sz w:val="24"/>
              </w:rPr>
              <w:t>15</w:t>
            </w:r>
          </w:p>
        </w:tc>
      </w:tr>
      <w:tr>
        <w:trPr>
          <w:trHeight w:val="317" w:hRule="atLeast"/>
        </w:trPr>
        <w:tc>
          <w:tcPr>
            <w:tcW w:w="965" w:type="dxa"/>
          </w:tcPr>
          <w:p>
            <w:pPr>
              <w:pStyle w:val="TableParagraph"/>
              <w:spacing w:before="15"/>
              <w:ind w:left="124"/>
              <w:rPr>
                <w:sz w:val="24"/>
              </w:rPr>
            </w:pPr>
            <w:r>
              <w:rPr>
                <w:spacing w:val="-10"/>
                <w:sz w:val="24"/>
              </w:rPr>
              <w:t>8</w:t>
            </w:r>
          </w:p>
        </w:tc>
        <w:tc>
          <w:tcPr>
            <w:tcW w:w="2849" w:type="dxa"/>
          </w:tcPr>
          <w:p>
            <w:pPr>
              <w:pStyle w:val="TableParagraph"/>
              <w:spacing w:before="15"/>
              <w:ind w:left="345"/>
              <w:rPr>
                <w:sz w:val="24"/>
              </w:rPr>
            </w:pPr>
            <w:r>
              <w:rPr>
                <w:sz w:val="24"/>
              </w:rPr>
              <w:t>GSS </w:t>
            </w:r>
            <w:r>
              <w:rPr>
                <w:spacing w:val="-2"/>
                <w:sz w:val="24"/>
              </w:rPr>
              <w:t>Mabushi</w:t>
            </w:r>
          </w:p>
        </w:tc>
        <w:tc>
          <w:tcPr>
            <w:tcW w:w="1756" w:type="dxa"/>
          </w:tcPr>
          <w:p>
            <w:pPr>
              <w:pStyle w:val="TableParagraph"/>
              <w:spacing w:before="15"/>
              <w:ind w:left="565"/>
              <w:rPr>
                <w:sz w:val="24"/>
              </w:rPr>
            </w:pPr>
            <w:r>
              <w:rPr>
                <w:spacing w:val="-5"/>
                <w:sz w:val="24"/>
              </w:rPr>
              <w:t>16</w:t>
            </w:r>
          </w:p>
        </w:tc>
        <w:tc>
          <w:tcPr>
            <w:tcW w:w="1887" w:type="dxa"/>
          </w:tcPr>
          <w:p>
            <w:pPr>
              <w:pStyle w:val="TableParagraph"/>
              <w:spacing w:before="15"/>
              <w:ind w:left="610"/>
              <w:rPr>
                <w:sz w:val="24"/>
              </w:rPr>
            </w:pPr>
            <w:r>
              <w:rPr>
                <w:spacing w:val="-5"/>
                <w:sz w:val="24"/>
              </w:rPr>
              <w:t>11</w:t>
            </w:r>
          </w:p>
        </w:tc>
        <w:tc>
          <w:tcPr>
            <w:tcW w:w="1580" w:type="dxa"/>
          </w:tcPr>
          <w:p>
            <w:pPr>
              <w:pStyle w:val="TableParagraph"/>
              <w:spacing w:before="15"/>
              <w:ind w:left="537"/>
              <w:rPr>
                <w:sz w:val="24"/>
              </w:rPr>
            </w:pPr>
            <w:r>
              <w:rPr>
                <w:spacing w:val="-5"/>
                <w:sz w:val="24"/>
              </w:rPr>
              <w:t>27</w:t>
            </w:r>
          </w:p>
        </w:tc>
      </w:tr>
      <w:tr>
        <w:trPr>
          <w:trHeight w:val="316" w:hRule="atLeast"/>
        </w:trPr>
        <w:tc>
          <w:tcPr>
            <w:tcW w:w="965" w:type="dxa"/>
          </w:tcPr>
          <w:p>
            <w:pPr>
              <w:pStyle w:val="TableParagraph"/>
              <w:spacing w:before="15"/>
              <w:ind w:left="124"/>
              <w:rPr>
                <w:sz w:val="24"/>
              </w:rPr>
            </w:pPr>
            <w:r>
              <w:rPr>
                <w:spacing w:val="-10"/>
                <w:sz w:val="24"/>
              </w:rPr>
              <w:t>9</w:t>
            </w:r>
          </w:p>
        </w:tc>
        <w:tc>
          <w:tcPr>
            <w:tcW w:w="2849" w:type="dxa"/>
          </w:tcPr>
          <w:p>
            <w:pPr>
              <w:pStyle w:val="TableParagraph"/>
              <w:spacing w:before="15"/>
              <w:ind w:left="345"/>
              <w:rPr>
                <w:sz w:val="24"/>
              </w:rPr>
            </w:pPr>
            <w:r>
              <w:rPr>
                <w:sz w:val="24"/>
              </w:rPr>
              <w:t>GSS</w:t>
            </w:r>
            <w:r>
              <w:rPr>
                <w:spacing w:val="1"/>
                <w:sz w:val="24"/>
              </w:rPr>
              <w:t> </w:t>
            </w:r>
            <w:r>
              <w:rPr>
                <w:spacing w:val="-2"/>
                <w:sz w:val="24"/>
              </w:rPr>
              <w:t>F/Kaje</w:t>
            </w:r>
          </w:p>
        </w:tc>
        <w:tc>
          <w:tcPr>
            <w:tcW w:w="1756" w:type="dxa"/>
          </w:tcPr>
          <w:p>
            <w:pPr>
              <w:pStyle w:val="TableParagraph"/>
              <w:spacing w:before="15"/>
              <w:ind w:left="565"/>
              <w:rPr>
                <w:sz w:val="24"/>
              </w:rPr>
            </w:pPr>
            <w:r>
              <w:rPr>
                <w:spacing w:val="-5"/>
                <w:sz w:val="24"/>
              </w:rPr>
              <w:t>25</w:t>
            </w:r>
          </w:p>
        </w:tc>
        <w:tc>
          <w:tcPr>
            <w:tcW w:w="1887" w:type="dxa"/>
          </w:tcPr>
          <w:p>
            <w:pPr>
              <w:pStyle w:val="TableParagraph"/>
              <w:spacing w:before="15"/>
              <w:ind w:left="610"/>
              <w:rPr>
                <w:sz w:val="24"/>
              </w:rPr>
            </w:pPr>
            <w:r>
              <w:rPr>
                <w:spacing w:val="-5"/>
                <w:sz w:val="24"/>
              </w:rPr>
              <w:t>18</w:t>
            </w:r>
          </w:p>
        </w:tc>
        <w:tc>
          <w:tcPr>
            <w:tcW w:w="1580" w:type="dxa"/>
          </w:tcPr>
          <w:p>
            <w:pPr>
              <w:pStyle w:val="TableParagraph"/>
              <w:spacing w:before="15"/>
              <w:ind w:left="537"/>
              <w:rPr>
                <w:sz w:val="24"/>
              </w:rPr>
            </w:pPr>
            <w:r>
              <w:rPr>
                <w:spacing w:val="-5"/>
                <w:sz w:val="24"/>
              </w:rPr>
              <w:t>43</w:t>
            </w:r>
          </w:p>
        </w:tc>
      </w:tr>
      <w:tr>
        <w:trPr>
          <w:trHeight w:val="316" w:hRule="atLeast"/>
        </w:trPr>
        <w:tc>
          <w:tcPr>
            <w:tcW w:w="965" w:type="dxa"/>
          </w:tcPr>
          <w:p>
            <w:pPr>
              <w:pStyle w:val="TableParagraph"/>
              <w:spacing w:before="15"/>
              <w:ind w:left="124"/>
              <w:rPr>
                <w:sz w:val="24"/>
              </w:rPr>
            </w:pPr>
            <w:r>
              <w:rPr>
                <w:spacing w:val="-5"/>
                <w:sz w:val="24"/>
              </w:rPr>
              <w:t>10</w:t>
            </w:r>
          </w:p>
        </w:tc>
        <w:tc>
          <w:tcPr>
            <w:tcW w:w="2849" w:type="dxa"/>
          </w:tcPr>
          <w:p>
            <w:pPr>
              <w:pStyle w:val="TableParagraph"/>
              <w:spacing w:before="15"/>
              <w:ind w:left="345"/>
              <w:rPr>
                <w:sz w:val="24"/>
              </w:rPr>
            </w:pPr>
            <w:r>
              <w:rPr>
                <w:sz w:val="24"/>
              </w:rPr>
              <w:t>GSS</w:t>
            </w:r>
            <w:r>
              <w:rPr>
                <w:spacing w:val="1"/>
                <w:sz w:val="24"/>
              </w:rPr>
              <w:t> </w:t>
            </w:r>
            <w:r>
              <w:rPr>
                <w:spacing w:val="-2"/>
                <w:sz w:val="24"/>
              </w:rPr>
              <w:t>Zonkwa</w:t>
            </w:r>
          </w:p>
        </w:tc>
        <w:tc>
          <w:tcPr>
            <w:tcW w:w="1756" w:type="dxa"/>
          </w:tcPr>
          <w:p>
            <w:pPr>
              <w:pStyle w:val="TableParagraph"/>
              <w:spacing w:before="15"/>
              <w:ind w:left="565"/>
              <w:rPr>
                <w:sz w:val="24"/>
              </w:rPr>
            </w:pPr>
            <w:r>
              <w:rPr>
                <w:spacing w:val="-5"/>
                <w:sz w:val="24"/>
              </w:rPr>
              <w:t>20</w:t>
            </w:r>
          </w:p>
        </w:tc>
        <w:tc>
          <w:tcPr>
            <w:tcW w:w="1887" w:type="dxa"/>
          </w:tcPr>
          <w:p>
            <w:pPr>
              <w:pStyle w:val="TableParagraph"/>
              <w:spacing w:before="15"/>
              <w:ind w:left="610"/>
              <w:rPr>
                <w:sz w:val="24"/>
              </w:rPr>
            </w:pPr>
            <w:r>
              <w:rPr>
                <w:spacing w:val="-10"/>
                <w:sz w:val="24"/>
              </w:rPr>
              <w:t>9</w:t>
            </w:r>
          </w:p>
        </w:tc>
        <w:tc>
          <w:tcPr>
            <w:tcW w:w="1580" w:type="dxa"/>
          </w:tcPr>
          <w:p>
            <w:pPr>
              <w:pStyle w:val="TableParagraph"/>
              <w:spacing w:before="15"/>
              <w:ind w:left="537"/>
              <w:rPr>
                <w:sz w:val="24"/>
              </w:rPr>
            </w:pPr>
            <w:r>
              <w:rPr>
                <w:spacing w:val="-5"/>
                <w:sz w:val="24"/>
              </w:rPr>
              <w:t>29</w:t>
            </w:r>
          </w:p>
        </w:tc>
      </w:tr>
      <w:tr>
        <w:trPr>
          <w:trHeight w:val="319" w:hRule="atLeast"/>
        </w:trPr>
        <w:tc>
          <w:tcPr>
            <w:tcW w:w="965" w:type="dxa"/>
          </w:tcPr>
          <w:p>
            <w:pPr>
              <w:pStyle w:val="TableParagraph"/>
              <w:spacing w:before="15"/>
              <w:ind w:left="124"/>
              <w:rPr>
                <w:sz w:val="24"/>
              </w:rPr>
            </w:pPr>
            <w:r>
              <w:rPr>
                <w:spacing w:val="-5"/>
                <w:sz w:val="24"/>
              </w:rPr>
              <w:t>11</w:t>
            </w:r>
          </w:p>
        </w:tc>
        <w:tc>
          <w:tcPr>
            <w:tcW w:w="2849" w:type="dxa"/>
          </w:tcPr>
          <w:p>
            <w:pPr>
              <w:pStyle w:val="TableParagraph"/>
              <w:spacing w:before="15"/>
              <w:ind w:left="345"/>
              <w:rPr>
                <w:sz w:val="24"/>
              </w:rPr>
            </w:pPr>
            <w:r>
              <w:rPr>
                <w:sz w:val="24"/>
              </w:rPr>
              <w:t>GSS</w:t>
            </w:r>
            <w:r>
              <w:rPr>
                <w:spacing w:val="3"/>
                <w:sz w:val="24"/>
              </w:rPr>
              <w:t> </w:t>
            </w:r>
            <w:r>
              <w:rPr>
                <w:spacing w:val="-2"/>
                <w:sz w:val="24"/>
              </w:rPr>
              <w:t>F/Kamanto</w:t>
            </w:r>
          </w:p>
        </w:tc>
        <w:tc>
          <w:tcPr>
            <w:tcW w:w="1756" w:type="dxa"/>
          </w:tcPr>
          <w:p>
            <w:pPr>
              <w:pStyle w:val="TableParagraph"/>
              <w:spacing w:before="15"/>
              <w:ind w:left="565"/>
              <w:rPr>
                <w:sz w:val="24"/>
              </w:rPr>
            </w:pPr>
            <w:r>
              <w:rPr>
                <w:spacing w:val="-5"/>
                <w:sz w:val="24"/>
              </w:rPr>
              <w:t>11</w:t>
            </w:r>
          </w:p>
        </w:tc>
        <w:tc>
          <w:tcPr>
            <w:tcW w:w="1887" w:type="dxa"/>
          </w:tcPr>
          <w:p>
            <w:pPr>
              <w:pStyle w:val="TableParagraph"/>
              <w:spacing w:before="15"/>
              <w:ind w:left="610"/>
              <w:rPr>
                <w:sz w:val="24"/>
              </w:rPr>
            </w:pPr>
            <w:r>
              <w:rPr>
                <w:spacing w:val="-10"/>
                <w:sz w:val="24"/>
              </w:rPr>
              <w:t>7</w:t>
            </w:r>
          </w:p>
        </w:tc>
        <w:tc>
          <w:tcPr>
            <w:tcW w:w="1580" w:type="dxa"/>
          </w:tcPr>
          <w:p>
            <w:pPr>
              <w:pStyle w:val="TableParagraph"/>
              <w:spacing w:before="15"/>
              <w:ind w:left="537"/>
              <w:rPr>
                <w:sz w:val="24"/>
              </w:rPr>
            </w:pPr>
            <w:r>
              <w:rPr>
                <w:spacing w:val="-5"/>
                <w:sz w:val="24"/>
              </w:rPr>
              <w:t>18</w:t>
            </w:r>
          </w:p>
        </w:tc>
      </w:tr>
      <w:tr>
        <w:trPr>
          <w:trHeight w:val="319" w:hRule="atLeast"/>
        </w:trPr>
        <w:tc>
          <w:tcPr>
            <w:tcW w:w="965" w:type="dxa"/>
          </w:tcPr>
          <w:p>
            <w:pPr>
              <w:pStyle w:val="TableParagraph"/>
              <w:spacing w:before="17"/>
              <w:ind w:left="124"/>
              <w:rPr>
                <w:sz w:val="24"/>
              </w:rPr>
            </w:pPr>
            <w:r>
              <w:rPr>
                <w:spacing w:val="-5"/>
                <w:sz w:val="24"/>
              </w:rPr>
              <w:t>12</w:t>
            </w:r>
          </w:p>
        </w:tc>
        <w:tc>
          <w:tcPr>
            <w:tcW w:w="2849" w:type="dxa"/>
          </w:tcPr>
          <w:p>
            <w:pPr>
              <w:pStyle w:val="TableParagraph"/>
              <w:spacing w:before="17"/>
              <w:ind w:left="345"/>
              <w:rPr>
                <w:sz w:val="24"/>
              </w:rPr>
            </w:pPr>
            <w:r>
              <w:rPr>
                <w:sz w:val="24"/>
              </w:rPr>
              <w:t>GSS</w:t>
            </w:r>
            <w:r>
              <w:rPr>
                <w:spacing w:val="1"/>
                <w:sz w:val="24"/>
              </w:rPr>
              <w:t> </w:t>
            </w:r>
            <w:r>
              <w:rPr>
                <w:spacing w:val="-2"/>
                <w:sz w:val="24"/>
              </w:rPr>
              <w:t>B/Kogi</w:t>
            </w:r>
          </w:p>
        </w:tc>
        <w:tc>
          <w:tcPr>
            <w:tcW w:w="1756" w:type="dxa"/>
          </w:tcPr>
          <w:p>
            <w:pPr>
              <w:pStyle w:val="TableParagraph"/>
              <w:spacing w:before="17"/>
              <w:ind w:left="565"/>
              <w:rPr>
                <w:sz w:val="24"/>
              </w:rPr>
            </w:pPr>
            <w:r>
              <w:rPr>
                <w:spacing w:val="-5"/>
                <w:sz w:val="24"/>
              </w:rPr>
              <w:t>13</w:t>
            </w:r>
          </w:p>
        </w:tc>
        <w:tc>
          <w:tcPr>
            <w:tcW w:w="1887" w:type="dxa"/>
          </w:tcPr>
          <w:p>
            <w:pPr>
              <w:pStyle w:val="TableParagraph"/>
              <w:spacing w:before="17"/>
              <w:ind w:left="610"/>
              <w:rPr>
                <w:sz w:val="24"/>
              </w:rPr>
            </w:pPr>
            <w:r>
              <w:rPr>
                <w:spacing w:val="-10"/>
                <w:sz w:val="24"/>
              </w:rPr>
              <w:t>8</w:t>
            </w:r>
          </w:p>
        </w:tc>
        <w:tc>
          <w:tcPr>
            <w:tcW w:w="1580" w:type="dxa"/>
          </w:tcPr>
          <w:p>
            <w:pPr>
              <w:pStyle w:val="TableParagraph"/>
              <w:spacing w:before="17"/>
              <w:ind w:left="537"/>
              <w:rPr>
                <w:sz w:val="24"/>
              </w:rPr>
            </w:pPr>
            <w:r>
              <w:rPr>
                <w:spacing w:val="-5"/>
                <w:sz w:val="24"/>
              </w:rPr>
              <w:t>21</w:t>
            </w:r>
          </w:p>
        </w:tc>
      </w:tr>
      <w:tr>
        <w:trPr>
          <w:trHeight w:val="316" w:hRule="atLeast"/>
        </w:trPr>
        <w:tc>
          <w:tcPr>
            <w:tcW w:w="965" w:type="dxa"/>
          </w:tcPr>
          <w:p>
            <w:pPr>
              <w:pStyle w:val="TableParagraph"/>
              <w:spacing w:before="15"/>
              <w:ind w:left="124"/>
              <w:rPr>
                <w:sz w:val="24"/>
              </w:rPr>
            </w:pPr>
            <w:r>
              <w:rPr>
                <w:spacing w:val="-5"/>
                <w:sz w:val="24"/>
              </w:rPr>
              <w:t>13</w:t>
            </w:r>
          </w:p>
        </w:tc>
        <w:tc>
          <w:tcPr>
            <w:tcW w:w="2849" w:type="dxa"/>
          </w:tcPr>
          <w:p>
            <w:pPr>
              <w:pStyle w:val="TableParagraph"/>
              <w:spacing w:before="15"/>
              <w:ind w:left="345"/>
              <w:rPr>
                <w:sz w:val="24"/>
              </w:rPr>
            </w:pPr>
            <w:r>
              <w:rPr>
                <w:sz w:val="24"/>
              </w:rPr>
              <w:t>GSS</w:t>
            </w:r>
            <w:r>
              <w:rPr>
                <w:spacing w:val="3"/>
                <w:sz w:val="24"/>
              </w:rPr>
              <w:t> </w:t>
            </w:r>
            <w:r>
              <w:rPr>
                <w:spacing w:val="-2"/>
                <w:sz w:val="24"/>
              </w:rPr>
              <w:t>Z/kataf</w:t>
            </w:r>
          </w:p>
        </w:tc>
        <w:tc>
          <w:tcPr>
            <w:tcW w:w="1756" w:type="dxa"/>
          </w:tcPr>
          <w:p>
            <w:pPr>
              <w:pStyle w:val="TableParagraph"/>
              <w:spacing w:before="15"/>
              <w:ind w:left="565"/>
              <w:rPr>
                <w:sz w:val="24"/>
              </w:rPr>
            </w:pPr>
            <w:r>
              <w:rPr>
                <w:spacing w:val="-5"/>
                <w:sz w:val="24"/>
              </w:rPr>
              <w:t>21</w:t>
            </w:r>
          </w:p>
        </w:tc>
        <w:tc>
          <w:tcPr>
            <w:tcW w:w="1887" w:type="dxa"/>
          </w:tcPr>
          <w:p>
            <w:pPr>
              <w:pStyle w:val="TableParagraph"/>
              <w:spacing w:before="15"/>
              <w:ind w:left="610"/>
              <w:rPr>
                <w:sz w:val="24"/>
              </w:rPr>
            </w:pPr>
            <w:r>
              <w:rPr>
                <w:spacing w:val="-5"/>
                <w:sz w:val="24"/>
              </w:rPr>
              <w:t>11</w:t>
            </w:r>
          </w:p>
        </w:tc>
        <w:tc>
          <w:tcPr>
            <w:tcW w:w="1580" w:type="dxa"/>
          </w:tcPr>
          <w:p>
            <w:pPr>
              <w:pStyle w:val="TableParagraph"/>
              <w:spacing w:before="15"/>
              <w:ind w:left="537"/>
              <w:rPr>
                <w:sz w:val="24"/>
              </w:rPr>
            </w:pPr>
            <w:r>
              <w:rPr>
                <w:spacing w:val="-5"/>
                <w:sz w:val="24"/>
              </w:rPr>
              <w:t>32</w:t>
            </w:r>
          </w:p>
        </w:tc>
      </w:tr>
      <w:tr>
        <w:trPr>
          <w:trHeight w:val="316" w:hRule="atLeast"/>
        </w:trPr>
        <w:tc>
          <w:tcPr>
            <w:tcW w:w="965" w:type="dxa"/>
          </w:tcPr>
          <w:p>
            <w:pPr>
              <w:pStyle w:val="TableParagraph"/>
              <w:spacing w:before="15"/>
              <w:ind w:left="124"/>
              <w:rPr>
                <w:sz w:val="24"/>
              </w:rPr>
            </w:pPr>
            <w:r>
              <w:rPr>
                <w:spacing w:val="-5"/>
                <w:sz w:val="24"/>
              </w:rPr>
              <w:t>14</w:t>
            </w:r>
          </w:p>
        </w:tc>
        <w:tc>
          <w:tcPr>
            <w:tcW w:w="2849" w:type="dxa"/>
          </w:tcPr>
          <w:p>
            <w:pPr>
              <w:pStyle w:val="TableParagraph"/>
              <w:spacing w:before="15"/>
              <w:ind w:left="345"/>
              <w:rPr>
                <w:sz w:val="24"/>
              </w:rPr>
            </w:pPr>
            <w:r>
              <w:rPr>
                <w:sz w:val="24"/>
              </w:rPr>
              <w:t>GSS</w:t>
            </w:r>
            <w:r>
              <w:rPr>
                <w:spacing w:val="3"/>
                <w:sz w:val="24"/>
              </w:rPr>
              <w:t> </w:t>
            </w:r>
            <w:r>
              <w:rPr>
                <w:spacing w:val="-2"/>
                <w:sz w:val="24"/>
              </w:rPr>
              <w:t>Madakiya</w:t>
            </w:r>
          </w:p>
        </w:tc>
        <w:tc>
          <w:tcPr>
            <w:tcW w:w="1756" w:type="dxa"/>
          </w:tcPr>
          <w:p>
            <w:pPr>
              <w:pStyle w:val="TableParagraph"/>
              <w:spacing w:before="15"/>
              <w:ind w:left="565"/>
              <w:rPr>
                <w:sz w:val="24"/>
              </w:rPr>
            </w:pPr>
            <w:r>
              <w:rPr>
                <w:spacing w:val="-5"/>
                <w:sz w:val="24"/>
              </w:rPr>
              <w:t>19</w:t>
            </w:r>
          </w:p>
        </w:tc>
        <w:tc>
          <w:tcPr>
            <w:tcW w:w="1887" w:type="dxa"/>
          </w:tcPr>
          <w:p>
            <w:pPr>
              <w:pStyle w:val="TableParagraph"/>
              <w:spacing w:before="15"/>
              <w:ind w:left="610"/>
              <w:rPr>
                <w:sz w:val="24"/>
              </w:rPr>
            </w:pPr>
            <w:r>
              <w:rPr>
                <w:spacing w:val="-5"/>
                <w:sz w:val="24"/>
              </w:rPr>
              <w:t>16</w:t>
            </w:r>
          </w:p>
        </w:tc>
        <w:tc>
          <w:tcPr>
            <w:tcW w:w="1580" w:type="dxa"/>
          </w:tcPr>
          <w:p>
            <w:pPr>
              <w:pStyle w:val="TableParagraph"/>
              <w:spacing w:before="15"/>
              <w:ind w:left="537"/>
              <w:rPr>
                <w:sz w:val="24"/>
              </w:rPr>
            </w:pPr>
            <w:r>
              <w:rPr>
                <w:spacing w:val="-5"/>
                <w:sz w:val="24"/>
              </w:rPr>
              <w:t>35</w:t>
            </w:r>
          </w:p>
        </w:tc>
      </w:tr>
      <w:tr>
        <w:trPr>
          <w:trHeight w:val="316" w:hRule="atLeast"/>
        </w:trPr>
        <w:tc>
          <w:tcPr>
            <w:tcW w:w="965" w:type="dxa"/>
          </w:tcPr>
          <w:p>
            <w:pPr>
              <w:pStyle w:val="TableParagraph"/>
              <w:spacing w:before="15"/>
              <w:ind w:left="124"/>
              <w:rPr>
                <w:sz w:val="24"/>
              </w:rPr>
            </w:pPr>
            <w:r>
              <w:rPr>
                <w:spacing w:val="-5"/>
                <w:sz w:val="24"/>
              </w:rPr>
              <w:t>15</w:t>
            </w:r>
          </w:p>
        </w:tc>
        <w:tc>
          <w:tcPr>
            <w:tcW w:w="2849" w:type="dxa"/>
          </w:tcPr>
          <w:p>
            <w:pPr>
              <w:pStyle w:val="TableParagraph"/>
              <w:spacing w:before="15"/>
              <w:ind w:left="345"/>
              <w:rPr>
                <w:sz w:val="24"/>
              </w:rPr>
            </w:pPr>
            <w:r>
              <w:rPr>
                <w:sz w:val="24"/>
              </w:rPr>
              <w:t>GSS</w:t>
            </w:r>
            <w:r>
              <w:rPr>
                <w:spacing w:val="1"/>
                <w:sz w:val="24"/>
              </w:rPr>
              <w:t> </w:t>
            </w:r>
            <w:r>
              <w:rPr>
                <w:spacing w:val="-2"/>
                <w:sz w:val="24"/>
              </w:rPr>
              <w:t>Jankasa</w:t>
            </w:r>
          </w:p>
        </w:tc>
        <w:tc>
          <w:tcPr>
            <w:tcW w:w="1756" w:type="dxa"/>
          </w:tcPr>
          <w:p>
            <w:pPr>
              <w:pStyle w:val="TableParagraph"/>
              <w:spacing w:before="15"/>
              <w:ind w:left="565"/>
              <w:rPr>
                <w:sz w:val="24"/>
              </w:rPr>
            </w:pPr>
            <w:r>
              <w:rPr>
                <w:spacing w:val="-5"/>
                <w:sz w:val="24"/>
              </w:rPr>
              <w:t>17</w:t>
            </w:r>
          </w:p>
        </w:tc>
        <w:tc>
          <w:tcPr>
            <w:tcW w:w="1887" w:type="dxa"/>
          </w:tcPr>
          <w:p>
            <w:pPr>
              <w:pStyle w:val="TableParagraph"/>
              <w:spacing w:before="15"/>
              <w:ind w:left="610"/>
              <w:rPr>
                <w:sz w:val="24"/>
              </w:rPr>
            </w:pPr>
            <w:r>
              <w:rPr>
                <w:spacing w:val="-5"/>
                <w:sz w:val="24"/>
              </w:rPr>
              <w:t>13</w:t>
            </w:r>
          </w:p>
        </w:tc>
        <w:tc>
          <w:tcPr>
            <w:tcW w:w="1580" w:type="dxa"/>
          </w:tcPr>
          <w:p>
            <w:pPr>
              <w:pStyle w:val="TableParagraph"/>
              <w:spacing w:before="15"/>
              <w:ind w:left="537"/>
              <w:rPr>
                <w:sz w:val="24"/>
              </w:rPr>
            </w:pPr>
            <w:r>
              <w:rPr>
                <w:spacing w:val="-5"/>
                <w:sz w:val="24"/>
              </w:rPr>
              <w:t>30</w:t>
            </w:r>
          </w:p>
        </w:tc>
      </w:tr>
      <w:tr>
        <w:trPr>
          <w:trHeight w:val="339" w:hRule="atLeast"/>
        </w:trPr>
        <w:tc>
          <w:tcPr>
            <w:tcW w:w="965" w:type="dxa"/>
            <w:tcBorders>
              <w:bottom w:val="single" w:sz="4" w:space="0" w:color="000000"/>
            </w:tcBorders>
          </w:tcPr>
          <w:p>
            <w:pPr>
              <w:pStyle w:val="TableParagraph"/>
              <w:rPr>
                <w:sz w:val="24"/>
              </w:rPr>
            </w:pPr>
          </w:p>
        </w:tc>
        <w:tc>
          <w:tcPr>
            <w:tcW w:w="2849" w:type="dxa"/>
            <w:tcBorders>
              <w:bottom w:val="single" w:sz="4" w:space="0" w:color="000000"/>
            </w:tcBorders>
          </w:tcPr>
          <w:p>
            <w:pPr>
              <w:pStyle w:val="TableParagraph"/>
              <w:spacing w:before="15"/>
              <w:ind w:left="345"/>
              <w:rPr>
                <w:sz w:val="24"/>
              </w:rPr>
            </w:pPr>
            <w:r>
              <w:rPr>
                <w:spacing w:val="-2"/>
                <w:sz w:val="24"/>
              </w:rPr>
              <w:t>Total</w:t>
            </w:r>
          </w:p>
        </w:tc>
        <w:tc>
          <w:tcPr>
            <w:tcW w:w="1756" w:type="dxa"/>
            <w:tcBorders>
              <w:bottom w:val="single" w:sz="4" w:space="0" w:color="000000"/>
            </w:tcBorders>
          </w:tcPr>
          <w:p>
            <w:pPr>
              <w:pStyle w:val="TableParagraph"/>
              <w:spacing w:before="15"/>
              <w:ind w:left="565"/>
              <w:rPr>
                <w:sz w:val="24"/>
              </w:rPr>
            </w:pPr>
            <w:r>
              <w:rPr>
                <w:spacing w:val="-5"/>
                <w:sz w:val="24"/>
              </w:rPr>
              <w:t>246</w:t>
            </w:r>
          </w:p>
        </w:tc>
        <w:tc>
          <w:tcPr>
            <w:tcW w:w="1887" w:type="dxa"/>
            <w:tcBorders>
              <w:bottom w:val="single" w:sz="4" w:space="0" w:color="000000"/>
            </w:tcBorders>
          </w:tcPr>
          <w:p>
            <w:pPr>
              <w:pStyle w:val="TableParagraph"/>
              <w:spacing w:before="15"/>
              <w:ind w:left="610"/>
              <w:rPr>
                <w:sz w:val="24"/>
              </w:rPr>
            </w:pPr>
            <w:r>
              <w:rPr>
                <w:spacing w:val="-5"/>
                <w:sz w:val="24"/>
              </w:rPr>
              <w:t>167</w:t>
            </w:r>
          </w:p>
        </w:tc>
        <w:tc>
          <w:tcPr>
            <w:tcW w:w="1580" w:type="dxa"/>
            <w:tcBorders>
              <w:bottom w:val="single" w:sz="4" w:space="0" w:color="000000"/>
            </w:tcBorders>
          </w:tcPr>
          <w:p>
            <w:pPr>
              <w:pStyle w:val="TableParagraph"/>
              <w:spacing w:before="15"/>
              <w:ind w:left="537"/>
              <w:rPr>
                <w:sz w:val="24"/>
              </w:rPr>
            </w:pPr>
            <w:r>
              <w:rPr>
                <w:spacing w:val="-5"/>
                <w:sz w:val="24"/>
              </w:rPr>
              <w:t>413</w:t>
            </w:r>
          </w:p>
        </w:tc>
      </w:tr>
    </w:tbl>
    <w:p>
      <w:pPr>
        <w:spacing w:before="6"/>
        <w:ind w:left="480" w:right="0" w:firstLine="0"/>
        <w:jc w:val="left"/>
        <w:rPr>
          <w:b/>
          <w:i/>
          <w:sz w:val="24"/>
        </w:rPr>
      </w:pPr>
      <w:r>
        <w:rPr>
          <w:b/>
          <w:i/>
          <w:sz w:val="24"/>
        </w:rPr>
        <w:t>Source:</w:t>
      </w:r>
      <w:r>
        <w:rPr>
          <w:b/>
          <w:i/>
          <w:spacing w:val="58"/>
          <w:sz w:val="24"/>
        </w:rPr>
        <w:t> </w:t>
      </w:r>
      <w:r>
        <w:rPr>
          <w:b/>
          <w:i/>
          <w:sz w:val="24"/>
        </w:rPr>
        <w:t>Zonal</w:t>
      </w:r>
      <w:r>
        <w:rPr>
          <w:b/>
          <w:i/>
          <w:spacing w:val="-1"/>
          <w:sz w:val="24"/>
        </w:rPr>
        <w:t> </w:t>
      </w:r>
      <w:r>
        <w:rPr>
          <w:b/>
          <w:i/>
          <w:sz w:val="24"/>
        </w:rPr>
        <w:t>Education</w:t>
      </w:r>
      <w:r>
        <w:rPr>
          <w:b/>
          <w:i/>
          <w:spacing w:val="-5"/>
          <w:sz w:val="24"/>
        </w:rPr>
        <w:t> </w:t>
      </w:r>
      <w:r>
        <w:rPr>
          <w:b/>
          <w:i/>
          <w:sz w:val="24"/>
        </w:rPr>
        <w:t>Office,</w:t>
      </w:r>
      <w:r>
        <w:rPr>
          <w:b/>
          <w:i/>
          <w:spacing w:val="-4"/>
          <w:sz w:val="24"/>
        </w:rPr>
        <w:t> </w:t>
      </w:r>
      <w:r>
        <w:rPr>
          <w:b/>
          <w:i/>
          <w:sz w:val="24"/>
        </w:rPr>
        <w:t>Zonkwa</w:t>
      </w:r>
      <w:r>
        <w:rPr>
          <w:b/>
          <w:i/>
          <w:spacing w:val="-1"/>
          <w:sz w:val="24"/>
        </w:rPr>
        <w:t> </w:t>
      </w:r>
      <w:r>
        <w:rPr>
          <w:b/>
          <w:i/>
          <w:spacing w:val="-2"/>
          <w:sz w:val="24"/>
        </w:rPr>
        <w:t>(2016).</w:t>
      </w:r>
    </w:p>
    <w:p>
      <w:pPr>
        <w:pStyle w:val="BodyText"/>
        <w:ind w:left="0"/>
        <w:jc w:val="left"/>
        <w:rPr>
          <w:b/>
          <w:i/>
        </w:rPr>
      </w:pPr>
    </w:p>
    <w:p>
      <w:pPr>
        <w:pStyle w:val="Heading3"/>
        <w:numPr>
          <w:ilvl w:val="1"/>
          <w:numId w:val="15"/>
        </w:numPr>
        <w:tabs>
          <w:tab w:pos="1199" w:val="left" w:leader="none"/>
        </w:tabs>
        <w:spacing w:line="240" w:lineRule="auto" w:before="0" w:after="0"/>
        <w:ind w:left="1199" w:right="0" w:hanging="719"/>
        <w:jc w:val="both"/>
      </w:pPr>
      <w:r>
        <w:rPr/>
        <w:t>Sample</w:t>
      </w:r>
      <w:r>
        <w:rPr>
          <w:spacing w:val="-5"/>
        </w:rPr>
        <w:t> </w:t>
      </w:r>
      <w:r>
        <w:rPr/>
        <w:t>and</w:t>
      </w:r>
      <w:r>
        <w:rPr>
          <w:spacing w:val="-4"/>
        </w:rPr>
        <w:t> </w:t>
      </w:r>
      <w:r>
        <w:rPr/>
        <w:t>Sampling</w:t>
      </w:r>
      <w:r>
        <w:rPr>
          <w:spacing w:val="-3"/>
        </w:rPr>
        <w:t> </w:t>
      </w:r>
      <w:r>
        <w:rPr>
          <w:spacing w:val="-2"/>
        </w:rPr>
        <w:t>Techniques</w:t>
      </w:r>
    </w:p>
    <w:p>
      <w:pPr>
        <w:pStyle w:val="BodyText"/>
        <w:spacing w:line="480" w:lineRule="auto" w:before="272"/>
        <w:ind w:right="1157" w:firstLine="720"/>
      </w:pPr>
      <w:r>
        <w:rPr/>
        <w:t>Six</w:t>
      </w:r>
      <w:r>
        <w:rPr>
          <w:spacing w:val="-7"/>
        </w:rPr>
        <w:t> </w:t>
      </w:r>
      <w:r>
        <w:rPr/>
        <w:t>schools</w:t>
      </w:r>
      <w:r>
        <w:rPr>
          <w:spacing w:val="-5"/>
        </w:rPr>
        <w:t> </w:t>
      </w:r>
      <w:r>
        <w:rPr/>
        <w:t>were</w:t>
      </w:r>
      <w:r>
        <w:rPr>
          <w:spacing w:val="-2"/>
        </w:rPr>
        <w:t> </w:t>
      </w:r>
      <w:r>
        <w:rPr/>
        <w:t>selected from</w:t>
      </w:r>
      <w:r>
        <w:rPr>
          <w:spacing w:val="-11"/>
        </w:rPr>
        <w:t> </w:t>
      </w:r>
      <w:r>
        <w:rPr/>
        <w:t>the fifteen</w:t>
      </w:r>
      <w:r>
        <w:rPr>
          <w:spacing w:val="-8"/>
        </w:rPr>
        <w:t> </w:t>
      </w:r>
      <w:r>
        <w:rPr/>
        <w:t>schools</w:t>
      </w:r>
      <w:r>
        <w:rPr>
          <w:spacing w:val="-1"/>
        </w:rPr>
        <w:t> </w:t>
      </w:r>
      <w:r>
        <w:rPr/>
        <w:t>in</w:t>
      </w:r>
      <w:r>
        <w:rPr>
          <w:spacing w:val="-3"/>
        </w:rPr>
        <w:t> </w:t>
      </w:r>
      <w:r>
        <w:rPr/>
        <w:t>Zonkwa</w:t>
      </w:r>
      <w:r>
        <w:rPr>
          <w:spacing w:val="-5"/>
        </w:rPr>
        <w:t> </w:t>
      </w:r>
      <w:r>
        <w:rPr/>
        <w:t>zone that formed the sample of the study, by simple random sampling technique using draw-from-the- hat method. According to William (2005) random sampling is a simple procedure which ensures that each element in a population has equal chance of being selected. This was done by putting the names of all the schools of the population inside a container, shaked and then the six schools were picked one at a time without </w:t>
      </w:r>
      <w:r>
        <w:rPr>
          <w:spacing w:val="-2"/>
        </w:rPr>
        <w:t>replacement.</w:t>
      </w:r>
    </w:p>
    <w:p>
      <w:pPr>
        <w:pStyle w:val="BodyText"/>
        <w:spacing w:line="480" w:lineRule="auto" w:before="1"/>
        <w:ind w:right="1160" w:firstLine="720"/>
      </w:pPr>
      <w:r>
        <w:rPr/>
        <w:t>All the chemistry students in the sampled schools were used for the study (students in an intact class). The total numbers of students are 152; 89 male and 63 female students).</w:t>
      </w:r>
    </w:p>
    <w:p>
      <w:pPr>
        <w:spacing w:after="0" w:line="480" w:lineRule="auto"/>
        <w:sectPr>
          <w:footerReference w:type="default" r:id="rId16"/>
          <w:pgSz w:w="11910" w:h="16840"/>
          <w:pgMar w:header="0" w:footer="1012" w:top="1340" w:bottom="1200" w:left="1680" w:right="280"/>
          <w:pgNumType w:start="87"/>
        </w:sectPr>
      </w:pPr>
    </w:p>
    <w:p>
      <w:pPr>
        <w:pStyle w:val="BodyText"/>
        <w:spacing w:before="74"/>
        <w:ind w:left="1201"/>
        <w:jc w:val="left"/>
      </w:pPr>
      <w:r>
        <w:rPr/>
        <w:t>The</w:t>
      </w:r>
      <w:r>
        <w:rPr>
          <w:spacing w:val="-2"/>
        </w:rPr>
        <w:t> </w:t>
      </w:r>
      <w:r>
        <w:rPr/>
        <w:t>six</w:t>
      </w:r>
      <w:r>
        <w:rPr>
          <w:spacing w:val="-2"/>
        </w:rPr>
        <w:t> </w:t>
      </w:r>
      <w:r>
        <w:rPr/>
        <w:t>schools</w:t>
      </w:r>
      <w:r>
        <w:rPr>
          <w:spacing w:val="-4"/>
        </w:rPr>
        <w:t> </w:t>
      </w:r>
      <w:r>
        <w:rPr/>
        <w:t>are</w:t>
      </w:r>
      <w:r>
        <w:rPr>
          <w:spacing w:val="-2"/>
        </w:rPr>
        <w:t> </w:t>
      </w:r>
      <w:r>
        <w:rPr/>
        <w:t>represented</w:t>
      </w:r>
      <w:r>
        <w:rPr>
          <w:spacing w:val="2"/>
        </w:rPr>
        <w:t> </w:t>
      </w:r>
      <w:r>
        <w:rPr/>
        <w:t>in</w:t>
      </w:r>
      <w:r>
        <w:rPr>
          <w:spacing w:val="-7"/>
        </w:rPr>
        <w:t> </w:t>
      </w:r>
      <w:r>
        <w:rPr/>
        <w:t>the</w:t>
      </w:r>
      <w:r>
        <w:rPr>
          <w:spacing w:val="-2"/>
        </w:rPr>
        <w:t> </w:t>
      </w:r>
      <w:r>
        <w:rPr/>
        <w:t>table</w:t>
      </w:r>
      <w:r>
        <w:rPr>
          <w:spacing w:val="2"/>
        </w:rPr>
        <w:t> </w:t>
      </w:r>
      <w:r>
        <w:rPr>
          <w:spacing w:val="-4"/>
        </w:rPr>
        <w:t>3.2.</w:t>
      </w:r>
    </w:p>
    <w:p>
      <w:pPr>
        <w:pStyle w:val="BodyText"/>
        <w:spacing w:before="4"/>
        <w:ind w:left="0"/>
        <w:jc w:val="left"/>
      </w:pPr>
    </w:p>
    <w:p>
      <w:pPr>
        <w:pStyle w:val="Heading3"/>
        <w:ind w:left="480" w:firstLine="0"/>
        <w:jc w:val="left"/>
      </w:pPr>
      <w:r>
        <w:rPr/>
        <w:t>Table</w:t>
      </w:r>
      <w:r>
        <w:rPr>
          <w:spacing w:val="-2"/>
        </w:rPr>
        <w:t> </w:t>
      </w:r>
      <w:r>
        <w:rPr/>
        <w:t>3.2:</w:t>
      </w:r>
      <w:r>
        <w:rPr>
          <w:spacing w:val="59"/>
        </w:rPr>
        <w:t> </w:t>
      </w:r>
      <w:r>
        <w:rPr/>
        <w:t>Sampled Schools</w:t>
      </w:r>
      <w:r>
        <w:rPr>
          <w:spacing w:val="-2"/>
        </w:rPr>
        <w:t> </w:t>
      </w:r>
      <w:r>
        <w:rPr/>
        <w:t>for</w:t>
      </w:r>
      <w:r>
        <w:rPr>
          <w:spacing w:val="-6"/>
        </w:rPr>
        <w:t> </w:t>
      </w:r>
      <w:r>
        <w:rPr/>
        <w:t>the</w:t>
      </w:r>
      <w:r>
        <w:rPr>
          <w:spacing w:val="-1"/>
        </w:rPr>
        <w:t> </w:t>
      </w:r>
      <w:r>
        <w:rPr>
          <w:spacing w:val="-2"/>
        </w:rPr>
        <w:t>Study</w:t>
      </w:r>
    </w:p>
    <w:p>
      <w:pPr>
        <w:pStyle w:val="BodyText"/>
        <w:spacing w:before="50"/>
        <w:ind w:left="0"/>
        <w:jc w:val="left"/>
        <w:rPr>
          <w:b/>
          <w:sz w:val="20"/>
        </w:rPr>
      </w:pPr>
    </w:p>
    <w:tbl>
      <w:tblPr>
        <w:tblW w:w="0" w:type="auto"/>
        <w:jc w:val="left"/>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0"/>
        <w:gridCol w:w="2712"/>
        <w:gridCol w:w="1936"/>
        <w:gridCol w:w="1555"/>
        <w:gridCol w:w="1231"/>
      </w:tblGrid>
      <w:tr>
        <w:trPr>
          <w:trHeight w:val="316" w:hRule="atLeast"/>
        </w:trPr>
        <w:tc>
          <w:tcPr>
            <w:tcW w:w="1010" w:type="dxa"/>
            <w:tcBorders>
              <w:top w:val="single" w:sz="4" w:space="0" w:color="000000"/>
              <w:bottom w:val="single" w:sz="4" w:space="0" w:color="000000"/>
            </w:tcBorders>
          </w:tcPr>
          <w:p>
            <w:pPr>
              <w:pStyle w:val="TableParagraph"/>
              <w:spacing w:line="273" w:lineRule="exact"/>
              <w:ind w:left="124"/>
              <w:rPr>
                <w:b/>
                <w:sz w:val="24"/>
              </w:rPr>
            </w:pPr>
            <w:r>
              <w:rPr>
                <w:b/>
                <w:spacing w:val="-4"/>
                <w:sz w:val="24"/>
              </w:rPr>
              <w:t>S/No</w:t>
            </w:r>
          </w:p>
        </w:tc>
        <w:tc>
          <w:tcPr>
            <w:tcW w:w="2712" w:type="dxa"/>
            <w:tcBorders>
              <w:top w:val="single" w:sz="4" w:space="0" w:color="000000"/>
              <w:bottom w:val="single" w:sz="4" w:space="0" w:color="000000"/>
            </w:tcBorders>
          </w:tcPr>
          <w:p>
            <w:pPr>
              <w:pStyle w:val="TableParagraph"/>
              <w:spacing w:line="273" w:lineRule="exact"/>
              <w:ind w:left="391"/>
              <w:rPr>
                <w:b/>
                <w:sz w:val="24"/>
              </w:rPr>
            </w:pPr>
            <w:r>
              <w:rPr>
                <w:b/>
                <w:sz w:val="24"/>
              </w:rPr>
              <w:t>Name</w:t>
            </w:r>
            <w:r>
              <w:rPr>
                <w:b/>
                <w:spacing w:val="-2"/>
                <w:sz w:val="24"/>
              </w:rPr>
              <w:t> </w:t>
            </w:r>
            <w:r>
              <w:rPr>
                <w:b/>
                <w:sz w:val="24"/>
              </w:rPr>
              <w:t>of</w:t>
            </w:r>
            <w:r>
              <w:rPr>
                <w:b/>
                <w:spacing w:val="-2"/>
                <w:sz w:val="24"/>
              </w:rPr>
              <w:t> school</w:t>
            </w:r>
          </w:p>
        </w:tc>
        <w:tc>
          <w:tcPr>
            <w:tcW w:w="1936" w:type="dxa"/>
            <w:tcBorders>
              <w:top w:val="single" w:sz="4" w:space="0" w:color="000000"/>
              <w:bottom w:val="single" w:sz="4" w:space="0" w:color="000000"/>
            </w:tcBorders>
          </w:tcPr>
          <w:p>
            <w:pPr>
              <w:pStyle w:val="TableParagraph"/>
              <w:spacing w:line="273" w:lineRule="exact"/>
              <w:ind w:left="806"/>
              <w:rPr>
                <w:b/>
                <w:sz w:val="24"/>
              </w:rPr>
            </w:pPr>
            <w:r>
              <w:rPr>
                <w:b/>
                <w:spacing w:val="-4"/>
                <w:sz w:val="24"/>
              </w:rPr>
              <w:t>Male</w:t>
            </w:r>
          </w:p>
        </w:tc>
        <w:tc>
          <w:tcPr>
            <w:tcW w:w="1555" w:type="dxa"/>
            <w:tcBorders>
              <w:top w:val="single" w:sz="4" w:space="0" w:color="000000"/>
              <w:bottom w:val="single" w:sz="4" w:space="0" w:color="000000"/>
            </w:tcBorders>
          </w:tcPr>
          <w:p>
            <w:pPr>
              <w:pStyle w:val="TableParagraph"/>
              <w:spacing w:line="273" w:lineRule="exact"/>
              <w:ind w:left="613"/>
              <w:rPr>
                <w:b/>
                <w:sz w:val="24"/>
              </w:rPr>
            </w:pPr>
            <w:r>
              <w:rPr>
                <w:b/>
                <w:spacing w:val="-2"/>
                <w:sz w:val="24"/>
              </w:rPr>
              <w:t>Female</w:t>
            </w:r>
          </w:p>
        </w:tc>
        <w:tc>
          <w:tcPr>
            <w:tcW w:w="1231" w:type="dxa"/>
            <w:tcBorders>
              <w:top w:val="single" w:sz="4" w:space="0" w:color="000000"/>
              <w:bottom w:val="single" w:sz="4" w:space="0" w:color="000000"/>
            </w:tcBorders>
          </w:tcPr>
          <w:p>
            <w:pPr>
              <w:pStyle w:val="TableParagraph"/>
              <w:spacing w:line="273" w:lineRule="exact"/>
              <w:ind w:left="205"/>
              <w:rPr>
                <w:b/>
                <w:sz w:val="24"/>
              </w:rPr>
            </w:pPr>
            <w:r>
              <w:rPr>
                <w:b/>
                <w:spacing w:val="-2"/>
                <w:sz w:val="24"/>
              </w:rPr>
              <w:t>Total</w:t>
            </w:r>
          </w:p>
        </w:tc>
      </w:tr>
      <w:tr>
        <w:trPr>
          <w:trHeight w:val="293" w:hRule="atLeast"/>
        </w:trPr>
        <w:tc>
          <w:tcPr>
            <w:tcW w:w="1010" w:type="dxa"/>
            <w:tcBorders>
              <w:top w:val="single" w:sz="4" w:space="0" w:color="000000"/>
            </w:tcBorders>
          </w:tcPr>
          <w:p>
            <w:pPr>
              <w:pStyle w:val="TableParagraph"/>
              <w:spacing w:line="268" w:lineRule="exact"/>
              <w:ind w:left="124"/>
              <w:rPr>
                <w:sz w:val="24"/>
              </w:rPr>
            </w:pPr>
            <w:r>
              <w:rPr>
                <w:spacing w:val="-10"/>
                <w:sz w:val="24"/>
              </w:rPr>
              <w:t>1</w:t>
            </w:r>
          </w:p>
        </w:tc>
        <w:tc>
          <w:tcPr>
            <w:tcW w:w="2712" w:type="dxa"/>
            <w:tcBorders>
              <w:top w:val="single" w:sz="4" w:space="0" w:color="000000"/>
            </w:tcBorders>
          </w:tcPr>
          <w:p>
            <w:pPr>
              <w:pStyle w:val="TableParagraph"/>
              <w:spacing w:line="268" w:lineRule="exact"/>
              <w:ind w:left="391"/>
              <w:rPr>
                <w:sz w:val="24"/>
              </w:rPr>
            </w:pPr>
            <w:r>
              <w:rPr>
                <w:sz w:val="24"/>
              </w:rPr>
              <w:t>G.S.S</w:t>
            </w:r>
            <w:r>
              <w:rPr>
                <w:spacing w:val="-1"/>
                <w:sz w:val="24"/>
              </w:rPr>
              <w:t> </w:t>
            </w:r>
            <w:r>
              <w:rPr>
                <w:spacing w:val="-2"/>
                <w:sz w:val="24"/>
              </w:rPr>
              <w:t>Farman</w:t>
            </w:r>
          </w:p>
        </w:tc>
        <w:tc>
          <w:tcPr>
            <w:tcW w:w="1936" w:type="dxa"/>
            <w:tcBorders>
              <w:top w:val="single" w:sz="4" w:space="0" w:color="000000"/>
            </w:tcBorders>
          </w:tcPr>
          <w:p>
            <w:pPr>
              <w:pStyle w:val="TableParagraph"/>
              <w:spacing w:line="268" w:lineRule="exact"/>
              <w:ind w:left="743"/>
              <w:rPr>
                <w:sz w:val="24"/>
              </w:rPr>
            </w:pPr>
            <w:r>
              <w:rPr>
                <w:spacing w:val="-5"/>
                <w:sz w:val="24"/>
              </w:rPr>
              <w:t>18</w:t>
            </w:r>
          </w:p>
        </w:tc>
        <w:tc>
          <w:tcPr>
            <w:tcW w:w="1555" w:type="dxa"/>
            <w:tcBorders>
              <w:top w:val="single" w:sz="4" w:space="0" w:color="000000"/>
            </w:tcBorders>
          </w:tcPr>
          <w:p>
            <w:pPr>
              <w:pStyle w:val="TableParagraph"/>
              <w:spacing w:line="268" w:lineRule="exact"/>
              <w:ind w:left="613"/>
              <w:rPr>
                <w:sz w:val="24"/>
              </w:rPr>
            </w:pPr>
            <w:r>
              <w:rPr>
                <w:spacing w:val="-5"/>
                <w:sz w:val="24"/>
              </w:rPr>
              <w:t>14</w:t>
            </w:r>
          </w:p>
        </w:tc>
        <w:tc>
          <w:tcPr>
            <w:tcW w:w="1231" w:type="dxa"/>
            <w:tcBorders>
              <w:top w:val="single" w:sz="4" w:space="0" w:color="000000"/>
            </w:tcBorders>
          </w:tcPr>
          <w:p>
            <w:pPr>
              <w:pStyle w:val="TableParagraph"/>
              <w:spacing w:line="268" w:lineRule="exact"/>
              <w:ind w:left="205"/>
              <w:rPr>
                <w:sz w:val="24"/>
              </w:rPr>
            </w:pPr>
            <w:r>
              <w:rPr>
                <w:spacing w:val="-5"/>
                <w:sz w:val="24"/>
              </w:rPr>
              <w:t>32</w:t>
            </w:r>
          </w:p>
        </w:tc>
      </w:tr>
      <w:tr>
        <w:trPr>
          <w:trHeight w:val="319" w:hRule="atLeast"/>
        </w:trPr>
        <w:tc>
          <w:tcPr>
            <w:tcW w:w="1010" w:type="dxa"/>
          </w:tcPr>
          <w:p>
            <w:pPr>
              <w:pStyle w:val="TableParagraph"/>
              <w:spacing w:before="15"/>
              <w:ind w:left="124"/>
              <w:rPr>
                <w:sz w:val="24"/>
              </w:rPr>
            </w:pPr>
            <w:r>
              <w:rPr>
                <w:spacing w:val="-10"/>
                <w:sz w:val="24"/>
              </w:rPr>
              <w:t>2</w:t>
            </w:r>
          </w:p>
        </w:tc>
        <w:tc>
          <w:tcPr>
            <w:tcW w:w="2712" w:type="dxa"/>
          </w:tcPr>
          <w:p>
            <w:pPr>
              <w:pStyle w:val="TableParagraph"/>
              <w:spacing w:before="15"/>
              <w:ind w:left="391"/>
              <w:rPr>
                <w:sz w:val="24"/>
              </w:rPr>
            </w:pPr>
            <w:r>
              <w:rPr>
                <w:sz w:val="24"/>
              </w:rPr>
              <w:t>GSS</w:t>
            </w:r>
            <w:r>
              <w:rPr>
                <w:spacing w:val="3"/>
                <w:sz w:val="24"/>
              </w:rPr>
              <w:t> </w:t>
            </w:r>
            <w:r>
              <w:rPr>
                <w:spacing w:val="-2"/>
                <w:sz w:val="24"/>
              </w:rPr>
              <w:t>F/Kamanto</w:t>
            </w:r>
          </w:p>
        </w:tc>
        <w:tc>
          <w:tcPr>
            <w:tcW w:w="1936" w:type="dxa"/>
          </w:tcPr>
          <w:p>
            <w:pPr>
              <w:pStyle w:val="TableParagraph"/>
              <w:spacing w:before="15"/>
              <w:ind w:left="743"/>
              <w:rPr>
                <w:sz w:val="24"/>
              </w:rPr>
            </w:pPr>
            <w:r>
              <w:rPr>
                <w:spacing w:val="-5"/>
                <w:sz w:val="24"/>
              </w:rPr>
              <w:t>11</w:t>
            </w:r>
          </w:p>
        </w:tc>
        <w:tc>
          <w:tcPr>
            <w:tcW w:w="1555" w:type="dxa"/>
          </w:tcPr>
          <w:p>
            <w:pPr>
              <w:pStyle w:val="TableParagraph"/>
              <w:spacing w:before="15"/>
              <w:ind w:left="613"/>
              <w:rPr>
                <w:sz w:val="24"/>
              </w:rPr>
            </w:pPr>
            <w:r>
              <w:rPr>
                <w:spacing w:val="-10"/>
                <w:sz w:val="24"/>
              </w:rPr>
              <w:t>7</w:t>
            </w:r>
          </w:p>
        </w:tc>
        <w:tc>
          <w:tcPr>
            <w:tcW w:w="1231" w:type="dxa"/>
          </w:tcPr>
          <w:p>
            <w:pPr>
              <w:pStyle w:val="TableParagraph"/>
              <w:spacing w:before="15"/>
              <w:ind w:left="205"/>
              <w:rPr>
                <w:sz w:val="24"/>
              </w:rPr>
            </w:pPr>
            <w:r>
              <w:rPr>
                <w:spacing w:val="-5"/>
                <w:sz w:val="24"/>
              </w:rPr>
              <w:t>18</w:t>
            </w:r>
          </w:p>
        </w:tc>
      </w:tr>
      <w:tr>
        <w:trPr>
          <w:trHeight w:val="319" w:hRule="atLeast"/>
        </w:trPr>
        <w:tc>
          <w:tcPr>
            <w:tcW w:w="1010" w:type="dxa"/>
          </w:tcPr>
          <w:p>
            <w:pPr>
              <w:pStyle w:val="TableParagraph"/>
              <w:spacing w:before="17"/>
              <w:ind w:left="124"/>
              <w:rPr>
                <w:sz w:val="24"/>
              </w:rPr>
            </w:pPr>
            <w:r>
              <w:rPr>
                <w:spacing w:val="-10"/>
                <w:sz w:val="24"/>
              </w:rPr>
              <w:t>3</w:t>
            </w:r>
          </w:p>
        </w:tc>
        <w:tc>
          <w:tcPr>
            <w:tcW w:w="2712" w:type="dxa"/>
          </w:tcPr>
          <w:p>
            <w:pPr>
              <w:pStyle w:val="TableParagraph"/>
              <w:spacing w:before="17"/>
              <w:ind w:left="391"/>
              <w:rPr>
                <w:sz w:val="24"/>
              </w:rPr>
            </w:pPr>
            <w:r>
              <w:rPr>
                <w:sz w:val="24"/>
              </w:rPr>
              <w:t>GSS</w:t>
            </w:r>
            <w:r>
              <w:rPr>
                <w:spacing w:val="1"/>
                <w:sz w:val="24"/>
              </w:rPr>
              <w:t> </w:t>
            </w:r>
            <w:r>
              <w:rPr>
                <w:spacing w:val="-2"/>
                <w:sz w:val="24"/>
              </w:rPr>
              <w:t>Zonkwa</w:t>
            </w:r>
          </w:p>
        </w:tc>
        <w:tc>
          <w:tcPr>
            <w:tcW w:w="1936" w:type="dxa"/>
          </w:tcPr>
          <w:p>
            <w:pPr>
              <w:pStyle w:val="TableParagraph"/>
              <w:spacing w:before="17"/>
              <w:ind w:left="743"/>
              <w:rPr>
                <w:sz w:val="24"/>
              </w:rPr>
            </w:pPr>
            <w:r>
              <w:rPr>
                <w:spacing w:val="-5"/>
                <w:sz w:val="24"/>
              </w:rPr>
              <w:t>20</w:t>
            </w:r>
          </w:p>
        </w:tc>
        <w:tc>
          <w:tcPr>
            <w:tcW w:w="1555" w:type="dxa"/>
          </w:tcPr>
          <w:p>
            <w:pPr>
              <w:pStyle w:val="TableParagraph"/>
              <w:spacing w:before="17"/>
              <w:ind w:left="613"/>
              <w:rPr>
                <w:sz w:val="24"/>
              </w:rPr>
            </w:pPr>
            <w:r>
              <w:rPr>
                <w:spacing w:val="-10"/>
                <w:sz w:val="24"/>
              </w:rPr>
              <w:t>9</w:t>
            </w:r>
          </w:p>
        </w:tc>
        <w:tc>
          <w:tcPr>
            <w:tcW w:w="1231" w:type="dxa"/>
          </w:tcPr>
          <w:p>
            <w:pPr>
              <w:pStyle w:val="TableParagraph"/>
              <w:spacing w:before="17"/>
              <w:ind w:left="205"/>
              <w:rPr>
                <w:sz w:val="24"/>
              </w:rPr>
            </w:pPr>
            <w:r>
              <w:rPr>
                <w:spacing w:val="-5"/>
                <w:sz w:val="24"/>
              </w:rPr>
              <w:t>29</w:t>
            </w:r>
          </w:p>
        </w:tc>
      </w:tr>
      <w:tr>
        <w:trPr>
          <w:trHeight w:val="317" w:hRule="atLeast"/>
        </w:trPr>
        <w:tc>
          <w:tcPr>
            <w:tcW w:w="1010" w:type="dxa"/>
          </w:tcPr>
          <w:p>
            <w:pPr>
              <w:pStyle w:val="TableParagraph"/>
              <w:spacing w:before="15"/>
              <w:ind w:left="124"/>
              <w:rPr>
                <w:sz w:val="24"/>
              </w:rPr>
            </w:pPr>
            <w:r>
              <w:rPr>
                <w:spacing w:val="-10"/>
                <w:sz w:val="24"/>
              </w:rPr>
              <w:t>4</w:t>
            </w:r>
          </w:p>
        </w:tc>
        <w:tc>
          <w:tcPr>
            <w:tcW w:w="2712" w:type="dxa"/>
          </w:tcPr>
          <w:p>
            <w:pPr>
              <w:pStyle w:val="TableParagraph"/>
              <w:spacing w:before="15"/>
              <w:ind w:left="391"/>
              <w:rPr>
                <w:sz w:val="24"/>
              </w:rPr>
            </w:pPr>
            <w:r>
              <w:rPr>
                <w:sz w:val="24"/>
              </w:rPr>
              <w:t>GSS</w:t>
            </w:r>
            <w:r>
              <w:rPr>
                <w:spacing w:val="1"/>
                <w:sz w:val="24"/>
              </w:rPr>
              <w:t> </w:t>
            </w:r>
            <w:r>
              <w:rPr>
                <w:spacing w:val="-2"/>
                <w:sz w:val="24"/>
              </w:rPr>
              <w:t>Fanjim</w:t>
            </w:r>
          </w:p>
        </w:tc>
        <w:tc>
          <w:tcPr>
            <w:tcW w:w="1936" w:type="dxa"/>
          </w:tcPr>
          <w:p>
            <w:pPr>
              <w:pStyle w:val="TableParagraph"/>
              <w:spacing w:before="15"/>
              <w:ind w:left="743"/>
              <w:rPr>
                <w:sz w:val="24"/>
              </w:rPr>
            </w:pPr>
            <w:r>
              <w:rPr>
                <w:spacing w:val="-5"/>
                <w:sz w:val="24"/>
              </w:rPr>
              <w:t>10</w:t>
            </w:r>
          </w:p>
        </w:tc>
        <w:tc>
          <w:tcPr>
            <w:tcW w:w="1555" w:type="dxa"/>
          </w:tcPr>
          <w:p>
            <w:pPr>
              <w:pStyle w:val="TableParagraph"/>
              <w:spacing w:before="15"/>
              <w:ind w:left="613"/>
              <w:rPr>
                <w:sz w:val="24"/>
              </w:rPr>
            </w:pPr>
            <w:r>
              <w:rPr>
                <w:spacing w:val="-5"/>
                <w:sz w:val="24"/>
              </w:rPr>
              <w:t>11</w:t>
            </w:r>
          </w:p>
        </w:tc>
        <w:tc>
          <w:tcPr>
            <w:tcW w:w="1231" w:type="dxa"/>
          </w:tcPr>
          <w:p>
            <w:pPr>
              <w:pStyle w:val="TableParagraph"/>
              <w:spacing w:before="15"/>
              <w:ind w:left="205"/>
              <w:rPr>
                <w:sz w:val="24"/>
              </w:rPr>
            </w:pPr>
            <w:r>
              <w:rPr>
                <w:spacing w:val="-5"/>
                <w:sz w:val="24"/>
              </w:rPr>
              <w:t>21</w:t>
            </w:r>
          </w:p>
        </w:tc>
      </w:tr>
      <w:tr>
        <w:trPr>
          <w:trHeight w:val="317" w:hRule="atLeast"/>
        </w:trPr>
        <w:tc>
          <w:tcPr>
            <w:tcW w:w="1010" w:type="dxa"/>
          </w:tcPr>
          <w:p>
            <w:pPr>
              <w:pStyle w:val="TableParagraph"/>
              <w:spacing w:before="15"/>
              <w:ind w:left="124"/>
              <w:rPr>
                <w:sz w:val="24"/>
              </w:rPr>
            </w:pPr>
            <w:r>
              <w:rPr>
                <w:spacing w:val="-10"/>
                <w:sz w:val="24"/>
              </w:rPr>
              <w:t>5</w:t>
            </w:r>
          </w:p>
        </w:tc>
        <w:tc>
          <w:tcPr>
            <w:tcW w:w="2712" w:type="dxa"/>
          </w:tcPr>
          <w:p>
            <w:pPr>
              <w:pStyle w:val="TableParagraph"/>
              <w:spacing w:before="15"/>
              <w:ind w:left="391"/>
              <w:rPr>
                <w:sz w:val="24"/>
              </w:rPr>
            </w:pPr>
            <w:r>
              <w:rPr>
                <w:sz w:val="24"/>
              </w:rPr>
              <w:t>GSS</w:t>
            </w:r>
            <w:r>
              <w:rPr>
                <w:spacing w:val="3"/>
                <w:sz w:val="24"/>
              </w:rPr>
              <w:t> </w:t>
            </w:r>
            <w:r>
              <w:rPr>
                <w:spacing w:val="-2"/>
                <w:sz w:val="24"/>
              </w:rPr>
              <w:t>Madakiya</w:t>
            </w:r>
          </w:p>
        </w:tc>
        <w:tc>
          <w:tcPr>
            <w:tcW w:w="1936" w:type="dxa"/>
          </w:tcPr>
          <w:p>
            <w:pPr>
              <w:pStyle w:val="TableParagraph"/>
              <w:spacing w:before="15"/>
              <w:ind w:left="743"/>
              <w:rPr>
                <w:sz w:val="24"/>
              </w:rPr>
            </w:pPr>
            <w:r>
              <w:rPr>
                <w:spacing w:val="-5"/>
                <w:sz w:val="24"/>
              </w:rPr>
              <w:t>19</w:t>
            </w:r>
          </w:p>
        </w:tc>
        <w:tc>
          <w:tcPr>
            <w:tcW w:w="1555" w:type="dxa"/>
          </w:tcPr>
          <w:p>
            <w:pPr>
              <w:pStyle w:val="TableParagraph"/>
              <w:spacing w:before="15"/>
              <w:ind w:left="613"/>
              <w:rPr>
                <w:sz w:val="24"/>
              </w:rPr>
            </w:pPr>
            <w:r>
              <w:rPr>
                <w:spacing w:val="-5"/>
                <w:sz w:val="24"/>
              </w:rPr>
              <w:t>16</w:t>
            </w:r>
          </w:p>
        </w:tc>
        <w:tc>
          <w:tcPr>
            <w:tcW w:w="1231" w:type="dxa"/>
          </w:tcPr>
          <w:p>
            <w:pPr>
              <w:pStyle w:val="TableParagraph"/>
              <w:spacing w:before="15"/>
              <w:ind w:left="205"/>
              <w:rPr>
                <w:sz w:val="24"/>
              </w:rPr>
            </w:pPr>
            <w:r>
              <w:rPr>
                <w:spacing w:val="-5"/>
                <w:sz w:val="24"/>
              </w:rPr>
              <w:t>35</w:t>
            </w:r>
          </w:p>
        </w:tc>
      </w:tr>
      <w:tr>
        <w:trPr>
          <w:trHeight w:val="316" w:hRule="atLeast"/>
        </w:trPr>
        <w:tc>
          <w:tcPr>
            <w:tcW w:w="1010" w:type="dxa"/>
          </w:tcPr>
          <w:p>
            <w:pPr>
              <w:pStyle w:val="TableParagraph"/>
              <w:spacing w:before="15"/>
              <w:ind w:left="124"/>
              <w:rPr>
                <w:sz w:val="24"/>
              </w:rPr>
            </w:pPr>
            <w:r>
              <w:rPr>
                <w:spacing w:val="-10"/>
                <w:sz w:val="24"/>
              </w:rPr>
              <w:t>6</w:t>
            </w:r>
          </w:p>
        </w:tc>
        <w:tc>
          <w:tcPr>
            <w:tcW w:w="2712" w:type="dxa"/>
          </w:tcPr>
          <w:p>
            <w:pPr>
              <w:pStyle w:val="TableParagraph"/>
              <w:spacing w:before="15"/>
              <w:ind w:left="391"/>
              <w:rPr>
                <w:sz w:val="24"/>
              </w:rPr>
            </w:pPr>
            <w:r>
              <w:rPr>
                <w:sz w:val="24"/>
              </w:rPr>
              <w:t>GSS</w:t>
            </w:r>
            <w:r>
              <w:rPr>
                <w:spacing w:val="1"/>
                <w:sz w:val="24"/>
              </w:rPr>
              <w:t> </w:t>
            </w:r>
            <w:r>
              <w:rPr>
                <w:spacing w:val="-2"/>
                <w:sz w:val="24"/>
              </w:rPr>
              <w:t>Marsa</w:t>
            </w:r>
          </w:p>
        </w:tc>
        <w:tc>
          <w:tcPr>
            <w:tcW w:w="1936" w:type="dxa"/>
          </w:tcPr>
          <w:p>
            <w:pPr>
              <w:pStyle w:val="TableParagraph"/>
              <w:spacing w:before="15"/>
              <w:ind w:left="743"/>
              <w:rPr>
                <w:sz w:val="24"/>
              </w:rPr>
            </w:pPr>
            <w:r>
              <w:rPr>
                <w:spacing w:val="-5"/>
                <w:sz w:val="24"/>
              </w:rPr>
              <w:t>11</w:t>
            </w:r>
          </w:p>
        </w:tc>
        <w:tc>
          <w:tcPr>
            <w:tcW w:w="1555" w:type="dxa"/>
          </w:tcPr>
          <w:p>
            <w:pPr>
              <w:pStyle w:val="TableParagraph"/>
              <w:spacing w:before="15"/>
              <w:ind w:left="613"/>
              <w:rPr>
                <w:sz w:val="24"/>
              </w:rPr>
            </w:pPr>
            <w:r>
              <w:rPr>
                <w:spacing w:val="-10"/>
                <w:sz w:val="24"/>
              </w:rPr>
              <w:t>6</w:t>
            </w:r>
          </w:p>
        </w:tc>
        <w:tc>
          <w:tcPr>
            <w:tcW w:w="1231" w:type="dxa"/>
          </w:tcPr>
          <w:p>
            <w:pPr>
              <w:pStyle w:val="TableParagraph"/>
              <w:spacing w:before="15"/>
              <w:ind w:left="205"/>
              <w:rPr>
                <w:sz w:val="24"/>
              </w:rPr>
            </w:pPr>
            <w:r>
              <w:rPr>
                <w:spacing w:val="-5"/>
                <w:sz w:val="24"/>
              </w:rPr>
              <w:t>17</w:t>
            </w:r>
          </w:p>
        </w:tc>
      </w:tr>
      <w:tr>
        <w:trPr>
          <w:trHeight w:val="339" w:hRule="atLeast"/>
        </w:trPr>
        <w:tc>
          <w:tcPr>
            <w:tcW w:w="1010" w:type="dxa"/>
            <w:tcBorders>
              <w:bottom w:val="single" w:sz="4" w:space="0" w:color="000000"/>
            </w:tcBorders>
          </w:tcPr>
          <w:p>
            <w:pPr>
              <w:pStyle w:val="TableParagraph"/>
              <w:rPr>
                <w:sz w:val="24"/>
              </w:rPr>
            </w:pPr>
          </w:p>
        </w:tc>
        <w:tc>
          <w:tcPr>
            <w:tcW w:w="2712" w:type="dxa"/>
            <w:tcBorders>
              <w:bottom w:val="single" w:sz="4" w:space="0" w:color="000000"/>
            </w:tcBorders>
          </w:tcPr>
          <w:p>
            <w:pPr>
              <w:pStyle w:val="TableParagraph"/>
              <w:spacing w:before="15"/>
              <w:ind w:left="391"/>
              <w:rPr>
                <w:sz w:val="24"/>
              </w:rPr>
            </w:pPr>
            <w:r>
              <w:rPr>
                <w:spacing w:val="-2"/>
                <w:sz w:val="24"/>
              </w:rPr>
              <w:t>Total</w:t>
            </w:r>
          </w:p>
        </w:tc>
        <w:tc>
          <w:tcPr>
            <w:tcW w:w="1936" w:type="dxa"/>
            <w:tcBorders>
              <w:bottom w:val="single" w:sz="4" w:space="0" w:color="000000"/>
            </w:tcBorders>
          </w:tcPr>
          <w:p>
            <w:pPr>
              <w:pStyle w:val="TableParagraph"/>
              <w:spacing w:before="15"/>
              <w:ind w:left="743"/>
              <w:rPr>
                <w:sz w:val="24"/>
              </w:rPr>
            </w:pPr>
            <w:r>
              <w:rPr>
                <w:spacing w:val="-5"/>
                <w:sz w:val="24"/>
              </w:rPr>
              <w:t>89</w:t>
            </w:r>
          </w:p>
        </w:tc>
        <w:tc>
          <w:tcPr>
            <w:tcW w:w="1555" w:type="dxa"/>
            <w:tcBorders>
              <w:bottom w:val="single" w:sz="4" w:space="0" w:color="000000"/>
            </w:tcBorders>
          </w:tcPr>
          <w:p>
            <w:pPr>
              <w:pStyle w:val="TableParagraph"/>
              <w:spacing w:before="15"/>
              <w:ind w:left="613"/>
              <w:rPr>
                <w:sz w:val="24"/>
              </w:rPr>
            </w:pPr>
            <w:r>
              <w:rPr>
                <w:spacing w:val="-5"/>
                <w:sz w:val="24"/>
              </w:rPr>
              <w:t>63</w:t>
            </w:r>
          </w:p>
        </w:tc>
        <w:tc>
          <w:tcPr>
            <w:tcW w:w="1231" w:type="dxa"/>
            <w:tcBorders>
              <w:bottom w:val="single" w:sz="4" w:space="0" w:color="000000"/>
            </w:tcBorders>
          </w:tcPr>
          <w:p>
            <w:pPr>
              <w:pStyle w:val="TableParagraph"/>
              <w:spacing w:before="15"/>
              <w:ind w:left="205"/>
              <w:rPr>
                <w:sz w:val="24"/>
              </w:rPr>
            </w:pPr>
            <w:r>
              <w:rPr>
                <w:spacing w:val="-5"/>
                <w:sz w:val="24"/>
              </w:rPr>
              <w:t>152</w:t>
            </w:r>
          </w:p>
        </w:tc>
      </w:tr>
    </w:tbl>
    <w:p>
      <w:pPr>
        <w:spacing w:before="0"/>
        <w:ind w:left="480" w:right="0" w:firstLine="0"/>
        <w:jc w:val="left"/>
        <w:rPr>
          <w:b/>
          <w:i/>
          <w:sz w:val="24"/>
        </w:rPr>
      </w:pPr>
      <w:r>
        <w:rPr>
          <w:b/>
          <w:i/>
          <w:sz w:val="24"/>
        </w:rPr>
        <w:t>Source:</w:t>
      </w:r>
      <w:r>
        <w:rPr>
          <w:b/>
          <w:i/>
          <w:spacing w:val="28"/>
          <w:sz w:val="24"/>
        </w:rPr>
        <w:t>  </w:t>
      </w:r>
      <w:r>
        <w:rPr>
          <w:b/>
          <w:i/>
          <w:sz w:val="24"/>
        </w:rPr>
        <w:t>Researcher’s</w:t>
      </w:r>
      <w:r>
        <w:rPr>
          <w:b/>
          <w:i/>
          <w:spacing w:val="-4"/>
          <w:sz w:val="24"/>
        </w:rPr>
        <w:t> </w:t>
      </w:r>
      <w:r>
        <w:rPr>
          <w:b/>
          <w:i/>
          <w:sz w:val="24"/>
        </w:rPr>
        <w:t>Field</w:t>
      </w:r>
      <w:r>
        <w:rPr>
          <w:b/>
          <w:i/>
          <w:spacing w:val="-1"/>
          <w:sz w:val="24"/>
        </w:rPr>
        <w:t> </w:t>
      </w:r>
      <w:r>
        <w:rPr>
          <w:b/>
          <w:i/>
          <w:spacing w:val="-2"/>
          <w:sz w:val="24"/>
        </w:rPr>
        <w:t>Work(2016)</w:t>
      </w:r>
    </w:p>
    <w:p>
      <w:pPr>
        <w:pStyle w:val="Heading3"/>
        <w:numPr>
          <w:ilvl w:val="1"/>
          <w:numId w:val="15"/>
        </w:numPr>
        <w:tabs>
          <w:tab w:pos="1200" w:val="left" w:leader="none"/>
        </w:tabs>
        <w:spacing w:line="240" w:lineRule="auto" w:before="275" w:after="0"/>
        <w:ind w:left="1200" w:right="0" w:hanging="720"/>
        <w:jc w:val="left"/>
      </w:pPr>
      <w:r>
        <w:rPr>
          <w:spacing w:val="-2"/>
        </w:rPr>
        <w:t>Instrumentation</w:t>
      </w:r>
    </w:p>
    <w:p>
      <w:pPr>
        <w:pStyle w:val="BodyText"/>
        <w:spacing w:before="272"/>
        <w:ind w:left="1201"/>
        <w:jc w:val="left"/>
      </w:pPr>
      <w:r>
        <w:rPr/>
        <w:t>In</w:t>
      </w:r>
      <w:r>
        <w:rPr>
          <w:spacing w:val="-7"/>
        </w:rPr>
        <w:t> </w:t>
      </w:r>
      <w:r>
        <w:rPr/>
        <w:t>this</w:t>
      </w:r>
      <w:r>
        <w:rPr>
          <w:spacing w:val="-2"/>
        </w:rPr>
        <w:t> </w:t>
      </w:r>
      <w:r>
        <w:rPr/>
        <w:t>study</w:t>
      </w:r>
      <w:r>
        <w:rPr>
          <w:spacing w:val="-5"/>
        </w:rPr>
        <w:t> </w:t>
      </w:r>
      <w:r>
        <w:rPr/>
        <w:t>four</w:t>
      </w:r>
      <w:r>
        <w:rPr>
          <w:spacing w:val="4"/>
        </w:rPr>
        <w:t> </w:t>
      </w:r>
      <w:r>
        <w:rPr/>
        <w:t>Instruments</w:t>
      </w:r>
      <w:r>
        <w:rPr>
          <w:spacing w:val="-1"/>
        </w:rPr>
        <w:t> </w:t>
      </w:r>
      <w:r>
        <w:rPr/>
        <w:t>were</w:t>
      </w:r>
      <w:r>
        <w:rPr>
          <w:spacing w:val="-1"/>
        </w:rPr>
        <w:t> </w:t>
      </w:r>
      <w:r>
        <w:rPr/>
        <w:t>used for</w:t>
      </w:r>
      <w:r>
        <w:rPr>
          <w:spacing w:val="1"/>
        </w:rPr>
        <w:t> </w:t>
      </w:r>
      <w:r>
        <w:rPr/>
        <w:t>data</w:t>
      </w:r>
      <w:r>
        <w:rPr>
          <w:spacing w:val="-6"/>
        </w:rPr>
        <w:t> </w:t>
      </w:r>
      <w:r>
        <w:rPr/>
        <w:t>collection.</w:t>
      </w:r>
      <w:r>
        <w:rPr>
          <w:spacing w:val="62"/>
        </w:rPr>
        <w:t> </w:t>
      </w:r>
      <w:r>
        <w:rPr/>
        <w:t>They</w:t>
      </w:r>
      <w:r>
        <w:rPr>
          <w:spacing w:val="-9"/>
        </w:rPr>
        <w:t> </w:t>
      </w:r>
      <w:r>
        <w:rPr>
          <w:spacing w:val="-2"/>
        </w:rPr>
        <w:t>were:</w:t>
      </w:r>
    </w:p>
    <w:p>
      <w:pPr>
        <w:pStyle w:val="BodyText"/>
        <w:ind w:left="0"/>
        <w:jc w:val="left"/>
      </w:pPr>
    </w:p>
    <w:p>
      <w:pPr>
        <w:pStyle w:val="ListParagraph"/>
        <w:numPr>
          <w:ilvl w:val="2"/>
          <w:numId w:val="15"/>
        </w:numPr>
        <w:tabs>
          <w:tab w:pos="1200" w:val="left" w:leader="none"/>
        </w:tabs>
        <w:spacing w:line="240" w:lineRule="auto" w:before="0" w:after="0"/>
        <w:ind w:left="1200" w:right="0" w:hanging="720"/>
        <w:jc w:val="left"/>
        <w:rPr>
          <w:sz w:val="24"/>
        </w:rPr>
      </w:pPr>
      <w:r>
        <w:rPr>
          <w:sz w:val="24"/>
        </w:rPr>
        <w:t>Trait Emotional</w:t>
      </w:r>
      <w:r>
        <w:rPr>
          <w:spacing w:val="-13"/>
          <w:sz w:val="24"/>
        </w:rPr>
        <w:t> </w:t>
      </w:r>
      <w:r>
        <w:rPr>
          <w:sz w:val="24"/>
        </w:rPr>
        <w:t>Intelligence</w:t>
      </w:r>
      <w:r>
        <w:rPr>
          <w:spacing w:val="-2"/>
          <w:sz w:val="24"/>
        </w:rPr>
        <w:t> </w:t>
      </w:r>
      <w:r>
        <w:rPr>
          <w:sz w:val="24"/>
        </w:rPr>
        <w:t>Questionnaire</w:t>
      </w:r>
      <w:r>
        <w:rPr>
          <w:spacing w:val="-3"/>
          <w:sz w:val="24"/>
        </w:rPr>
        <w:t> </w:t>
      </w:r>
      <w:r>
        <w:rPr>
          <w:spacing w:val="-2"/>
          <w:sz w:val="24"/>
        </w:rPr>
        <w:t>(TEIQue)</w:t>
      </w:r>
    </w:p>
    <w:p>
      <w:pPr>
        <w:pStyle w:val="BodyText"/>
        <w:ind w:left="0"/>
        <w:jc w:val="left"/>
      </w:pPr>
    </w:p>
    <w:p>
      <w:pPr>
        <w:pStyle w:val="ListParagraph"/>
        <w:numPr>
          <w:ilvl w:val="2"/>
          <w:numId w:val="15"/>
        </w:numPr>
        <w:tabs>
          <w:tab w:pos="1200" w:val="left" w:leader="none"/>
        </w:tabs>
        <w:spacing w:line="240" w:lineRule="auto" w:before="0" w:after="0"/>
        <w:ind w:left="1200" w:right="0" w:hanging="720"/>
        <w:jc w:val="left"/>
        <w:rPr>
          <w:sz w:val="24"/>
        </w:rPr>
      </w:pPr>
      <w:r>
        <w:rPr>
          <w:sz w:val="24"/>
        </w:rPr>
        <w:t>Group</w:t>
      </w:r>
      <w:r>
        <w:rPr>
          <w:spacing w:val="-7"/>
          <w:sz w:val="24"/>
        </w:rPr>
        <w:t> </w:t>
      </w:r>
      <w:r>
        <w:rPr>
          <w:sz w:val="24"/>
        </w:rPr>
        <w:t>Assessment</w:t>
      </w:r>
      <w:r>
        <w:rPr>
          <w:spacing w:val="4"/>
          <w:sz w:val="24"/>
        </w:rPr>
        <w:t> </w:t>
      </w:r>
      <w:r>
        <w:rPr>
          <w:sz w:val="24"/>
        </w:rPr>
        <w:t>of</w:t>
      </w:r>
      <w:r>
        <w:rPr>
          <w:spacing w:val="-9"/>
          <w:sz w:val="24"/>
        </w:rPr>
        <w:t> </w:t>
      </w:r>
      <w:r>
        <w:rPr>
          <w:sz w:val="24"/>
        </w:rPr>
        <w:t>Logical</w:t>
      </w:r>
      <w:r>
        <w:rPr>
          <w:spacing w:val="-6"/>
          <w:sz w:val="24"/>
        </w:rPr>
        <w:t> </w:t>
      </w:r>
      <w:r>
        <w:rPr>
          <w:sz w:val="24"/>
        </w:rPr>
        <w:t>Thinking </w:t>
      </w:r>
      <w:r>
        <w:rPr>
          <w:spacing w:val="-2"/>
          <w:sz w:val="24"/>
        </w:rPr>
        <w:t>(GALT)</w:t>
      </w:r>
    </w:p>
    <w:p>
      <w:pPr>
        <w:pStyle w:val="BodyText"/>
        <w:ind w:left="0"/>
        <w:jc w:val="left"/>
      </w:pPr>
    </w:p>
    <w:p>
      <w:pPr>
        <w:pStyle w:val="ListParagraph"/>
        <w:numPr>
          <w:ilvl w:val="2"/>
          <w:numId w:val="15"/>
        </w:numPr>
        <w:tabs>
          <w:tab w:pos="1200" w:val="left" w:leader="none"/>
        </w:tabs>
        <w:spacing w:line="240" w:lineRule="auto" w:before="0" w:after="0"/>
        <w:ind w:left="1200" w:right="0" w:hanging="720"/>
        <w:jc w:val="left"/>
        <w:rPr>
          <w:sz w:val="24"/>
        </w:rPr>
      </w:pPr>
      <w:r>
        <w:rPr>
          <w:sz w:val="24"/>
        </w:rPr>
        <w:t>Chemistry</w:t>
      </w:r>
      <w:r>
        <w:rPr>
          <w:spacing w:val="-10"/>
          <w:sz w:val="24"/>
        </w:rPr>
        <w:t> </w:t>
      </w:r>
      <w:r>
        <w:rPr>
          <w:sz w:val="24"/>
        </w:rPr>
        <w:t>Self-efficacy</w:t>
      </w:r>
      <w:r>
        <w:rPr>
          <w:spacing w:val="-9"/>
          <w:sz w:val="24"/>
        </w:rPr>
        <w:t> </w:t>
      </w:r>
      <w:r>
        <w:rPr>
          <w:sz w:val="24"/>
        </w:rPr>
        <w:t>Instrument</w:t>
      </w:r>
      <w:r>
        <w:rPr>
          <w:spacing w:val="7"/>
          <w:sz w:val="24"/>
        </w:rPr>
        <w:t> </w:t>
      </w:r>
      <w:r>
        <w:rPr>
          <w:spacing w:val="-4"/>
          <w:sz w:val="24"/>
        </w:rPr>
        <w:t>(CSI)</w:t>
      </w:r>
    </w:p>
    <w:p>
      <w:pPr>
        <w:pStyle w:val="BodyText"/>
        <w:ind w:left="0"/>
        <w:jc w:val="left"/>
      </w:pPr>
    </w:p>
    <w:p>
      <w:pPr>
        <w:pStyle w:val="ListParagraph"/>
        <w:numPr>
          <w:ilvl w:val="2"/>
          <w:numId w:val="15"/>
        </w:numPr>
        <w:tabs>
          <w:tab w:pos="1200" w:val="left" w:leader="none"/>
        </w:tabs>
        <w:spacing w:line="240" w:lineRule="auto" w:before="0" w:after="0"/>
        <w:ind w:left="1200" w:right="0" w:hanging="720"/>
        <w:jc w:val="left"/>
        <w:rPr>
          <w:sz w:val="24"/>
        </w:rPr>
      </w:pPr>
      <w:r>
        <w:rPr>
          <w:sz w:val="24"/>
        </w:rPr>
        <w:t>Chemistry</w:t>
      </w:r>
      <w:r>
        <w:rPr>
          <w:spacing w:val="-7"/>
          <w:sz w:val="24"/>
        </w:rPr>
        <w:t> </w:t>
      </w:r>
      <w:r>
        <w:rPr>
          <w:sz w:val="24"/>
        </w:rPr>
        <w:t>Achievement</w:t>
      </w:r>
      <w:r>
        <w:rPr>
          <w:spacing w:val="3"/>
          <w:sz w:val="24"/>
        </w:rPr>
        <w:t> </w:t>
      </w:r>
      <w:r>
        <w:rPr>
          <w:sz w:val="24"/>
        </w:rPr>
        <w:t>Score</w:t>
      </w:r>
      <w:r>
        <w:rPr>
          <w:spacing w:val="-2"/>
          <w:sz w:val="24"/>
        </w:rPr>
        <w:t> </w:t>
      </w:r>
      <w:r>
        <w:rPr>
          <w:spacing w:val="-4"/>
          <w:sz w:val="24"/>
        </w:rPr>
        <w:t>(CAS)</w:t>
      </w:r>
    </w:p>
    <w:p>
      <w:pPr>
        <w:pStyle w:val="BodyText"/>
        <w:spacing w:before="5"/>
        <w:ind w:left="0"/>
        <w:jc w:val="left"/>
      </w:pPr>
    </w:p>
    <w:p>
      <w:pPr>
        <w:pStyle w:val="Heading3"/>
        <w:numPr>
          <w:ilvl w:val="2"/>
          <w:numId w:val="16"/>
        </w:numPr>
        <w:tabs>
          <w:tab w:pos="1199" w:val="left" w:leader="none"/>
        </w:tabs>
        <w:spacing w:line="240" w:lineRule="auto" w:before="1" w:after="0"/>
        <w:ind w:left="1199" w:right="0" w:hanging="719"/>
        <w:jc w:val="both"/>
      </w:pPr>
      <w:r>
        <w:rPr/>
        <w:t>Trait</w:t>
      </w:r>
      <w:r>
        <w:rPr>
          <w:spacing w:val="-3"/>
        </w:rPr>
        <w:t> </w:t>
      </w:r>
      <w:r>
        <w:rPr/>
        <w:t>Emotional</w:t>
      </w:r>
      <w:r>
        <w:rPr>
          <w:spacing w:val="-7"/>
        </w:rPr>
        <w:t> </w:t>
      </w:r>
      <w:r>
        <w:rPr/>
        <w:t>Intelligence</w:t>
      </w:r>
      <w:r>
        <w:rPr>
          <w:spacing w:val="-4"/>
        </w:rPr>
        <w:t> </w:t>
      </w:r>
      <w:r>
        <w:rPr/>
        <w:t>Questionnaire</w:t>
      </w:r>
      <w:r>
        <w:rPr>
          <w:spacing w:val="-3"/>
        </w:rPr>
        <w:t> </w:t>
      </w:r>
      <w:r>
        <w:rPr>
          <w:spacing w:val="-2"/>
        </w:rPr>
        <w:t>(TEIQue)</w:t>
      </w:r>
    </w:p>
    <w:p>
      <w:pPr>
        <w:pStyle w:val="BodyText"/>
        <w:spacing w:line="480" w:lineRule="auto" w:before="271"/>
        <w:ind w:right="1150" w:firstLine="720"/>
      </w:pPr>
      <w:r>
        <w:rPr/>
        <w:t>To measure the Emotional-intelligence of Students, The Trait Emotional Intelligence Questionnaire (TEIQue) was developed by</w:t>
      </w:r>
      <w:r>
        <w:rPr>
          <w:spacing w:val="40"/>
        </w:rPr>
        <w:t> </w:t>
      </w:r>
      <w:r>
        <w:rPr/>
        <w:t>Petrides (2001),was adopted with a reported reliability coefficient of 0.80 used and is a scientific instrument used</w:t>
      </w:r>
      <w:r>
        <w:rPr>
          <w:spacing w:val="40"/>
        </w:rPr>
        <w:t> </w:t>
      </w:r>
      <w:r>
        <w:rPr/>
        <w:t>to measure trait emotional intelligence (Petrides, 2001). The TEIQue is composed of fifteen facets that were derived from a comprehensive content analysis of prominent emotional-intelligence literature: adaptability, assertiveness, emotion appraisal (self and others), emotion expression, emotion management (others), emotion regulation, impulsiveness (low), relationship skills, self-esteem, self- motivation, social competence, stress management, trait empathy, trait happiness, and trait optimism (Petrides &amp; Furnham, 2001). In Conte (2005) reviewed and critized various El measures. While, he did not specifically examine the TEIQue measure</w:t>
      </w:r>
      <w:r>
        <w:rPr>
          <w:sz w:val="22"/>
        </w:rPr>
        <w:t>,</w:t>
      </w:r>
      <w:r>
        <w:rPr>
          <w:spacing w:val="19"/>
          <w:sz w:val="22"/>
        </w:rPr>
        <w:t> </w:t>
      </w:r>
      <w:r>
        <w:rPr/>
        <w:t>he found that</w:t>
      </w:r>
    </w:p>
    <w:p>
      <w:pPr>
        <w:spacing w:after="0" w:line="480" w:lineRule="auto"/>
        <w:sectPr>
          <w:pgSz w:w="11910" w:h="16840"/>
          <w:pgMar w:header="0" w:footer="1012" w:top="1340" w:bottom="1200" w:left="1680" w:right="280"/>
        </w:sectPr>
      </w:pPr>
    </w:p>
    <w:p>
      <w:pPr>
        <w:pStyle w:val="BodyText"/>
        <w:spacing w:line="480" w:lineRule="auto" w:before="74"/>
        <w:ind w:right="1161"/>
        <w:rPr>
          <w:sz w:val="22"/>
        </w:rPr>
      </w:pPr>
      <w:r>
        <w:rPr/>
        <w:t>most of the El measures have sufficient internal reliability. However, some ability- based El subscales have marginally acceptable internal consistency and test</w:t>
      </w:r>
      <w:r>
        <w:rPr>
          <w:sz w:val="22"/>
        </w:rPr>
        <w:t>-retest </w:t>
      </w:r>
      <w:r>
        <w:rPr>
          <w:spacing w:val="-2"/>
          <w:sz w:val="22"/>
        </w:rPr>
        <w:t>reliability.</w:t>
      </w:r>
    </w:p>
    <w:p>
      <w:pPr>
        <w:pStyle w:val="BodyText"/>
        <w:spacing w:line="480" w:lineRule="auto"/>
        <w:ind w:right="1150" w:firstLine="720"/>
        <w:rPr>
          <w:sz w:val="22"/>
        </w:rPr>
      </w:pPr>
      <w:r>
        <w:rPr/>
        <w:t>The instrument chosen</w:t>
      </w:r>
      <w:r>
        <w:rPr>
          <w:spacing w:val="-6"/>
        </w:rPr>
        <w:t> </w:t>
      </w:r>
      <w:r>
        <w:rPr/>
        <w:t>t</w:t>
      </w:r>
      <w:r>
        <w:rPr>
          <w:sz w:val="22"/>
        </w:rPr>
        <w:t>o</w:t>
      </w:r>
      <w:r>
        <w:rPr>
          <w:spacing w:val="-1"/>
          <w:sz w:val="22"/>
        </w:rPr>
        <w:t> </w:t>
      </w:r>
      <w:r>
        <w:rPr>
          <w:sz w:val="22"/>
        </w:rPr>
        <w:t>m</w:t>
      </w:r>
      <w:r>
        <w:rPr/>
        <w:t>easure</w:t>
      </w:r>
      <w:r>
        <w:rPr>
          <w:spacing w:val="-2"/>
        </w:rPr>
        <w:t> </w:t>
      </w:r>
      <w:r>
        <w:rPr/>
        <w:t>tr</w:t>
      </w:r>
      <w:r>
        <w:rPr>
          <w:sz w:val="22"/>
        </w:rPr>
        <w:t>a</w:t>
      </w:r>
      <w:r>
        <w:rPr/>
        <w:t>it emotional</w:t>
      </w:r>
      <w:r>
        <w:rPr>
          <w:spacing w:val="-6"/>
        </w:rPr>
        <w:t> </w:t>
      </w:r>
      <w:r>
        <w:rPr/>
        <w:t>intelligence in</w:t>
      </w:r>
      <w:r>
        <w:rPr>
          <w:spacing w:val="-1"/>
        </w:rPr>
        <w:t> </w:t>
      </w:r>
      <w:r>
        <w:rPr/>
        <w:t>this study</w:t>
      </w:r>
      <w:r>
        <w:rPr>
          <w:spacing w:val="-11"/>
        </w:rPr>
        <w:t> </w:t>
      </w:r>
      <w:r>
        <w:rPr/>
        <w:t>was the Trait Emotional Intelligence Questionnaire (TEIQue), (Petrides &amp; Furnha</w:t>
      </w:r>
      <w:r>
        <w:rPr>
          <w:sz w:val="22"/>
        </w:rPr>
        <w:t>m,</w:t>
      </w:r>
      <w:r>
        <w:rPr>
          <w:spacing w:val="40"/>
          <w:sz w:val="22"/>
        </w:rPr>
        <w:t> </w:t>
      </w:r>
      <w:r>
        <w:rPr/>
        <w:t>2006). The thirty question TEIQu</w:t>
      </w:r>
      <w:r>
        <w:rPr>
          <w:sz w:val="22"/>
        </w:rPr>
        <w:t>e</w:t>
      </w:r>
      <w:r>
        <w:rPr/>
        <w:t>based on the long form of the TEIQue and is designed to measure global trait intelligen</w:t>
      </w:r>
      <w:r>
        <w:rPr>
          <w:sz w:val="22"/>
        </w:rPr>
        <w:t>c</w:t>
      </w:r>
      <w:r>
        <w:rPr/>
        <w:t>e (Petride</w:t>
      </w:r>
      <w:r>
        <w:rPr>
          <w:sz w:val="22"/>
        </w:rPr>
        <w:t>s, </w:t>
      </w:r>
      <w:r>
        <w:rPr/>
        <w:t>2001). Two questions from each of the fifteen subscales of the TEIQue were i</w:t>
      </w:r>
      <w:r>
        <w:rPr>
          <w:sz w:val="22"/>
        </w:rPr>
        <w:t>nc</w:t>
      </w:r>
      <w:r>
        <w:rPr/>
        <w:t>luded </w:t>
      </w:r>
      <w:r>
        <w:rPr>
          <w:sz w:val="22"/>
        </w:rPr>
        <w:t>i</w:t>
      </w:r>
      <w:r>
        <w:rPr/>
        <w:t>n the short form, which were</w:t>
      </w:r>
      <w:r>
        <w:rPr>
          <w:spacing w:val="-4"/>
        </w:rPr>
        <w:t> </w:t>
      </w:r>
      <w:r>
        <w:rPr/>
        <w:t>chosen based on</w:t>
      </w:r>
      <w:r>
        <w:rPr>
          <w:spacing w:val="-7"/>
        </w:rPr>
        <w:t> </w:t>
      </w:r>
      <w:r>
        <w:rPr/>
        <w:t>their ―correlations</w:t>
      </w:r>
      <w:r>
        <w:rPr>
          <w:spacing w:val="-1"/>
        </w:rPr>
        <w:t> </w:t>
      </w:r>
      <w:r>
        <w:rPr/>
        <w:t>with</w:t>
      </w:r>
      <w:r>
        <w:rPr>
          <w:spacing w:val="-4"/>
        </w:rPr>
        <w:t> </w:t>
      </w:r>
      <w:r>
        <w:rPr/>
        <w:t>the corresponding</w:t>
      </w:r>
      <w:r>
        <w:rPr>
          <w:spacing w:val="-4"/>
        </w:rPr>
        <w:t> </w:t>
      </w:r>
      <w:r>
        <w:rPr/>
        <w:t>total</w:t>
      </w:r>
      <w:r>
        <w:rPr>
          <w:spacing w:val="-7"/>
        </w:rPr>
        <w:t> </w:t>
      </w:r>
      <w:r>
        <w:rPr/>
        <w:t>subsc</w:t>
      </w:r>
      <w:r>
        <w:rPr>
          <w:sz w:val="22"/>
        </w:rPr>
        <w:t>ale</w:t>
      </w:r>
      <w:r>
        <w:rPr>
          <w:spacing w:val="-8"/>
          <w:sz w:val="22"/>
        </w:rPr>
        <w:t> </w:t>
      </w:r>
      <w:r>
        <w:rPr>
          <w:sz w:val="22"/>
        </w:rPr>
        <w:t>scores‖ (Petrides &amp; Furnham,</w:t>
      </w:r>
      <w:r>
        <w:rPr>
          <w:spacing w:val="40"/>
          <w:sz w:val="22"/>
        </w:rPr>
        <w:t> </w:t>
      </w:r>
      <w:r>
        <w:rPr/>
        <w:t>2006). These fifteen subscales were used to pro</w:t>
      </w:r>
      <w:r>
        <w:rPr>
          <w:sz w:val="22"/>
        </w:rPr>
        <w:t>v</w:t>
      </w:r>
      <w:r>
        <w:rPr/>
        <w:t>ide scores on fo</w:t>
      </w:r>
      <w:r>
        <w:rPr>
          <w:sz w:val="22"/>
        </w:rPr>
        <w:t>u</w:t>
      </w:r>
      <w:r>
        <w:rPr/>
        <w:t>r broader factors: well-being, self-control</w:t>
      </w:r>
      <w:r>
        <w:rPr>
          <w:sz w:val="22"/>
        </w:rPr>
        <w:t>, </w:t>
      </w:r>
      <w:r>
        <w:rPr/>
        <w:t>emotionality, and </w:t>
      </w:r>
      <w:r>
        <w:rPr>
          <w:sz w:val="22"/>
        </w:rPr>
        <w:t>sociability (Petrides, </w:t>
      </w:r>
      <w:r>
        <w:rPr>
          <w:spacing w:val="-2"/>
          <w:sz w:val="22"/>
        </w:rPr>
        <w:t>2001).</w:t>
      </w:r>
    </w:p>
    <w:p>
      <w:pPr>
        <w:pStyle w:val="BodyText"/>
        <w:spacing w:line="480" w:lineRule="auto" w:before="3"/>
        <w:ind w:right="1155" w:firstLine="720"/>
        <w:rPr>
          <w:sz w:val="22"/>
        </w:rPr>
      </w:pPr>
      <w:r>
        <w:rPr/>
        <w:t>A high</w:t>
      </w:r>
      <w:r>
        <w:rPr>
          <w:spacing w:val="40"/>
        </w:rPr>
        <w:t> </w:t>
      </w:r>
      <w:r>
        <w:rPr/>
        <w:t>score indicates an overall sense of well-being. In general, individuals with a high score on this factor are fulfilled and satisfied with life. On the other hand, low scores represent individuals that have poor self-esteem and are not satisfied </w:t>
      </w:r>
      <w:r>
        <w:rPr>
          <w:sz w:val="22"/>
        </w:rPr>
        <w:t>with life at the present time.</w:t>
      </w:r>
    </w:p>
    <w:p>
      <w:pPr>
        <w:pStyle w:val="BodyText"/>
        <w:spacing w:line="480" w:lineRule="auto"/>
        <w:ind w:right="1150" w:firstLine="720"/>
        <w:rPr>
          <w:sz w:val="22"/>
        </w:rPr>
      </w:pPr>
      <w:r>
        <w:rPr/>
        <w:t>The self-control factor refers to one‘s degree of control over their urges and desires. Individuals with a high self-control score have the ability to manage and regulate external pressures. However, individuals with a low score tend to display impulsive behaviors and are una</w:t>
      </w:r>
      <w:r>
        <w:rPr>
          <w:sz w:val="22"/>
        </w:rPr>
        <w:t>ble to properly manage stress.</w:t>
      </w:r>
    </w:p>
    <w:p>
      <w:pPr>
        <w:pStyle w:val="BodyText"/>
        <w:spacing w:line="480" w:lineRule="auto"/>
        <w:ind w:right="1160" w:firstLine="720"/>
      </w:pPr>
      <w:r>
        <w:rPr/>
        <w:t>Individuals with a high emotionality score possess a wide array of emotion- related skills: recognizing internal emotions, perceiving emotions, and expressing emotions. In turn, these skills are often used to form and nurture close relationships with family and friends. On the contrary, individuals with a low emotionality score have difficulty</w:t>
      </w:r>
      <w:r>
        <w:rPr>
          <w:spacing w:val="-2"/>
        </w:rPr>
        <w:t> </w:t>
      </w:r>
      <w:r>
        <w:rPr/>
        <w:t>recognizing their own</w:t>
      </w:r>
      <w:r>
        <w:rPr>
          <w:spacing w:val="-3"/>
        </w:rPr>
        <w:t> </w:t>
      </w:r>
      <w:r>
        <w:rPr/>
        <w:t>emotions and conveying their feelings to others.</w:t>
      </w:r>
    </w:p>
    <w:p>
      <w:pPr>
        <w:spacing w:after="0" w:line="480" w:lineRule="auto"/>
        <w:sectPr>
          <w:pgSz w:w="11910" w:h="16840"/>
          <w:pgMar w:header="0" w:footer="1012" w:top="1340" w:bottom="1200" w:left="1680" w:right="280"/>
        </w:sectPr>
      </w:pPr>
    </w:p>
    <w:p>
      <w:pPr>
        <w:spacing w:line="480" w:lineRule="auto" w:before="74"/>
        <w:ind w:left="480" w:right="1160" w:firstLine="0"/>
        <w:jc w:val="both"/>
        <w:rPr>
          <w:sz w:val="22"/>
        </w:rPr>
      </w:pPr>
      <w:r>
        <w:rPr>
          <w:sz w:val="24"/>
        </w:rPr>
        <w:t>In turn, these individuals generally experience less gratifying perso</w:t>
      </w:r>
      <w:r>
        <w:rPr>
          <w:sz w:val="22"/>
        </w:rPr>
        <w:t>nal relationships</w:t>
      </w:r>
      <w:r>
        <w:rPr>
          <w:spacing w:val="40"/>
          <w:sz w:val="22"/>
        </w:rPr>
        <w:t> </w:t>
      </w:r>
      <w:r>
        <w:rPr>
          <w:sz w:val="22"/>
        </w:rPr>
        <w:t>with others.</w:t>
      </w:r>
    </w:p>
    <w:p>
      <w:pPr>
        <w:pStyle w:val="BodyText"/>
        <w:spacing w:line="480" w:lineRule="auto"/>
        <w:ind w:right="1162" w:firstLine="720"/>
        <w:rPr>
          <w:sz w:val="22"/>
        </w:rPr>
      </w:pPr>
      <w:r>
        <w:rPr/>
        <w:t>The sociability factor focuses on one‘s social influence. This factor differs from the emotionality factor in that it evaluates one‘s influence in a variety of social contexts, rather than</w:t>
      </w:r>
      <w:r>
        <w:rPr>
          <w:spacing w:val="-1"/>
        </w:rPr>
        <w:t> </w:t>
      </w:r>
      <w:r>
        <w:rPr/>
        <w:t>just in</w:t>
      </w:r>
      <w:r>
        <w:rPr>
          <w:spacing w:val="-6"/>
        </w:rPr>
        <w:t> </w:t>
      </w:r>
      <w:r>
        <w:rPr/>
        <w:t>personal</w:t>
      </w:r>
      <w:r>
        <w:rPr>
          <w:spacing w:val="-6"/>
        </w:rPr>
        <w:t> </w:t>
      </w:r>
      <w:r>
        <w:rPr/>
        <w:t>relationships with</w:t>
      </w:r>
      <w:r>
        <w:rPr>
          <w:spacing w:val="-1"/>
        </w:rPr>
        <w:t> </w:t>
      </w:r>
      <w:r>
        <w:rPr/>
        <w:t>family</w:t>
      </w:r>
      <w:r>
        <w:rPr>
          <w:spacing w:val="-6"/>
        </w:rPr>
        <w:t> </w:t>
      </w:r>
      <w:r>
        <w:rPr/>
        <w:t>and friends. Individuals with a high sociability score are good listeners and effective communicators. Individuals with a low score are not as effective at social interaction. They appear unsure of themselves in social interactions and are unable to affect others‘ emotions (Petrides, 200</w:t>
      </w:r>
      <w:r>
        <w:rPr>
          <w:sz w:val="22"/>
        </w:rPr>
        <w:t>1). See appendix A</w:t>
      </w:r>
    </w:p>
    <w:p>
      <w:pPr>
        <w:pStyle w:val="Heading3"/>
        <w:numPr>
          <w:ilvl w:val="2"/>
          <w:numId w:val="16"/>
        </w:numPr>
        <w:tabs>
          <w:tab w:pos="1199" w:val="left" w:leader="none"/>
        </w:tabs>
        <w:spacing w:line="240" w:lineRule="auto" w:before="4" w:after="0"/>
        <w:ind w:left="1199" w:right="0" w:hanging="719"/>
        <w:jc w:val="both"/>
      </w:pPr>
      <w:r>
        <w:rPr/>
        <w:t>Group</w:t>
      </w:r>
      <w:r>
        <w:rPr>
          <w:spacing w:val="-2"/>
        </w:rPr>
        <w:t> </w:t>
      </w:r>
      <w:r>
        <w:rPr/>
        <w:t>Assessment</w:t>
      </w:r>
      <w:r>
        <w:rPr>
          <w:spacing w:val="-1"/>
        </w:rPr>
        <w:t> </w:t>
      </w:r>
      <w:r>
        <w:rPr/>
        <w:t>of</w:t>
      </w:r>
      <w:r>
        <w:rPr>
          <w:spacing w:val="-4"/>
        </w:rPr>
        <w:t> </w:t>
      </w:r>
      <w:r>
        <w:rPr/>
        <w:t>Logical</w:t>
      </w:r>
      <w:r>
        <w:rPr>
          <w:spacing w:val="-6"/>
        </w:rPr>
        <w:t> </w:t>
      </w:r>
      <w:r>
        <w:rPr/>
        <w:t>Thinking</w:t>
      </w:r>
      <w:r>
        <w:rPr>
          <w:spacing w:val="-1"/>
        </w:rPr>
        <w:t> </w:t>
      </w:r>
      <w:r>
        <w:rPr>
          <w:spacing w:val="-2"/>
        </w:rPr>
        <w:t>(GALT)</w:t>
      </w:r>
    </w:p>
    <w:p>
      <w:pPr>
        <w:pStyle w:val="BodyText"/>
        <w:spacing w:line="480" w:lineRule="auto" w:before="272"/>
        <w:ind w:right="1150" w:firstLine="720"/>
      </w:pPr>
      <w:r>
        <w:rPr/>
        <w:t>To measure Reasoning Ability of the students the Group Assessment of Logical Thinking (GALT), developed by Road-Rangka, Yeang and Padilla (1982), adopted from</w:t>
      </w:r>
      <w:r>
        <w:rPr>
          <w:spacing w:val="-3"/>
        </w:rPr>
        <w:t> </w:t>
      </w:r>
      <w:r>
        <w:rPr/>
        <w:t>Mari, (2001) with a reported reliability</w:t>
      </w:r>
      <w:r>
        <w:rPr>
          <w:spacing w:val="-9"/>
        </w:rPr>
        <w:t> </w:t>
      </w:r>
      <w:r>
        <w:rPr/>
        <w:t>coefficient of</w:t>
      </w:r>
      <w:r>
        <w:rPr>
          <w:spacing w:val="-7"/>
        </w:rPr>
        <w:t> </w:t>
      </w:r>
      <w:r>
        <w:rPr/>
        <w:t>0.85, was</w:t>
      </w:r>
      <w:r>
        <w:rPr>
          <w:spacing w:val="-1"/>
        </w:rPr>
        <w:t> </w:t>
      </w:r>
      <w:r>
        <w:rPr/>
        <w:t>adopted. The instrument consists of twelve questions testing six reasoning ability of schemata </w:t>
      </w:r>
      <w:r>
        <w:rPr>
          <w:spacing w:val="-2"/>
        </w:rPr>
        <w:t>namely;</w:t>
      </w:r>
    </w:p>
    <w:p>
      <w:pPr>
        <w:pStyle w:val="ListParagraph"/>
        <w:numPr>
          <w:ilvl w:val="3"/>
          <w:numId w:val="16"/>
        </w:numPr>
        <w:tabs>
          <w:tab w:pos="1199" w:val="left" w:leader="none"/>
        </w:tabs>
        <w:spacing w:line="240" w:lineRule="auto" w:before="1" w:after="0"/>
        <w:ind w:left="1199" w:right="0" w:hanging="358"/>
        <w:jc w:val="both"/>
        <w:rPr>
          <w:sz w:val="24"/>
        </w:rPr>
      </w:pPr>
      <w:r>
        <w:rPr>
          <w:spacing w:val="-2"/>
          <w:sz w:val="24"/>
        </w:rPr>
        <w:t>Conservation</w:t>
      </w:r>
    </w:p>
    <w:p>
      <w:pPr>
        <w:pStyle w:val="BodyText"/>
        <w:ind w:left="0"/>
        <w:jc w:val="left"/>
      </w:pPr>
    </w:p>
    <w:p>
      <w:pPr>
        <w:pStyle w:val="ListParagraph"/>
        <w:numPr>
          <w:ilvl w:val="3"/>
          <w:numId w:val="16"/>
        </w:numPr>
        <w:tabs>
          <w:tab w:pos="1200" w:val="left" w:leader="none"/>
        </w:tabs>
        <w:spacing w:line="240" w:lineRule="auto" w:before="0" w:after="0"/>
        <w:ind w:left="1200" w:right="0" w:hanging="359"/>
        <w:jc w:val="both"/>
        <w:rPr>
          <w:sz w:val="24"/>
        </w:rPr>
      </w:pPr>
      <w:r>
        <w:rPr>
          <w:sz w:val="24"/>
        </w:rPr>
        <w:t>Proportional</w:t>
      </w:r>
      <w:r>
        <w:rPr>
          <w:spacing w:val="-15"/>
          <w:sz w:val="24"/>
        </w:rPr>
        <w:t> </w:t>
      </w:r>
      <w:r>
        <w:rPr>
          <w:spacing w:val="-2"/>
          <w:sz w:val="24"/>
        </w:rPr>
        <w:t>reasoning</w:t>
      </w:r>
    </w:p>
    <w:p>
      <w:pPr>
        <w:pStyle w:val="BodyText"/>
        <w:ind w:left="0"/>
        <w:jc w:val="left"/>
      </w:pPr>
    </w:p>
    <w:p>
      <w:pPr>
        <w:pStyle w:val="ListParagraph"/>
        <w:numPr>
          <w:ilvl w:val="3"/>
          <w:numId w:val="16"/>
        </w:numPr>
        <w:tabs>
          <w:tab w:pos="1200" w:val="left" w:leader="none"/>
        </w:tabs>
        <w:spacing w:line="240" w:lineRule="auto" w:before="0" w:after="0"/>
        <w:ind w:left="1200" w:right="0" w:hanging="359"/>
        <w:jc w:val="both"/>
        <w:rPr>
          <w:sz w:val="24"/>
        </w:rPr>
      </w:pPr>
      <w:r>
        <w:rPr>
          <w:sz w:val="24"/>
        </w:rPr>
        <w:t>Controlling</w:t>
      </w:r>
      <w:r>
        <w:rPr>
          <w:spacing w:val="-4"/>
          <w:sz w:val="24"/>
        </w:rPr>
        <w:t> </w:t>
      </w:r>
      <w:r>
        <w:rPr>
          <w:spacing w:val="-2"/>
          <w:sz w:val="24"/>
        </w:rPr>
        <w:t>variables</w:t>
      </w:r>
    </w:p>
    <w:p>
      <w:pPr>
        <w:pStyle w:val="BodyText"/>
        <w:ind w:left="0"/>
        <w:jc w:val="left"/>
      </w:pPr>
    </w:p>
    <w:p>
      <w:pPr>
        <w:pStyle w:val="ListParagraph"/>
        <w:numPr>
          <w:ilvl w:val="3"/>
          <w:numId w:val="16"/>
        </w:numPr>
        <w:tabs>
          <w:tab w:pos="1200" w:val="left" w:leader="none"/>
        </w:tabs>
        <w:spacing w:line="240" w:lineRule="auto" w:before="0" w:after="0"/>
        <w:ind w:left="1200" w:right="0" w:hanging="359"/>
        <w:jc w:val="both"/>
        <w:rPr>
          <w:sz w:val="24"/>
        </w:rPr>
      </w:pPr>
      <w:r>
        <w:rPr>
          <w:sz w:val="24"/>
        </w:rPr>
        <w:t>Probabilistic</w:t>
      </w:r>
      <w:r>
        <w:rPr>
          <w:spacing w:val="-9"/>
          <w:sz w:val="24"/>
        </w:rPr>
        <w:t> </w:t>
      </w:r>
      <w:r>
        <w:rPr>
          <w:spacing w:val="-2"/>
          <w:sz w:val="24"/>
        </w:rPr>
        <w:t>reasoning</w:t>
      </w:r>
    </w:p>
    <w:p>
      <w:pPr>
        <w:pStyle w:val="BodyText"/>
        <w:ind w:left="0"/>
        <w:jc w:val="left"/>
      </w:pPr>
    </w:p>
    <w:p>
      <w:pPr>
        <w:pStyle w:val="ListParagraph"/>
        <w:numPr>
          <w:ilvl w:val="3"/>
          <w:numId w:val="16"/>
        </w:numPr>
        <w:tabs>
          <w:tab w:pos="1200" w:val="left" w:leader="none"/>
        </w:tabs>
        <w:spacing w:line="240" w:lineRule="auto" w:before="1" w:after="0"/>
        <w:ind w:left="1200" w:right="0" w:hanging="359"/>
        <w:jc w:val="both"/>
        <w:rPr>
          <w:sz w:val="24"/>
        </w:rPr>
      </w:pPr>
      <w:r>
        <w:rPr>
          <w:sz w:val="24"/>
        </w:rPr>
        <w:t>Correlation</w:t>
      </w:r>
      <w:r>
        <w:rPr>
          <w:spacing w:val="-8"/>
          <w:sz w:val="24"/>
        </w:rPr>
        <w:t> </w:t>
      </w:r>
      <w:r>
        <w:rPr>
          <w:spacing w:val="-2"/>
          <w:sz w:val="24"/>
        </w:rPr>
        <w:t>reasoning</w:t>
      </w:r>
    </w:p>
    <w:p>
      <w:pPr>
        <w:pStyle w:val="BodyText"/>
        <w:ind w:left="0"/>
        <w:jc w:val="left"/>
      </w:pPr>
    </w:p>
    <w:p>
      <w:pPr>
        <w:pStyle w:val="ListParagraph"/>
        <w:numPr>
          <w:ilvl w:val="3"/>
          <w:numId w:val="16"/>
        </w:numPr>
        <w:tabs>
          <w:tab w:pos="1200" w:val="left" w:leader="none"/>
        </w:tabs>
        <w:spacing w:line="240" w:lineRule="auto" w:before="0" w:after="0"/>
        <w:ind w:left="1200" w:right="0" w:hanging="359"/>
        <w:jc w:val="left"/>
        <w:rPr>
          <w:sz w:val="24"/>
        </w:rPr>
      </w:pPr>
      <w:r>
        <w:rPr>
          <w:sz w:val="24"/>
        </w:rPr>
        <w:t>Combinational</w:t>
      </w:r>
      <w:r>
        <w:rPr>
          <w:spacing w:val="-11"/>
          <w:sz w:val="24"/>
        </w:rPr>
        <w:t> </w:t>
      </w:r>
      <w:r>
        <w:rPr>
          <w:spacing w:val="-2"/>
          <w:sz w:val="24"/>
        </w:rPr>
        <w:t>reasoning.</w:t>
      </w:r>
    </w:p>
    <w:p>
      <w:pPr>
        <w:pStyle w:val="BodyText"/>
        <w:ind w:left="0"/>
        <w:jc w:val="left"/>
      </w:pPr>
    </w:p>
    <w:p>
      <w:pPr>
        <w:pStyle w:val="BodyText"/>
        <w:ind w:left="1201"/>
        <w:jc w:val="left"/>
      </w:pPr>
      <w:r>
        <w:rPr/>
        <w:t>Items 1</w:t>
      </w:r>
      <w:r>
        <w:rPr>
          <w:spacing w:val="5"/>
        </w:rPr>
        <w:t> </w:t>
      </w:r>
      <w:r>
        <w:rPr/>
        <w:t>and</w:t>
      </w:r>
      <w:r>
        <w:rPr>
          <w:spacing w:val="5"/>
        </w:rPr>
        <w:t> </w:t>
      </w:r>
      <w:r>
        <w:rPr/>
        <w:t>2</w:t>
      </w:r>
      <w:r>
        <w:rPr>
          <w:spacing w:val="5"/>
        </w:rPr>
        <w:t> </w:t>
      </w:r>
      <w:r>
        <w:rPr/>
        <w:t>deal</w:t>
      </w:r>
      <w:r>
        <w:rPr>
          <w:spacing w:val="1"/>
        </w:rPr>
        <w:t> </w:t>
      </w:r>
      <w:r>
        <w:rPr/>
        <w:t>with</w:t>
      </w:r>
      <w:r>
        <w:rPr>
          <w:spacing w:val="1"/>
        </w:rPr>
        <w:t> </w:t>
      </w:r>
      <w:r>
        <w:rPr/>
        <w:t>conservational</w:t>
      </w:r>
      <w:r>
        <w:rPr>
          <w:spacing w:val="1"/>
        </w:rPr>
        <w:t> </w:t>
      </w:r>
      <w:r>
        <w:rPr/>
        <w:t>ability,</w:t>
      </w:r>
      <w:r>
        <w:rPr>
          <w:spacing w:val="8"/>
        </w:rPr>
        <w:t> </w:t>
      </w:r>
      <w:r>
        <w:rPr/>
        <w:t>3</w:t>
      </w:r>
      <w:r>
        <w:rPr>
          <w:spacing w:val="5"/>
        </w:rPr>
        <w:t> </w:t>
      </w:r>
      <w:r>
        <w:rPr/>
        <w:t>and</w:t>
      </w:r>
      <w:r>
        <w:rPr>
          <w:spacing w:val="5"/>
        </w:rPr>
        <w:t> </w:t>
      </w:r>
      <w:r>
        <w:rPr/>
        <w:t>4</w:t>
      </w:r>
      <w:r>
        <w:rPr>
          <w:spacing w:val="5"/>
        </w:rPr>
        <w:t> </w:t>
      </w:r>
      <w:r>
        <w:rPr/>
        <w:t>proportional</w:t>
      </w:r>
      <w:r>
        <w:rPr>
          <w:spacing w:val="1"/>
        </w:rPr>
        <w:t> </w:t>
      </w:r>
      <w:r>
        <w:rPr>
          <w:spacing w:val="-2"/>
        </w:rPr>
        <w:t>reasoning,</w:t>
      </w:r>
    </w:p>
    <w:p>
      <w:pPr>
        <w:pStyle w:val="BodyText"/>
        <w:ind w:left="0"/>
        <w:jc w:val="left"/>
      </w:pPr>
    </w:p>
    <w:p>
      <w:pPr>
        <w:pStyle w:val="ListParagraph"/>
        <w:numPr>
          <w:ilvl w:val="0"/>
          <w:numId w:val="17"/>
        </w:numPr>
        <w:tabs>
          <w:tab w:pos="700" w:val="left" w:leader="none"/>
        </w:tabs>
        <w:spacing w:line="480" w:lineRule="auto" w:before="0" w:after="0"/>
        <w:ind w:left="480" w:right="1155" w:firstLine="0"/>
        <w:jc w:val="both"/>
        <w:rPr>
          <w:sz w:val="24"/>
        </w:rPr>
      </w:pPr>
      <w:r>
        <w:rPr>
          <w:sz w:val="24"/>
        </w:rPr>
        <w:t>and 6controlling variables, 7 and 8 probabilistic reasoning, 9 and 10 correlation reasoning and lastly 11 and 12 test combinational reasoning.</w:t>
      </w:r>
    </w:p>
    <w:p>
      <w:pPr>
        <w:pStyle w:val="BodyText"/>
        <w:spacing w:before="1"/>
        <w:ind w:left="1201"/>
        <w:jc w:val="left"/>
      </w:pPr>
      <w:r>
        <w:rPr/>
        <w:t>Reason</w:t>
      </w:r>
      <w:r>
        <w:rPr>
          <w:spacing w:val="-2"/>
        </w:rPr>
        <w:t> </w:t>
      </w:r>
      <w:r>
        <w:rPr/>
        <w:t>for</w:t>
      </w:r>
      <w:r>
        <w:rPr>
          <w:spacing w:val="-1"/>
        </w:rPr>
        <w:t> </w:t>
      </w:r>
      <w:r>
        <w:rPr/>
        <w:t>choosing</w:t>
      </w:r>
      <w:r>
        <w:rPr>
          <w:spacing w:val="-2"/>
        </w:rPr>
        <w:t> </w:t>
      </w:r>
      <w:r>
        <w:rPr/>
        <w:t>GALT together</w:t>
      </w:r>
      <w:r>
        <w:rPr>
          <w:spacing w:val="-1"/>
        </w:rPr>
        <w:t> </w:t>
      </w:r>
      <w:r>
        <w:rPr/>
        <w:t>paper</w:t>
      </w:r>
      <w:r>
        <w:rPr>
          <w:spacing w:val="-1"/>
        </w:rPr>
        <w:t> </w:t>
      </w:r>
      <w:r>
        <w:rPr/>
        <w:t>and</w:t>
      </w:r>
      <w:r>
        <w:rPr>
          <w:spacing w:val="-2"/>
        </w:rPr>
        <w:t> </w:t>
      </w:r>
      <w:r>
        <w:rPr/>
        <w:t>pencil</w:t>
      </w:r>
      <w:r>
        <w:rPr>
          <w:spacing w:val="-10"/>
        </w:rPr>
        <w:t> </w:t>
      </w:r>
      <w:r>
        <w:rPr/>
        <w:t>test</w:t>
      </w:r>
      <w:r>
        <w:rPr>
          <w:spacing w:val="3"/>
        </w:rPr>
        <w:t> </w:t>
      </w:r>
      <w:r>
        <w:rPr>
          <w:spacing w:val="-4"/>
        </w:rPr>
        <w:t>are:</w:t>
      </w:r>
    </w:p>
    <w:p>
      <w:pPr>
        <w:spacing w:after="0"/>
        <w:jc w:val="left"/>
        <w:sectPr>
          <w:pgSz w:w="11910" w:h="16840"/>
          <w:pgMar w:header="0" w:footer="1012" w:top="1340" w:bottom="1200" w:left="1680" w:right="280"/>
        </w:sectPr>
      </w:pPr>
    </w:p>
    <w:p>
      <w:pPr>
        <w:pStyle w:val="ListParagraph"/>
        <w:numPr>
          <w:ilvl w:val="0"/>
          <w:numId w:val="18"/>
        </w:numPr>
        <w:tabs>
          <w:tab w:pos="1201" w:val="left" w:leader="none"/>
        </w:tabs>
        <w:spacing w:line="480" w:lineRule="auto" w:before="74" w:after="0"/>
        <w:ind w:left="1201" w:right="1162" w:hanging="360"/>
        <w:jc w:val="left"/>
        <w:rPr>
          <w:sz w:val="24"/>
        </w:rPr>
      </w:pPr>
      <w:r>
        <w:rPr>
          <w:sz w:val="24"/>
        </w:rPr>
        <w:t>It</w:t>
      </w:r>
      <w:r>
        <w:rPr>
          <w:spacing w:val="40"/>
          <w:sz w:val="24"/>
        </w:rPr>
        <w:t> </w:t>
      </w:r>
      <w:r>
        <w:rPr>
          <w:sz w:val="24"/>
        </w:rPr>
        <w:t>was</w:t>
      </w:r>
      <w:r>
        <w:rPr>
          <w:spacing w:val="40"/>
          <w:sz w:val="24"/>
        </w:rPr>
        <w:t> </w:t>
      </w:r>
      <w:r>
        <w:rPr>
          <w:sz w:val="24"/>
        </w:rPr>
        <w:t>developed</w:t>
      </w:r>
      <w:r>
        <w:rPr>
          <w:spacing w:val="40"/>
          <w:sz w:val="24"/>
        </w:rPr>
        <w:t> </w:t>
      </w:r>
      <w:r>
        <w:rPr>
          <w:sz w:val="24"/>
        </w:rPr>
        <w:t>keeping</w:t>
      </w:r>
      <w:r>
        <w:rPr>
          <w:spacing w:val="40"/>
          <w:sz w:val="24"/>
        </w:rPr>
        <w:t> </w:t>
      </w:r>
      <w:r>
        <w:rPr>
          <w:sz w:val="24"/>
        </w:rPr>
        <w:t>in</w:t>
      </w:r>
      <w:r>
        <w:rPr>
          <w:spacing w:val="40"/>
          <w:sz w:val="24"/>
        </w:rPr>
        <w:t> </w:t>
      </w:r>
      <w:r>
        <w:rPr>
          <w:sz w:val="24"/>
        </w:rPr>
        <w:t>mind</w:t>
      </w:r>
      <w:r>
        <w:rPr>
          <w:spacing w:val="40"/>
          <w:sz w:val="24"/>
        </w:rPr>
        <w:t> </w:t>
      </w:r>
      <w:r>
        <w:rPr>
          <w:sz w:val="24"/>
        </w:rPr>
        <w:t>the</w:t>
      </w:r>
      <w:r>
        <w:rPr>
          <w:spacing w:val="40"/>
          <w:sz w:val="24"/>
        </w:rPr>
        <w:t> </w:t>
      </w:r>
      <w:r>
        <w:rPr>
          <w:sz w:val="24"/>
        </w:rPr>
        <w:t>real</w:t>
      </w:r>
      <w:r>
        <w:rPr>
          <w:spacing w:val="40"/>
          <w:sz w:val="24"/>
        </w:rPr>
        <w:t> </w:t>
      </w:r>
      <w:r>
        <w:rPr>
          <w:sz w:val="24"/>
        </w:rPr>
        <w:t>spirit</w:t>
      </w:r>
      <w:r>
        <w:rPr>
          <w:spacing w:val="40"/>
          <w:sz w:val="24"/>
        </w:rPr>
        <w:t> </w:t>
      </w:r>
      <w:r>
        <w:rPr>
          <w:sz w:val="24"/>
        </w:rPr>
        <w:t>of</w:t>
      </w:r>
      <w:r>
        <w:rPr>
          <w:spacing w:val="40"/>
          <w:sz w:val="24"/>
        </w:rPr>
        <w:t> </w:t>
      </w:r>
      <w:r>
        <w:rPr>
          <w:sz w:val="24"/>
        </w:rPr>
        <w:t>piagetian</w:t>
      </w:r>
      <w:r>
        <w:rPr>
          <w:spacing w:val="40"/>
          <w:sz w:val="24"/>
        </w:rPr>
        <w:t> </w:t>
      </w:r>
      <w:r>
        <w:rPr>
          <w:sz w:val="24"/>
        </w:rPr>
        <w:t>concepts</w:t>
      </w:r>
      <w:r>
        <w:rPr>
          <w:spacing w:val="40"/>
          <w:sz w:val="24"/>
        </w:rPr>
        <w:t> </w:t>
      </w:r>
      <w:r>
        <w:rPr>
          <w:sz w:val="24"/>
        </w:rPr>
        <w:t>of developmental stages of logical thinking.</w:t>
      </w:r>
    </w:p>
    <w:p>
      <w:pPr>
        <w:pStyle w:val="ListParagraph"/>
        <w:numPr>
          <w:ilvl w:val="0"/>
          <w:numId w:val="18"/>
        </w:numPr>
        <w:tabs>
          <w:tab w:pos="1201" w:val="left" w:leader="none"/>
        </w:tabs>
        <w:spacing w:line="480" w:lineRule="auto" w:before="0" w:after="0"/>
        <w:ind w:left="1201" w:right="1165" w:hanging="360"/>
        <w:jc w:val="left"/>
        <w:rPr>
          <w:sz w:val="24"/>
        </w:rPr>
      </w:pPr>
      <w:r>
        <w:rPr>
          <w:sz w:val="24"/>
        </w:rPr>
        <w:t>It has stood the test of time and proved useful in a variety of research studies</w:t>
      </w:r>
      <w:r>
        <w:rPr>
          <w:spacing w:val="40"/>
          <w:sz w:val="24"/>
        </w:rPr>
        <w:t> </w:t>
      </w:r>
      <w:r>
        <w:rPr>
          <w:sz w:val="24"/>
        </w:rPr>
        <w:t>in several countries.</w:t>
      </w:r>
    </w:p>
    <w:p>
      <w:pPr>
        <w:pStyle w:val="ListParagraph"/>
        <w:numPr>
          <w:ilvl w:val="0"/>
          <w:numId w:val="18"/>
        </w:numPr>
        <w:tabs>
          <w:tab w:pos="1201" w:val="left" w:leader="none"/>
        </w:tabs>
        <w:spacing w:line="480" w:lineRule="auto" w:before="0" w:after="0"/>
        <w:ind w:left="1201" w:right="1170" w:hanging="360"/>
        <w:jc w:val="left"/>
        <w:rPr>
          <w:sz w:val="24"/>
        </w:rPr>
      </w:pPr>
      <w:r>
        <w:rPr>
          <w:sz w:val="24"/>
        </w:rPr>
        <w:t>It employs several items to measure</w:t>
      </w:r>
      <w:r>
        <w:rPr>
          <w:spacing w:val="-1"/>
          <w:sz w:val="24"/>
        </w:rPr>
        <w:t> </w:t>
      </w:r>
      <w:r>
        <w:rPr>
          <w:sz w:val="24"/>
        </w:rPr>
        <w:t>each</w:t>
      </w:r>
      <w:r>
        <w:rPr>
          <w:spacing w:val="-5"/>
          <w:sz w:val="24"/>
        </w:rPr>
        <w:t> </w:t>
      </w:r>
      <w:r>
        <w:rPr>
          <w:sz w:val="24"/>
        </w:rPr>
        <w:t>one</w:t>
      </w:r>
      <w:r>
        <w:rPr>
          <w:spacing w:val="-1"/>
          <w:sz w:val="24"/>
        </w:rPr>
        <w:t> </w:t>
      </w:r>
      <w:r>
        <w:rPr>
          <w:sz w:val="24"/>
        </w:rPr>
        <w:t>of</w:t>
      </w:r>
      <w:r>
        <w:rPr>
          <w:spacing w:val="-8"/>
          <w:sz w:val="24"/>
        </w:rPr>
        <w:t> </w:t>
      </w:r>
      <w:r>
        <w:rPr>
          <w:sz w:val="24"/>
        </w:rPr>
        <w:t>the</w:t>
      </w:r>
      <w:r>
        <w:rPr>
          <w:spacing w:val="-1"/>
          <w:sz w:val="24"/>
        </w:rPr>
        <w:t> </w:t>
      </w:r>
      <w:r>
        <w:rPr>
          <w:sz w:val="24"/>
        </w:rPr>
        <w:t>operational concepts</w:t>
      </w:r>
      <w:r>
        <w:rPr>
          <w:spacing w:val="-2"/>
          <w:sz w:val="24"/>
        </w:rPr>
        <w:t> </w:t>
      </w:r>
      <w:r>
        <w:rPr>
          <w:sz w:val="24"/>
        </w:rPr>
        <w:t>so as to provide a reliable assessment of each concept.</w:t>
      </w:r>
    </w:p>
    <w:p>
      <w:pPr>
        <w:pStyle w:val="ListParagraph"/>
        <w:numPr>
          <w:ilvl w:val="0"/>
          <w:numId w:val="18"/>
        </w:numPr>
        <w:tabs>
          <w:tab w:pos="1201" w:val="left" w:leader="none"/>
        </w:tabs>
        <w:spacing w:line="480" w:lineRule="auto" w:before="1" w:after="0"/>
        <w:ind w:left="1201" w:right="1156" w:hanging="360"/>
        <w:jc w:val="left"/>
        <w:rPr>
          <w:sz w:val="24"/>
        </w:rPr>
      </w:pPr>
      <w:r>
        <w:rPr>
          <w:sz w:val="24"/>
        </w:rPr>
        <w:t>It is easy to administer and does not require more than a normal instructional period of time.</w:t>
      </w:r>
    </w:p>
    <w:p>
      <w:pPr>
        <w:pStyle w:val="ListParagraph"/>
        <w:numPr>
          <w:ilvl w:val="0"/>
          <w:numId w:val="18"/>
        </w:numPr>
        <w:tabs>
          <w:tab w:pos="1201" w:val="left" w:leader="none"/>
        </w:tabs>
        <w:spacing w:line="240" w:lineRule="auto" w:before="1" w:after="0"/>
        <w:ind w:left="1201" w:right="0" w:hanging="360"/>
        <w:jc w:val="left"/>
        <w:rPr>
          <w:sz w:val="24"/>
        </w:rPr>
      </w:pPr>
      <w:r>
        <w:rPr>
          <w:sz w:val="24"/>
        </w:rPr>
        <w:t>The</w:t>
      </w:r>
      <w:r>
        <w:rPr>
          <w:spacing w:val="-5"/>
          <w:sz w:val="24"/>
        </w:rPr>
        <w:t> </w:t>
      </w:r>
      <w:r>
        <w:rPr>
          <w:sz w:val="24"/>
        </w:rPr>
        <w:t>test</w:t>
      </w:r>
      <w:r>
        <w:rPr>
          <w:spacing w:val="-2"/>
          <w:sz w:val="24"/>
        </w:rPr>
        <w:t> </w:t>
      </w:r>
      <w:r>
        <w:rPr>
          <w:sz w:val="24"/>
        </w:rPr>
        <w:t>has</w:t>
      </w:r>
      <w:r>
        <w:rPr>
          <w:spacing w:val="-3"/>
          <w:sz w:val="24"/>
        </w:rPr>
        <w:t> </w:t>
      </w:r>
      <w:r>
        <w:rPr>
          <w:sz w:val="24"/>
        </w:rPr>
        <w:t>a</w:t>
      </w:r>
      <w:r>
        <w:rPr>
          <w:spacing w:val="-2"/>
          <w:sz w:val="24"/>
        </w:rPr>
        <w:t> </w:t>
      </w:r>
      <w:r>
        <w:rPr>
          <w:sz w:val="24"/>
        </w:rPr>
        <w:t>suitable</w:t>
      </w:r>
      <w:r>
        <w:rPr>
          <w:spacing w:val="-3"/>
          <w:sz w:val="24"/>
        </w:rPr>
        <w:t> </w:t>
      </w:r>
      <w:r>
        <w:rPr>
          <w:sz w:val="24"/>
        </w:rPr>
        <w:t>reliability</w:t>
      </w:r>
      <w:r>
        <w:rPr>
          <w:spacing w:val="-1"/>
          <w:sz w:val="24"/>
        </w:rPr>
        <w:t> </w:t>
      </w:r>
      <w:r>
        <w:rPr>
          <w:sz w:val="24"/>
        </w:rPr>
        <w:t>coefficient</w:t>
      </w:r>
      <w:r>
        <w:rPr>
          <w:spacing w:val="5"/>
          <w:sz w:val="24"/>
        </w:rPr>
        <w:t> </w:t>
      </w:r>
      <w:r>
        <w:rPr>
          <w:sz w:val="24"/>
        </w:rPr>
        <w:t>of</w:t>
      </w:r>
      <w:r>
        <w:rPr>
          <w:spacing w:val="-9"/>
          <w:sz w:val="24"/>
        </w:rPr>
        <w:t> </w:t>
      </w:r>
      <w:r>
        <w:rPr>
          <w:spacing w:val="-2"/>
          <w:sz w:val="24"/>
        </w:rPr>
        <w:t>0.85.</w:t>
      </w:r>
    </w:p>
    <w:p>
      <w:pPr>
        <w:pStyle w:val="ListParagraph"/>
        <w:numPr>
          <w:ilvl w:val="0"/>
          <w:numId w:val="18"/>
        </w:numPr>
        <w:tabs>
          <w:tab w:pos="1201" w:val="left" w:leader="none"/>
        </w:tabs>
        <w:spacing w:line="480" w:lineRule="auto" w:before="276" w:after="0"/>
        <w:ind w:left="1201" w:right="1167" w:hanging="360"/>
        <w:jc w:val="both"/>
        <w:rPr>
          <w:sz w:val="24"/>
        </w:rPr>
      </w:pPr>
      <w:r>
        <w:rPr>
          <w:sz w:val="24"/>
        </w:rPr>
        <w:t>The test deals more with level of</w:t>
      </w:r>
      <w:r>
        <w:rPr>
          <w:spacing w:val="-3"/>
          <w:sz w:val="24"/>
        </w:rPr>
        <w:t> </w:t>
      </w:r>
      <w:r>
        <w:rPr>
          <w:sz w:val="24"/>
        </w:rPr>
        <w:t>acquisition of scientific concepts and less on acquisition of language.</w:t>
      </w:r>
    </w:p>
    <w:p>
      <w:pPr>
        <w:pStyle w:val="Heading3"/>
        <w:numPr>
          <w:ilvl w:val="2"/>
          <w:numId w:val="16"/>
        </w:numPr>
        <w:tabs>
          <w:tab w:pos="1199" w:val="left" w:leader="none"/>
        </w:tabs>
        <w:spacing w:line="240" w:lineRule="auto" w:before="5" w:after="0"/>
        <w:ind w:left="1199" w:right="0" w:hanging="719"/>
        <w:jc w:val="both"/>
      </w:pPr>
      <w:r>
        <w:rPr/>
        <w:t>Chemistry</w:t>
      </w:r>
      <w:r>
        <w:rPr>
          <w:spacing w:val="-3"/>
        </w:rPr>
        <w:t> </w:t>
      </w:r>
      <w:r>
        <w:rPr/>
        <w:t>Self-</w:t>
      </w:r>
      <w:r>
        <w:rPr>
          <w:spacing w:val="-2"/>
        </w:rPr>
        <w:t> </w:t>
      </w:r>
      <w:r>
        <w:rPr/>
        <w:t>efficacy</w:t>
      </w:r>
      <w:r>
        <w:rPr>
          <w:spacing w:val="-2"/>
        </w:rPr>
        <w:t> </w:t>
      </w:r>
      <w:r>
        <w:rPr/>
        <w:t>Instrument</w:t>
      </w:r>
      <w:r>
        <w:rPr>
          <w:spacing w:val="-2"/>
        </w:rPr>
        <w:t> </w:t>
      </w:r>
      <w:r>
        <w:rPr>
          <w:spacing w:val="-4"/>
        </w:rPr>
        <w:t>(CSI)</w:t>
      </w:r>
    </w:p>
    <w:p>
      <w:pPr>
        <w:pStyle w:val="BodyText"/>
        <w:spacing w:line="480" w:lineRule="auto" w:before="271"/>
        <w:ind w:right="1150" w:firstLine="720"/>
      </w:pPr>
      <w:r>
        <w:rPr/>
        <w:t>Chemistry Self-efficacy Instrument (CSI) adopted from the work of Baldwin, Ebert-May and Burn (1999) in Mari (2013), which is in form of questionnaire with a reliability</w:t>
      </w:r>
      <w:r>
        <w:rPr>
          <w:spacing w:val="-6"/>
        </w:rPr>
        <w:t> </w:t>
      </w:r>
      <w:r>
        <w:rPr/>
        <w:t>co-efficient of</w:t>
      </w:r>
      <w:r>
        <w:rPr>
          <w:spacing w:val="-9"/>
        </w:rPr>
        <w:t> </w:t>
      </w:r>
      <w:r>
        <w:rPr/>
        <w:t>0.75 was</w:t>
      </w:r>
      <w:r>
        <w:rPr>
          <w:spacing w:val="-3"/>
        </w:rPr>
        <w:t> </w:t>
      </w:r>
      <w:r>
        <w:rPr/>
        <w:t>administered</w:t>
      </w:r>
      <w:r>
        <w:rPr>
          <w:spacing w:val="-1"/>
        </w:rPr>
        <w:t> </w:t>
      </w:r>
      <w:r>
        <w:rPr/>
        <w:t>to</w:t>
      </w:r>
      <w:r>
        <w:rPr>
          <w:spacing w:val="-1"/>
        </w:rPr>
        <w:t> </w:t>
      </w:r>
      <w:r>
        <w:rPr/>
        <w:t>determine</w:t>
      </w:r>
      <w:r>
        <w:rPr>
          <w:spacing w:val="-2"/>
        </w:rPr>
        <w:t> </w:t>
      </w:r>
      <w:r>
        <w:rPr/>
        <w:t>the</w:t>
      </w:r>
      <w:r>
        <w:rPr>
          <w:spacing w:val="-2"/>
        </w:rPr>
        <w:t> </w:t>
      </w:r>
      <w:r>
        <w:rPr/>
        <w:t>students</w:t>
      </w:r>
      <w:r>
        <w:rPr>
          <w:spacing w:val="-3"/>
        </w:rPr>
        <w:t> </w:t>
      </w:r>
      <w:r>
        <w:rPr/>
        <w:t>self-efficacy in chemistry.</w:t>
      </w:r>
    </w:p>
    <w:p>
      <w:pPr>
        <w:pStyle w:val="BodyText"/>
        <w:spacing w:line="480" w:lineRule="auto" w:before="1"/>
        <w:ind w:right="1159" w:firstLine="720"/>
      </w:pPr>
      <w:r>
        <w:rPr/>
        <w:t>This Instrument which</w:t>
      </w:r>
      <w:r>
        <w:rPr>
          <w:spacing w:val="-2"/>
        </w:rPr>
        <w:t> </w:t>
      </w:r>
      <w:r>
        <w:rPr/>
        <w:t>was originally</w:t>
      </w:r>
      <w:r>
        <w:rPr>
          <w:spacing w:val="-2"/>
        </w:rPr>
        <w:t> </w:t>
      </w:r>
      <w:r>
        <w:rPr/>
        <w:t>created, for</w:t>
      </w:r>
      <w:r>
        <w:rPr>
          <w:spacing w:val="-5"/>
        </w:rPr>
        <w:t> </w:t>
      </w:r>
      <w:r>
        <w:rPr/>
        <w:t>biology</w:t>
      </w:r>
      <w:r>
        <w:rPr>
          <w:spacing w:val="-2"/>
        </w:rPr>
        <w:t> </w:t>
      </w:r>
      <w:r>
        <w:rPr/>
        <w:t>student was adapted to be used for chemistry</w:t>
      </w:r>
      <w:r>
        <w:rPr>
          <w:spacing w:val="-3"/>
        </w:rPr>
        <w:t> </w:t>
      </w:r>
      <w:r>
        <w:rPr/>
        <w:t>students. The</w:t>
      </w:r>
      <w:r>
        <w:rPr>
          <w:spacing w:val="-4"/>
        </w:rPr>
        <w:t> </w:t>
      </w:r>
      <w:r>
        <w:rPr/>
        <w:t>original</w:t>
      </w:r>
      <w:r>
        <w:rPr>
          <w:spacing w:val="-3"/>
        </w:rPr>
        <w:t> </w:t>
      </w:r>
      <w:r>
        <w:rPr/>
        <w:t>instrument contains</w:t>
      </w:r>
      <w:r>
        <w:rPr>
          <w:spacing w:val="-1"/>
        </w:rPr>
        <w:t> </w:t>
      </w:r>
      <w:r>
        <w:rPr/>
        <w:t>a fifteen statement about students‘ confidence in doing things related to biology. All the fifteen statements were modified to suit chemistry</w:t>
      </w:r>
      <w:r>
        <w:rPr>
          <w:spacing w:val="-1"/>
        </w:rPr>
        <w:t> </w:t>
      </w:r>
      <w:r>
        <w:rPr/>
        <w:t>students. The name of the instrument was change to Chemistry Self-efficacy Instrument (CSI). The Instrument contains fifteen statements about students‘ confidence in doing things related to chemistry. It was designed to assess the students chemistry efficacy. The instrument is a fifteen items question with items answered on a five point likert scale from</w:t>
      </w:r>
      <w:r>
        <w:rPr>
          <w:spacing w:val="-5"/>
        </w:rPr>
        <w:t> </w:t>
      </w:r>
      <w:r>
        <w:rPr/>
        <w:t>totally confident to not at</w:t>
      </w:r>
      <w:r>
        <w:rPr>
          <w:spacing w:val="59"/>
          <w:w w:val="150"/>
        </w:rPr>
        <w:t> </w:t>
      </w:r>
      <w:r>
        <w:rPr/>
        <w:t>all</w:t>
      </w:r>
      <w:r>
        <w:rPr>
          <w:spacing w:val="52"/>
          <w:w w:val="150"/>
        </w:rPr>
        <w:t> </w:t>
      </w:r>
      <w:r>
        <w:rPr/>
        <w:t>confident.</w:t>
      </w:r>
      <w:r>
        <w:rPr>
          <w:spacing w:val="59"/>
          <w:w w:val="150"/>
        </w:rPr>
        <w:t> </w:t>
      </w:r>
      <w:r>
        <w:rPr/>
        <w:t>The</w:t>
      </w:r>
      <w:r>
        <w:rPr>
          <w:spacing w:val="55"/>
          <w:w w:val="150"/>
        </w:rPr>
        <w:t> </w:t>
      </w:r>
      <w:r>
        <w:rPr/>
        <w:t>questions</w:t>
      </w:r>
      <w:r>
        <w:rPr>
          <w:spacing w:val="55"/>
          <w:w w:val="150"/>
        </w:rPr>
        <w:t> </w:t>
      </w:r>
      <w:r>
        <w:rPr/>
        <w:t>range</w:t>
      </w:r>
      <w:r>
        <w:rPr>
          <w:spacing w:val="60"/>
          <w:w w:val="150"/>
        </w:rPr>
        <w:t> </w:t>
      </w:r>
      <w:r>
        <w:rPr/>
        <w:t>from</w:t>
      </w:r>
      <w:r>
        <w:rPr>
          <w:spacing w:val="78"/>
        </w:rPr>
        <w:t> </w:t>
      </w:r>
      <w:r>
        <w:rPr/>
        <w:t>testing</w:t>
      </w:r>
      <w:r>
        <w:rPr>
          <w:spacing w:val="61"/>
          <w:w w:val="150"/>
        </w:rPr>
        <w:t> </w:t>
      </w:r>
      <w:r>
        <w:rPr/>
        <w:t>students</w:t>
      </w:r>
      <w:r>
        <w:rPr>
          <w:spacing w:val="55"/>
          <w:w w:val="150"/>
        </w:rPr>
        <w:t> </w:t>
      </w:r>
      <w:r>
        <w:rPr/>
        <w:t>self-efficacy</w:t>
      </w:r>
      <w:r>
        <w:rPr>
          <w:spacing w:val="52"/>
          <w:w w:val="150"/>
        </w:rPr>
        <w:t> </w:t>
      </w:r>
      <w:r>
        <w:rPr>
          <w:spacing w:val="-2"/>
        </w:rPr>
        <w:t>about</w:t>
      </w:r>
    </w:p>
    <w:p>
      <w:pPr>
        <w:spacing w:after="0" w:line="480" w:lineRule="auto"/>
        <w:sectPr>
          <w:pgSz w:w="11910" w:h="16840"/>
          <w:pgMar w:header="0" w:footer="1012" w:top="1340" w:bottom="1200" w:left="1680" w:right="280"/>
        </w:sectPr>
      </w:pPr>
    </w:p>
    <w:p>
      <w:pPr>
        <w:pStyle w:val="BodyText"/>
        <w:spacing w:line="480" w:lineRule="auto" w:before="74"/>
        <w:ind w:right="1162"/>
      </w:pPr>
      <w:r>
        <w:rPr/>
        <w:t>chemistry experiments, chemistry courses like organic, physical and analytical chemistry to testing their self-efficacy concerning the chemistry courses they are currently undergoing.</w:t>
      </w:r>
      <w:r>
        <w:rPr>
          <w:spacing w:val="40"/>
        </w:rPr>
        <w:t> </w:t>
      </w:r>
      <w:r>
        <w:rPr/>
        <w:t>See appendix D.</w:t>
      </w:r>
    </w:p>
    <w:p>
      <w:pPr>
        <w:pStyle w:val="Heading3"/>
        <w:numPr>
          <w:ilvl w:val="2"/>
          <w:numId w:val="16"/>
        </w:numPr>
        <w:tabs>
          <w:tab w:pos="1199" w:val="left" w:leader="none"/>
        </w:tabs>
        <w:spacing w:line="240" w:lineRule="auto" w:before="5" w:after="0"/>
        <w:ind w:left="1199" w:right="0" w:hanging="719"/>
        <w:jc w:val="both"/>
      </w:pPr>
      <w:r>
        <w:rPr/>
        <w:t>Chemistry</w:t>
      </w:r>
      <w:r>
        <w:rPr>
          <w:spacing w:val="-4"/>
        </w:rPr>
        <w:t> </w:t>
      </w:r>
      <w:r>
        <w:rPr/>
        <w:t>Achievement</w:t>
      </w:r>
      <w:r>
        <w:rPr>
          <w:spacing w:val="-3"/>
        </w:rPr>
        <w:t> </w:t>
      </w:r>
      <w:r>
        <w:rPr/>
        <w:t>Score</w:t>
      </w:r>
      <w:r>
        <w:rPr>
          <w:spacing w:val="-4"/>
        </w:rPr>
        <w:t> (CAS)</w:t>
      </w:r>
    </w:p>
    <w:p>
      <w:pPr>
        <w:pStyle w:val="BodyText"/>
        <w:spacing w:line="480" w:lineRule="auto" w:before="271"/>
        <w:ind w:right="1152" w:firstLine="720"/>
      </w:pPr>
      <w:r>
        <w:rPr/>
        <w:t>Academic achievement score used in this study, measured by the students‘ MOCK result as their chemistry achievement assessment. The Joint Mock School Examination jointly conducted by all the zones in states.</w:t>
      </w:r>
      <w:r>
        <w:rPr>
          <w:spacing w:val="40"/>
        </w:rPr>
        <w:t> </w:t>
      </w:r>
      <w:r>
        <w:rPr/>
        <w:t>The Joint Mock School Examination questions were normally taken through the basic processes of validation and reliability before they were administered, has a reliability co-efficient of 0.82. Hence, the examination questions were deemed valid and reliable.</w:t>
      </w:r>
    </w:p>
    <w:p>
      <w:pPr>
        <w:pStyle w:val="Heading3"/>
        <w:numPr>
          <w:ilvl w:val="1"/>
          <w:numId w:val="15"/>
        </w:numPr>
        <w:tabs>
          <w:tab w:pos="1199" w:val="left" w:leader="none"/>
        </w:tabs>
        <w:spacing w:line="240" w:lineRule="auto" w:before="6" w:after="0"/>
        <w:ind w:left="1199" w:right="0" w:hanging="719"/>
        <w:jc w:val="both"/>
      </w:pPr>
      <w:r>
        <w:rPr/>
        <w:t>Procedure</w:t>
      </w:r>
      <w:r>
        <w:rPr>
          <w:spacing w:val="-4"/>
        </w:rPr>
        <w:t> </w:t>
      </w:r>
      <w:r>
        <w:rPr/>
        <w:t>for</w:t>
      </w:r>
      <w:r>
        <w:rPr>
          <w:spacing w:val="-7"/>
        </w:rPr>
        <w:t> </w:t>
      </w:r>
      <w:r>
        <w:rPr/>
        <w:t>Data </w:t>
      </w:r>
      <w:r>
        <w:rPr>
          <w:spacing w:val="-2"/>
        </w:rPr>
        <w:t>Collection</w:t>
      </w:r>
    </w:p>
    <w:p>
      <w:pPr>
        <w:pStyle w:val="BodyText"/>
        <w:spacing w:line="480" w:lineRule="auto" w:before="272"/>
        <w:ind w:right="1149" w:firstLine="720"/>
      </w:pPr>
      <w:r>
        <w:rPr/>
        <w:t>The instruments trait Emotional Intelligence Questionnaire (TEIQue), Group Assessment of Logical Thinking (GALT) and Chemistry Self-Efficacy Instrument (CSI) were administered by the researcher with the help of research assistance. Chemistry teachers of the sampled schools assisted in administering the instruments under the supervision of the researcher. The three instruments were administered at</w:t>
      </w:r>
      <w:r>
        <w:rPr>
          <w:spacing w:val="40"/>
        </w:rPr>
        <w:t> </w:t>
      </w:r>
      <w:r>
        <w:rPr/>
        <w:t>the same time to the students.</w:t>
      </w:r>
    </w:p>
    <w:p>
      <w:pPr>
        <w:pStyle w:val="Heading3"/>
        <w:numPr>
          <w:ilvl w:val="1"/>
          <w:numId w:val="15"/>
        </w:numPr>
        <w:tabs>
          <w:tab w:pos="1199" w:val="left" w:leader="none"/>
        </w:tabs>
        <w:spacing w:line="240" w:lineRule="auto" w:before="6" w:after="0"/>
        <w:ind w:left="1199" w:right="0" w:hanging="719"/>
        <w:jc w:val="both"/>
      </w:pPr>
      <w:r>
        <w:rPr/>
        <w:t>Procedure</w:t>
      </w:r>
      <w:r>
        <w:rPr>
          <w:spacing w:val="-2"/>
        </w:rPr>
        <w:t> </w:t>
      </w:r>
      <w:r>
        <w:rPr/>
        <w:t>for</w:t>
      </w:r>
      <w:r>
        <w:rPr>
          <w:spacing w:val="-7"/>
        </w:rPr>
        <w:t> </w:t>
      </w:r>
      <w:r>
        <w:rPr/>
        <w:t>Data </w:t>
      </w:r>
      <w:r>
        <w:rPr>
          <w:spacing w:val="-2"/>
        </w:rPr>
        <w:t>Analysis</w:t>
      </w:r>
    </w:p>
    <w:p>
      <w:pPr>
        <w:pStyle w:val="BodyText"/>
        <w:spacing w:line="480" w:lineRule="auto" w:before="271"/>
        <w:ind w:right="1157" w:firstLine="720"/>
      </w:pPr>
      <w:r>
        <w:rPr/>
        <w:t>The null hypotheses are restated along with the appropriate statistical tools to be used in data analysis. The statistical tools include descriptive statistical of means and standard deviations were used to answer research question one, two and three while mean</w:t>
      </w:r>
      <w:r>
        <w:rPr>
          <w:spacing w:val="-6"/>
        </w:rPr>
        <w:t> </w:t>
      </w:r>
      <w:r>
        <w:rPr/>
        <w:t>ranks</w:t>
      </w:r>
      <w:r>
        <w:rPr>
          <w:spacing w:val="-3"/>
        </w:rPr>
        <w:t> </w:t>
      </w:r>
      <w:r>
        <w:rPr/>
        <w:t>were</w:t>
      </w:r>
      <w:r>
        <w:rPr>
          <w:spacing w:val="-2"/>
        </w:rPr>
        <w:t> </w:t>
      </w:r>
      <w:r>
        <w:rPr/>
        <w:t>used</w:t>
      </w:r>
      <w:r>
        <w:rPr>
          <w:spacing w:val="-1"/>
        </w:rPr>
        <w:t> </w:t>
      </w:r>
      <w:r>
        <w:rPr/>
        <w:t>to answer research</w:t>
      </w:r>
      <w:r>
        <w:rPr>
          <w:spacing w:val="-6"/>
        </w:rPr>
        <w:t> </w:t>
      </w:r>
      <w:r>
        <w:rPr/>
        <w:t>question four, and</w:t>
      </w:r>
      <w:r>
        <w:rPr>
          <w:spacing w:val="-1"/>
        </w:rPr>
        <w:t> </w:t>
      </w:r>
      <w:r>
        <w:rPr/>
        <w:t>Pearson</w:t>
      </w:r>
      <w:r>
        <w:rPr>
          <w:spacing w:val="-6"/>
        </w:rPr>
        <w:t> </w:t>
      </w:r>
      <w:r>
        <w:rPr/>
        <w:t>correlation coefficient was used to test</w:t>
      </w:r>
      <w:r>
        <w:rPr>
          <w:spacing w:val="-1"/>
        </w:rPr>
        <w:t> </w:t>
      </w:r>
      <w:r>
        <w:rPr/>
        <w:t>the relationship. Inferential</w:t>
      </w:r>
      <w:r>
        <w:rPr>
          <w:spacing w:val="-1"/>
        </w:rPr>
        <w:t> </w:t>
      </w:r>
      <w:r>
        <w:rPr/>
        <w:t>statistic of</w:t>
      </w:r>
      <w:r>
        <w:rPr>
          <w:spacing w:val="-4"/>
        </w:rPr>
        <w:t> </w:t>
      </w:r>
      <w:r>
        <w:rPr/>
        <w:t>Pearson</w:t>
      </w:r>
      <w:r>
        <w:rPr>
          <w:spacing w:val="-1"/>
        </w:rPr>
        <w:t> </w:t>
      </w:r>
      <w:r>
        <w:rPr/>
        <w:t>correlation was</w:t>
      </w:r>
      <w:r>
        <w:rPr>
          <w:spacing w:val="5"/>
        </w:rPr>
        <w:t> </w:t>
      </w:r>
      <w:r>
        <w:rPr/>
        <w:t>used</w:t>
      </w:r>
      <w:r>
        <w:rPr>
          <w:spacing w:val="14"/>
        </w:rPr>
        <w:t> </w:t>
      </w:r>
      <w:r>
        <w:rPr/>
        <w:t>to</w:t>
      </w:r>
      <w:r>
        <w:rPr>
          <w:spacing w:val="14"/>
        </w:rPr>
        <w:t> </w:t>
      </w:r>
      <w:r>
        <w:rPr/>
        <w:t>answer</w:t>
      </w:r>
      <w:r>
        <w:rPr>
          <w:spacing w:val="11"/>
        </w:rPr>
        <w:t> </w:t>
      </w:r>
      <w:r>
        <w:rPr/>
        <w:t>null</w:t>
      </w:r>
      <w:r>
        <w:rPr>
          <w:spacing w:val="10"/>
        </w:rPr>
        <w:t> </w:t>
      </w:r>
      <w:r>
        <w:rPr/>
        <w:t>hypotheses</w:t>
      </w:r>
      <w:r>
        <w:rPr>
          <w:spacing w:val="8"/>
        </w:rPr>
        <w:t> </w:t>
      </w:r>
      <w:r>
        <w:rPr/>
        <w:t>one,</w:t>
      </w:r>
      <w:r>
        <w:rPr>
          <w:spacing w:val="11"/>
        </w:rPr>
        <w:t> </w:t>
      </w:r>
      <w:r>
        <w:rPr/>
        <w:t>two,</w:t>
      </w:r>
      <w:r>
        <w:rPr>
          <w:spacing w:val="11"/>
        </w:rPr>
        <w:t> </w:t>
      </w:r>
      <w:r>
        <w:rPr/>
        <w:t>and</w:t>
      </w:r>
      <w:r>
        <w:rPr>
          <w:spacing w:val="9"/>
        </w:rPr>
        <w:t> </w:t>
      </w:r>
      <w:r>
        <w:rPr/>
        <w:t>three.</w:t>
      </w:r>
      <w:r>
        <w:rPr>
          <w:spacing w:val="12"/>
        </w:rPr>
        <w:t> </w:t>
      </w:r>
      <w:r>
        <w:rPr/>
        <w:t>Inferential</w:t>
      </w:r>
      <w:r>
        <w:rPr>
          <w:spacing w:val="5"/>
        </w:rPr>
        <w:t> </w:t>
      </w:r>
      <w:r>
        <w:rPr/>
        <w:t>statistical</w:t>
      </w:r>
      <w:r>
        <w:rPr>
          <w:spacing w:val="5"/>
        </w:rPr>
        <w:t> </w:t>
      </w:r>
      <w:r>
        <w:rPr/>
        <w:t>of</w:t>
      </w:r>
      <w:r>
        <w:rPr>
          <w:spacing w:val="7"/>
        </w:rPr>
        <w:t> </w:t>
      </w:r>
      <w:r>
        <w:rPr>
          <w:spacing w:val="-4"/>
        </w:rPr>
        <w:t>one-</w:t>
      </w:r>
    </w:p>
    <w:p>
      <w:pPr>
        <w:spacing w:after="0" w:line="480" w:lineRule="auto"/>
        <w:sectPr>
          <w:pgSz w:w="11910" w:h="16840"/>
          <w:pgMar w:header="0" w:footer="1012" w:top="1340" w:bottom="1200" w:left="1680" w:right="280"/>
        </w:sectPr>
      </w:pPr>
    </w:p>
    <w:p>
      <w:pPr>
        <w:pStyle w:val="BodyText"/>
        <w:spacing w:line="480" w:lineRule="auto" w:before="74"/>
        <w:ind w:right="1161"/>
      </w:pPr>
      <w:r>
        <w:rPr/>
        <w:t>way</w:t>
      </w:r>
      <w:r>
        <w:rPr>
          <w:spacing w:val="-1"/>
        </w:rPr>
        <w:t> </w:t>
      </w:r>
      <w:r>
        <w:rPr/>
        <w:t>Multiple Analysis of</w:t>
      </w:r>
      <w:r>
        <w:rPr>
          <w:spacing w:val="-1"/>
        </w:rPr>
        <w:t> </w:t>
      </w:r>
      <w:r>
        <w:rPr/>
        <w:t>Variance, (MANOVA) was used to answer null hypotheses </w:t>
      </w:r>
      <w:r>
        <w:rPr>
          <w:spacing w:val="-2"/>
        </w:rPr>
        <w:t>four.</w:t>
      </w:r>
    </w:p>
    <w:p>
      <w:pPr>
        <w:pStyle w:val="BodyText"/>
        <w:spacing w:line="480" w:lineRule="auto"/>
        <w:ind w:right="1152" w:firstLine="720"/>
      </w:pPr>
      <w:r>
        <w:rPr/>
        <w:t>To guide the study</w:t>
      </w:r>
      <w:r>
        <w:rPr>
          <w:spacing w:val="-5"/>
        </w:rPr>
        <w:t> </w:t>
      </w:r>
      <w:r>
        <w:rPr/>
        <w:t>the following null hypotheses were tested at </w:t>
      </w:r>
      <w:r>
        <w:rPr>
          <w:u w:val="single"/>
        </w:rPr>
        <w:t>&lt;</w:t>
      </w:r>
      <w:r>
        <w:rPr/>
        <w:t>0.05 level of </w:t>
      </w:r>
      <w:r>
        <w:rPr>
          <w:spacing w:val="-2"/>
        </w:rPr>
        <w:t>significance:</w:t>
      </w:r>
    </w:p>
    <w:p>
      <w:pPr>
        <w:pStyle w:val="BodyText"/>
        <w:spacing w:line="480" w:lineRule="auto"/>
        <w:ind w:left="1109" w:right="1155" w:hanging="629"/>
      </w:pPr>
      <w:r>
        <w:rPr/>
        <w:t>H0</w:t>
      </w:r>
      <w:r>
        <w:rPr>
          <w:vertAlign w:val="subscript"/>
        </w:rPr>
        <w:t>1</w:t>
      </w:r>
      <w:r>
        <w:rPr>
          <w:vertAlign w:val="baseline"/>
        </w:rPr>
        <w:t>:</w:t>
      </w:r>
      <w:r>
        <w:rPr>
          <w:spacing w:val="40"/>
          <w:vertAlign w:val="baseline"/>
        </w:rPr>
        <w:t> </w:t>
      </w:r>
      <w:r>
        <w:rPr>
          <w:vertAlign w:val="baseline"/>
        </w:rPr>
        <w:t>There is no significant relationship in the mean scores of SSII chemistry</w:t>
      </w:r>
      <w:r>
        <w:rPr>
          <w:spacing w:val="40"/>
          <w:vertAlign w:val="baseline"/>
        </w:rPr>
        <w:t> </w:t>
      </w:r>
      <w:r>
        <w:rPr>
          <w:vertAlign w:val="baseline"/>
        </w:rPr>
        <w:t>students in emotional-intelligence, reasoning ability, self-efficacy, and academic achievement in chemistry.</w:t>
      </w:r>
    </w:p>
    <w:p>
      <w:pPr>
        <w:pStyle w:val="BodyText"/>
        <w:spacing w:before="1"/>
        <w:ind w:left="1109"/>
      </w:pPr>
      <w:r>
        <w:rPr/>
        <w:t>An</w:t>
      </w:r>
      <w:r>
        <w:rPr>
          <w:spacing w:val="49"/>
        </w:rPr>
        <w:t> </w:t>
      </w:r>
      <w:r>
        <w:rPr/>
        <w:t>inferential</w:t>
      </w:r>
      <w:r>
        <w:rPr>
          <w:spacing w:val="48"/>
        </w:rPr>
        <w:t> </w:t>
      </w:r>
      <w:r>
        <w:rPr/>
        <w:t>statistic</w:t>
      </w:r>
      <w:r>
        <w:rPr>
          <w:spacing w:val="52"/>
        </w:rPr>
        <w:t> </w:t>
      </w:r>
      <w:r>
        <w:rPr/>
        <w:t>of</w:t>
      </w:r>
      <w:r>
        <w:rPr>
          <w:spacing w:val="44"/>
        </w:rPr>
        <w:t> </w:t>
      </w:r>
      <w:r>
        <w:rPr/>
        <w:t>Pearson</w:t>
      </w:r>
      <w:r>
        <w:rPr>
          <w:spacing w:val="48"/>
        </w:rPr>
        <w:t> </w:t>
      </w:r>
      <w:r>
        <w:rPr/>
        <w:t>Product</w:t>
      </w:r>
      <w:r>
        <w:rPr>
          <w:spacing w:val="58"/>
        </w:rPr>
        <w:t> </w:t>
      </w:r>
      <w:r>
        <w:rPr/>
        <w:t>Moment</w:t>
      </w:r>
      <w:r>
        <w:rPr>
          <w:spacing w:val="57"/>
        </w:rPr>
        <w:t> </w:t>
      </w:r>
      <w:r>
        <w:rPr/>
        <w:t>Correlation</w:t>
      </w:r>
      <w:r>
        <w:rPr>
          <w:spacing w:val="48"/>
        </w:rPr>
        <w:t> </w:t>
      </w:r>
      <w:r>
        <w:rPr/>
        <w:t>PPMC</w:t>
      </w:r>
      <w:r>
        <w:rPr>
          <w:spacing w:val="51"/>
        </w:rPr>
        <w:t> </w:t>
      </w:r>
      <w:r>
        <w:rPr>
          <w:spacing w:val="-5"/>
        </w:rPr>
        <w:t>was</w:t>
      </w:r>
    </w:p>
    <w:p>
      <w:pPr>
        <w:pStyle w:val="BodyText"/>
        <w:ind w:left="0"/>
        <w:jc w:val="left"/>
      </w:pPr>
    </w:p>
    <w:p>
      <w:pPr>
        <w:pStyle w:val="BodyText"/>
        <w:spacing w:before="1"/>
        <w:jc w:val="left"/>
      </w:pPr>
      <w:r>
        <w:rPr>
          <w:spacing w:val="-2"/>
        </w:rPr>
        <w:t>used.</w:t>
      </w:r>
    </w:p>
    <w:p>
      <w:pPr>
        <w:pStyle w:val="BodyText"/>
        <w:spacing w:line="480" w:lineRule="auto" w:before="276"/>
        <w:ind w:left="1109" w:right="1150" w:hanging="629"/>
      </w:pPr>
      <w:r>
        <w:rPr/>
        <w:t>H0</w:t>
      </w:r>
      <w:r>
        <w:rPr>
          <w:vertAlign w:val="subscript"/>
        </w:rPr>
        <w:t>2</w:t>
      </w:r>
      <w:r>
        <w:rPr>
          <w:vertAlign w:val="baseline"/>
        </w:rPr>
        <w:t>:</w:t>
      </w:r>
      <w:r>
        <w:rPr>
          <w:spacing w:val="40"/>
          <w:vertAlign w:val="baseline"/>
        </w:rPr>
        <w:t> </w:t>
      </w:r>
      <w:r>
        <w:rPr>
          <w:vertAlign w:val="baseline"/>
        </w:rPr>
        <w:t>There is no significant relationship in the mean scores of SSII male chemistry students</w:t>
      </w:r>
      <w:r>
        <w:rPr>
          <w:spacing w:val="-5"/>
          <w:vertAlign w:val="baseline"/>
        </w:rPr>
        <w:t> </w:t>
      </w:r>
      <w:r>
        <w:rPr>
          <w:vertAlign w:val="baseline"/>
        </w:rPr>
        <w:t>in</w:t>
      </w:r>
      <w:r>
        <w:rPr>
          <w:spacing w:val="-8"/>
          <w:vertAlign w:val="baseline"/>
        </w:rPr>
        <w:t> </w:t>
      </w:r>
      <w:r>
        <w:rPr>
          <w:vertAlign w:val="baseline"/>
        </w:rPr>
        <w:t>emotional-intelligence,</w:t>
      </w:r>
      <w:r>
        <w:rPr>
          <w:spacing w:val="-1"/>
          <w:vertAlign w:val="baseline"/>
        </w:rPr>
        <w:t> </w:t>
      </w:r>
      <w:r>
        <w:rPr>
          <w:vertAlign w:val="baseline"/>
        </w:rPr>
        <w:t>reasoning</w:t>
      </w:r>
      <w:r>
        <w:rPr>
          <w:spacing w:val="-3"/>
          <w:vertAlign w:val="baseline"/>
        </w:rPr>
        <w:t> </w:t>
      </w:r>
      <w:r>
        <w:rPr>
          <w:vertAlign w:val="baseline"/>
        </w:rPr>
        <w:t>ability, self-efficacy</w:t>
      </w:r>
      <w:r>
        <w:rPr>
          <w:spacing w:val="-8"/>
          <w:vertAlign w:val="baseline"/>
        </w:rPr>
        <w:t> </w:t>
      </w:r>
      <w:r>
        <w:rPr>
          <w:vertAlign w:val="baseline"/>
        </w:rPr>
        <w:t>and</w:t>
      </w:r>
      <w:r>
        <w:rPr>
          <w:spacing w:val="-3"/>
          <w:vertAlign w:val="baseline"/>
        </w:rPr>
        <w:t> </w:t>
      </w:r>
      <w:r>
        <w:rPr>
          <w:vertAlign w:val="baseline"/>
        </w:rPr>
        <w:t>academic achievement in chemistry?</w:t>
      </w:r>
    </w:p>
    <w:p>
      <w:pPr>
        <w:pStyle w:val="BodyText"/>
        <w:ind w:left="1201"/>
      </w:pPr>
      <w:r>
        <w:rPr/>
        <w:t>An</w:t>
      </w:r>
      <w:r>
        <w:rPr>
          <w:spacing w:val="41"/>
        </w:rPr>
        <w:t> </w:t>
      </w:r>
      <w:r>
        <w:rPr/>
        <w:t>inferential</w:t>
      </w:r>
      <w:r>
        <w:rPr>
          <w:spacing w:val="39"/>
        </w:rPr>
        <w:t> </w:t>
      </w:r>
      <w:r>
        <w:rPr/>
        <w:t>statistic</w:t>
      </w:r>
      <w:r>
        <w:rPr>
          <w:spacing w:val="42"/>
        </w:rPr>
        <w:t> </w:t>
      </w:r>
      <w:r>
        <w:rPr/>
        <w:t>of</w:t>
      </w:r>
      <w:r>
        <w:rPr>
          <w:spacing w:val="35"/>
        </w:rPr>
        <w:t> </w:t>
      </w:r>
      <w:r>
        <w:rPr/>
        <w:t>Pearson</w:t>
      </w:r>
      <w:r>
        <w:rPr>
          <w:spacing w:val="44"/>
        </w:rPr>
        <w:t> </w:t>
      </w:r>
      <w:r>
        <w:rPr/>
        <w:t>Product</w:t>
      </w:r>
      <w:r>
        <w:rPr>
          <w:spacing w:val="48"/>
        </w:rPr>
        <w:t> </w:t>
      </w:r>
      <w:r>
        <w:rPr/>
        <w:t>Moment</w:t>
      </w:r>
      <w:r>
        <w:rPr>
          <w:spacing w:val="48"/>
        </w:rPr>
        <w:t> </w:t>
      </w:r>
      <w:r>
        <w:rPr/>
        <w:t>Correlation</w:t>
      </w:r>
      <w:r>
        <w:rPr>
          <w:spacing w:val="40"/>
        </w:rPr>
        <w:t> </w:t>
      </w:r>
      <w:r>
        <w:rPr/>
        <w:t>PPMC</w:t>
      </w:r>
      <w:r>
        <w:rPr>
          <w:spacing w:val="42"/>
        </w:rPr>
        <w:t> </w:t>
      </w:r>
      <w:r>
        <w:rPr>
          <w:spacing w:val="-5"/>
        </w:rPr>
        <w:t>was</w:t>
      </w:r>
    </w:p>
    <w:p>
      <w:pPr>
        <w:pStyle w:val="BodyText"/>
        <w:ind w:left="0"/>
        <w:jc w:val="left"/>
      </w:pPr>
    </w:p>
    <w:p>
      <w:pPr>
        <w:pStyle w:val="BodyText"/>
        <w:jc w:val="left"/>
      </w:pPr>
      <w:r>
        <w:rPr>
          <w:spacing w:val="-2"/>
        </w:rPr>
        <w:t>used.</w:t>
      </w:r>
    </w:p>
    <w:p>
      <w:pPr>
        <w:pStyle w:val="BodyText"/>
        <w:ind w:left="0"/>
        <w:jc w:val="left"/>
      </w:pPr>
    </w:p>
    <w:p>
      <w:pPr>
        <w:pStyle w:val="BodyText"/>
        <w:spacing w:line="480" w:lineRule="auto" w:before="1"/>
        <w:ind w:left="1109" w:right="1150" w:hanging="629"/>
      </w:pPr>
      <w:r>
        <w:rPr/>
        <w:t>H0</w:t>
      </w:r>
      <w:r>
        <w:rPr>
          <w:vertAlign w:val="subscript"/>
        </w:rPr>
        <w:t>3</w:t>
      </w:r>
      <w:r>
        <w:rPr>
          <w:vertAlign w:val="baseline"/>
        </w:rPr>
        <w:t>:</w:t>
      </w:r>
      <w:r>
        <w:rPr>
          <w:spacing w:val="80"/>
          <w:vertAlign w:val="baseline"/>
        </w:rPr>
        <w:t> </w:t>
      </w:r>
      <w:r>
        <w:rPr>
          <w:vertAlign w:val="baseline"/>
        </w:rPr>
        <w:t>There is no significant relationship in</w:t>
      </w:r>
      <w:r>
        <w:rPr>
          <w:spacing w:val="-1"/>
          <w:vertAlign w:val="baseline"/>
        </w:rPr>
        <w:t> </w:t>
      </w:r>
      <w:r>
        <w:rPr>
          <w:vertAlign w:val="baseline"/>
        </w:rPr>
        <w:t>the mean</w:t>
      </w:r>
      <w:r>
        <w:rPr>
          <w:spacing w:val="-6"/>
          <w:vertAlign w:val="baseline"/>
        </w:rPr>
        <w:t> </w:t>
      </w:r>
      <w:r>
        <w:rPr>
          <w:vertAlign w:val="baseline"/>
        </w:rPr>
        <w:t>scores</w:t>
      </w:r>
      <w:r>
        <w:rPr>
          <w:spacing w:val="-8"/>
          <w:vertAlign w:val="baseline"/>
        </w:rPr>
        <w:t> </w:t>
      </w:r>
      <w:r>
        <w:rPr>
          <w:vertAlign w:val="baseline"/>
        </w:rPr>
        <w:t>of</w:t>
      </w:r>
      <w:r>
        <w:rPr>
          <w:spacing w:val="-9"/>
          <w:vertAlign w:val="baseline"/>
        </w:rPr>
        <w:t> </w:t>
      </w:r>
      <w:r>
        <w:rPr>
          <w:vertAlign w:val="baseline"/>
        </w:rPr>
        <w:t>SSII female</w:t>
      </w:r>
      <w:r>
        <w:rPr>
          <w:spacing w:val="-1"/>
          <w:vertAlign w:val="baseline"/>
        </w:rPr>
        <w:t> </w:t>
      </w:r>
      <w:r>
        <w:rPr>
          <w:vertAlign w:val="baseline"/>
        </w:rPr>
        <w:t>chemistry students</w:t>
      </w:r>
      <w:r>
        <w:rPr>
          <w:spacing w:val="-5"/>
          <w:vertAlign w:val="baseline"/>
        </w:rPr>
        <w:t> </w:t>
      </w:r>
      <w:r>
        <w:rPr>
          <w:vertAlign w:val="baseline"/>
        </w:rPr>
        <w:t>in</w:t>
      </w:r>
      <w:r>
        <w:rPr>
          <w:spacing w:val="-7"/>
          <w:vertAlign w:val="baseline"/>
        </w:rPr>
        <w:t> </w:t>
      </w:r>
      <w:r>
        <w:rPr>
          <w:vertAlign w:val="baseline"/>
        </w:rPr>
        <w:t>emotional-intelligence,</w:t>
      </w:r>
      <w:r>
        <w:rPr>
          <w:spacing w:val="-1"/>
          <w:vertAlign w:val="baseline"/>
        </w:rPr>
        <w:t> </w:t>
      </w:r>
      <w:r>
        <w:rPr>
          <w:vertAlign w:val="baseline"/>
        </w:rPr>
        <w:t>reasoning</w:t>
      </w:r>
      <w:r>
        <w:rPr>
          <w:spacing w:val="-3"/>
          <w:vertAlign w:val="baseline"/>
        </w:rPr>
        <w:t> </w:t>
      </w:r>
      <w:r>
        <w:rPr>
          <w:vertAlign w:val="baseline"/>
        </w:rPr>
        <w:t>ability, self-efficacy</w:t>
      </w:r>
      <w:r>
        <w:rPr>
          <w:spacing w:val="-8"/>
          <w:vertAlign w:val="baseline"/>
        </w:rPr>
        <w:t> </w:t>
      </w:r>
      <w:r>
        <w:rPr>
          <w:vertAlign w:val="baseline"/>
        </w:rPr>
        <w:t>and</w:t>
      </w:r>
      <w:r>
        <w:rPr>
          <w:spacing w:val="-3"/>
          <w:vertAlign w:val="baseline"/>
        </w:rPr>
        <w:t> </w:t>
      </w:r>
      <w:r>
        <w:rPr>
          <w:vertAlign w:val="baseline"/>
        </w:rPr>
        <w:t>academic achievement in chemistry.</w:t>
      </w:r>
    </w:p>
    <w:p>
      <w:pPr>
        <w:pStyle w:val="BodyText"/>
        <w:ind w:left="1109"/>
      </w:pPr>
      <w:r>
        <w:rPr/>
        <w:t>An</w:t>
      </w:r>
      <w:r>
        <w:rPr>
          <w:spacing w:val="52"/>
        </w:rPr>
        <w:t> </w:t>
      </w:r>
      <w:r>
        <w:rPr/>
        <w:t>inferential</w:t>
      </w:r>
      <w:r>
        <w:rPr>
          <w:spacing w:val="48"/>
        </w:rPr>
        <w:t> </w:t>
      </w:r>
      <w:r>
        <w:rPr/>
        <w:t>statistic</w:t>
      </w:r>
      <w:r>
        <w:rPr>
          <w:spacing w:val="52"/>
        </w:rPr>
        <w:t> </w:t>
      </w:r>
      <w:r>
        <w:rPr/>
        <w:t>of</w:t>
      </w:r>
      <w:r>
        <w:rPr>
          <w:spacing w:val="48"/>
        </w:rPr>
        <w:t> </w:t>
      </w:r>
      <w:r>
        <w:rPr/>
        <w:t>Pearson</w:t>
      </w:r>
      <w:r>
        <w:rPr>
          <w:spacing w:val="48"/>
        </w:rPr>
        <w:t> </w:t>
      </w:r>
      <w:r>
        <w:rPr/>
        <w:t>Product</w:t>
      </w:r>
      <w:r>
        <w:rPr>
          <w:spacing w:val="58"/>
        </w:rPr>
        <w:t> </w:t>
      </w:r>
      <w:r>
        <w:rPr/>
        <w:t>Moment</w:t>
      </w:r>
      <w:r>
        <w:rPr>
          <w:spacing w:val="57"/>
        </w:rPr>
        <w:t> </w:t>
      </w:r>
      <w:r>
        <w:rPr/>
        <w:t>Correlation</w:t>
      </w:r>
      <w:r>
        <w:rPr>
          <w:spacing w:val="48"/>
        </w:rPr>
        <w:t> </w:t>
      </w:r>
      <w:r>
        <w:rPr/>
        <w:t>PPMC</w:t>
      </w:r>
      <w:r>
        <w:rPr>
          <w:spacing w:val="58"/>
        </w:rPr>
        <w:t> </w:t>
      </w:r>
      <w:r>
        <w:rPr>
          <w:spacing w:val="-5"/>
        </w:rPr>
        <w:t>was</w:t>
      </w:r>
    </w:p>
    <w:p>
      <w:pPr>
        <w:pStyle w:val="BodyText"/>
        <w:ind w:left="0"/>
        <w:jc w:val="left"/>
      </w:pPr>
    </w:p>
    <w:p>
      <w:pPr>
        <w:pStyle w:val="BodyText"/>
        <w:jc w:val="left"/>
      </w:pPr>
      <w:r>
        <w:rPr>
          <w:spacing w:val="-2"/>
        </w:rPr>
        <w:t>used.</w:t>
      </w:r>
    </w:p>
    <w:p>
      <w:pPr>
        <w:pStyle w:val="BodyText"/>
        <w:ind w:left="0"/>
        <w:jc w:val="left"/>
      </w:pPr>
    </w:p>
    <w:p>
      <w:pPr>
        <w:pStyle w:val="BodyText"/>
        <w:spacing w:line="480" w:lineRule="auto" w:before="1"/>
        <w:ind w:left="1109" w:right="1162" w:hanging="629"/>
      </w:pPr>
      <w:r>
        <w:rPr/>
        <w:t>H0</w:t>
      </w:r>
      <w:r>
        <w:rPr>
          <w:vertAlign w:val="subscript"/>
        </w:rPr>
        <w:t>4</w:t>
      </w:r>
      <w:r>
        <w:rPr>
          <w:vertAlign w:val="baseline"/>
        </w:rPr>
        <w:t>:</w:t>
      </w:r>
      <w:r>
        <w:rPr>
          <w:spacing w:val="40"/>
          <w:vertAlign w:val="baseline"/>
        </w:rPr>
        <w:t> </w:t>
      </w:r>
      <w:r>
        <w:rPr>
          <w:vertAlign w:val="baseline"/>
        </w:rPr>
        <w:t>There is no significant difference between the mean scores of SSII male and female chemistry students in emotional-intelligence, reasoning ability, self- efficacy and academic achievement in chemistry.</w:t>
      </w:r>
    </w:p>
    <w:p>
      <w:pPr>
        <w:pStyle w:val="BodyText"/>
        <w:ind w:left="1109"/>
      </w:pPr>
      <w:r>
        <w:rPr/>
        <w:t>An</w:t>
      </w:r>
      <w:r>
        <w:rPr>
          <w:spacing w:val="-2"/>
        </w:rPr>
        <w:t> </w:t>
      </w:r>
      <w:r>
        <w:rPr/>
        <w:t>inferential</w:t>
      </w:r>
      <w:r>
        <w:rPr>
          <w:spacing w:val="-4"/>
        </w:rPr>
        <w:t> </w:t>
      </w:r>
      <w:r>
        <w:rPr/>
        <w:t>statistic of</w:t>
      </w:r>
      <w:r>
        <w:rPr>
          <w:spacing w:val="-5"/>
        </w:rPr>
        <w:t> </w:t>
      </w:r>
      <w:r>
        <w:rPr/>
        <w:t>One-way</w:t>
      </w:r>
      <w:r>
        <w:rPr>
          <w:spacing w:val="-4"/>
        </w:rPr>
        <w:t> </w:t>
      </w:r>
      <w:r>
        <w:rPr/>
        <w:t>MANOVA</w:t>
      </w:r>
      <w:r>
        <w:rPr>
          <w:spacing w:val="-3"/>
        </w:rPr>
        <w:t> </w:t>
      </w:r>
      <w:r>
        <w:rPr/>
        <w:t>was</w:t>
      </w:r>
      <w:r>
        <w:rPr>
          <w:spacing w:val="3"/>
        </w:rPr>
        <w:t> </w:t>
      </w:r>
      <w:r>
        <w:rPr>
          <w:spacing w:val="-2"/>
        </w:rPr>
        <w:t>used.</w:t>
      </w:r>
    </w:p>
    <w:p>
      <w:pPr>
        <w:spacing w:after="0"/>
        <w:sectPr>
          <w:pgSz w:w="11910" w:h="16840"/>
          <w:pgMar w:header="0" w:footer="1012" w:top="1340" w:bottom="1200" w:left="1680" w:right="280"/>
        </w:sectPr>
      </w:pPr>
    </w:p>
    <w:p>
      <w:pPr>
        <w:pStyle w:val="Heading2"/>
        <w:ind w:right="677"/>
      </w:pPr>
      <w:r>
        <w:rPr/>
        <w:t>CHAPTER</w:t>
      </w:r>
      <w:r>
        <w:rPr>
          <w:spacing w:val="-9"/>
        </w:rPr>
        <w:t> </w:t>
      </w:r>
      <w:r>
        <w:rPr>
          <w:spacing w:val="-4"/>
        </w:rPr>
        <w:t>FOUR</w:t>
      </w:r>
    </w:p>
    <w:p>
      <w:pPr>
        <w:pStyle w:val="BodyText"/>
        <w:ind w:left="0"/>
        <w:jc w:val="left"/>
        <w:rPr>
          <w:b/>
        </w:rPr>
      </w:pPr>
    </w:p>
    <w:p>
      <w:pPr>
        <w:spacing w:before="0"/>
        <w:ind w:left="0" w:right="680" w:firstLine="0"/>
        <w:jc w:val="center"/>
        <w:rPr>
          <w:b/>
          <w:sz w:val="24"/>
        </w:rPr>
      </w:pPr>
      <w:r>
        <w:rPr>
          <w:b/>
          <w:sz w:val="24"/>
        </w:rPr>
        <w:t>DATA</w:t>
      </w:r>
      <w:r>
        <w:rPr>
          <w:b/>
          <w:spacing w:val="-3"/>
          <w:sz w:val="24"/>
        </w:rPr>
        <w:t> </w:t>
      </w:r>
      <w:r>
        <w:rPr>
          <w:b/>
          <w:sz w:val="24"/>
        </w:rPr>
        <w:t>ANALYSIS</w:t>
      </w:r>
      <w:r>
        <w:rPr>
          <w:b/>
          <w:spacing w:val="-2"/>
          <w:sz w:val="24"/>
        </w:rPr>
        <w:t> </w:t>
      </w:r>
      <w:r>
        <w:rPr>
          <w:b/>
          <w:sz w:val="24"/>
        </w:rPr>
        <w:t>AND</w:t>
      </w:r>
      <w:r>
        <w:rPr>
          <w:b/>
          <w:spacing w:val="-2"/>
          <w:sz w:val="24"/>
        </w:rPr>
        <w:t> PRESENTATION</w:t>
      </w:r>
    </w:p>
    <w:p>
      <w:pPr>
        <w:pStyle w:val="BodyText"/>
        <w:spacing w:before="1"/>
        <w:ind w:left="0"/>
        <w:jc w:val="left"/>
        <w:rPr>
          <w:b/>
        </w:rPr>
      </w:pPr>
    </w:p>
    <w:p>
      <w:pPr>
        <w:pStyle w:val="Heading3"/>
        <w:numPr>
          <w:ilvl w:val="1"/>
          <w:numId w:val="19"/>
        </w:numPr>
        <w:tabs>
          <w:tab w:pos="1200" w:val="left" w:leader="none"/>
        </w:tabs>
        <w:spacing w:line="240" w:lineRule="auto" w:before="0" w:after="0"/>
        <w:ind w:left="1200" w:right="0" w:hanging="720"/>
        <w:jc w:val="left"/>
      </w:pPr>
      <w:r>
        <w:rPr>
          <w:spacing w:val="-2"/>
        </w:rPr>
        <w:t>Introduction</w:t>
      </w:r>
    </w:p>
    <w:p>
      <w:pPr>
        <w:pStyle w:val="BodyText"/>
        <w:spacing w:before="271"/>
        <w:ind w:left="1201"/>
      </w:pPr>
      <w:r>
        <w:rPr/>
        <w:t>The</w:t>
      </w:r>
      <w:r>
        <w:rPr>
          <w:spacing w:val="-3"/>
        </w:rPr>
        <w:t> </w:t>
      </w:r>
      <w:r>
        <w:rPr/>
        <w:t>chapter is</w:t>
      </w:r>
      <w:r>
        <w:rPr>
          <w:spacing w:val="-3"/>
        </w:rPr>
        <w:t> </w:t>
      </w:r>
      <w:r>
        <w:rPr/>
        <w:t>presented under</w:t>
      </w:r>
      <w:r>
        <w:rPr>
          <w:spacing w:val="-1"/>
        </w:rPr>
        <w:t> </w:t>
      </w:r>
      <w:r>
        <w:rPr/>
        <w:t>the</w:t>
      </w:r>
      <w:r>
        <w:rPr>
          <w:spacing w:val="-2"/>
        </w:rPr>
        <w:t> </w:t>
      </w:r>
      <w:r>
        <w:rPr/>
        <w:t>following</w:t>
      </w:r>
      <w:r>
        <w:rPr>
          <w:spacing w:val="-1"/>
        </w:rPr>
        <w:t> </w:t>
      </w:r>
      <w:r>
        <w:rPr/>
        <w:t>sub-</w:t>
      </w:r>
      <w:r>
        <w:rPr>
          <w:spacing w:val="-2"/>
        </w:rPr>
        <w:t>headings:</w:t>
      </w:r>
    </w:p>
    <w:p>
      <w:pPr>
        <w:pStyle w:val="BodyText"/>
        <w:ind w:left="0"/>
        <w:jc w:val="left"/>
      </w:pPr>
    </w:p>
    <w:p>
      <w:pPr>
        <w:pStyle w:val="ListParagraph"/>
        <w:numPr>
          <w:ilvl w:val="1"/>
          <w:numId w:val="19"/>
        </w:numPr>
        <w:tabs>
          <w:tab w:pos="1200" w:val="left" w:leader="none"/>
        </w:tabs>
        <w:spacing w:line="240" w:lineRule="auto" w:before="0" w:after="0"/>
        <w:ind w:left="1200" w:right="0" w:hanging="720"/>
        <w:jc w:val="left"/>
        <w:rPr>
          <w:sz w:val="24"/>
        </w:rPr>
      </w:pPr>
      <w:r>
        <w:rPr>
          <w:sz w:val="24"/>
        </w:rPr>
        <w:t>Data</w:t>
      </w:r>
      <w:r>
        <w:rPr>
          <w:spacing w:val="-4"/>
          <w:sz w:val="24"/>
        </w:rPr>
        <w:t> </w:t>
      </w:r>
      <w:r>
        <w:rPr>
          <w:sz w:val="24"/>
        </w:rPr>
        <w:t>analysis</w:t>
      </w:r>
      <w:r>
        <w:rPr>
          <w:spacing w:val="-1"/>
          <w:sz w:val="24"/>
        </w:rPr>
        <w:t> </w:t>
      </w:r>
      <w:r>
        <w:rPr>
          <w:sz w:val="24"/>
        </w:rPr>
        <w:t>and</w:t>
      </w:r>
      <w:r>
        <w:rPr>
          <w:spacing w:val="-3"/>
          <w:sz w:val="24"/>
        </w:rPr>
        <w:t> </w:t>
      </w:r>
      <w:r>
        <w:rPr>
          <w:sz w:val="24"/>
        </w:rPr>
        <w:t>results</w:t>
      </w:r>
      <w:r>
        <w:rPr>
          <w:spacing w:val="-4"/>
          <w:sz w:val="24"/>
        </w:rPr>
        <w:t> </w:t>
      </w:r>
      <w:r>
        <w:rPr>
          <w:spacing w:val="-2"/>
          <w:sz w:val="24"/>
        </w:rPr>
        <w:t>presentation</w:t>
      </w:r>
    </w:p>
    <w:p>
      <w:pPr>
        <w:pStyle w:val="BodyText"/>
        <w:spacing w:before="1"/>
        <w:ind w:left="0"/>
        <w:jc w:val="left"/>
      </w:pPr>
    </w:p>
    <w:p>
      <w:pPr>
        <w:pStyle w:val="ListParagraph"/>
        <w:numPr>
          <w:ilvl w:val="1"/>
          <w:numId w:val="19"/>
        </w:numPr>
        <w:tabs>
          <w:tab w:pos="1200" w:val="left" w:leader="none"/>
        </w:tabs>
        <w:spacing w:line="240" w:lineRule="auto" w:before="0" w:after="0"/>
        <w:ind w:left="1200" w:right="0" w:hanging="720"/>
        <w:jc w:val="left"/>
        <w:rPr>
          <w:sz w:val="24"/>
        </w:rPr>
      </w:pPr>
      <w:r>
        <w:rPr>
          <w:sz w:val="24"/>
        </w:rPr>
        <w:t>Summary</w:t>
      </w:r>
      <w:r>
        <w:rPr>
          <w:spacing w:val="-5"/>
          <w:sz w:val="24"/>
        </w:rPr>
        <w:t> </w:t>
      </w:r>
      <w:r>
        <w:rPr>
          <w:sz w:val="24"/>
        </w:rPr>
        <w:t>of</w:t>
      </w:r>
      <w:r>
        <w:rPr>
          <w:spacing w:val="4"/>
          <w:sz w:val="24"/>
        </w:rPr>
        <w:t> </w:t>
      </w:r>
      <w:r>
        <w:rPr>
          <w:spacing w:val="-2"/>
          <w:sz w:val="24"/>
        </w:rPr>
        <w:t>findings</w:t>
      </w:r>
    </w:p>
    <w:p>
      <w:pPr>
        <w:pStyle w:val="BodyText"/>
        <w:ind w:left="0"/>
        <w:jc w:val="left"/>
      </w:pPr>
    </w:p>
    <w:p>
      <w:pPr>
        <w:pStyle w:val="ListParagraph"/>
        <w:numPr>
          <w:ilvl w:val="1"/>
          <w:numId w:val="19"/>
        </w:numPr>
        <w:tabs>
          <w:tab w:pos="1200" w:val="left" w:leader="none"/>
        </w:tabs>
        <w:spacing w:line="240" w:lineRule="auto" w:before="0" w:after="0"/>
        <w:ind w:left="1200" w:right="0" w:hanging="720"/>
        <w:jc w:val="left"/>
        <w:rPr>
          <w:sz w:val="24"/>
        </w:rPr>
      </w:pPr>
      <w:r>
        <w:rPr>
          <w:sz w:val="24"/>
        </w:rPr>
        <w:t>Discussion</w:t>
      </w:r>
      <w:r>
        <w:rPr>
          <w:spacing w:val="-2"/>
          <w:sz w:val="24"/>
        </w:rPr>
        <w:t> </w:t>
      </w:r>
      <w:r>
        <w:rPr>
          <w:sz w:val="24"/>
        </w:rPr>
        <w:t>of</w:t>
      </w:r>
      <w:r>
        <w:rPr>
          <w:spacing w:val="-5"/>
          <w:sz w:val="24"/>
        </w:rPr>
        <w:t> </w:t>
      </w:r>
      <w:r>
        <w:rPr>
          <w:spacing w:val="-2"/>
          <w:sz w:val="24"/>
        </w:rPr>
        <w:t>results</w:t>
      </w:r>
    </w:p>
    <w:p>
      <w:pPr>
        <w:pStyle w:val="BodyText"/>
        <w:spacing w:before="5"/>
        <w:ind w:left="0"/>
        <w:jc w:val="left"/>
      </w:pPr>
    </w:p>
    <w:p>
      <w:pPr>
        <w:pStyle w:val="Heading3"/>
        <w:numPr>
          <w:ilvl w:val="1"/>
          <w:numId w:val="20"/>
        </w:numPr>
        <w:tabs>
          <w:tab w:pos="1199" w:val="left" w:leader="none"/>
        </w:tabs>
        <w:spacing w:line="240" w:lineRule="auto" w:before="0" w:after="0"/>
        <w:ind w:left="1199" w:right="0" w:hanging="719"/>
        <w:jc w:val="both"/>
      </w:pPr>
      <w:r>
        <w:rPr/>
        <w:t>Data</w:t>
      </w:r>
      <w:r>
        <w:rPr>
          <w:spacing w:val="-3"/>
        </w:rPr>
        <w:t> </w:t>
      </w:r>
      <w:r>
        <w:rPr/>
        <w:t>Analysis</w:t>
      </w:r>
      <w:r>
        <w:rPr>
          <w:spacing w:val="-3"/>
        </w:rPr>
        <w:t> </w:t>
      </w:r>
      <w:r>
        <w:rPr/>
        <w:t>and</w:t>
      </w:r>
      <w:r>
        <w:rPr>
          <w:spacing w:val="-3"/>
        </w:rPr>
        <w:t> </w:t>
      </w:r>
      <w:r>
        <w:rPr/>
        <w:t>Results</w:t>
      </w:r>
      <w:r>
        <w:rPr>
          <w:spacing w:val="-3"/>
        </w:rPr>
        <w:t> </w:t>
      </w:r>
      <w:r>
        <w:rPr>
          <w:spacing w:val="-2"/>
        </w:rPr>
        <w:t>Presentation</w:t>
      </w:r>
    </w:p>
    <w:p>
      <w:pPr>
        <w:pStyle w:val="BodyText"/>
        <w:spacing w:line="480" w:lineRule="auto" w:before="272"/>
        <w:ind w:right="1160" w:firstLine="720"/>
      </w:pPr>
      <w:r>
        <w:rPr/>
        <w:t>For the purpose of data collection, Trait Emotional Intelligence Questionnaire (TEIQue), Group Assessment of Logical Thinking (GALT) and Chemistry Self- efficacy Instrument (CSI) were used to measure students emotional-intelligence, reasoning ability and self-efficacy respectively. Student‘s SSII third term (qualifying) examination results in chemistry were used as their academic achievement in </w:t>
      </w:r>
      <w:r>
        <w:rPr>
          <w:spacing w:val="-2"/>
        </w:rPr>
        <w:t>chemistry.</w:t>
      </w:r>
    </w:p>
    <w:p>
      <w:pPr>
        <w:pStyle w:val="Heading3"/>
        <w:numPr>
          <w:ilvl w:val="2"/>
          <w:numId w:val="20"/>
        </w:numPr>
        <w:tabs>
          <w:tab w:pos="1199" w:val="left" w:leader="none"/>
        </w:tabs>
        <w:spacing w:line="240" w:lineRule="auto" w:before="5" w:after="0"/>
        <w:ind w:left="1199" w:right="0" w:hanging="719"/>
        <w:jc w:val="both"/>
      </w:pPr>
      <w:r>
        <w:rPr/>
        <w:t>Answers</w:t>
      </w:r>
      <w:r>
        <w:rPr>
          <w:spacing w:val="-5"/>
        </w:rPr>
        <w:t> </w:t>
      </w:r>
      <w:r>
        <w:rPr/>
        <w:t>to</w:t>
      </w:r>
      <w:r>
        <w:rPr>
          <w:spacing w:val="-2"/>
        </w:rPr>
        <w:t> </w:t>
      </w:r>
      <w:r>
        <w:rPr/>
        <w:t>Research</w:t>
      </w:r>
      <w:r>
        <w:rPr>
          <w:spacing w:val="-2"/>
        </w:rPr>
        <w:t> Questions</w:t>
      </w:r>
    </w:p>
    <w:p>
      <w:pPr>
        <w:pStyle w:val="BodyText"/>
        <w:spacing w:line="480" w:lineRule="auto" w:before="272"/>
        <w:ind w:right="1155" w:firstLine="720"/>
      </w:pPr>
      <w:r>
        <w:rPr/>
        <w:t>In this section the data collected were analyzed using means, standard deviations and mean ranks statistics depending on the type of data collected. Means and</w:t>
      </w:r>
      <w:r>
        <w:rPr>
          <w:spacing w:val="-1"/>
        </w:rPr>
        <w:t> </w:t>
      </w:r>
      <w:r>
        <w:rPr/>
        <w:t>standard</w:t>
      </w:r>
      <w:r>
        <w:rPr>
          <w:spacing w:val="-1"/>
        </w:rPr>
        <w:t> </w:t>
      </w:r>
      <w:r>
        <w:rPr/>
        <w:t>deviations</w:t>
      </w:r>
      <w:r>
        <w:rPr>
          <w:spacing w:val="-3"/>
        </w:rPr>
        <w:t> </w:t>
      </w:r>
      <w:r>
        <w:rPr/>
        <w:t>were</w:t>
      </w:r>
      <w:r>
        <w:rPr>
          <w:spacing w:val="-2"/>
        </w:rPr>
        <w:t> </w:t>
      </w:r>
      <w:r>
        <w:rPr/>
        <w:t>used</w:t>
      </w:r>
      <w:r>
        <w:rPr>
          <w:spacing w:val="-1"/>
        </w:rPr>
        <w:t> </w:t>
      </w:r>
      <w:r>
        <w:rPr/>
        <w:t>to answer research</w:t>
      </w:r>
      <w:r>
        <w:rPr>
          <w:spacing w:val="-6"/>
        </w:rPr>
        <w:t> </w:t>
      </w:r>
      <w:r>
        <w:rPr/>
        <w:t>questions</w:t>
      </w:r>
      <w:r>
        <w:rPr>
          <w:spacing w:val="-3"/>
        </w:rPr>
        <w:t> </w:t>
      </w:r>
      <w:r>
        <w:rPr/>
        <w:t>1, 2</w:t>
      </w:r>
      <w:r>
        <w:rPr>
          <w:spacing w:val="-1"/>
        </w:rPr>
        <w:t> </w:t>
      </w:r>
      <w:r>
        <w:rPr/>
        <w:t>and</w:t>
      </w:r>
      <w:r>
        <w:rPr>
          <w:spacing w:val="-1"/>
        </w:rPr>
        <w:t> </w:t>
      </w:r>
      <w:r>
        <w:rPr/>
        <w:t>3 while mean ranks were used to answer research question 4.</w:t>
      </w:r>
    </w:p>
    <w:p>
      <w:pPr>
        <w:pStyle w:val="Heading3"/>
        <w:spacing w:before="202"/>
        <w:ind w:left="480" w:firstLine="0"/>
      </w:pPr>
      <w:r>
        <w:rPr/>
        <w:t>Research</w:t>
      </w:r>
      <w:r>
        <w:rPr>
          <w:spacing w:val="-4"/>
        </w:rPr>
        <w:t> </w:t>
      </w:r>
      <w:r>
        <w:rPr/>
        <w:t>Question</w:t>
      </w:r>
      <w:r>
        <w:rPr>
          <w:spacing w:val="-2"/>
        </w:rPr>
        <w:t> </w:t>
      </w:r>
      <w:r>
        <w:rPr>
          <w:spacing w:val="-5"/>
        </w:rPr>
        <w:t>One</w:t>
      </w:r>
    </w:p>
    <w:p>
      <w:pPr>
        <w:pStyle w:val="BodyText"/>
        <w:spacing w:line="480" w:lineRule="auto" w:before="272"/>
        <w:ind w:left="1201" w:right="1160"/>
      </w:pPr>
      <w:r>
        <w:rPr/>
        <w:t>What are the mean scores of SSII chemistry students in emotional- intelligence, reasoning ability, self-efficacy and academic achievement in </w:t>
      </w:r>
      <w:r>
        <w:rPr>
          <w:spacing w:val="-2"/>
        </w:rPr>
        <w:t>chemistry?</w:t>
      </w:r>
    </w:p>
    <w:p>
      <w:pPr>
        <w:pStyle w:val="BodyText"/>
        <w:spacing w:line="480" w:lineRule="auto"/>
        <w:ind w:right="1170" w:firstLine="720"/>
      </w:pPr>
      <w:r>
        <w:rPr/>
        <mc:AlternateContent>
          <mc:Choice Requires="wps">
            <w:drawing>
              <wp:anchor distT="0" distB="0" distL="0" distR="0" allowOverlap="1" layoutInCell="1" locked="0" behindDoc="1" simplePos="0" relativeHeight="484152320">
                <wp:simplePos x="0" y="0"/>
                <wp:positionH relativeFrom="page">
                  <wp:posOffset>3939540</wp:posOffset>
                </wp:positionH>
                <wp:positionV relativeFrom="paragraph">
                  <wp:posOffset>823915</wp:posOffset>
                </wp:positionV>
                <wp:extent cx="140335" cy="1403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40335" cy="140335"/>
                        </a:xfrm>
                        <a:prstGeom prst="rect">
                          <a:avLst/>
                        </a:prstGeom>
                      </wps:spPr>
                      <wps:txbx>
                        <w:txbxContent>
                          <w:p>
                            <w:pPr>
                              <w:spacing w:line="221" w:lineRule="exact" w:before="0"/>
                              <w:ind w:left="0" w:right="0" w:firstLine="0"/>
                              <w:jc w:val="left"/>
                              <w:rPr>
                                <w:rFonts w:ascii="Calibri"/>
                                <w:sz w:val="22"/>
                              </w:rPr>
                            </w:pPr>
                            <w:r>
                              <w:rPr>
                                <w:rFonts w:ascii="Calibri"/>
                                <w:spacing w:val="-8"/>
                                <w:sz w:val="22"/>
                              </w:rPr>
                              <w:t>94</w:t>
                            </w:r>
                          </w:p>
                        </w:txbxContent>
                      </wps:txbx>
                      <wps:bodyPr wrap="square" lIns="0" tIns="0" rIns="0" bIns="0" rtlCol="0">
                        <a:noAutofit/>
                      </wps:bodyPr>
                    </wps:wsp>
                  </a:graphicData>
                </a:graphic>
              </wp:anchor>
            </w:drawing>
          </mc:Choice>
          <mc:Fallback>
            <w:pict>
              <v:shape style="position:absolute;margin-left:310.200012pt;margin-top:64.875221pt;width:11.05pt;height:11.05pt;mso-position-horizontal-relative:page;mso-position-vertical-relative:paragraph;z-index:-19164160" type="#_x0000_t202" id="docshape15" filled="false" stroked="false">
                <v:textbox inset="0,0,0,0">
                  <w:txbxContent>
                    <w:p>
                      <w:pPr>
                        <w:spacing w:line="221" w:lineRule="exact" w:before="0"/>
                        <w:ind w:left="0" w:right="0" w:firstLine="0"/>
                        <w:jc w:val="left"/>
                        <w:rPr>
                          <w:rFonts w:ascii="Calibri"/>
                          <w:sz w:val="22"/>
                        </w:rPr>
                      </w:pPr>
                      <w:r>
                        <w:rPr>
                          <w:rFonts w:ascii="Calibri"/>
                          <w:spacing w:val="-8"/>
                          <w:sz w:val="22"/>
                        </w:rPr>
                        <w:t>94</w:t>
                      </w:r>
                    </w:p>
                  </w:txbxContent>
                </v:textbox>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3695700</wp:posOffset>
                </wp:positionH>
                <wp:positionV relativeFrom="paragraph">
                  <wp:posOffset>588381</wp:posOffset>
                </wp:positionV>
                <wp:extent cx="914400" cy="9144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14400" cy="914400"/>
                        </a:xfrm>
                        <a:custGeom>
                          <a:avLst/>
                          <a:gdLst/>
                          <a:ahLst/>
                          <a:cxnLst/>
                          <a:rect l="l" t="t" r="r" b="b"/>
                          <a:pathLst>
                            <a:path w="914400" h="914400">
                              <a:moveTo>
                                <a:pt x="914400" y="0"/>
                              </a:moveTo>
                              <a:lnTo>
                                <a:pt x="0" y="0"/>
                              </a:lnTo>
                              <a:lnTo>
                                <a:pt x="0" y="914399"/>
                              </a:lnTo>
                              <a:lnTo>
                                <a:pt x="914400" y="914399"/>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1pt;margin-top:46.32922pt;width:72pt;height:72pt;mso-position-horizontal-relative:page;mso-position-vertical-relative:paragraph;z-index:15733248" id="docshape16" filled="true" fillcolor="#ffffff" stroked="false">
                <v:fill type="solid"/>
                <w10:wrap type="none"/>
              </v:rect>
            </w:pict>
          </mc:Fallback>
        </mc:AlternateContent>
      </w:r>
      <w:r>
        <w:rPr/>
        <w:t>This research question was answered using descriptive statistics of means and standard deviations. The summary of the computation is presented in Table 4.1.</w:t>
      </w:r>
    </w:p>
    <w:p>
      <w:pPr>
        <w:spacing w:after="0" w:line="480" w:lineRule="auto"/>
        <w:sectPr>
          <w:footerReference w:type="default" r:id="rId17"/>
          <w:pgSz w:w="11910" w:h="16840"/>
          <w:pgMar w:header="0" w:footer="0" w:top="1340" w:bottom="0" w:left="1680" w:right="280"/>
        </w:sectPr>
      </w:pPr>
    </w:p>
    <w:p>
      <w:pPr>
        <w:pStyle w:val="Heading3"/>
        <w:spacing w:before="78"/>
        <w:ind w:left="480" w:firstLine="0"/>
      </w:pPr>
      <w:r>
        <w:rPr/>
        <w:t>Table</w:t>
      </w:r>
      <w:r>
        <w:rPr>
          <w:spacing w:val="-3"/>
        </w:rPr>
        <w:t> </w:t>
      </w:r>
      <w:r>
        <w:rPr/>
        <w:t>4.1:</w:t>
      </w:r>
      <w:r>
        <w:rPr>
          <w:spacing w:val="2"/>
        </w:rPr>
        <w:t> </w:t>
      </w:r>
      <w:r>
        <w:rPr/>
        <w:t>Means</w:t>
      </w:r>
      <w:r>
        <w:rPr>
          <w:spacing w:val="-6"/>
        </w:rPr>
        <w:t> </w:t>
      </w:r>
      <w:r>
        <w:rPr/>
        <w:t>and</w:t>
      </w:r>
      <w:r>
        <w:rPr>
          <w:spacing w:val="-4"/>
        </w:rPr>
        <w:t> </w:t>
      </w:r>
      <w:r>
        <w:rPr/>
        <w:t>Standard deviations</w:t>
      </w:r>
      <w:r>
        <w:rPr>
          <w:spacing w:val="-1"/>
        </w:rPr>
        <w:t> </w:t>
      </w:r>
      <w:r>
        <w:rPr/>
        <w:t>of</w:t>
      </w:r>
      <w:r>
        <w:rPr>
          <w:spacing w:val="-3"/>
        </w:rPr>
        <w:t> </w:t>
      </w:r>
      <w:r>
        <w:rPr/>
        <w:t>Students’</w:t>
      </w:r>
      <w:r>
        <w:rPr>
          <w:spacing w:val="1"/>
        </w:rPr>
        <w:t> </w:t>
      </w:r>
      <w:r>
        <w:rPr/>
        <w:t>in</w:t>
      </w:r>
      <w:r>
        <w:rPr>
          <w:spacing w:val="-3"/>
        </w:rPr>
        <w:t> </w:t>
      </w:r>
      <w:r>
        <w:rPr>
          <w:spacing w:val="-2"/>
        </w:rPr>
        <w:t>Chemistry</w:t>
      </w:r>
    </w:p>
    <w:p>
      <w:pPr>
        <w:pStyle w:val="BodyText"/>
        <w:spacing w:before="50"/>
        <w:ind w:left="0"/>
        <w:jc w:val="left"/>
        <w:rPr>
          <w:b/>
          <w:sz w:val="20"/>
        </w:rPr>
      </w:pPr>
    </w:p>
    <w:tbl>
      <w:tblPr>
        <w:tblW w:w="0" w:type="auto"/>
        <w:jc w:val="left"/>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2452"/>
        <w:gridCol w:w="1726"/>
        <w:gridCol w:w="2358"/>
      </w:tblGrid>
      <w:tr>
        <w:trPr>
          <w:trHeight w:val="316" w:hRule="atLeast"/>
        </w:trPr>
        <w:tc>
          <w:tcPr>
            <w:tcW w:w="2002" w:type="dxa"/>
            <w:tcBorders>
              <w:top w:val="single" w:sz="4" w:space="0" w:color="000000"/>
              <w:bottom w:val="single" w:sz="4" w:space="0" w:color="000000"/>
            </w:tcBorders>
          </w:tcPr>
          <w:p>
            <w:pPr>
              <w:pStyle w:val="TableParagraph"/>
              <w:rPr>
                <w:sz w:val="24"/>
              </w:rPr>
            </w:pPr>
          </w:p>
        </w:tc>
        <w:tc>
          <w:tcPr>
            <w:tcW w:w="2452" w:type="dxa"/>
            <w:tcBorders>
              <w:top w:val="single" w:sz="4" w:space="0" w:color="000000"/>
              <w:bottom w:val="single" w:sz="4" w:space="0" w:color="000000"/>
            </w:tcBorders>
          </w:tcPr>
          <w:p>
            <w:pPr>
              <w:pStyle w:val="TableParagraph"/>
              <w:spacing w:line="273" w:lineRule="exact"/>
              <w:ind w:right="658"/>
              <w:jc w:val="right"/>
              <w:rPr>
                <w:b/>
                <w:sz w:val="24"/>
              </w:rPr>
            </w:pPr>
            <w:r>
              <w:rPr>
                <w:b/>
                <w:spacing w:val="-10"/>
                <w:sz w:val="24"/>
              </w:rPr>
              <w:t>N</w:t>
            </w:r>
          </w:p>
        </w:tc>
        <w:tc>
          <w:tcPr>
            <w:tcW w:w="1726" w:type="dxa"/>
            <w:tcBorders>
              <w:top w:val="single" w:sz="4" w:space="0" w:color="000000"/>
              <w:bottom w:val="single" w:sz="4" w:space="0" w:color="000000"/>
            </w:tcBorders>
          </w:tcPr>
          <w:p>
            <w:pPr>
              <w:pStyle w:val="TableParagraph"/>
              <w:spacing w:line="273" w:lineRule="exact"/>
              <w:ind w:left="68" w:right="1"/>
              <w:jc w:val="center"/>
              <w:rPr>
                <w:b/>
                <w:sz w:val="24"/>
              </w:rPr>
            </w:pPr>
            <w:r>
              <w:rPr>
                <w:b/>
                <w:spacing w:val="-4"/>
                <w:sz w:val="24"/>
              </w:rPr>
              <w:t>Mean</w:t>
            </w:r>
          </w:p>
        </w:tc>
        <w:tc>
          <w:tcPr>
            <w:tcW w:w="2358" w:type="dxa"/>
            <w:tcBorders>
              <w:top w:val="single" w:sz="4" w:space="0" w:color="000000"/>
              <w:bottom w:val="single" w:sz="4" w:space="0" w:color="000000"/>
            </w:tcBorders>
          </w:tcPr>
          <w:p>
            <w:pPr>
              <w:pStyle w:val="TableParagraph"/>
              <w:spacing w:line="273" w:lineRule="exact"/>
              <w:ind w:left="100" w:right="4"/>
              <w:jc w:val="center"/>
              <w:rPr>
                <w:b/>
                <w:sz w:val="24"/>
              </w:rPr>
            </w:pPr>
            <w:r>
              <w:rPr>
                <w:b/>
                <w:sz w:val="24"/>
              </w:rPr>
              <w:t>Std. </w:t>
            </w:r>
            <w:r>
              <w:rPr>
                <w:b/>
                <w:spacing w:val="-2"/>
                <w:sz w:val="24"/>
              </w:rPr>
              <w:t>Deviation</w:t>
            </w:r>
          </w:p>
        </w:tc>
      </w:tr>
      <w:tr>
        <w:trPr>
          <w:trHeight w:val="293" w:hRule="atLeast"/>
        </w:trPr>
        <w:tc>
          <w:tcPr>
            <w:tcW w:w="2002" w:type="dxa"/>
            <w:tcBorders>
              <w:top w:val="single" w:sz="4" w:space="0" w:color="000000"/>
            </w:tcBorders>
          </w:tcPr>
          <w:p>
            <w:pPr>
              <w:pStyle w:val="TableParagraph"/>
              <w:spacing w:line="268" w:lineRule="exact"/>
              <w:ind w:left="14"/>
              <w:rPr>
                <w:sz w:val="24"/>
              </w:rPr>
            </w:pPr>
            <w:r>
              <w:rPr>
                <w:spacing w:val="-5"/>
                <w:sz w:val="24"/>
              </w:rPr>
              <w:t>EI</w:t>
            </w:r>
          </w:p>
        </w:tc>
        <w:tc>
          <w:tcPr>
            <w:tcW w:w="2452" w:type="dxa"/>
            <w:tcBorders>
              <w:top w:val="single" w:sz="4" w:space="0" w:color="000000"/>
            </w:tcBorders>
          </w:tcPr>
          <w:p>
            <w:pPr>
              <w:pStyle w:val="TableParagraph"/>
              <w:spacing w:line="268" w:lineRule="exact"/>
              <w:ind w:right="562"/>
              <w:jc w:val="right"/>
              <w:rPr>
                <w:sz w:val="24"/>
              </w:rPr>
            </w:pPr>
            <w:r>
              <w:rPr>
                <w:spacing w:val="-5"/>
                <w:sz w:val="24"/>
              </w:rPr>
              <w:t>152</w:t>
            </w:r>
          </w:p>
        </w:tc>
        <w:tc>
          <w:tcPr>
            <w:tcW w:w="1726" w:type="dxa"/>
            <w:tcBorders>
              <w:top w:val="single" w:sz="4" w:space="0" w:color="000000"/>
            </w:tcBorders>
          </w:tcPr>
          <w:p>
            <w:pPr>
              <w:pStyle w:val="TableParagraph"/>
              <w:spacing w:line="268" w:lineRule="exact"/>
              <w:ind w:left="68" w:right="5"/>
              <w:jc w:val="center"/>
              <w:rPr>
                <w:sz w:val="24"/>
              </w:rPr>
            </w:pPr>
            <w:r>
              <w:rPr>
                <w:spacing w:val="-2"/>
                <w:sz w:val="24"/>
              </w:rPr>
              <w:t>130.18</w:t>
            </w:r>
          </w:p>
        </w:tc>
        <w:tc>
          <w:tcPr>
            <w:tcW w:w="2358" w:type="dxa"/>
            <w:tcBorders>
              <w:top w:val="single" w:sz="4" w:space="0" w:color="000000"/>
            </w:tcBorders>
          </w:tcPr>
          <w:p>
            <w:pPr>
              <w:pStyle w:val="TableParagraph"/>
              <w:spacing w:line="268" w:lineRule="exact"/>
              <w:ind w:left="100"/>
              <w:jc w:val="center"/>
              <w:rPr>
                <w:sz w:val="24"/>
              </w:rPr>
            </w:pPr>
            <w:r>
              <w:rPr>
                <w:spacing w:val="-2"/>
                <w:sz w:val="24"/>
              </w:rPr>
              <w:t>32.401</w:t>
            </w:r>
          </w:p>
        </w:tc>
      </w:tr>
      <w:tr>
        <w:trPr>
          <w:trHeight w:val="319" w:hRule="atLeast"/>
        </w:trPr>
        <w:tc>
          <w:tcPr>
            <w:tcW w:w="2002" w:type="dxa"/>
          </w:tcPr>
          <w:p>
            <w:pPr>
              <w:pStyle w:val="TableParagraph"/>
              <w:spacing w:before="15"/>
              <w:ind w:left="14"/>
              <w:rPr>
                <w:sz w:val="24"/>
              </w:rPr>
            </w:pPr>
            <w:r>
              <w:rPr>
                <w:spacing w:val="-5"/>
                <w:sz w:val="24"/>
              </w:rPr>
              <w:t>RA</w:t>
            </w:r>
          </w:p>
        </w:tc>
        <w:tc>
          <w:tcPr>
            <w:tcW w:w="2452" w:type="dxa"/>
          </w:tcPr>
          <w:p>
            <w:pPr>
              <w:pStyle w:val="TableParagraph"/>
              <w:spacing w:before="15"/>
              <w:ind w:right="562"/>
              <w:jc w:val="right"/>
              <w:rPr>
                <w:sz w:val="24"/>
              </w:rPr>
            </w:pPr>
            <w:r>
              <w:rPr>
                <w:spacing w:val="-5"/>
                <w:sz w:val="24"/>
              </w:rPr>
              <w:t>152</w:t>
            </w:r>
          </w:p>
        </w:tc>
        <w:tc>
          <w:tcPr>
            <w:tcW w:w="1726" w:type="dxa"/>
          </w:tcPr>
          <w:p>
            <w:pPr>
              <w:pStyle w:val="TableParagraph"/>
              <w:spacing w:before="15"/>
              <w:ind w:left="68" w:right="5"/>
              <w:jc w:val="center"/>
              <w:rPr>
                <w:sz w:val="24"/>
              </w:rPr>
            </w:pPr>
            <w:r>
              <w:rPr>
                <w:spacing w:val="-4"/>
                <w:sz w:val="24"/>
              </w:rPr>
              <w:t>4.53</w:t>
            </w:r>
          </w:p>
        </w:tc>
        <w:tc>
          <w:tcPr>
            <w:tcW w:w="2358" w:type="dxa"/>
          </w:tcPr>
          <w:p>
            <w:pPr>
              <w:pStyle w:val="TableParagraph"/>
              <w:spacing w:before="15"/>
              <w:ind w:left="100" w:right="5"/>
              <w:jc w:val="center"/>
              <w:rPr>
                <w:sz w:val="24"/>
              </w:rPr>
            </w:pPr>
            <w:r>
              <w:rPr>
                <w:spacing w:val="-4"/>
                <w:sz w:val="24"/>
              </w:rPr>
              <w:t>1.675</w:t>
            </w:r>
          </w:p>
        </w:tc>
      </w:tr>
      <w:tr>
        <w:trPr>
          <w:trHeight w:val="319" w:hRule="atLeast"/>
        </w:trPr>
        <w:tc>
          <w:tcPr>
            <w:tcW w:w="2002" w:type="dxa"/>
          </w:tcPr>
          <w:p>
            <w:pPr>
              <w:pStyle w:val="TableParagraph"/>
              <w:spacing w:before="17"/>
              <w:ind w:left="14"/>
              <w:rPr>
                <w:sz w:val="24"/>
              </w:rPr>
            </w:pPr>
            <w:r>
              <w:rPr>
                <w:spacing w:val="-5"/>
                <w:sz w:val="24"/>
              </w:rPr>
              <w:t>SE</w:t>
            </w:r>
          </w:p>
        </w:tc>
        <w:tc>
          <w:tcPr>
            <w:tcW w:w="2452" w:type="dxa"/>
          </w:tcPr>
          <w:p>
            <w:pPr>
              <w:pStyle w:val="TableParagraph"/>
              <w:spacing w:before="17"/>
              <w:ind w:right="562"/>
              <w:jc w:val="right"/>
              <w:rPr>
                <w:sz w:val="24"/>
              </w:rPr>
            </w:pPr>
            <w:r>
              <w:rPr>
                <w:spacing w:val="-5"/>
                <w:sz w:val="24"/>
              </w:rPr>
              <w:t>152</w:t>
            </w:r>
          </w:p>
        </w:tc>
        <w:tc>
          <w:tcPr>
            <w:tcW w:w="1726" w:type="dxa"/>
          </w:tcPr>
          <w:p>
            <w:pPr>
              <w:pStyle w:val="TableParagraph"/>
              <w:spacing w:before="17"/>
              <w:ind w:left="68"/>
              <w:jc w:val="center"/>
              <w:rPr>
                <w:sz w:val="24"/>
              </w:rPr>
            </w:pPr>
            <w:r>
              <w:rPr>
                <w:spacing w:val="-2"/>
                <w:sz w:val="24"/>
              </w:rPr>
              <w:t>34.32</w:t>
            </w:r>
          </w:p>
        </w:tc>
        <w:tc>
          <w:tcPr>
            <w:tcW w:w="2358" w:type="dxa"/>
          </w:tcPr>
          <w:p>
            <w:pPr>
              <w:pStyle w:val="TableParagraph"/>
              <w:spacing w:before="17"/>
              <w:ind w:left="100" w:right="5"/>
              <w:jc w:val="center"/>
              <w:rPr>
                <w:sz w:val="24"/>
              </w:rPr>
            </w:pPr>
            <w:r>
              <w:rPr>
                <w:spacing w:val="-4"/>
                <w:sz w:val="24"/>
              </w:rPr>
              <w:t>9.657</w:t>
            </w:r>
          </w:p>
        </w:tc>
      </w:tr>
      <w:tr>
        <w:trPr>
          <w:trHeight w:val="339" w:hRule="atLeast"/>
        </w:trPr>
        <w:tc>
          <w:tcPr>
            <w:tcW w:w="2002" w:type="dxa"/>
            <w:tcBorders>
              <w:bottom w:val="single" w:sz="4" w:space="0" w:color="000000"/>
            </w:tcBorders>
          </w:tcPr>
          <w:p>
            <w:pPr>
              <w:pStyle w:val="TableParagraph"/>
              <w:spacing w:before="15"/>
              <w:ind w:left="14"/>
              <w:rPr>
                <w:sz w:val="24"/>
              </w:rPr>
            </w:pPr>
            <w:r>
              <w:rPr>
                <w:spacing w:val="-5"/>
                <w:sz w:val="24"/>
              </w:rPr>
              <w:t>CAS</w:t>
            </w:r>
          </w:p>
        </w:tc>
        <w:tc>
          <w:tcPr>
            <w:tcW w:w="2452" w:type="dxa"/>
            <w:tcBorders>
              <w:bottom w:val="single" w:sz="4" w:space="0" w:color="000000"/>
            </w:tcBorders>
          </w:tcPr>
          <w:p>
            <w:pPr>
              <w:pStyle w:val="TableParagraph"/>
              <w:spacing w:before="15"/>
              <w:ind w:right="562"/>
              <w:jc w:val="right"/>
              <w:rPr>
                <w:sz w:val="24"/>
              </w:rPr>
            </w:pPr>
            <w:r>
              <w:rPr>
                <w:spacing w:val="-5"/>
                <w:sz w:val="24"/>
              </w:rPr>
              <w:t>152</w:t>
            </w:r>
          </w:p>
        </w:tc>
        <w:tc>
          <w:tcPr>
            <w:tcW w:w="1726" w:type="dxa"/>
            <w:tcBorders>
              <w:bottom w:val="single" w:sz="4" w:space="0" w:color="000000"/>
            </w:tcBorders>
          </w:tcPr>
          <w:p>
            <w:pPr>
              <w:pStyle w:val="TableParagraph"/>
              <w:spacing w:before="15"/>
              <w:ind w:left="68"/>
              <w:jc w:val="center"/>
              <w:rPr>
                <w:sz w:val="24"/>
              </w:rPr>
            </w:pPr>
            <w:r>
              <w:rPr>
                <w:spacing w:val="-2"/>
                <w:sz w:val="24"/>
              </w:rPr>
              <w:t>47.95</w:t>
            </w:r>
          </w:p>
        </w:tc>
        <w:tc>
          <w:tcPr>
            <w:tcW w:w="2358" w:type="dxa"/>
            <w:tcBorders>
              <w:bottom w:val="single" w:sz="4" w:space="0" w:color="000000"/>
            </w:tcBorders>
          </w:tcPr>
          <w:p>
            <w:pPr>
              <w:pStyle w:val="TableParagraph"/>
              <w:spacing w:before="15"/>
              <w:ind w:left="100" w:right="5"/>
              <w:jc w:val="center"/>
              <w:rPr>
                <w:sz w:val="24"/>
              </w:rPr>
            </w:pPr>
            <w:r>
              <w:rPr>
                <w:spacing w:val="-4"/>
                <w:sz w:val="24"/>
              </w:rPr>
              <w:t>8.432</w:t>
            </w:r>
          </w:p>
        </w:tc>
      </w:tr>
    </w:tbl>
    <w:p>
      <w:pPr>
        <w:pStyle w:val="BodyText"/>
        <w:spacing w:before="270"/>
        <w:ind w:left="0"/>
        <w:jc w:val="left"/>
        <w:rPr>
          <w:b/>
        </w:rPr>
      </w:pPr>
    </w:p>
    <w:p>
      <w:pPr>
        <w:pStyle w:val="BodyText"/>
        <w:spacing w:line="480" w:lineRule="auto"/>
        <w:ind w:right="1149" w:firstLine="720"/>
      </w:pPr>
      <w:r>
        <w:rPr/>
        <w:t>Table 4.1 shows the mean emotional-intelligence, reasoning ability, self- efficacy and academic achievement scores of SS II students in chemistry. The mean achievement scores for emotional intelligence, reasoning ability, self-efficacy and Chemistry Achievement Test were (M=130.18, SD=32.401), (M=4.53, SD=1.675), (M=34.32, SD=9.657), and (M=47.95, SD=8.432) respectively.</w:t>
      </w:r>
      <w:r>
        <w:rPr>
          <w:spacing w:val="40"/>
        </w:rPr>
        <w:t> </w:t>
      </w:r>
      <w:r>
        <w:rPr/>
        <w:t>The SSII chemistry students had a higher mean in emotional intelligence followed by chemistry achievement course, self-efficacy and least mean in reasoning ability.</w:t>
      </w:r>
    </w:p>
    <w:p>
      <w:pPr>
        <w:pStyle w:val="Heading3"/>
        <w:spacing w:before="246"/>
        <w:ind w:left="480" w:firstLine="0"/>
      </w:pPr>
      <w:r>
        <w:rPr/>
        <w:t>Research</w:t>
      </w:r>
      <w:r>
        <w:rPr>
          <w:spacing w:val="-4"/>
        </w:rPr>
        <w:t> </w:t>
      </w:r>
      <w:r>
        <w:rPr/>
        <w:t>Question</w:t>
      </w:r>
      <w:r>
        <w:rPr>
          <w:spacing w:val="-2"/>
        </w:rPr>
        <w:t> </w:t>
      </w:r>
      <w:r>
        <w:rPr>
          <w:spacing w:val="-5"/>
        </w:rPr>
        <w:t>Two</w:t>
      </w:r>
    </w:p>
    <w:p>
      <w:pPr>
        <w:pStyle w:val="BodyText"/>
        <w:spacing w:line="480" w:lineRule="auto" w:before="272"/>
        <w:ind w:left="1201" w:right="1160"/>
      </w:pPr>
      <w:r>
        <w:rPr/>
        <w:t>What are the mean scores of SSII male chemistry students in emotional- intelligence, reasoning ability, self efficacy and academic achievement in </w:t>
      </w:r>
      <w:r>
        <w:rPr>
          <w:spacing w:val="-2"/>
        </w:rPr>
        <w:t>chemistry?</w:t>
      </w:r>
    </w:p>
    <w:p>
      <w:pPr>
        <w:pStyle w:val="BodyText"/>
        <w:spacing w:line="480" w:lineRule="auto" w:before="241"/>
        <w:ind w:right="1165" w:firstLine="720"/>
      </w:pPr>
      <w:r>
        <w:rPr/>
        <w:t>This research question was answered using descriptive statistics of means and standard deviations. The Pearson Correlation Coefficient was used to test the relationship. The summary of the computation is presented in Table 4.2.</w:t>
      </w:r>
    </w:p>
    <w:p>
      <w:pPr>
        <w:pStyle w:val="Heading3"/>
        <w:spacing w:before="5"/>
        <w:ind w:left="1921" w:right="1156" w:hanging="1441"/>
      </w:pPr>
      <w:r>
        <w:rPr/>
        <w:t>Table 4.2:</w:t>
      </w:r>
      <w:r>
        <w:rPr>
          <w:spacing w:val="80"/>
          <w:w w:val="150"/>
        </w:rPr>
        <w:t> </w:t>
      </w:r>
      <w:r>
        <w:rPr/>
        <w:t>Means and Standard Deviations of Male Students’ in Chemistry Achievement Test Scores, Emotional-intelligence, Reasoning Ability, and Self-efficacy</w:t>
      </w:r>
    </w:p>
    <w:p>
      <w:pPr>
        <w:pStyle w:val="BodyText"/>
        <w:spacing w:before="3"/>
        <w:ind w:left="0"/>
        <w:jc w:val="left"/>
        <w:rPr>
          <w:b/>
          <w:sz w:val="19"/>
        </w:rPr>
      </w:pPr>
    </w:p>
    <w:tbl>
      <w:tblPr>
        <w:tblW w:w="0" w:type="auto"/>
        <w:jc w:val="left"/>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9"/>
        <w:gridCol w:w="2289"/>
        <w:gridCol w:w="1734"/>
        <w:gridCol w:w="2642"/>
      </w:tblGrid>
      <w:tr>
        <w:trPr>
          <w:trHeight w:val="317" w:hRule="atLeast"/>
        </w:trPr>
        <w:tc>
          <w:tcPr>
            <w:tcW w:w="2019" w:type="dxa"/>
            <w:tcBorders>
              <w:top w:val="double" w:sz="8" w:space="0" w:color="000000"/>
              <w:bottom w:val="single" w:sz="18" w:space="0" w:color="000000"/>
            </w:tcBorders>
          </w:tcPr>
          <w:p>
            <w:pPr>
              <w:pStyle w:val="TableParagraph"/>
              <w:rPr>
                <w:sz w:val="24"/>
              </w:rPr>
            </w:pPr>
          </w:p>
        </w:tc>
        <w:tc>
          <w:tcPr>
            <w:tcW w:w="2289" w:type="dxa"/>
            <w:tcBorders>
              <w:top w:val="double" w:sz="8" w:space="0" w:color="000000"/>
              <w:bottom w:val="single" w:sz="18" w:space="0" w:color="000000"/>
            </w:tcBorders>
          </w:tcPr>
          <w:p>
            <w:pPr>
              <w:pStyle w:val="TableParagraph"/>
              <w:spacing w:line="258" w:lineRule="exact" w:before="38"/>
              <w:ind w:right="536"/>
              <w:jc w:val="right"/>
              <w:rPr>
                <w:b/>
                <w:sz w:val="24"/>
              </w:rPr>
            </w:pPr>
            <w:r>
              <w:rPr>
                <w:b/>
                <w:spacing w:val="-10"/>
                <w:sz w:val="24"/>
              </w:rPr>
              <w:t>N</w:t>
            </w:r>
          </w:p>
        </w:tc>
        <w:tc>
          <w:tcPr>
            <w:tcW w:w="1734" w:type="dxa"/>
            <w:tcBorders>
              <w:top w:val="double" w:sz="8" w:space="0" w:color="000000"/>
              <w:bottom w:val="single" w:sz="18" w:space="0" w:color="000000"/>
            </w:tcBorders>
          </w:tcPr>
          <w:p>
            <w:pPr>
              <w:pStyle w:val="TableParagraph"/>
              <w:spacing w:line="258" w:lineRule="exact" w:before="38"/>
              <w:ind w:right="68"/>
              <w:jc w:val="center"/>
              <w:rPr>
                <w:b/>
                <w:sz w:val="24"/>
              </w:rPr>
            </w:pPr>
            <w:r>
              <w:rPr>
                <w:b/>
                <w:spacing w:val="-4"/>
                <w:sz w:val="24"/>
              </w:rPr>
              <w:t>Mean</w:t>
            </w:r>
          </w:p>
        </w:tc>
        <w:tc>
          <w:tcPr>
            <w:tcW w:w="2642" w:type="dxa"/>
            <w:tcBorders>
              <w:top w:val="double" w:sz="8" w:space="0" w:color="000000"/>
              <w:bottom w:val="single" w:sz="18" w:space="0" w:color="000000"/>
            </w:tcBorders>
          </w:tcPr>
          <w:p>
            <w:pPr>
              <w:pStyle w:val="TableParagraph"/>
              <w:spacing w:line="258" w:lineRule="exact" w:before="38"/>
              <w:ind w:right="53"/>
              <w:jc w:val="center"/>
              <w:rPr>
                <w:b/>
                <w:sz w:val="24"/>
              </w:rPr>
            </w:pPr>
            <w:r>
              <w:rPr>
                <w:b/>
                <w:sz w:val="24"/>
              </w:rPr>
              <w:t>Std. </w:t>
            </w:r>
            <w:r>
              <w:rPr>
                <w:b/>
                <w:spacing w:val="-2"/>
                <w:sz w:val="24"/>
              </w:rPr>
              <w:t>Deviation</w:t>
            </w:r>
          </w:p>
        </w:tc>
      </w:tr>
      <w:tr>
        <w:trPr>
          <w:trHeight w:val="336" w:hRule="atLeast"/>
        </w:trPr>
        <w:tc>
          <w:tcPr>
            <w:tcW w:w="2019" w:type="dxa"/>
            <w:tcBorders>
              <w:top w:val="single" w:sz="18" w:space="0" w:color="000000"/>
            </w:tcBorders>
          </w:tcPr>
          <w:p>
            <w:pPr>
              <w:pStyle w:val="TableParagraph"/>
              <w:spacing w:before="32"/>
              <w:ind w:left="14"/>
              <w:rPr>
                <w:sz w:val="24"/>
              </w:rPr>
            </w:pPr>
            <w:r>
              <w:rPr>
                <w:spacing w:val="-5"/>
                <w:sz w:val="24"/>
              </w:rPr>
              <w:t>CAS</w:t>
            </w:r>
          </w:p>
        </w:tc>
        <w:tc>
          <w:tcPr>
            <w:tcW w:w="2289" w:type="dxa"/>
            <w:tcBorders>
              <w:top w:val="single" w:sz="18" w:space="0" w:color="000000"/>
            </w:tcBorders>
          </w:tcPr>
          <w:p>
            <w:pPr>
              <w:pStyle w:val="TableParagraph"/>
              <w:spacing w:before="32"/>
              <w:ind w:right="504"/>
              <w:jc w:val="right"/>
              <w:rPr>
                <w:sz w:val="24"/>
              </w:rPr>
            </w:pPr>
            <w:r>
              <w:rPr>
                <w:spacing w:val="-5"/>
                <w:sz w:val="24"/>
              </w:rPr>
              <w:t>89</w:t>
            </w:r>
          </w:p>
        </w:tc>
        <w:tc>
          <w:tcPr>
            <w:tcW w:w="1734" w:type="dxa"/>
            <w:tcBorders>
              <w:top w:val="single" w:sz="18" w:space="0" w:color="000000"/>
            </w:tcBorders>
          </w:tcPr>
          <w:p>
            <w:pPr>
              <w:pStyle w:val="TableParagraph"/>
              <w:spacing w:before="32"/>
              <w:ind w:left="1" w:right="68"/>
              <w:jc w:val="center"/>
              <w:rPr>
                <w:sz w:val="24"/>
              </w:rPr>
            </w:pPr>
            <w:r>
              <w:rPr>
                <w:spacing w:val="-2"/>
                <w:sz w:val="24"/>
              </w:rPr>
              <w:t>47.49</w:t>
            </w:r>
          </w:p>
        </w:tc>
        <w:tc>
          <w:tcPr>
            <w:tcW w:w="2642" w:type="dxa"/>
            <w:tcBorders>
              <w:top w:val="single" w:sz="18" w:space="0" w:color="000000"/>
            </w:tcBorders>
          </w:tcPr>
          <w:p>
            <w:pPr>
              <w:pStyle w:val="TableParagraph"/>
              <w:spacing w:before="32"/>
              <w:ind w:left="8" w:right="53"/>
              <w:jc w:val="center"/>
              <w:rPr>
                <w:sz w:val="24"/>
              </w:rPr>
            </w:pPr>
            <w:r>
              <w:rPr>
                <w:spacing w:val="-4"/>
                <w:sz w:val="24"/>
              </w:rPr>
              <w:t>8.301</w:t>
            </w:r>
          </w:p>
        </w:tc>
      </w:tr>
      <w:tr>
        <w:trPr>
          <w:trHeight w:val="321" w:hRule="atLeast"/>
        </w:trPr>
        <w:tc>
          <w:tcPr>
            <w:tcW w:w="2019" w:type="dxa"/>
          </w:tcPr>
          <w:p>
            <w:pPr>
              <w:pStyle w:val="TableParagraph"/>
              <w:spacing w:before="18"/>
              <w:ind w:left="14"/>
              <w:rPr>
                <w:sz w:val="24"/>
              </w:rPr>
            </w:pPr>
            <w:r>
              <w:rPr>
                <w:spacing w:val="-5"/>
                <w:sz w:val="24"/>
              </w:rPr>
              <w:t>EI</w:t>
            </w:r>
          </w:p>
        </w:tc>
        <w:tc>
          <w:tcPr>
            <w:tcW w:w="2289" w:type="dxa"/>
          </w:tcPr>
          <w:p>
            <w:pPr>
              <w:pStyle w:val="TableParagraph"/>
              <w:spacing w:before="18"/>
              <w:ind w:right="504"/>
              <w:jc w:val="right"/>
              <w:rPr>
                <w:sz w:val="24"/>
              </w:rPr>
            </w:pPr>
            <w:r>
              <w:rPr>
                <w:spacing w:val="-5"/>
                <w:sz w:val="24"/>
              </w:rPr>
              <w:t>89</w:t>
            </w:r>
          </w:p>
        </w:tc>
        <w:tc>
          <w:tcPr>
            <w:tcW w:w="1734" w:type="dxa"/>
          </w:tcPr>
          <w:p>
            <w:pPr>
              <w:pStyle w:val="TableParagraph"/>
              <w:spacing w:before="18"/>
              <w:ind w:left="5" w:right="68"/>
              <w:jc w:val="center"/>
              <w:rPr>
                <w:sz w:val="24"/>
              </w:rPr>
            </w:pPr>
            <w:r>
              <w:rPr>
                <w:spacing w:val="-2"/>
                <w:sz w:val="24"/>
              </w:rPr>
              <w:t>129.60</w:t>
            </w:r>
          </w:p>
        </w:tc>
        <w:tc>
          <w:tcPr>
            <w:tcW w:w="2642" w:type="dxa"/>
          </w:tcPr>
          <w:p>
            <w:pPr>
              <w:pStyle w:val="TableParagraph"/>
              <w:spacing w:before="18"/>
              <w:ind w:left="4" w:right="53"/>
              <w:jc w:val="center"/>
              <w:rPr>
                <w:sz w:val="24"/>
              </w:rPr>
            </w:pPr>
            <w:r>
              <w:rPr>
                <w:spacing w:val="-2"/>
                <w:sz w:val="24"/>
              </w:rPr>
              <w:t>34.121</w:t>
            </w:r>
          </w:p>
        </w:tc>
      </w:tr>
      <w:tr>
        <w:trPr>
          <w:trHeight w:val="319" w:hRule="atLeast"/>
        </w:trPr>
        <w:tc>
          <w:tcPr>
            <w:tcW w:w="2019" w:type="dxa"/>
          </w:tcPr>
          <w:p>
            <w:pPr>
              <w:pStyle w:val="TableParagraph"/>
              <w:spacing w:before="17"/>
              <w:ind w:left="14"/>
              <w:rPr>
                <w:sz w:val="24"/>
              </w:rPr>
            </w:pPr>
            <w:r>
              <w:rPr>
                <w:spacing w:val="-5"/>
                <w:sz w:val="24"/>
              </w:rPr>
              <w:t>RA</w:t>
            </w:r>
          </w:p>
        </w:tc>
        <w:tc>
          <w:tcPr>
            <w:tcW w:w="2289" w:type="dxa"/>
          </w:tcPr>
          <w:p>
            <w:pPr>
              <w:pStyle w:val="TableParagraph"/>
              <w:spacing w:before="17"/>
              <w:ind w:right="504"/>
              <w:jc w:val="right"/>
              <w:rPr>
                <w:sz w:val="24"/>
              </w:rPr>
            </w:pPr>
            <w:r>
              <w:rPr>
                <w:spacing w:val="-5"/>
                <w:sz w:val="24"/>
              </w:rPr>
              <w:t>89</w:t>
            </w:r>
          </w:p>
        </w:tc>
        <w:tc>
          <w:tcPr>
            <w:tcW w:w="1734" w:type="dxa"/>
          </w:tcPr>
          <w:p>
            <w:pPr>
              <w:pStyle w:val="TableParagraph"/>
              <w:spacing w:before="17"/>
              <w:ind w:left="5" w:right="68"/>
              <w:jc w:val="center"/>
              <w:rPr>
                <w:sz w:val="24"/>
              </w:rPr>
            </w:pPr>
            <w:r>
              <w:rPr>
                <w:spacing w:val="-4"/>
                <w:sz w:val="24"/>
              </w:rPr>
              <w:t>4.45</w:t>
            </w:r>
          </w:p>
        </w:tc>
        <w:tc>
          <w:tcPr>
            <w:tcW w:w="2642" w:type="dxa"/>
          </w:tcPr>
          <w:p>
            <w:pPr>
              <w:pStyle w:val="TableParagraph"/>
              <w:spacing w:before="17"/>
              <w:ind w:left="8" w:right="53"/>
              <w:jc w:val="center"/>
              <w:rPr>
                <w:sz w:val="24"/>
              </w:rPr>
            </w:pPr>
            <w:r>
              <w:rPr>
                <w:spacing w:val="-4"/>
                <w:sz w:val="24"/>
              </w:rPr>
              <w:t>1.752</w:t>
            </w:r>
          </w:p>
        </w:tc>
      </w:tr>
      <w:tr>
        <w:trPr>
          <w:trHeight w:val="305" w:hRule="atLeast"/>
        </w:trPr>
        <w:tc>
          <w:tcPr>
            <w:tcW w:w="2019" w:type="dxa"/>
            <w:tcBorders>
              <w:bottom w:val="double" w:sz="8" w:space="0" w:color="000000"/>
            </w:tcBorders>
          </w:tcPr>
          <w:p>
            <w:pPr>
              <w:pStyle w:val="TableParagraph"/>
              <w:spacing w:line="270" w:lineRule="exact" w:before="15"/>
              <w:ind w:left="14"/>
              <w:rPr>
                <w:sz w:val="24"/>
              </w:rPr>
            </w:pPr>
            <w:r>
              <w:rPr>
                <w:spacing w:val="-5"/>
                <w:sz w:val="24"/>
              </w:rPr>
              <w:t>SE</w:t>
            </w:r>
          </w:p>
        </w:tc>
        <w:tc>
          <w:tcPr>
            <w:tcW w:w="2289" w:type="dxa"/>
            <w:tcBorders>
              <w:bottom w:val="double" w:sz="8" w:space="0" w:color="000000"/>
            </w:tcBorders>
          </w:tcPr>
          <w:p>
            <w:pPr>
              <w:pStyle w:val="TableParagraph"/>
              <w:spacing w:line="270" w:lineRule="exact" w:before="15"/>
              <w:ind w:right="504"/>
              <w:jc w:val="right"/>
              <w:rPr>
                <w:sz w:val="24"/>
              </w:rPr>
            </w:pPr>
            <w:r>
              <w:rPr>
                <w:spacing w:val="-5"/>
                <w:sz w:val="24"/>
              </w:rPr>
              <w:t>89</w:t>
            </w:r>
          </w:p>
        </w:tc>
        <w:tc>
          <w:tcPr>
            <w:tcW w:w="1734" w:type="dxa"/>
            <w:tcBorders>
              <w:bottom w:val="double" w:sz="8" w:space="0" w:color="000000"/>
            </w:tcBorders>
          </w:tcPr>
          <w:p>
            <w:pPr>
              <w:pStyle w:val="TableParagraph"/>
              <w:spacing w:line="270" w:lineRule="exact" w:before="15"/>
              <w:ind w:left="1" w:right="68"/>
              <w:jc w:val="center"/>
              <w:rPr>
                <w:sz w:val="24"/>
              </w:rPr>
            </w:pPr>
            <w:r>
              <w:rPr>
                <w:spacing w:val="-2"/>
                <w:sz w:val="24"/>
              </w:rPr>
              <w:t>33.67</w:t>
            </w:r>
          </w:p>
        </w:tc>
        <w:tc>
          <w:tcPr>
            <w:tcW w:w="2642" w:type="dxa"/>
            <w:tcBorders>
              <w:bottom w:val="double" w:sz="8" w:space="0" w:color="000000"/>
            </w:tcBorders>
          </w:tcPr>
          <w:p>
            <w:pPr>
              <w:pStyle w:val="TableParagraph"/>
              <w:spacing w:line="270" w:lineRule="exact" w:before="15"/>
              <w:ind w:left="8" w:right="53"/>
              <w:jc w:val="center"/>
              <w:rPr>
                <w:sz w:val="24"/>
              </w:rPr>
            </w:pPr>
            <w:r>
              <w:rPr>
                <w:spacing w:val="-4"/>
                <w:sz w:val="24"/>
              </w:rPr>
              <w:t>9.546</w:t>
            </w:r>
          </w:p>
        </w:tc>
      </w:tr>
    </w:tbl>
    <w:p>
      <w:pPr>
        <w:spacing w:after="0" w:line="270" w:lineRule="exact"/>
        <w:jc w:val="center"/>
        <w:rPr>
          <w:sz w:val="24"/>
        </w:rPr>
        <w:sectPr>
          <w:footerReference w:type="default" r:id="rId18"/>
          <w:pgSz w:w="11910" w:h="16840"/>
          <w:pgMar w:header="0" w:footer="1012" w:top="1340" w:bottom="1200" w:left="1680" w:right="280"/>
          <w:pgNumType w:start="95"/>
        </w:sectPr>
      </w:pPr>
    </w:p>
    <w:p>
      <w:pPr>
        <w:pStyle w:val="BodyText"/>
        <w:spacing w:line="480" w:lineRule="auto" w:before="74"/>
        <w:ind w:right="1159" w:firstLine="720"/>
      </w:pPr>
      <w:r>
        <w:rPr/>
        <w:t>Table 4.2 shows the mean Chemistry Achievement Test scores, emotional- intelligence, reasoning ability, and self-efficacy scores of SS II male students in chemistry. The mean achievement score for emotional intelligence, reasoning ability, self-efficacy and Chemistry Achievement Test were (M=47.49, SD=8.301); (M=129.60,</w:t>
      </w:r>
      <w:r>
        <w:rPr>
          <w:spacing w:val="59"/>
        </w:rPr>
        <w:t>  </w:t>
      </w:r>
      <w:r>
        <w:rPr/>
        <w:t>SD=34.121);</w:t>
      </w:r>
      <w:r>
        <w:rPr>
          <w:spacing w:val="56"/>
        </w:rPr>
        <w:t>  </w:t>
      </w:r>
      <w:r>
        <w:rPr/>
        <w:t>(M=4.45,</w:t>
      </w:r>
      <w:r>
        <w:rPr>
          <w:spacing w:val="60"/>
        </w:rPr>
        <w:t>  </w:t>
      </w:r>
      <w:r>
        <w:rPr/>
        <w:t>SD=1.752);</w:t>
      </w:r>
      <w:r>
        <w:rPr>
          <w:spacing w:val="56"/>
        </w:rPr>
        <w:t>  </w:t>
      </w:r>
      <w:r>
        <w:rPr/>
        <w:t>and</w:t>
      </w:r>
      <w:r>
        <w:rPr>
          <w:spacing w:val="59"/>
        </w:rPr>
        <w:t>  </w:t>
      </w:r>
      <w:r>
        <w:rPr/>
        <w:t>(M=33.67,</w:t>
      </w:r>
      <w:r>
        <w:rPr>
          <w:spacing w:val="59"/>
        </w:rPr>
        <w:t>  </w:t>
      </w:r>
      <w:r>
        <w:rPr>
          <w:spacing w:val="-2"/>
        </w:rPr>
        <w:t>SD=9.546)</w:t>
      </w:r>
    </w:p>
    <w:p>
      <w:pPr>
        <w:pStyle w:val="BodyText"/>
        <w:spacing w:line="480" w:lineRule="auto" w:before="1"/>
        <w:ind w:right="1170"/>
      </w:pPr>
      <w:r>
        <w:rPr/>
        <w:t>respectively. The male students had a higher mean in emotional intelligence and a least mean in reasoning ability.</w:t>
      </w:r>
    </w:p>
    <w:p>
      <w:pPr>
        <w:pStyle w:val="Heading3"/>
        <w:spacing w:before="245"/>
        <w:ind w:left="480" w:firstLine="0"/>
      </w:pPr>
      <w:r>
        <w:rPr/>
        <w:t>Research</w:t>
      </w:r>
      <w:r>
        <w:rPr>
          <w:spacing w:val="-3"/>
        </w:rPr>
        <w:t> </w:t>
      </w:r>
      <w:r>
        <w:rPr/>
        <w:t>Question</w:t>
      </w:r>
      <w:r>
        <w:rPr>
          <w:spacing w:val="-2"/>
        </w:rPr>
        <w:t> Three</w:t>
      </w:r>
    </w:p>
    <w:p>
      <w:pPr>
        <w:pStyle w:val="BodyText"/>
        <w:spacing w:line="480" w:lineRule="auto" w:before="272"/>
        <w:ind w:left="1201" w:right="1164"/>
      </w:pPr>
      <w:r>
        <w:rPr/>
        <w:t>What are the mean scores of SSII female chemistry students in emotional- intelligence, reasoning ability, self efficacy and academic achievement in </w:t>
      </w:r>
      <w:r>
        <w:rPr>
          <w:spacing w:val="-2"/>
        </w:rPr>
        <w:t>chemistry?</w:t>
      </w:r>
    </w:p>
    <w:p>
      <w:pPr>
        <w:pStyle w:val="BodyText"/>
        <w:spacing w:line="480" w:lineRule="auto" w:before="240"/>
        <w:ind w:right="1167" w:firstLine="720"/>
      </w:pPr>
      <w:r>
        <w:rPr/>
        <w:t>This research question was answered using descriptive statistics of means and standard deviations. The Pearson Correlation Coefficient was used to test the relationship. The summary of the computation is presented in Table 4.3.</w:t>
      </w:r>
    </w:p>
    <w:p>
      <w:pPr>
        <w:pStyle w:val="Heading3"/>
        <w:spacing w:before="245" w:after="21"/>
        <w:ind w:left="1921" w:right="1155" w:hanging="1441"/>
      </w:pPr>
      <w:r>
        <w:rPr/>
        <w:t>Table</w:t>
      </w:r>
      <w:r>
        <w:rPr>
          <w:spacing w:val="-2"/>
        </w:rPr>
        <w:t> </w:t>
      </w:r>
      <w:r>
        <w:rPr/>
        <w:t>4.3:</w:t>
      </w:r>
      <w:r>
        <w:rPr>
          <w:spacing w:val="40"/>
        </w:rPr>
        <w:t>  </w:t>
      </w:r>
      <w:r>
        <w:rPr/>
        <w:t>Means and Standard Deviations of Female Students’ in Chemistry Achievement Test Scores, Emotional-intelligence, Reasoning Ability, and Self- efficacy</w:t>
      </w:r>
    </w:p>
    <w:tbl>
      <w:tblPr>
        <w:tblW w:w="0" w:type="auto"/>
        <w:jc w:val="left"/>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2"/>
        <w:gridCol w:w="2546"/>
        <w:gridCol w:w="1431"/>
        <w:gridCol w:w="1938"/>
      </w:tblGrid>
      <w:tr>
        <w:trPr>
          <w:trHeight w:val="322" w:hRule="atLeast"/>
        </w:trPr>
        <w:tc>
          <w:tcPr>
            <w:tcW w:w="2292" w:type="dxa"/>
            <w:tcBorders>
              <w:top w:val="double" w:sz="8" w:space="0" w:color="000000"/>
              <w:bottom w:val="single" w:sz="18" w:space="0" w:color="000000"/>
            </w:tcBorders>
          </w:tcPr>
          <w:p>
            <w:pPr>
              <w:pStyle w:val="TableParagraph"/>
              <w:rPr>
                <w:sz w:val="24"/>
              </w:rPr>
            </w:pPr>
          </w:p>
        </w:tc>
        <w:tc>
          <w:tcPr>
            <w:tcW w:w="2546" w:type="dxa"/>
            <w:tcBorders>
              <w:top w:val="double" w:sz="8" w:space="0" w:color="000000"/>
              <w:bottom w:val="single" w:sz="18" w:space="0" w:color="000000"/>
            </w:tcBorders>
          </w:tcPr>
          <w:p>
            <w:pPr>
              <w:pStyle w:val="TableParagraph"/>
              <w:spacing w:line="258" w:lineRule="exact" w:before="44"/>
              <w:ind w:right="514"/>
              <w:jc w:val="right"/>
              <w:rPr>
                <w:b/>
                <w:sz w:val="24"/>
              </w:rPr>
            </w:pPr>
            <w:r>
              <w:rPr>
                <w:b/>
                <w:spacing w:val="-10"/>
                <w:sz w:val="24"/>
              </w:rPr>
              <w:t>N</w:t>
            </w:r>
          </w:p>
        </w:tc>
        <w:tc>
          <w:tcPr>
            <w:tcW w:w="1431" w:type="dxa"/>
            <w:tcBorders>
              <w:top w:val="double" w:sz="8" w:space="0" w:color="000000"/>
              <w:bottom w:val="single" w:sz="18" w:space="0" w:color="000000"/>
            </w:tcBorders>
          </w:tcPr>
          <w:p>
            <w:pPr>
              <w:pStyle w:val="TableParagraph"/>
              <w:spacing w:line="258" w:lineRule="exact" w:before="44"/>
              <w:ind w:right="319"/>
              <w:jc w:val="right"/>
              <w:rPr>
                <w:b/>
                <w:sz w:val="24"/>
              </w:rPr>
            </w:pPr>
            <w:r>
              <w:rPr>
                <w:b/>
                <w:spacing w:val="-4"/>
                <w:sz w:val="24"/>
              </w:rPr>
              <w:t>Mean</w:t>
            </w:r>
          </w:p>
        </w:tc>
        <w:tc>
          <w:tcPr>
            <w:tcW w:w="1938" w:type="dxa"/>
            <w:tcBorders>
              <w:top w:val="double" w:sz="8" w:space="0" w:color="000000"/>
              <w:bottom w:val="single" w:sz="18" w:space="0" w:color="000000"/>
            </w:tcBorders>
          </w:tcPr>
          <w:p>
            <w:pPr>
              <w:pStyle w:val="TableParagraph"/>
              <w:spacing w:line="258" w:lineRule="exact" w:before="44"/>
              <w:ind w:left="97" w:right="8"/>
              <w:jc w:val="center"/>
              <w:rPr>
                <w:b/>
                <w:sz w:val="24"/>
              </w:rPr>
            </w:pPr>
            <w:r>
              <w:rPr>
                <w:b/>
                <w:sz w:val="24"/>
              </w:rPr>
              <w:t>Std. </w:t>
            </w:r>
            <w:r>
              <w:rPr>
                <w:b/>
                <w:spacing w:val="-2"/>
                <w:sz w:val="24"/>
              </w:rPr>
              <w:t>Deviation</w:t>
            </w:r>
          </w:p>
        </w:tc>
      </w:tr>
      <w:tr>
        <w:trPr>
          <w:trHeight w:val="335" w:hRule="atLeast"/>
        </w:trPr>
        <w:tc>
          <w:tcPr>
            <w:tcW w:w="2292" w:type="dxa"/>
            <w:tcBorders>
              <w:top w:val="single" w:sz="18" w:space="0" w:color="000000"/>
            </w:tcBorders>
          </w:tcPr>
          <w:p>
            <w:pPr>
              <w:pStyle w:val="TableParagraph"/>
              <w:spacing w:before="32"/>
              <w:ind w:left="14"/>
              <w:rPr>
                <w:sz w:val="24"/>
              </w:rPr>
            </w:pPr>
            <w:r>
              <w:rPr>
                <w:spacing w:val="-5"/>
                <w:sz w:val="24"/>
              </w:rPr>
              <w:t>CAS</w:t>
            </w:r>
          </w:p>
        </w:tc>
        <w:tc>
          <w:tcPr>
            <w:tcW w:w="2546" w:type="dxa"/>
            <w:tcBorders>
              <w:top w:val="single" w:sz="18" w:space="0" w:color="000000"/>
            </w:tcBorders>
          </w:tcPr>
          <w:p>
            <w:pPr>
              <w:pStyle w:val="TableParagraph"/>
              <w:spacing w:before="32"/>
              <w:ind w:right="482"/>
              <w:jc w:val="right"/>
              <w:rPr>
                <w:sz w:val="24"/>
              </w:rPr>
            </w:pPr>
            <w:r>
              <w:rPr>
                <w:spacing w:val="-5"/>
                <w:sz w:val="24"/>
              </w:rPr>
              <w:t>63</w:t>
            </w:r>
          </w:p>
        </w:tc>
        <w:tc>
          <w:tcPr>
            <w:tcW w:w="1431" w:type="dxa"/>
            <w:tcBorders>
              <w:top w:val="single" w:sz="18" w:space="0" w:color="000000"/>
            </w:tcBorders>
          </w:tcPr>
          <w:p>
            <w:pPr>
              <w:pStyle w:val="TableParagraph"/>
              <w:spacing w:before="32"/>
              <w:ind w:right="342"/>
              <w:jc w:val="right"/>
              <w:rPr>
                <w:sz w:val="24"/>
              </w:rPr>
            </w:pPr>
            <w:r>
              <w:rPr>
                <w:spacing w:val="-2"/>
                <w:sz w:val="24"/>
              </w:rPr>
              <w:t>48.60</w:t>
            </w:r>
          </w:p>
        </w:tc>
        <w:tc>
          <w:tcPr>
            <w:tcW w:w="1938" w:type="dxa"/>
            <w:tcBorders>
              <w:top w:val="single" w:sz="18" w:space="0" w:color="000000"/>
            </w:tcBorders>
          </w:tcPr>
          <w:p>
            <w:pPr>
              <w:pStyle w:val="TableParagraph"/>
              <w:spacing w:before="32"/>
              <w:ind w:left="97"/>
              <w:jc w:val="center"/>
              <w:rPr>
                <w:sz w:val="24"/>
              </w:rPr>
            </w:pPr>
            <w:r>
              <w:rPr>
                <w:spacing w:val="-4"/>
                <w:sz w:val="24"/>
              </w:rPr>
              <w:t>8.637</w:t>
            </w:r>
          </w:p>
        </w:tc>
      </w:tr>
      <w:tr>
        <w:trPr>
          <w:trHeight w:val="319" w:hRule="atLeast"/>
        </w:trPr>
        <w:tc>
          <w:tcPr>
            <w:tcW w:w="2292" w:type="dxa"/>
          </w:tcPr>
          <w:p>
            <w:pPr>
              <w:pStyle w:val="TableParagraph"/>
              <w:spacing w:before="17"/>
              <w:ind w:left="14"/>
              <w:rPr>
                <w:sz w:val="24"/>
              </w:rPr>
            </w:pPr>
            <w:r>
              <w:rPr>
                <w:spacing w:val="-5"/>
                <w:sz w:val="24"/>
              </w:rPr>
              <w:t>EI</w:t>
            </w:r>
          </w:p>
        </w:tc>
        <w:tc>
          <w:tcPr>
            <w:tcW w:w="2546" w:type="dxa"/>
          </w:tcPr>
          <w:p>
            <w:pPr>
              <w:pStyle w:val="TableParagraph"/>
              <w:spacing w:before="17"/>
              <w:ind w:right="482"/>
              <w:jc w:val="right"/>
              <w:rPr>
                <w:sz w:val="24"/>
              </w:rPr>
            </w:pPr>
            <w:r>
              <w:rPr>
                <w:spacing w:val="-5"/>
                <w:sz w:val="24"/>
              </w:rPr>
              <w:t>63</w:t>
            </w:r>
          </w:p>
        </w:tc>
        <w:tc>
          <w:tcPr>
            <w:tcW w:w="1431" w:type="dxa"/>
          </w:tcPr>
          <w:p>
            <w:pPr>
              <w:pStyle w:val="TableParagraph"/>
              <w:spacing w:before="17"/>
              <w:ind w:right="284"/>
              <w:jc w:val="right"/>
              <w:rPr>
                <w:sz w:val="24"/>
              </w:rPr>
            </w:pPr>
            <w:r>
              <w:rPr>
                <w:spacing w:val="-2"/>
                <w:sz w:val="24"/>
              </w:rPr>
              <w:t>131.00</w:t>
            </w:r>
          </w:p>
        </w:tc>
        <w:tc>
          <w:tcPr>
            <w:tcW w:w="1938" w:type="dxa"/>
          </w:tcPr>
          <w:p>
            <w:pPr>
              <w:pStyle w:val="TableParagraph"/>
              <w:spacing w:before="17"/>
              <w:ind w:left="97" w:right="5"/>
              <w:jc w:val="center"/>
              <w:rPr>
                <w:sz w:val="24"/>
              </w:rPr>
            </w:pPr>
            <w:r>
              <w:rPr>
                <w:spacing w:val="-2"/>
                <w:sz w:val="24"/>
              </w:rPr>
              <w:t>30.054</w:t>
            </w:r>
          </w:p>
        </w:tc>
      </w:tr>
      <w:tr>
        <w:trPr>
          <w:trHeight w:val="319" w:hRule="atLeast"/>
        </w:trPr>
        <w:tc>
          <w:tcPr>
            <w:tcW w:w="2292" w:type="dxa"/>
          </w:tcPr>
          <w:p>
            <w:pPr>
              <w:pStyle w:val="TableParagraph"/>
              <w:spacing w:before="15"/>
              <w:ind w:left="14"/>
              <w:rPr>
                <w:sz w:val="24"/>
              </w:rPr>
            </w:pPr>
            <w:r>
              <w:rPr>
                <w:spacing w:val="-5"/>
                <w:sz w:val="24"/>
              </w:rPr>
              <w:t>RA</w:t>
            </w:r>
          </w:p>
        </w:tc>
        <w:tc>
          <w:tcPr>
            <w:tcW w:w="2546" w:type="dxa"/>
          </w:tcPr>
          <w:p>
            <w:pPr>
              <w:pStyle w:val="TableParagraph"/>
              <w:spacing w:before="15"/>
              <w:ind w:right="482"/>
              <w:jc w:val="right"/>
              <w:rPr>
                <w:sz w:val="24"/>
              </w:rPr>
            </w:pPr>
            <w:r>
              <w:rPr>
                <w:spacing w:val="-5"/>
                <w:sz w:val="24"/>
              </w:rPr>
              <w:t>63</w:t>
            </w:r>
          </w:p>
        </w:tc>
        <w:tc>
          <w:tcPr>
            <w:tcW w:w="1431" w:type="dxa"/>
          </w:tcPr>
          <w:p>
            <w:pPr>
              <w:pStyle w:val="TableParagraph"/>
              <w:spacing w:before="15"/>
              <w:ind w:left="602"/>
              <w:rPr>
                <w:sz w:val="24"/>
              </w:rPr>
            </w:pPr>
            <w:r>
              <w:rPr>
                <w:spacing w:val="-4"/>
                <w:sz w:val="24"/>
              </w:rPr>
              <w:t>4.63</w:t>
            </w:r>
          </w:p>
        </w:tc>
        <w:tc>
          <w:tcPr>
            <w:tcW w:w="1938" w:type="dxa"/>
          </w:tcPr>
          <w:p>
            <w:pPr>
              <w:pStyle w:val="TableParagraph"/>
              <w:spacing w:before="15"/>
              <w:ind w:left="97"/>
              <w:jc w:val="center"/>
              <w:rPr>
                <w:sz w:val="24"/>
              </w:rPr>
            </w:pPr>
            <w:r>
              <w:rPr>
                <w:spacing w:val="-4"/>
                <w:sz w:val="24"/>
              </w:rPr>
              <w:t>1.569</w:t>
            </w:r>
          </w:p>
        </w:tc>
      </w:tr>
      <w:tr>
        <w:trPr>
          <w:trHeight w:val="302" w:hRule="atLeast"/>
        </w:trPr>
        <w:tc>
          <w:tcPr>
            <w:tcW w:w="2292" w:type="dxa"/>
            <w:tcBorders>
              <w:bottom w:val="double" w:sz="8" w:space="0" w:color="000000"/>
            </w:tcBorders>
          </w:tcPr>
          <w:p>
            <w:pPr>
              <w:pStyle w:val="TableParagraph"/>
              <w:spacing w:line="265" w:lineRule="exact" w:before="17"/>
              <w:ind w:left="14"/>
              <w:rPr>
                <w:sz w:val="24"/>
              </w:rPr>
            </w:pPr>
            <w:r>
              <w:rPr>
                <w:spacing w:val="-5"/>
                <w:sz w:val="24"/>
              </w:rPr>
              <w:t>SE</w:t>
            </w:r>
          </w:p>
        </w:tc>
        <w:tc>
          <w:tcPr>
            <w:tcW w:w="2546" w:type="dxa"/>
            <w:tcBorders>
              <w:bottom w:val="double" w:sz="8" w:space="0" w:color="000000"/>
            </w:tcBorders>
          </w:tcPr>
          <w:p>
            <w:pPr>
              <w:pStyle w:val="TableParagraph"/>
              <w:spacing w:line="265" w:lineRule="exact" w:before="17"/>
              <w:ind w:right="482"/>
              <w:jc w:val="right"/>
              <w:rPr>
                <w:sz w:val="24"/>
              </w:rPr>
            </w:pPr>
            <w:r>
              <w:rPr>
                <w:spacing w:val="-5"/>
                <w:sz w:val="24"/>
              </w:rPr>
              <w:t>63</w:t>
            </w:r>
          </w:p>
        </w:tc>
        <w:tc>
          <w:tcPr>
            <w:tcW w:w="1431" w:type="dxa"/>
            <w:tcBorders>
              <w:bottom w:val="double" w:sz="8" w:space="0" w:color="000000"/>
            </w:tcBorders>
          </w:tcPr>
          <w:p>
            <w:pPr>
              <w:pStyle w:val="TableParagraph"/>
              <w:spacing w:line="265" w:lineRule="exact" w:before="17"/>
              <w:ind w:right="342"/>
              <w:jc w:val="right"/>
              <w:rPr>
                <w:sz w:val="24"/>
              </w:rPr>
            </w:pPr>
            <w:r>
              <w:rPr>
                <w:spacing w:val="-2"/>
                <w:sz w:val="24"/>
              </w:rPr>
              <w:t>35.24</w:t>
            </w:r>
          </w:p>
        </w:tc>
        <w:tc>
          <w:tcPr>
            <w:tcW w:w="1938" w:type="dxa"/>
            <w:tcBorders>
              <w:bottom w:val="double" w:sz="8" w:space="0" w:color="000000"/>
            </w:tcBorders>
          </w:tcPr>
          <w:p>
            <w:pPr>
              <w:pStyle w:val="TableParagraph"/>
              <w:spacing w:line="265" w:lineRule="exact" w:before="17"/>
              <w:ind w:left="97"/>
              <w:jc w:val="center"/>
              <w:rPr>
                <w:sz w:val="24"/>
              </w:rPr>
            </w:pPr>
            <w:r>
              <w:rPr>
                <w:spacing w:val="-4"/>
                <w:sz w:val="24"/>
              </w:rPr>
              <w:t>9.816</w:t>
            </w:r>
          </w:p>
        </w:tc>
      </w:tr>
    </w:tbl>
    <w:p>
      <w:pPr>
        <w:pStyle w:val="BodyText"/>
        <w:spacing w:line="480" w:lineRule="auto" w:before="213"/>
        <w:ind w:right="1151" w:firstLine="720"/>
      </w:pPr>
      <w:r>
        <w:rPr/>
        <w:t>Table 4.3 shows the mean Chemistry Achievement Test scores, emotional- intelligence, reasoning ability, and self-efficacy scores of SS II female students in chemistry. The mean scores for Chemistry Achievement Test scores, emotional intelligence, reasoning ability, and self-efficacy were (M=47.49, SD=8.301); (M=129.60,</w:t>
      </w:r>
      <w:r>
        <w:rPr>
          <w:spacing w:val="60"/>
        </w:rPr>
        <w:t>  </w:t>
      </w:r>
      <w:r>
        <w:rPr/>
        <w:t>SD=34.121);</w:t>
      </w:r>
      <w:r>
        <w:rPr>
          <w:spacing w:val="57"/>
        </w:rPr>
        <w:t>  </w:t>
      </w:r>
      <w:r>
        <w:rPr/>
        <w:t>(M=4.45,</w:t>
      </w:r>
      <w:r>
        <w:rPr>
          <w:spacing w:val="60"/>
        </w:rPr>
        <w:t>  </w:t>
      </w:r>
      <w:r>
        <w:rPr/>
        <w:t>SD=1.752);</w:t>
      </w:r>
      <w:r>
        <w:rPr>
          <w:spacing w:val="57"/>
        </w:rPr>
        <w:t>  </w:t>
      </w:r>
      <w:r>
        <w:rPr/>
        <w:t>and</w:t>
      </w:r>
      <w:r>
        <w:rPr>
          <w:spacing w:val="59"/>
        </w:rPr>
        <w:t>  </w:t>
      </w:r>
      <w:r>
        <w:rPr/>
        <w:t>(M=33.67,</w:t>
      </w:r>
      <w:r>
        <w:rPr>
          <w:spacing w:val="60"/>
        </w:rPr>
        <w:t>  </w:t>
      </w:r>
      <w:r>
        <w:rPr>
          <w:spacing w:val="-2"/>
        </w:rPr>
        <w:t>SD=9.546)</w:t>
      </w:r>
    </w:p>
    <w:p>
      <w:pPr>
        <w:spacing w:after="0" w:line="480" w:lineRule="auto"/>
        <w:sectPr>
          <w:pgSz w:w="11910" w:h="16840"/>
          <w:pgMar w:header="0" w:footer="1012" w:top="1340" w:bottom="1200" w:left="1680" w:right="280"/>
        </w:sectPr>
      </w:pPr>
    </w:p>
    <w:p>
      <w:pPr>
        <w:pStyle w:val="BodyText"/>
        <w:spacing w:line="480" w:lineRule="auto" w:before="74"/>
        <w:ind w:right="1170"/>
      </w:pPr>
      <w:r>
        <w:rPr/>
        <w:t>respectively. The female students had a higher mean in emotional intelligence and a least mean in reasoning ability.</w:t>
      </w:r>
    </w:p>
    <w:p>
      <w:pPr>
        <w:pStyle w:val="Heading3"/>
        <w:spacing w:before="5"/>
        <w:ind w:left="480" w:firstLine="0"/>
      </w:pPr>
      <w:r>
        <w:rPr/>
        <w:t>Research</w:t>
      </w:r>
      <w:r>
        <w:rPr>
          <w:spacing w:val="-6"/>
        </w:rPr>
        <w:t> </w:t>
      </w:r>
      <w:r>
        <w:rPr/>
        <w:t>Question</w:t>
      </w:r>
      <w:r>
        <w:rPr>
          <w:spacing w:val="1"/>
        </w:rPr>
        <w:t> </w:t>
      </w:r>
      <w:r>
        <w:rPr>
          <w:spacing w:val="-4"/>
        </w:rPr>
        <w:t>Four</w:t>
      </w:r>
    </w:p>
    <w:p>
      <w:pPr>
        <w:pStyle w:val="BodyText"/>
        <w:spacing w:line="480" w:lineRule="auto" w:before="271"/>
        <w:ind w:left="1201" w:right="1161"/>
      </w:pPr>
      <w:r>
        <w:rPr/>
        <w:t>What is the difference between the mean scores of SSII male and female chemistry students in emotional-intelligence, reasoning ability, self efficacy and academic achievement in chemistry?</w:t>
      </w:r>
    </w:p>
    <w:p>
      <w:pPr>
        <w:pStyle w:val="BodyText"/>
        <w:spacing w:line="480" w:lineRule="auto" w:before="1"/>
        <w:ind w:right="1170" w:firstLine="720"/>
      </w:pPr>
      <w:r>
        <w:rPr/>
        <w:t>This research question was answered using descriptive statistics of means and standard deviations. The summary of the computation is presented in Table 4.4.</w:t>
      </w:r>
    </w:p>
    <w:p>
      <w:pPr>
        <w:pStyle w:val="Heading3"/>
        <w:spacing w:before="5"/>
        <w:ind w:left="480" w:firstLine="0"/>
      </w:pPr>
      <w:r>
        <w:rPr/>
        <w:t>Table</w:t>
      </w:r>
      <w:r>
        <w:rPr>
          <w:spacing w:val="-3"/>
        </w:rPr>
        <w:t> </w:t>
      </w:r>
      <w:r>
        <w:rPr/>
        <w:t>4.4:</w:t>
      </w:r>
      <w:r>
        <w:rPr>
          <w:spacing w:val="2"/>
        </w:rPr>
        <w:t> </w:t>
      </w:r>
      <w:r>
        <w:rPr/>
        <w:t>Means</w:t>
      </w:r>
      <w:r>
        <w:rPr>
          <w:spacing w:val="-6"/>
        </w:rPr>
        <w:t> </w:t>
      </w:r>
      <w:r>
        <w:rPr/>
        <w:t>and</w:t>
      </w:r>
      <w:r>
        <w:rPr>
          <w:spacing w:val="-3"/>
        </w:rPr>
        <w:t> </w:t>
      </w:r>
      <w:r>
        <w:rPr/>
        <w:t>Standard Deviations</w:t>
      </w:r>
      <w:r>
        <w:rPr>
          <w:spacing w:val="-1"/>
        </w:rPr>
        <w:t> </w:t>
      </w:r>
      <w:r>
        <w:rPr/>
        <w:t>of</w:t>
      </w:r>
      <w:r>
        <w:rPr>
          <w:spacing w:val="-8"/>
        </w:rPr>
        <w:t> </w:t>
      </w:r>
      <w:r>
        <w:rPr/>
        <w:t>Male and</w:t>
      </w:r>
      <w:r>
        <w:rPr>
          <w:spacing w:val="1"/>
        </w:rPr>
        <w:t> </w:t>
      </w:r>
      <w:r>
        <w:rPr/>
        <w:t>Female</w:t>
      </w:r>
      <w:r>
        <w:rPr>
          <w:spacing w:val="-1"/>
        </w:rPr>
        <w:t> </w:t>
      </w:r>
      <w:r>
        <w:rPr/>
        <w:t>in</w:t>
      </w:r>
      <w:r>
        <w:rPr>
          <w:spacing w:val="2"/>
        </w:rPr>
        <w:t> </w:t>
      </w:r>
      <w:r>
        <w:rPr>
          <w:spacing w:val="-2"/>
        </w:rPr>
        <w:t>Chemistry</w:t>
      </w:r>
    </w:p>
    <w:p>
      <w:pPr>
        <w:pStyle w:val="BodyText"/>
        <w:spacing w:before="50"/>
        <w:ind w:left="0"/>
        <w:jc w:val="left"/>
        <w:rPr>
          <w:b/>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5"/>
        <w:gridCol w:w="1950"/>
        <w:gridCol w:w="1532"/>
        <w:gridCol w:w="1256"/>
        <w:gridCol w:w="1388"/>
      </w:tblGrid>
      <w:tr>
        <w:trPr>
          <w:trHeight w:val="633" w:hRule="atLeast"/>
        </w:trPr>
        <w:tc>
          <w:tcPr>
            <w:tcW w:w="1865" w:type="dxa"/>
            <w:tcBorders>
              <w:top w:val="single" w:sz="4" w:space="0" w:color="000000"/>
              <w:bottom w:val="single" w:sz="4" w:space="0" w:color="000000"/>
            </w:tcBorders>
          </w:tcPr>
          <w:p>
            <w:pPr>
              <w:pStyle w:val="TableParagraph"/>
              <w:rPr>
                <w:sz w:val="24"/>
              </w:rPr>
            </w:pPr>
          </w:p>
        </w:tc>
        <w:tc>
          <w:tcPr>
            <w:tcW w:w="1950" w:type="dxa"/>
            <w:tcBorders>
              <w:top w:val="single" w:sz="4" w:space="0" w:color="000000"/>
              <w:bottom w:val="single" w:sz="4" w:space="0" w:color="000000"/>
            </w:tcBorders>
          </w:tcPr>
          <w:p>
            <w:pPr>
              <w:pStyle w:val="TableParagraph"/>
              <w:spacing w:before="37"/>
              <w:rPr>
                <w:b/>
                <w:sz w:val="24"/>
              </w:rPr>
            </w:pPr>
          </w:p>
          <w:p>
            <w:pPr>
              <w:pStyle w:val="TableParagraph"/>
              <w:ind w:right="422"/>
              <w:jc w:val="right"/>
              <w:rPr>
                <w:b/>
                <w:sz w:val="24"/>
              </w:rPr>
            </w:pPr>
            <w:r>
              <w:rPr>
                <w:b/>
                <w:spacing w:val="-10"/>
                <w:sz w:val="24"/>
              </w:rPr>
              <w:t>N</w:t>
            </w:r>
          </w:p>
        </w:tc>
        <w:tc>
          <w:tcPr>
            <w:tcW w:w="1532" w:type="dxa"/>
            <w:tcBorders>
              <w:top w:val="single" w:sz="4" w:space="0" w:color="000000"/>
              <w:bottom w:val="single" w:sz="4" w:space="0" w:color="000000"/>
            </w:tcBorders>
          </w:tcPr>
          <w:p>
            <w:pPr>
              <w:pStyle w:val="TableParagraph"/>
              <w:spacing w:before="37"/>
              <w:rPr>
                <w:b/>
                <w:sz w:val="24"/>
              </w:rPr>
            </w:pPr>
          </w:p>
          <w:p>
            <w:pPr>
              <w:pStyle w:val="TableParagraph"/>
              <w:ind w:left="300"/>
              <w:rPr>
                <w:b/>
                <w:sz w:val="24"/>
              </w:rPr>
            </w:pPr>
            <w:r>
              <w:rPr>
                <w:b/>
                <w:spacing w:val="-5"/>
                <w:sz w:val="24"/>
              </w:rPr>
              <w:t>Sex</w:t>
            </w:r>
          </w:p>
        </w:tc>
        <w:tc>
          <w:tcPr>
            <w:tcW w:w="1256" w:type="dxa"/>
            <w:tcBorders>
              <w:top w:val="single" w:sz="4" w:space="0" w:color="000000"/>
              <w:bottom w:val="single" w:sz="4" w:space="0" w:color="000000"/>
            </w:tcBorders>
          </w:tcPr>
          <w:p>
            <w:pPr>
              <w:pStyle w:val="TableParagraph"/>
              <w:spacing w:before="37"/>
              <w:rPr>
                <w:b/>
                <w:sz w:val="24"/>
              </w:rPr>
            </w:pPr>
          </w:p>
          <w:p>
            <w:pPr>
              <w:pStyle w:val="TableParagraph"/>
              <w:ind w:left="439"/>
              <w:rPr>
                <w:b/>
                <w:sz w:val="24"/>
              </w:rPr>
            </w:pPr>
            <w:r>
              <w:rPr>
                <w:b/>
                <w:spacing w:val="-4"/>
                <w:sz w:val="24"/>
              </w:rPr>
              <w:t>Mean</w:t>
            </w:r>
          </w:p>
        </w:tc>
        <w:tc>
          <w:tcPr>
            <w:tcW w:w="1388" w:type="dxa"/>
            <w:tcBorders>
              <w:top w:val="single" w:sz="4" w:space="0" w:color="000000"/>
              <w:bottom w:val="single" w:sz="4" w:space="0" w:color="000000"/>
            </w:tcBorders>
          </w:tcPr>
          <w:p>
            <w:pPr>
              <w:pStyle w:val="TableParagraph"/>
              <w:spacing w:line="273" w:lineRule="exact"/>
              <w:ind w:right="26"/>
              <w:jc w:val="center"/>
              <w:rPr>
                <w:b/>
                <w:sz w:val="24"/>
              </w:rPr>
            </w:pPr>
            <w:r>
              <w:rPr>
                <w:b/>
                <w:spacing w:val="-4"/>
                <w:sz w:val="24"/>
              </w:rPr>
              <w:t>Std.</w:t>
            </w:r>
          </w:p>
          <w:p>
            <w:pPr>
              <w:pStyle w:val="TableParagraph"/>
              <w:spacing w:before="41"/>
              <w:ind w:left="2" w:right="26"/>
              <w:jc w:val="center"/>
              <w:rPr>
                <w:b/>
                <w:sz w:val="24"/>
              </w:rPr>
            </w:pPr>
            <w:r>
              <w:rPr>
                <w:b/>
                <w:spacing w:val="-2"/>
                <w:sz w:val="24"/>
              </w:rPr>
              <w:t>Deviation</w:t>
            </w:r>
          </w:p>
        </w:tc>
      </w:tr>
      <w:tr>
        <w:trPr>
          <w:trHeight w:val="293" w:hRule="atLeast"/>
        </w:trPr>
        <w:tc>
          <w:tcPr>
            <w:tcW w:w="1865" w:type="dxa"/>
            <w:tcBorders>
              <w:top w:val="single" w:sz="4" w:space="0" w:color="000000"/>
            </w:tcBorders>
          </w:tcPr>
          <w:p>
            <w:pPr>
              <w:pStyle w:val="TableParagraph"/>
              <w:spacing w:line="268" w:lineRule="exact"/>
              <w:ind w:left="62"/>
              <w:rPr>
                <w:sz w:val="24"/>
              </w:rPr>
            </w:pPr>
            <w:r>
              <w:rPr>
                <w:spacing w:val="-5"/>
                <w:sz w:val="24"/>
              </w:rPr>
              <w:t>CAS</w:t>
            </w:r>
          </w:p>
        </w:tc>
        <w:tc>
          <w:tcPr>
            <w:tcW w:w="1950" w:type="dxa"/>
            <w:tcBorders>
              <w:top w:val="single" w:sz="4" w:space="0" w:color="000000"/>
            </w:tcBorders>
          </w:tcPr>
          <w:p>
            <w:pPr>
              <w:pStyle w:val="TableParagraph"/>
              <w:spacing w:line="268" w:lineRule="exact"/>
              <w:ind w:right="360"/>
              <w:jc w:val="right"/>
              <w:rPr>
                <w:sz w:val="24"/>
              </w:rPr>
            </w:pPr>
            <w:r>
              <w:rPr>
                <w:spacing w:val="-5"/>
                <w:sz w:val="24"/>
              </w:rPr>
              <w:t>89</w:t>
            </w:r>
          </w:p>
        </w:tc>
        <w:tc>
          <w:tcPr>
            <w:tcW w:w="1532" w:type="dxa"/>
            <w:tcBorders>
              <w:top w:val="single" w:sz="4" w:space="0" w:color="000000"/>
            </w:tcBorders>
          </w:tcPr>
          <w:p>
            <w:pPr>
              <w:pStyle w:val="TableParagraph"/>
              <w:spacing w:line="268" w:lineRule="exact"/>
              <w:ind w:left="300"/>
              <w:rPr>
                <w:sz w:val="24"/>
              </w:rPr>
            </w:pPr>
            <w:r>
              <w:rPr>
                <w:sz w:val="24"/>
              </w:rPr>
              <w:t>1</w:t>
            </w:r>
            <w:r>
              <w:rPr>
                <w:spacing w:val="2"/>
                <w:sz w:val="24"/>
              </w:rPr>
              <w:t> </w:t>
            </w:r>
            <w:r>
              <w:rPr>
                <w:spacing w:val="-4"/>
                <w:sz w:val="24"/>
              </w:rPr>
              <w:t>male</w:t>
            </w:r>
          </w:p>
        </w:tc>
        <w:tc>
          <w:tcPr>
            <w:tcW w:w="1256" w:type="dxa"/>
            <w:tcBorders>
              <w:top w:val="single" w:sz="4" w:space="0" w:color="000000"/>
            </w:tcBorders>
          </w:tcPr>
          <w:p>
            <w:pPr>
              <w:pStyle w:val="TableParagraph"/>
              <w:spacing w:line="268" w:lineRule="exact"/>
              <w:ind w:left="463"/>
              <w:rPr>
                <w:sz w:val="24"/>
              </w:rPr>
            </w:pPr>
            <w:r>
              <w:rPr>
                <w:spacing w:val="-2"/>
                <w:sz w:val="24"/>
              </w:rPr>
              <w:t>47.49</w:t>
            </w:r>
          </w:p>
        </w:tc>
        <w:tc>
          <w:tcPr>
            <w:tcW w:w="1388" w:type="dxa"/>
            <w:tcBorders>
              <w:top w:val="single" w:sz="4" w:space="0" w:color="000000"/>
            </w:tcBorders>
          </w:tcPr>
          <w:p>
            <w:pPr>
              <w:pStyle w:val="TableParagraph"/>
              <w:spacing w:line="268" w:lineRule="exact"/>
              <w:ind w:left="8" w:right="26"/>
              <w:jc w:val="center"/>
              <w:rPr>
                <w:sz w:val="24"/>
              </w:rPr>
            </w:pPr>
            <w:r>
              <w:rPr>
                <w:spacing w:val="-4"/>
                <w:sz w:val="24"/>
              </w:rPr>
              <w:t>8.301</w:t>
            </w:r>
          </w:p>
        </w:tc>
      </w:tr>
      <w:tr>
        <w:trPr>
          <w:trHeight w:val="319" w:hRule="atLeast"/>
        </w:trPr>
        <w:tc>
          <w:tcPr>
            <w:tcW w:w="1865" w:type="dxa"/>
          </w:tcPr>
          <w:p>
            <w:pPr>
              <w:pStyle w:val="TableParagraph"/>
              <w:rPr>
                <w:sz w:val="24"/>
              </w:rPr>
            </w:pPr>
          </w:p>
        </w:tc>
        <w:tc>
          <w:tcPr>
            <w:tcW w:w="1950" w:type="dxa"/>
          </w:tcPr>
          <w:p>
            <w:pPr>
              <w:pStyle w:val="TableParagraph"/>
              <w:spacing w:before="15"/>
              <w:ind w:right="360"/>
              <w:jc w:val="right"/>
              <w:rPr>
                <w:sz w:val="24"/>
              </w:rPr>
            </w:pPr>
            <w:r>
              <w:rPr>
                <w:spacing w:val="-5"/>
                <w:sz w:val="24"/>
              </w:rPr>
              <w:t>63</w:t>
            </w:r>
          </w:p>
        </w:tc>
        <w:tc>
          <w:tcPr>
            <w:tcW w:w="1532" w:type="dxa"/>
          </w:tcPr>
          <w:p>
            <w:pPr>
              <w:pStyle w:val="TableParagraph"/>
              <w:spacing w:before="15"/>
              <w:ind w:left="300"/>
              <w:rPr>
                <w:sz w:val="24"/>
              </w:rPr>
            </w:pPr>
            <w:r>
              <w:rPr>
                <w:sz w:val="24"/>
              </w:rPr>
              <w:t>2</w:t>
            </w:r>
            <w:r>
              <w:rPr>
                <w:spacing w:val="2"/>
                <w:sz w:val="24"/>
              </w:rPr>
              <w:t> </w:t>
            </w:r>
            <w:r>
              <w:rPr>
                <w:spacing w:val="-2"/>
                <w:sz w:val="24"/>
              </w:rPr>
              <w:t>female</w:t>
            </w:r>
          </w:p>
        </w:tc>
        <w:tc>
          <w:tcPr>
            <w:tcW w:w="1256" w:type="dxa"/>
          </w:tcPr>
          <w:p>
            <w:pPr>
              <w:pStyle w:val="TableParagraph"/>
              <w:spacing w:before="15"/>
              <w:ind w:left="463"/>
              <w:rPr>
                <w:sz w:val="24"/>
              </w:rPr>
            </w:pPr>
            <w:r>
              <w:rPr>
                <w:spacing w:val="-2"/>
                <w:sz w:val="24"/>
              </w:rPr>
              <w:t>48.60</w:t>
            </w:r>
          </w:p>
        </w:tc>
        <w:tc>
          <w:tcPr>
            <w:tcW w:w="1388" w:type="dxa"/>
          </w:tcPr>
          <w:p>
            <w:pPr>
              <w:pStyle w:val="TableParagraph"/>
              <w:spacing w:before="15"/>
              <w:ind w:left="8" w:right="26"/>
              <w:jc w:val="center"/>
              <w:rPr>
                <w:sz w:val="24"/>
              </w:rPr>
            </w:pPr>
            <w:r>
              <w:rPr>
                <w:spacing w:val="-4"/>
                <w:sz w:val="24"/>
              </w:rPr>
              <w:t>8.637</w:t>
            </w:r>
          </w:p>
        </w:tc>
      </w:tr>
      <w:tr>
        <w:trPr>
          <w:trHeight w:val="319" w:hRule="atLeast"/>
        </w:trPr>
        <w:tc>
          <w:tcPr>
            <w:tcW w:w="1865" w:type="dxa"/>
          </w:tcPr>
          <w:p>
            <w:pPr>
              <w:pStyle w:val="TableParagraph"/>
              <w:rPr>
                <w:sz w:val="24"/>
              </w:rPr>
            </w:pPr>
          </w:p>
        </w:tc>
        <w:tc>
          <w:tcPr>
            <w:tcW w:w="1950" w:type="dxa"/>
          </w:tcPr>
          <w:p>
            <w:pPr>
              <w:pStyle w:val="TableParagraph"/>
              <w:spacing w:before="17"/>
              <w:ind w:right="298"/>
              <w:jc w:val="right"/>
              <w:rPr>
                <w:sz w:val="24"/>
              </w:rPr>
            </w:pPr>
            <w:r>
              <w:rPr>
                <w:spacing w:val="-5"/>
                <w:sz w:val="24"/>
              </w:rPr>
              <w:t>152</w:t>
            </w:r>
          </w:p>
        </w:tc>
        <w:tc>
          <w:tcPr>
            <w:tcW w:w="1532" w:type="dxa"/>
          </w:tcPr>
          <w:p>
            <w:pPr>
              <w:pStyle w:val="TableParagraph"/>
              <w:spacing w:before="17"/>
              <w:ind w:left="300"/>
              <w:rPr>
                <w:sz w:val="24"/>
              </w:rPr>
            </w:pPr>
            <w:r>
              <w:rPr>
                <w:spacing w:val="-2"/>
                <w:sz w:val="24"/>
              </w:rPr>
              <w:t>Total</w:t>
            </w:r>
          </w:p>
        </w:tc>
        <w:tc>
          <w:tcPr>
            <w:tcW w:w="1256" w:type="dxa"/>
          </w:tcPr>
          <w:p>
            <w:pPr>
              <w:pStyle w:val="TableParagraph"/>
              <w:spacing w:before="17"/>
              <w:ind w:left="463"/>
              <w:rPr>
                <w:sz w:val="24"/>
              </w:rPr>
            </w:pPr>
            <w:r>
              <w:rPr>
                <w:spacing w:val="-2"/>
                <w:sz w:val="24"/>
              </w:rPr>
              <w:t>47.95</w:t>
            </w:r>
          </w:p>
        </w:tc>
        <w:tc>
          <w:tcPr>
            <w:tcW w:w="1388" w:type="dxa"/>
          </w:tcPr>
          <w:p>
            <w:pPr>
              <w:pStyle w:val="TableParagraph"/>
              <w:spacing w:before="17"/>
              <w:ind w:left="8" w:right="26"/>
              <w:jc w:val="center"/>
              <w:rPr>
                <w:sz w:val="24"/>
              </w:rPr>
            </w:pPr>
            <w:r>
              <w:rPr>
                <w:spacing w:val="-4"/>
                <w:sz w:val="24"/>
              </w:rPr>
              <w:t>8.432</w:t>
            </w:r>
          </w:p>
        </w:tc>
      </w:tr>
      <w:tr>
        <w:trPr>
          <w:trHeight w:val="316" w:hRule="atLeast"/>
        </w:trPr>
        <w:tc>
          <w:tcPr>
            <w:tcW w:w="1865" w:type="dxa"/>
          </w:tcPr>
          <w:p>
            <w:pPr>
              <w:pStyle w:val="TableParagraph"/>
              <w:spacing w:before="15"/>
              <w:ind w:left="62"/>
              <w:rPr>
                <w:sz w:val="24"/>
              </w:rPr>
            </w:pPr>
            <w:r>
              <w:rPr>
                <w:spacing w:val="-5"/>
                <w:sz w:val="24"/>
              </w:rPr>
              <w:t>EI</w:t>
            </w:r>
          </w:p>
        </w:tc>
        <w:tc>
          <w:tcPr>
            <w:tcW w:w="1950" w:type="dxa"/>
          </w:tcPr>
          <w:p>
            <w:pPr>
              <w:pStyle w:val="TableParagraph"/>
              <w:spacing w:before="15"/>
              <w:ind w:right="360"/>
              <w:jc w:val="right"/>
              <w:rPr>
                <w:sz w:val="24"/>
              </w:rPr>
            </w:pPr>
            <w:r>
              <w:rPr>
                <w:spacing w:val="-5"/>
                <w:sz w:val="24"/>
              </w:rPr>
              <w:t>89</w:t>
            </w:r>
          </w:p>
        </w:tc>
        <w:tc>
          <w:tcPr>
            <w:tcW w:w="1532" w:type="dxa"/>
          </w:tcPr>
          <w:p>
            <w:pPr>
              <w:pStyle w:val="TableParagraph"/>
              <w:spacing w:before="15"/>
              <w:ind w:left="300"/>
              <w:rPr>
                <w:sz w:val="24"/>
              </w:rPr>
            </w:pPr>
            <w:r>
              <w:rPr>
                <w:sz w:val="24"/>
              </w:rPr>
              <w:t>1</w:t>
            </w:r>
            <w:r>
              <w:rPr>
                <w:spacing w:val="2"/>
                <w:sz w:val="24"/>
              </w:rPr>
              <w:t> </w:t>
            </w:r>
            <w:r>
              <w:rPr>
                <w:spacing w:val="-4"/>
                <w:sz w:val="24"/>
              </w:rPr>
              <w:t>male</w:t>
            </w:r>
          </w:p>
        </w:tc>
        <w:tc>
          <w:tcPr>
            <w:tcW w:w="1256" w:type="dxa"/>
          </w:tcPr>
          <w:p>
            <w:pPr>
              <w:pStyle w:val="TableParagraph"/>
              <w:spacing w:before="15"/>
              <w:ind w:left="405"/>
              <w:rPr>
                <w:sz w:val="24"/>
              </w:rPr>
            </w:pPr>
            <w:r>
              <w:rPr>
                <w:spacing w:val="-2"/>
                <w:sz w:val="24"/>
              </w:rPr>
              <w:t>129.60</w:t>
            </w:r>
          </w:p>
        </w:tc>
        <w:tc>
          <w:tcPr>
            <w:tcW w:w="1388" w:type="dxa"/>
          </w:tcPr>
          <w:p>
            <w:pPr>
              <w:pStyle w:val="TableParagraph"/>
              <w:spacing w:before="15"/>
              <w:ind w:left="3" w:right="26"/>
              <w:jc w:val="center"/>
              <w:rPr>
                <w:sz w:val="24"/>
              </w:rPr>
            </w:pPr>
            <w:r>
              <w:rPr>
                <w:spacing w:val="-2"/>
                <w:sz w:val="24"/>
              </w:rPr>
              <w:t>34.121</w:t>
            </w:r>
          </w:p>
        </w:tc>
      </w:tr>
      <w:tr>
        <w:trPr>
          <w:trHeight w:val="316" w:hRule="atLeast"/>
        </w:trPr>
        <w:tc>
          <w:tcPr>
            <w:tcW w:w="1865" w:type="dxa"/>
          </w:tcPr>
          <w:p>
            <w:pPr>
              <w:pStyle w:val="TableParagraph"/>
              <w:rPr>
                <w:sz w:val="24"/>
              </w:rPr>
            </w:pPr>
          </w:p>
        </w:tc>
        <w:tc>
          <w:tcPr>
            <w:tcW w:w="1950" w:type="dxa"/>
          </w:tcPr>
          <w:p>
            <w:pPr>
              <w:pStyle w:val="TableParagraph"/>
              <w:spacing w:before="15"/>
              <w:ind w:right="360"/>
              <w:jc w:val="right"/>
              <w:rPr>
                <w:sz w:val="24"/>
              </w:rPr>
            </w:pPr>
            <w:r>
              <w:rPr>
                <w:spacing w:val="-5"/>
                <w:sz w:val="24"/>
              </w:rPr>
              <w:t>63</w:t>
            </w:r>
          </w:p>
        </w:tc>
        <w:tc>
          <w:tcPr>
            <w:tcW w:w="1532" w:type="dxa"/>
          </w:tcPr>
          <w:p>
            <w:pPr>
              <w:pStyle w:val="TableParagraph"/>
              <w:spacing w:before="15"/>
              <w:ind w:left="300"/>
              <w:rPr>
                <w:sz w:val="24"/>
              </w:rPr>
            </w:pPr>
            <w:r>
              <w:rPr>
                <w:sz w:val="24"/>
              </w:rPr>
              <w:t>2</w:t>
            </w:r>
            <w:r>
              <w:rPr>
                <w:spacing w:val="2"/>
                <w:sz w:val="24"/>
              </w:rPr>
              <w:t> </w:t>
            </w:r>
            <w:r>
              <w:rPr>
                <w:spacing w:val="-2"/>
                <w:sz w:val="24"/>
              </w:rPr>
              <w:t>female</w:t>
            </w:r>
          </w:p>
        </w:tc>
        <w:tc>
          <w:tcPr>
            <w:tcW w:w="1256" w:type="dxa"/>
          </w:tcPr>
          <w:p>
            <w:pPr>
              <w:pStyle w:val="TableParagraph"/>
              <w:spacing w:before="15"/>
              <w:ind w:left="405"/>
              <w:rPr>
                <w:sz w:val="24"/>
              </w:rPr>
            </w:pPr>
            <w:r>
              <w:rPr>
                <w:spacing w:val="-2"/>
                <w:sz w:val="24"/>
              </w:rPr>
              <w:t>131.00</w:t>
            </w:r>
          </w:p>
        </w:tc>
        <w:tc>
          <w:tcPr>
            <w:tcW w:w="1388" w:type="dxa"/>
          </w:tcPr>
          <w:p>
            <w:pPr>
              <w:pStyle w:val="TableParagraph"/>
              <w:spacing w:before="15"/>
              <w:ind w:left="3" w:right="26"/>
              <w:jc w:val="center"/>
              <w:rPr>
                <w:sz w:val="24"/>
              </w:rPr>
            </w:pPr>
            <w:r>
              <w:rPr>
                <w:spacing w:val="-2"/>
                <w:sz w:val="24"/>
              </w:rPr>
              <w:t>30.054</w:t>
            </w:r>
          </w:p>
        </w:tc>
      </w:tr>
      <w:tr>
        <w:trPr>
          <w:trHeight w:val="316" w:hRule="atLeast"/>
        </w:trPr>
        <w:tc>
          <w:tcPr>
            <w:tcW w:w="1865" w:type="dxa"/>
          </w:tcPr>
          <w:p>
            <w:pPr>
              <w:pStyle w:val="TableParagraph"/>
              <w:rPr>
                <w:sz w:val="24"/>
              </w:rPr>
            </w:pPr>
          </w:p>
        </w:tc>
        <w:tc>
          <w:tcPr>
            <w:tcW w:w="1950" w:type="dxa"/>
          </w:tcPr>
          <w:p>
            <w:pPr>
              <w:pStyle w:val="TableParagraph"/>
              <w:spacing w:before="15"/>
              <w:ind w:right="298"/>
              <w:jc w:val="right"/>
              <w:rPr>
                <w:sz w:val="24"/>
              </w:rPr>
            </w:pPr>
            <w:r>
              <w:rPr>
                <w:spacing w:val="-5"/>
                <w:sz w:val="24"/>
              </w:rPr>
              <w:t>152</w:t>
            </w:r>
          </w:p>
        </w:tc>
        <w:tc>
          <w:tcPr>
            <w:tcW w:w="1532" w:type="dxa"/>
          </w:tcPr>
          <w:p>
            <w:pPr>
              <w:pStyle w:val="TableParagraph"/>
              <w:spacing w:before="15"/>
              <w:ind w:left="300"/>
              <w:rPr>
                <w:sz w:val="24"/>
              </w:rPr>
            </w:pPr>
            <w:r>
              <w:rPr>
                <w:spacing w:val="-2"/>
                <w:sz w:val="24"/>
              </w:rPr>
              <w:t>Total</w:t>
            </w:r>
          </w:p>
        </w:tc>
        <w:tc>
          <w:tcPr>
            <w:tcW w:w="1256" w:type="dxa"/>
          </w:tcPr>
          <w:p>
            <w:pPr>
              <w:pStyle w:val="TableParagraph"/>
              <w:spacing w:before="15"/>
              <w:ind w:left="405"/>
              <w:rPr>
                <w:sz w:val="24"/>
              </w:rPr>
            </w:pPr>
            <w:r>
              <w:rPr>
                <w:spacing w:val="-2"/>
                <w:sz w:val="24"/>
              </w:rPr>
              <w:t>130.18</w:t>
            </w:r>
          </w:p>
        </w:tc>
        <w:tc>
          <w:tcPr>
            <w:tcW w:w="1388" w:type="dxa"/>
          </w:tcPr>
          <w:p>
            <w:pPr>
              <w:pStyle w:val="TableParagraph"/>
              <w:spacing w:before="15"/>
              <w:ind w:left="3" w:right="26"/>
              <w:jc w:val="center"/>
              <w:rPr>
                <w:sz w:val="24"/>
              </w:rPr>
            </w:pPr>
            <w:r>
              <w:rPr>
                <w:spacing w:val="-2"/>
                <w:sz w:val="24"/>
              </w:rPr>
              <w:t>32.401</w:t>
            </w:r>
          </w:p>
        </w:tc>
      </w:tr>
      <w:tr>
        <w:trPr>
          <w:trHeight w:val="317" w:hRule="atLeast"/>
        </w:trPr>
        <w:tc>
          <w:tcPr>
            <w:tcW w:w="1865" w:type="dxa"/>
          </w:tcPr>
          <w:p>
            <w:pPr>
              <w:pStyle w:val="TableParagraph"/>
              <w:spacing w:before="15"/>
              <w:ind w:left="62"/>
              <w:rPr>
                <w:sz w:val="24"/>
              </w:rPr>
            </w:pPr>
            <w:r>
              <w:rPr>
                <w:spacing w:val="-5"/>
                <w:sz w:val="24"/>
              </w:rPr>
              <w:t>RA</w:t>
            </w:r>
          </w:p>
        </w:tc>
        <w:tc>
          <w:tcPr>
            <w:tcW w:w="1950" w:type="dxa"/>
          </w:tcPr>
          <w:p>
            <w:pPr>
              <w:pStyle w:val="TableParagraph"/>
              <w:spacing w:before="15"/>
              <w:ind w:right="360"/>
              <w:jc w:val="right"/>
              <w:rPr>
                <w:sz w:val="24"/>
              </w:rPr>
            </w:pPr>
            <w:r>
              <w:rPr>
                <w:spacing w:val="-5"/>
                <w:sz w:val="24"/>
              </w:rPr>
              <w:t>89</w:t>
            </w:r>
          </w:p>
        </w:tc>
        <w:tc>
          <w:tcPr>
            <w:tcW w:w="1532" w:type="dxa"/>
          </w:tcPr>
          <w:p>
            <w:pPr>
              <w:pStyle w:val="TableParagraph"/>
              <w:spacing w:before="15"/>
              <w:ind w:left="300"/>
              <w:rPr>
                <w:sz w:val="24"/>
              </w:rPr>
            </w:pPr>
            <w:r>
              <w:rPr>
                <w:sz w:val="24"/>
              </w:rPr>
              <w:t>1</w:t>
            </w:r>
            <w:r>
              <w:rPr>
                <w:spacing w:val="2"/>
                <w:sz w:val="24"/>
              </w:rPr>
              <w:t> </w:t>
            </w:r>
            <w:r>
              <w:rPr>
                <w:spacing w:val="-4"/>
                <w:sz w:val="24"/>
              </w:rPr>
              <w:t>male</w:t>
            </w:r>
          </w:p>
        </w:tc>
        <w:tc>
          <w:tcPr>
            <w:tcW w:w="1256" w:type="dxa"/>
          </w:tcPr>
          <w:p>
            <w:pPr>
              <w:pStyle w:val="TableParagraph"/>
              <w:spacing w:before="15"/>
              <w:ind w:left="525"/>
              <w:rPr>
                <w:sz w:val="24"/>
              </w:rPr>
            </w:pPr>
            <w:r>
              <w:rPr>
                <w:spacing w:val="-4"/>
                <w:sz w:val="24"/>
              </w:rPr>
              <w:t>4.45</w:t>
            </w:r>
          </w:p>
        </w:tc>
        <w:tc>
          <w:tcPr>
            <w:tcW w:w="1388" w:type="dxa"/>
          </w:tcPr>
          <w:p>
            <w:pPr>
              <w:pStyle w:val="TableParagraph"/>
              <w:spacing w:before="15"/>
              <w:ind w:left="8" w:right="26"/>
              <w:jc w:val="center"/>
              <w:rPr>
                <w:sz w:val="24"/>
              </w:rPr>
            </w:pPr>
            <w:r>
              <w:rPr>
                <w:spacing w:val="-4"/>
                <w:sz w:val="24"/>
              </w:rPr>
              <w:t>1.752</w:t>
            </w:r>
          </w:p>
        </w:tc>
      </w:tr>
      <w:tr>
        <w:trPr>
          <w:trHeight w:val="316" w:hRule="atLeast"/>
        </w:trPr>
        <w:tc>
          <w:tcPr>
            <w:tcW w:w="1865" w:type="dxa"/>
          </w:tcPr>
          <w:p>
            <w:pPr>
              <w:pStyle w:val="TableParagraph"/>
              <w:rPr>
                <w:sz w:val="24"/>
              </w:rPr>
            </w:pPr>
          </w:p>
        </w:tc>
        <w:tc>
          <w:tcPr>
            <w:tcW w:w="1950" w:type="dxa"/>
          </w:tcPr>
          <w:p>
            <w:pPr>
              <w:pStyle w:val="TableParagraph"/>
              <w:spacing w:before="15"/>
              <w:ind w:right="360"/>
              <w:jc w:val="right"/>
              <w:rPr>
                <w:sz w:val="24"/>
              </w:rPr>
            </w:pPr>
            <w:r>
              <w:rPr>
                <w:spacing w:val="-5"/>
                <w:sz w:val="24"/>
              </w:rPr>
              <w:t>63</w:t>
            </w:r>
          </w:p>
        </w:tc>
        <w:tc>
          <w:tcPr>
            <w:tcW w:w="1532" w:type="dxa"/>
          </w:tcPr>
          <w:p>
            <w:pPr>
              <w:pStyle w:val="TableParagraph"/>
              <w:spacing w:before="15"/>
              <w:ind w:left="300"/>
              <w:rPr>
                <w:sz w:val="24"/>
              </w:rPr>
            </w:pPr>
            <w:r>
              <w:rPr>
                <w:sz w:val="24"/>
              </w:rPr>
              <w:t>2</w:t>
            </w:r>
            <w:r>
              <w:rPr>
                <w:spacing w:val="2"/>
                <w:sz w:val="24"/>
              </w:rPr>
              <w:t> </w:t>
            </w:r>
            <w:r>
              <w:rPr>
                <w:spacing w:val="-2"/>
                <w:sz w:val="24"/>
              </w:rPr>
              <w:t>female</w:t>
            </w:r>
          </w:p>
        </w:tc>
        <w:tc>
          <w:tcPr>
            <w:tcW w:w="1256" w:type="dxa"/>
          </w:tcPr>
          <w:p>
            <w:pPr>
              <w:pStyle w:val="TableParagraph"/>
              <w:spacing w:before="15"/>
              <w:ind w:left="525"/>
              <w:rPr>
                <w:sz w:val="24"/>
              </w:rPr>
            </w:pPr>
            <w:r>
              <w:rPr>
                <w:spacing w:val="-4"/>
                <w:sz w:val="24"/>
              </w:rPr>
              <w:t>4.63</w:t>
            </w:r>
          </w:p>
        </w:tc>
        <w:tc>
          <w:tcPr>
            <w:tcW w:w="1388" w:type="dxa"/>
          </w:tcPr>
          <w:p>
            <w:pPr>
              <w:pStyle w:val="TableParagraph"/>
              <w:spacing w:before="15"/>
              <w:ind w:left="8" w:right="26"/>
              <w:jc w:val="center"/>
              <w:rPr>
                <w:sz w:val="24"/>
              </w:rPr>
            </w:pPr>
            <w:r>
              <w:rPr>
                <w:spacing w:val="-4"/>
                <w:sz w:val="24"/>
              </w:rPr>
              <w:t>1.569</w:t>
            </w:r>
          </w:p>
        </w:tc>
      </w:tr>
      <w:tr>
        <w:trPr>
          <w:trHeight w:val="316" w:hRule="atLeast"/>
        </w:trPr>
        <w:tc>
          <w:tcPr>
            <w:tcW w:w="1865" w:type="dxa"/>
          </w:tcPr>
          <w:p>
            <w:pPr>
              <w:pStyle w:val="TableParagraph"/>
              <w:rPr>
                <w:sz w:val="24"/>
              </w:rPr>
            </w:pPr>
          </w:p>
        </w:tc>
        <w:tc>
          <w:tcPr>
            <w:tcW w:w="1950" w:type="dxa"/>
          </w:tcPr>
          <w:p>
            <w:pPr>
              <w:pStyle w:val="TableParagraph"/>
              <w:spacing w:before="15"/>
              <w:ind w:right="298"/>
              <w:jc w:val="right"/>
              <w:rPr>
                <w:sz w:val="24"/>
              </w:rPr>
            </w:pPr>
            <w:r>
              <w:rPr>
                <w:spacing w:val="-5"/>
                <w:sz w:val="24"/>
              </w:rPr>
              <w:t>152</w:t>
            </w:r>
          </w:p>
        </w:tc>
        <w:tc>
          <w:tcPr>
            <w:tcW w:w="1532" w:type="dxa"/>
          </w:tcPr>
          <w:p>
            <w:pPr>
              <w:pStyle w:val="TableParagraph"/>
              <w:spacing w:before="15"/>
              <w:ind w:left="300"/>
              <w:rPr>
                <w:sz w:val="24"/>
              </w:rPr>
            </w:pPr>
            <w:r>
              <w:rPr>
                <w:spacing w:val="-2"/>
                <w:sz w:val="24"/>
              </w:rPr>
              <w:t>Total</w:t>
            </w:r>
          </w:p>
        </w:tc>
        <w:tc>
          <w:tcPr>
            <w:tcW w:w="1256" w:type="dxa"/>
          </w:tcPr>
          <w:p>
            <w:pPr>
              <w:pStyle w:val="TableParagraph"/>
              <w:spacing w:before="15"/>
              <w:ind w:left="525"/>
              <w:rPr>
                <w:sz w:val="24"/>
              </w:rPr>
            </w:pPr>
            <w:r>
              <w:rPr>
                <w:spacing w:val="-4"/>
                <w:sz w:val="24"/>
              </w:rPr>
              <w:t>4.53</w:t>
            </w:r>
          </w:p>
        </w:tc>
        <w:tc>
          <w:tcPr>
            <w:tcW w:w="1388" w:type="dxa"/>
          </w:tcPr>
          <w:p>
            <w:pPr>
              <w:pStyle w:val="TableParagraph"/>
              <w:spacing w:before="15"/>
              <w:ind w:left="8" w:right="26"/>
              <w:jc w:val="center"/>
              <w:rPr>
                <w:sz w:val="24"/>
              </w:rPr>
            </w:pPr>
            <w:r>
              <w:rPr>
                <w:spacing w:val="-4"/>
                <w:sz w:val="24"/>
              </w:rPr>
              <w:t>1.675</w:t>
            </w:r>
          </w:p>
        </w:tc>
      </w:tr>
      <w:tr>
        <w:trPr>
          <w:trHeight w:val="319" w:hRule="atLeast"/>
        </w:trPr>
        <w:tc>
          <w:tcPr>
            <w:tcW w:w="1865" w:type="dxa"/>
          </w:tcPr>
          <w:p>
            <w:pPr>
              <w:pStyle w:val="TableParagraph"/>
              <w:spacing w:before="15"/>
              <w:ind w:left="62"/>
              <w:rPr>
                <w:sz w:val="24"/>
              </w:rPr>
            </w:pPr>
            <w:r>
              <w:rPr>
                <w:spacing w:val="-5"/>
                <w:sz w:val="24"/>
              </w:rPr>
              <w:t>SE</w:t>
            </w:r>
          </w:p>
        </w:tc>
        <w:tc>
          <w:tcPr>
            <w:tcW w:w="1950" w:type="dxa"/>
          </w:tcPr>
          <w:p>
            <w:pPr>
              <w:pStyle w:val="TableParagraph"/>
              <w:spacing w:before="15"/>
              <w:ind w:right="360"/>
              <w:jc w:val="right"/>
              <w:rPr>
                <w:sz w:val="24"/>
              </w:rPr>
            </w:pPr>
            <w:r>
              <w:rPr>
                <w:spacing w:val="-5"/>
                <w:sz w:val="24"/>
              </w:rPr>
              <w:t>89</w:t>
            </w:r>
          </w:p>
        </w:tc>
        <w:tc>
          <w:tcPr>
            <w:tcW w:w="1532" w:type="dxa"/>
          </w:tcPr>
          <w:p>
            <w:pPr>
              <w:pStyle w:val="TableParagraph"/>
              <w:spacing w:before="15"/>
              <w:ind w:left="300"/>
              <w:rPr>
                <w:sz w:val="24"/>
              </w:rPr>
            </w:pPr>
            <w:r>
              <w:rPr>
                <w:sz w:val="24"/>
              </w:rPr>
              <w:t>1</w:t>
            </w:r>
            <w:r>
              <w:rPr>
                <w:spacing w:val="2"/>
                <w:sz w:val="24"/>
              </w:rPr>
              <w:t> </w:t>
            </w:r>
            <w:r>
              <w:rPr>
                <w:spacing w:val="-4"/>
                <w:sz w:val="24"/>
              </w:rPr>
              <w:t>male</w:t>
            </w:r>
          </w:p>
        </w:tc>
        <w:tc>
          <w:tcPr>
            <w:tcW w:w="1256" w:type="dxa"/>
          </w:tcPr>
          <w:p>
            <w:pPr>
              <w:pStyle w:val="TableParagraph"/>
              <w:spacing w:before="15"/>
              <w:ind w:left="463"/>
              <w:rPr>
                <w:sz w:val="24"/>
              </w:rPr>
            </w:pPr>
            <w:r>
              <w:rPr>
                <w:spacing w:val="-2"/>
                <w:sz w:val="24"/>
              </w:rPr>
              <w:t>33.67</w:t>
            </w:r>
          </w:p>
        </w:tc>
        <w:tc>
          <w:tcPr>
            <w:tcW w:w="1388" w:type="dxa"/>
          </w:tcPr>
          <w:p>
            <w:pPr>
              <w:pStyle w:val="TableParagraph"/>
              <w:spacing w:before="15"/>
              <w:ind w:left="8" w:right="26"/>
              <w:jc w:val="center"/>
              <w:rPr>
                <w:sz w:val="24"/>
              </w:rPr>
            </w:pPr>
            <w:r>
              <w:rPr>
                <w:spacing w:val="-4"/>
                <w:sz w:val="24"/>
              </w:rPr>
              <w:t>9.546</w:t>
            </w:r>
          </w:p>
        </w:tc>
      </w:tr>
      <w:tr>
        <w:trPr>
          <w:trHeight w:val="319" w:hRule="atLeast"/>
        </w:trPr>
        <w:tc>
          <w:tcPr>
            <w:tcW w:w="1865" w:type="dxa"/>
          </w:tcPr>
          <w:p>
            <w:pPr>
              <w:pStyle w:val="TableParagraph"/>
              <w:rPr>
                <w:sz w:val="24"/>
              </w:rPr>
            </w:pPr>
          </w:p>
        </w:tc>
        <w:tc>
          <w:tcPr>
            <w:tcW w:w="1950" w:type="dxa"/>
          </w:tcPr>
          <w:p>
            <w:pPr>
              <w:pStyle w:val="TableParagraph"/>
              <w:spacing w:before="17"/>
              <w:ind w:right="360"/>
              <w:jc w:val="right"/>
              <w:rPr>
                <w:sz w:val="24"/>
              </w:rPr>
            </w:pPr>
            <w:r>
              <w:rPr>
                <w:spacing w:val="-5"/>
                <w:sz w:val="24"/>
              </w:rPr>
              <w:t>63</w:t>
            </w:r>
          </w:p>
        </w:tc>
        <w:tc>
          <w:tcPr>
            <w:tcW w:w="1532" w:type="dxa"/>
          </w:tcPr>
          <w:p>
            <w:pPr>
              <w:pStyle w:val="TableParagraph"/>
              <w:spacing w:before="17"/>
              <w:ind w:left="300"/>
              <w:rPr>
                <w:sz w:val="24"/>
              </w:rPr>
            </w:pPr>
            <w:r>
              <w:rPr>
                <w:sz w:val="24"/>
              </w:rPr>
              <w:t>2</w:t>
            </w:r>
            <w:r>
              <w:rPr>
                <w:spacing w:val="2"/>
                <w:sz w:val="24"/>
              </w:rPr>
              <w:t> </w:t>
            </w:r>
            <w:r>
              <w:rPr>
                <w:spacing w:val="-2"/>
                <w:sz w:val="24"/>
              </w:rPr>
              <w:t>female</w:t>
            </w:r>
          </w:p>
        </w:tc>
        <w:tc>
          <w:tcPr>
            <w:tcW w:w="1256" w:type="dxa"/>
          </w:tcPr>
          <w:p>
            <w:pPr>
              <w:pStyle w:val="TableParagraph"/>
              <w:spacing w:before="17"/>
              <w:ind w:left="463"/>
              <w:rPr>
                <w:sz w:val="24"/>
              </w:rPr>
            </w:pPr>
            <w:r>
              <w:rPr>
                <w:spacing w:val="-2"/>
                <w:sz w:val="24"/>
              </w:rPr>
              <w:t>35.24</w:t>
            </w:r>
          </w:p>
        </w:tc>
        <w:tc>
          <w:tcPr>
            <w:tcW w:w="1388" w:type="dxa"/>
          </w:tcPr>
          <w:p>
            <w:pPr>
              <w:pStyle w:val="TableParagraph"/>
              <w:spacing w:before="17"/>
              <w:ind w:left="8" w:right="26"/>
              <w:jc w:val="center"/>
              <w:rPr>
                <w:sz w:val="24"/>
              </w:rPr>
            </w:pPr>
            <w:r>
              <w:rPr>
                <w:spacing w:val="-4"/>
                <w:sz w:val="24"/>
              </w:rPr>
              <w:t>9.816</w:t>
            </w:r>
          </w:p>
        </w:tc>
      </w:tr>
      <w:tr>
        <w:trPr>
          <w:trHeight w:val="340" w:hRule="atLeast"/>
        </w:trPr>
        <w:tc>
          <w:tcPr>
            <w:tcW w:w="1865" w:type="dxa"/>
            <w:tcBorders>
              <w:bottom w:val="single" w:sz="4" w:space="0" w:color="000000"/>
            </w:tcBorders>
          </w:tcPr>
          <w:p>
            <w:pPr>
              <w:pStyle w:val="TableParagraph"/>
              <w:rPr>
                <w:sz w:val="24"/>
              </w:rPr>
            </w:pPr>
          </w:p>
        </w:tc>
        <w:tc>
          <w:tcPr>
            <w:tcW w:w="1950" w:type="dxa"/>
            <w:tcBorders>
              <w:bottom w:val="single" w:sz="4" w:space="0" w:color="000000"/>
            </w:tcBorders>
          </w:tcPr>
          <w:p>
            <w:pPr>
              <w:pStyle w:val="TableParagraph"/>
              <w:spacing w:before="15"/>
              <w:ind w:right="298"/>
              <w:jc w:val="right"/>
              <w:rPr>
                <w:sz w:val="24"/>
              </w:rPr>
            </w:pPr>
            <w:r>
              <w:rPr>
                <w:spacing w:val="-5"/>
                <w:sz w:val="24"/>
              </w:rPr>
              <w:t>152</w:t>
            </w:r>
          </w:p>
        </w:tc>
        <w:tc>
          <w:tcPr>
            <w:tcW w:w="1532" w:type="dxa"/>
            <w:tcBorders>
              <w:bottom w:val="single" w:sz="4" w:space="0" w:color="000000"/>
            </w:tcBorders>
          </w:tcPr>
          <w:p>
            <w:pPr>
              <w:pStyle w:val="TableParagraph"/>
              <w:spacing w:before="15"/>
              <w:ind w:left="300"/>
              <w:rPr>
                <w:sz w:val="24"/>
              </w:rPr>
            </w:pPr>
            <w:r>
              <w:rPr>
                <w:spacing w:val="-2"/>
                <w:sz w:val="24"/>
              </w:rPr>
              <w:t>Total</w:t>
            </w:r>
          </w:p>
        </w:tc>
        <w:tc>
          <w:tcPr>
            <w:tcW w:w="1256" w:type="dxa"/>
            <w:tcBorders>
              <w:bottom w:val="single" w:sz="4" w:space="0" w:color="000000"/>
            </w:tcBorders>
          </w:tcPr>
          <w:p>
            <w:pPr>
              <w:pStyle w:val="TableParagraph"/>
              <w:spacing w:before="15"/>
              <w:ind w:left="463"/>
              <w:rPr>
                <w:sz w:val="24"/>
              </w:rPr>
            </w:pPr>
            <w:r>
              <w:rPr>
                <w:spacing w:val="-2"/>
                <w:sz w:val="24"/>
              </w:rPr>
              <w:t>34.32</w:t>
            </w:r>
          </w:p>
        </w:tc>
        <w:tc>
          <w:tcPr>
            <w:tcW w:w="1388" w:type="dxa"/>
            <w:tcBorders>
              <w:bottom w:val="single" w:sz="4" w:space="0" w:color="000000"/>
            </w:tcBorders>
          </w:tcPr>
          <w:p>
            <w:pPr>
              <w:pStyle w:val="TableParagraph"/>
              <w:spacing w:before="15"/>
              <w:ind w:left="8" w:right="26"/>
              <w:jc w:val="center"/>
              <w:rPr>
                <w:sz w:val="24"/>
              </w:rPr>
            </w:pPr>
            <w:r>
              <w:rPr>
                <w:spacing w:val="-4"/>
                <w:sz w:val="24"/>
              </w:rPr>
              <w:t>9.657</w:t>
            </w:r>
          </w:p>
        </w:tc>
      </w:tr>
    </w:tbl>
    <w:p>
      <w:pPr>
        <w:pStyle w:val="BodyText"/>
        <w:spacing w:before="273"/>
        <w:ind w:left="0"/>
        <w:jc w:val="left"/>
        <w:rPr>
          <w:b/>
        </w:rPr>
      </w:pPr>
    </w:p>
    <w:p>
      <w:pPr>
        <w:pStyle w:val="BodyText"/>
        <w:spacing w:line="480" w:lineRule="auto" w:before="1"/>
        <w:ind w:right="1159" w:firstLine="720"/>
      </w:pPr>
      <w:r>
        <w:rPr/>
        <w:t>Table 4.4 shows the means and standard deviations on chemistry academic achievement, emotional intelligence, reasoning ability and self-efficacy for male and female SS II students. The mean academic achievement score on Chemistry for male was (M=47.49, SD=8.301) and that of female was (M48.60, SD=8.637). The mean difference was -1.109 in favor of the female students. The mean emotional</w:t>
      </w:r>
      <w:r>
        <w:rPr>
          <w:spacing w:val="40"/>
        </w:rPr>
        <w:t> </w:t>
      </w:r>
      <w:r>
        <w:rPr/>
        <w:t>intelligence score in Chemistry for male was (M=129.60, SD=34.121) and that of female</w:t>
      </w:r>
      <w:r>
        <w:rPr>
          <w:spacing w:val="35"/>
        </w:rPr>
        <w:t> </w:t>
      </w:r>
      <w:r>
        <w:rPr/>
        <w:t>was</w:t>
      </w:r>
      <w:r>
        <w:rPr>
          <w:spacing w:val="37"/>
        </w:rPr>
        <w:t> </w:t>
      </w:r>
      <w:r>
        <w:rPr/>
        <w:t>(M131.00,</w:t>
      </w:r>
      <w:r>
        <w:rPr>
          <w:spacing w:val="41"/>
        </w:rPr>
        <w:t> </w:t>
      </w:r>
      <w:r>
        <w:rPr/>
        <w:t>SD=30.054).</w:t>
      </w:r>
      <w:r>
        <w:rPr>
          <w:spacing w:val="41"/>
        </w:rPr>
        <w:t> </w:t>
      </w:r>
      <w:r>
        <w:rPr/>
        <w:t>The</w:t>
      </w:r>
      <w:r>
        <w:rPr>
          <w:spacing w:val="42"/>
        </w:rPr>
        <w:t> </w:t>
      </w:r>
      <w:r>
        <w:rPr/>
        <w:t>mean</w:t>
      </w:r>
      <w:r>
        <w:rPr>
          <w:spacing w:val="39"/>
        </w:rPr>
        <w:t> </w:t>
      </w:r>
      <w:r>
        <w:rPr/>
        <w:t>difference</w:t>
      </w:r>
      <w:r>
        <w:rPr>
          <w:spacing w:val="46"/>
        </w:rPr>
        <w:t> </w:t>
      </w:r>
      <w:r>
        <w:rPr/>
        <w:t>was</w:t>
      </w:r>
      <w:r>
        <w:rPr>
          <w:spacing w:val="36"/>
        </w:rPr>
        <w:t> </w:t>
      </w:r>
      <w:r>
        <w:rPr/>
        <w:t>-1.4</w:t>
      </w:r>
      <w:r>
        <w:rPr>
          <w:spacing w:val="44"/>
        </w:rPr>
        <w:t> </w:t>
      </w:r>
      <w:r>
        <w:rPr/>
        <w:t>in</w:t>
      </w:r>
      <w:r>
        <w:rPr>
          <w:spacing w:val="39"/>
        </w:rPr>
        <w:t> </w:t>
      </w:r>
      <w:r>
        <w:rPr/>
        <w:t>favor</w:t>
      </w:r>
      <w:r>
        <w:rPr>
          <w:spacing w:val="41"/>
        </w:rPr>
        <w:t> </w:t>
      </w:r>
      <w:r>
        <w:rPr/>
        <w:t>of</w:t>
      </w:r>
      <w:r>
        <w:rPr>
          <w:spacing w:val="31"/>
        </w:rPr>
        <w:t> </w:t>
      </w:r>
      <w:r>
        <w:rPr>
          <w:spacing w:val="-5"/>
        </w:rPr>
        <w:t>the</w:t>
      </w:r>
    </w:p>
    <w:p>
      <w:pPr>
        <w:spacing w:after="0" w:line="480" w:lineRule="auto"/>
        <w:sectPr>
          <w:pgSz w:w="11910" w:h="16840"/>
          <w:pgMar w:header="0" w:footer="1012" w:top="1340" w:bottom="1200" w:left="1680" w:right="280"/>
        </w:sectPr>
      </w:pPr>
    </w:p>
    <w:p>
      <w:pPr>
        <w:pStyle w:val="BodyText"/>
        <w:spacing w:line="480" w:lineRule="auto" w:before="74"/>
        <w:ind w:right="1155"/>
      </w:pPr>
      <w:r>
        <w:rPr/>
        <w:t>female students. The mean reasoning ability score on Chemistry for male was (M=4.45, SD=1.752) and that of female was (M4.63, SD=1.569). The mean</w:t>
      </w:r>
      <w:r>
        <w:rPr>
          <w:spacing w:val="40"/>
        </w:rPr>
        <w:t> </w:t>
      </w:r>
      <w:r>
        <w:rPr/>
        <w:t>difference was -0.18 in favor of the female students. The mean self-efficacy score on Chemistry for male was (M=33.67, SD=9.546) and that of female was (M35.24, SD=9.816).</w:t>
      </w:r>
      <w:r>
        <w:rPr>
          <w:spacing w:val="-5"/>
        </w:rPr>
        <w:t> </w:t>
      </w:r>
      <w:r>
        <w:rPr/>
        <w:t>The mean</w:t>
      </w:r>
      <w:r>
        <w:rPr>
          <w:spacing w:val="-6"/>
        </w:rPr>
        <w:t> </w:t>
      </w:r>
      <w:r>
        <w:rPr/>
        <w:t>difference</w:t>
      </w:r>
      <w:r>
        <w:rPr>
          <w:spacing w:val="-3"/>
        </w:rPr>
        <w:t> </w:t>
      </w:r>
      <w:r>
        <w:rPr/>
        <w:t>was-1.57 in</w:t>
      </w:r>
      <w:r>
        <w:rPr>
          <w:spacing w:val="-2"/>
        </w:rPr>
        <w:t> </w:t>
      </w:r>
      <w:r>
        <w:rPr/>
        <w:t>favor</w:t>
      </w:r>
      <w:r>
        <w:rPr>
          <w:spacing w:val="-5"/>
        </w:rPr>
        <w:t> </w:t>
      </w:r>
      <w:r>
        <w:rPr/>
        <w:t>of</w:t>
      </w:r>
      <w:r>
        <w:rPr>
          <w:spacing w:val="-9"/>
        </w:rPr>
        <w:t> </w:t>
      </w:r>
      <w:r>
        <w:rPr/>
        <w:t>the female students. This</w:t>
      </w:r>
      <w:r>
        <w:rPr>
          <w:spacing w:val="-4"/>
        </w:rPr>
        <w:t> </w:t>
      </w:r>
      <w:r>
        <w:rPr/>
        <w:t>shows that</w:t>
      </w:r>
      <w:r>
        <w:rPr>
          <w:spacing w:val="-3"/>
        </w:rPr>
        <w:t> </w:t>
      </w:r>
      <w:r>
        <w:rPr/>
        <w:t>there</w:t>
      </w:r>
      <w:r>
        <w:rPr>
          <w:spacing w:val="-4"/>
        </w:rPr>
        <w:t> </w:t>
      </w:r>
      <w:r>
        <w:rPr/>
        <w:t>was</w:t>
      </w:r>
      <w:r>
        <w:rPr>
          <w:spacing w:val="-4"/>
        </w:rPr>
        <w:t> </w:t>
      </w:r>
      <w:r>
        <w:rPr/>
        <w:t>a</w:t>
      </w:r>
      <w:r>
        <w:rPr>
          <w:spacing w:val="-4"/>
        </w:rPr>
        <w:t> </w:t>
      </w:r>
      <w:r>
        <w:rPr/>
        <w:t>difference</w:t>
      </w:r>
      <w:r>
        <w:rPr>
          <w:spacing w:val="-4"/>
        </w:rPr>
        <w:t> </w:t>
      </w:r>
      <w:r>
        <w:rPr/>
        <w:t>between</w:t>
      </w:r>
      <w:r>
        <w:rPr>
          <w:spacing w:val="-7"/>
        </w:rPr>
        <w:t> </w:t>
      </w:r>
      <w:r>
        <w:rPr/>
        <w:t>the mean</w:t>
      </w:r>
      <w:r>
        <w:rPr>
          <w:spacing w:val="-7"/>
        </w:rPr>
        <w:t> </w:t>
      </w:r>
      <w:r>
        <w:rPr/>
        <w:t>academic</w:t>
      </w:r>
      <w:r>
        <w:rPr>
          <w:spacing w:val="-4"/>
        </w:rPr>
        <w:t> </w:t>
      </w:r>
      <w:r>
        <w:rPr/>
        <w:t>achievement scores,</w:t>
      </w:r>
      <w:r>
        <w:rPr>
          <w:spacing w:val="-1"/>
        </w:rPr>
        <w:t> </w:t>
      </w:r>
      <w:r>
        <w:rPr/>
        <w:t>emotional intelligence, reasoning ability and self-efficacy of male and female SS II students‘ in chemistry in favor of female students. The female students have shown a better result in academic achievement scores, emotional intelligence, reasoning ability and self- efficacy than their male counterparts.</w:t>
      </w:r>
    </w:p>
    <w:p>
      <w:pPr>
        <w:pStyle w:val="Heading3"/>
        <w:numPr>
          <w:ilvl w:val="2"/>
          <w:numId w:val="20"/>
        </w:numPr>
        <w:tabs>
          <w:tab w:pos="1199" w:val="left" w:leader="none"/>
        </w:tabs>
        <w:spacing w:line="240" w:lineRule="auto" w:before="7" w:after="0"/>
        <w:ind w:left="1199" w:right="0" w:hanging="719"/>
        <w:jc w:val="both"/>
      </w:pPr>
      <w:r>
        <w:rPr/>
        <w:t>Null</w:t>
      </w:r>
      <w:r>
        <w:rPr>
          <w:spacing w:val="-5"/>
        </w:rPr>
        <w:t> </w:t>
      </w:r>
      <w:r>
        <w:rPr/>
        <w:t>Hypotheses</w:t>
      </w:r>
      <w:r>
        <w:rPr>
          <w:spacing w:val="-1"/>
        </w:rPr>
        <w:t> </w:t>
      </w:r>
      <w:r>
        <w:rPr>
          <w:spacing w:val="-2"/>
        </w:rPr>
        <w:t>Testing</w:t>
      </w:r>
    </w:p>
    <w:p>
      <w:pPr>
        <w:pStyle w:val="BodyText"/>
        <w:spacing w:line="480" w:lineRule="auto" w:before="271"/>
        <w:ind w:right="1151" w:firstLine="720"/>
      </w:pPr>
      <w:r>
        <w:rPr/>
        <w:t>The variables of emotional intelligence, reasoning ability and self-efficacy were analyzed using non-parametric test of Mann-Whitney U test, and academic achievement scores were analyzed using parametric test of independent sample t-test. The three null hypotheses formulated were tested at p≤0.05.</w:t>
      </w:r>
    </w:p>
    <w:p>
      <w:pPr>
        <w:pStyle w:val="Heading3"/>
        <w:spacing w:before="6"/>
        <w:ind w:left="480" w:firstLine="0"/>
      </w:pPr>
      <w:r>
        <w:rPr/>
        <w:t>Null</w:t>
      </w:r>
      <w:r>
        <w:rPr>
          <w:spacing w:val="-6"/>
        </w:rPr>
        <w:t> </w:t>
      </w:r>
      <w:r>
        <w:rPr/>
        <w:t>Hypothesis</w:t>
      </w:r>
      <w:r>
        <w:rPr>
          <w:spacing w:val="-1"/>
        </w:rPr>
        <w:t> </w:t>
      </w:r>
      <w:r>
        <w:rPr>
          <w:spacing w:val="-5"/>
        </w:rPr>
        <w:t>One</w:t>
      </w:r>
    </w:p>
    <w:p>
      <w:pPr>
        <w:pStyle w:val="BodyText"/>
        <w:spacing w:line="480" w:lineRule="auto" w:before="271"/>
        <w:ind w:left="1109" w:right="1155"/>
      </w:pPr>
      <w:r>
        <w:rPr/>
        <w:t>There is no significant relationship in the mean scores of SSII chemistry students in emotional-intelligence, reasoning ability, self-efficacy, and academic achievement in chemistry.</w:t>
      </w:r>
    </w:p>
    <w:p>
      <w:pPr>
        <w:pStyle w:val="BodyText"/>
        <w:spacing w:line="480" w:lineRule="auto"/>
        <w:ind w:right="1170" w:firstLine="720"/>
      </w:pPr>
      <w:r>
        <w:rPr/>
        <w:t>To test this null hypothesis, an inferential statistic of Pearson Correlation was used. The summary of the computation is presented in Table 4.5.</w:t>
      </w:r>
    </w:p>
    <w:p>
      <w:pPr>
        <w:spacing w:after="0" w:line="480" w:lineRule="auto"/>
        <w:sectPr>
          <w:pgSz w:w="11910" w:h="16840"/>
          <w:pgMar w:header="0" w:footer="1012" w:top="1340" w:bottom="1200" w:left="1680" w:right="280"/>
        </w:sectPr>
      </w:pPr>
    </w:p>
    <w:p>
      <w:pPr>
        <w:pStyle w:val="Heading3"/>
        <w:spacing w:before="78"/>
        <w:ind w:left="1921" w:right="1155" w:hanging="1441"/>
      </w:pPr>
      <w:r>
        <w:rPr/>
        <w:t>Table</w:t>
      </w:r>
      <w:r>
        <w:rPr>
          <w:spacing w:val="-1"/>
        </w:rPr>
        <w:t> </w:t>
      </w:r>
      <w:r>
        <w:rPr/>
        <w:t>4.5:</w:t>
      </w:r>
      <w:r>
        <w:rPr>
          <w:spacing w:val="40"/>
        </w:rPr>
        <w:t> </w:t>
      </w:r>
      <w:r>
        <w:rPr/>
        <w:t>Summary of Pearson Correlation on Emotional-intelligence, Reasoning Ability, Self-efficacy and Academic Achievement of Students’ in Chemistry</w:t>
      </w: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3"/>
        <w:gridCol w:w="1431"/>
        <w:gridCol w:w="737"/>
        <w:gridCol w:w="989"/>
        <w:gridCol w:w="708"/>
        <w:gridCol w:w="953"/>
        <w:gridCol w:w="1068"/>
        <w:gridCol w:w="817"/>
      </w:tblGrid>
      <w:tr>
        <w:trPr>
          <w:trHeight w:val="291" w:hRule="atLeast"/>
        </w:trPr>
        <w:tc>
          <w:tcPr>
            <w:tcW w:w="1803" w:type="dxa"/>
            <w:tcBorders>
              <w:top w:val="single" w:sz="4" w:space="0" w:color="000000"/>
              <w:bottom w:val="single" w:sz="4" w:space="0" w:color="000000"/>
            </w:tcBorders>
          </w:tcPr>
          <w:p>
            <w:pPr>
              <w:pStyle w:val="TableParagraph"/>
              <w:spacing w:before="2"/>
              <w:ind w:left="69"/>
              <w:rPr>
                <w:b/>
                <w:sz w:val="24"/>
              </w:rPr>
            </w:pPr>
            <w:r>
              <w:rPr>
                <w:b/>
                <w:spacing w:val="-2"/>
                <w:sz w:val="24"/>
              </w:rPr>
              <w:t>Variable</w:t>
            </w:r>
          </w:p>
        </w:tc>
        <w:tc>
          <w:tcPr>
            <w:tcW w:w="1431" w:type="dxa"/>
            <w:tcBorders>
              <w:top w:val="single" w:sz="4" w:space="0" w:color="000000"/>
              <w:bottom w:val="single" w:sz="4" w:space="0" w:color="000000"/>
            </w:tcBorders>
          </w:tcPr>
          <w:p>
            <w:pPr>
              <w:pStyle w:val="TableParagraph"/>
              <w:spacing w:before="2"/>
              <w:ind w:right="223"/>
              <w:jc w:val="right"/>
              <w:rPr>
                <w:b/>
                <w:sz w:val="24"/>
              </w:rPr>
            </w:pPr>
            <w:r>
              <w:rPr>
                <w:b/>
                <w:spacing w:val="-10"/>
                <w:sz w:val="24"/>
              </w:rPr>
              <w:t>N</w:t>
            </w:r>
          </w:p>
        </w:tc>
        <w:tc>
          <w:tcPr>
            <w:tcW w:w="737" w:type="dxa"/>
            <w:tcBorders>
              <w:top w:val="single" w:sz="4" w:space="0" w:color="000000"/>
              <w:bottom w:val="single" w:sz="4" w:space="0" w:color="000000"/>
            </w:tcBorders>
          </w:tcPr>
          <w:p>
            <w:pPr>
              <w:pStyle w:val="TableParagraph"/>
              <w:spacing w:before="2"/>
              <w:ind w:right="259"/>
              <w:jc w:val="right"/>
              <w:rPr>
                <w:b/>
                <w:sz w:val="24"/>
              </w:rPr>
            </w:pPr>
            <w:r>
              <w:rPr>
                <w:b/>
                <w:spacing w:val="-5"/>
                <w:sz w:val="24"/>
              </w:rPr>
              <w:t>EI</w:t>
            </w:r>
          </w:p>
        </w:tc>
        <w:tc>
          <w:tcPr>
            <w:tcW w:w="989" w:type="dxa"/>
            <w:tcBorders>
              <w:top w:val="single" w:sz="4" w:space="0" w:color="000000"/>
              <w:bottom w:val="single" w:sz="4" w:space="0" w:color="000000"/>
            </w:tcBorders>
          </w:tcPr>
          <w:p>
            <w:pPr>
              <w:pStyle w:val="TableParagraph"/>
              <w:spacing w:before="2"/>
              <w:ind w:left="232"/>
              <w:rPr>
                <w:b/>
                <w:sz w:val="24"/>
              </w:rPr>
            </w:pPr>
            <w:r>
              <w:rPr>
                <w:b/>
                <w:spacing w:val="-5"/>
                <w:sz w:val="24"/>
              </w:rPr>
              <w:t>RA</w:t>
            </w:r>
          </w:p>
        </w:tc>
        <w:tc>
          <w:tcPr>
            <w:tcW w:w="708" w:type="dxa"/>
            <w:tcBorders>
              <w:top w:val="single" w:sz="4" w:space="0" w:color="000000"/>
              <w:bottom w:val="single" w:sz="4" w:space="0" w:color="000000"/>
            </w:tcBorders>
          </w:tcPr>
          <w:p>
            <w:pPr>
              <w:pStyle w:val="TableParagraph"/>
              <w:spacing w:before="2"/>
              <w:ind w:right="2"/>
              <w:jc w:val="center"/>
              <w:rPr>
                <w:b/>
                <w:sz w:val="24"/>
              </w:rPr>
            </w:pPr>
            <w:r>
              <w:rPr>
                <w:b/>
                <w:spacing w:val="-5"/>
                <w:sz w:val="24"/>
              </w:rPr>
              <w:t>SE</w:t>
            </w:r>
          </w:p>
        </w:tc>
        <w:tc>
          <w:tcPr>
            <w:tcW w:w="953" w:type="dxa"/>
            <w:tcBorders>
              <w:top w:val="single" w:sz="4" w:space="0" w:color="000000"/>
              <w:bottom w:val="single" w:sz="4" w:space="0" w:color="000000"/>
            </w:tcBorders>
          </w:tcPr>
          <w:p>
            <w:pPr>
              <w:pStyle w:val="TableParagraph"/>
              <w:spacing w:before="2"/>
              <w:ind w:left="1" w:right="240"/>
              <w:jc w:val="center"/>
              <w:rPr>
                <w:b/>
                <w:sz w:val="24"/>
              </w:rPr>
            </w:pPr>
            <w:r>
              <w:rPr>
                <w:b/>
                <w:spacing w:val="-5"/>
                <w:sz w:val="24"/>
              </w:rPr>
              <w:t>CAS</w:t>
            </w:r>
          </w:p>
        </w:tc>
        <w:tc>
          <w:tcPr>
            <w:tcW w:w="1068" w:type="dxa"/>
            <w:tcBorders>
              <w:top w:val="single" w:sz="4" w:space="0" w:color="000000"/>
              <w:bottom w:val="single" w:sz="4" w:space="0" w:color="000000"/>
            </w:tcBorders>
          </w:tcPr>
          <w:p>
            <w:pPr>
              <w:pStyle w:val="TableParagraph"/>
              <w:spacing w:before="2"/>
              <w:ind w:right="94"/>
              <w:jc w:val="right"/>
              <w:rPr>
                <w:b/>
                <w:sz w:val="24"/>
              </w:rPr>
            </w:pPr>
            <w:r>
              <w:rPr>
                <w:b/>
                <w:spacing w:val="-4"/>
                <w:sz w:val="24"/>
              </w:rPr>
              <w:t>Mean</w:t>
            </w:r>
          </w:p>
        </w:tc>
        <w:tc>
          <w:tcPr>
            <w:tcW w:w="817" w:type="dxa"/>
            <w:tcBorders>
              <w:top w:val="single" w:sz="4" w:space="0" w:color="000000"/>
              <w:bottom w:val="single" w:sz="4" w:space="0" w:color="000000"/>
            </w:tcBorders>
          </w:tcPr>
          <w:p>
            <w:pPr>
              <w:pStyle w:val="TableParagraph"/>
              <w:spacing w:before="2"/>
              <w:ind w:left="236"/>
              <w:rPr>
                <w:b/>
                <w:sz w:val="24"/>
              </w:rPr>
            </w:pPr>
            <w:r>
              <w:rPr>
                <w:b/>
                <w:spacing w:val="-5"/>
                <w:sz w:val="24"/>
              </w:rPr>
              <w:t>SD</w:t>
            </w:r>
          </w:p>
        </w:tc>
      </w:tr>
      <w:tr>
        <w:trPr>
          <w:trHeight w:val="305" w:hRule="atLeast"/>
        </w:trPr>
        <w:tc>
          <w:tcPr>
            <w:tcW w:w="1803" w:type="dxa"/>
            <w:tcBorders>
              <w:top w:val="single" w:sz="4" w:space="0" w:color="000000"/>
            </w:tcBorders>
          </w:tcPr>
          <w:p>
            <w:pPr>
              <w:pStyle w:val="TableParagraph"/>
              <w:spacing w:line="254" w:lineRule="exact"/>
              <w:ind w:left="7"/>
              <w:rPr>
                <w:sz w:val="24"/>
              </w:rPr>
            </w:pPr>
            <w:r>
              <w:rPr>
                <w:spacing w:val="-5"/>
                <w:sz w:val="24"/>
              </w:rPr>
              <w:t>EI</w:t>
            </w:r>
          </w:p>
        </w:tc>
        <w:tc>
          <w:tcPr>
            <w:tcW w:w="1431" w:type="dxa"/>
            <w:tcBorders>
              <w:top w:val="single" w:sz="4" w:space="0" w:color="000000"/>
            </w:tcBorders>
          </w:tcPr>
          <w:p>
            <w:pPr>
              <w:pStyle w:val="TableParagraph"/>
              <w:spacing w:line="254" w:lineRule="exact"/>
              <w:ind w:right="223"/>
              <w:jc w:val="right"/>
              <w:rPr>
                <w:sz w:val="24"/>
              </w:rPr>
            </w:pPr>
            <w:r>
              <w:rPr>
                <w:spacing w:val="-5"/>
                <w:sz w:val="24"/>
              </w:rPr>
              <w:t>152</w:t>
            </w:r>
          </w:p>
        </w:tc>
        <w:tc>
          <w:tcPr>
            <w:tcW w:w="737" w:type="dxa"/>
            <w:tcBorders>
              <w:top w:val="single" w:sz="4" w:space="0" w:color="000000"/>
            </w:tcBorders>
          </w:tcPr>
          <w:p>
            <w:pPr>
              <w:pStyle w:val="TableParagraph"/>
              <w:spacing w:line="254" w:lineRule="exact"/>
              <w:ind w:right="230"/>
              <w:jc w:val="right"/>
              <w:rPr>
                <w:sz w:val="24"/>
              </w:rPr>
            </w:pPr>
            <w:r>
              <w:rPr>
                <w:spacing w:val="-5"/>
                <w:sz w:val="24"/>
              </w:rPr>
              <w:t>..</w:t>
            </w:r>
          </w:p>
        </w:tc>
        <w:tc>
          <w:tcPr>
            <w:tcW w:w="989" w:type="dxa"/>
            <w:tcBorders>
              <w:top w:val="single" w:sz="4" w:space="0" w:color="000000"/>
            </w:tcBorders>
          </w:tcPr>
          <w:p>
            <w:pPr>
              <w:pStyle w:val="TableParagraph"/>
              <w:spacing w:line="254" w:lineRule="exact"/>
              <w:ind w:left="347"/>
              <w:rPr>
                <w:sz w:val="24"/>
              </w:rPr>
            </w:pPr>
            <w:r>
              <w:rPr>
                <w:spacing w:val="-2"/>
                <w:sz w:val="24"/>
              </w:rPr>
              <w:t>.698</w:t>
            </w:r>
            <w:r>
              <w:rPr>
                <w:spacing w:val="-2"/>
                <w:sz w:val="24"/>
                <w:vertAlign w:val="superscript"/>
              </w:rPr>
              <w:t>**</w:t>
            </w:r>
          </w:p>
        </w:tc>
        <w:tc>
          <w:tcPr>
            <w:tcW w:w="708" w:type="dxa"/>
            <w:tcBorders>
              <w:top w:val="single" w:sz="4" w:space="0" w:color="000000"/>
            </w:tcBorders>
          </w:tcPr>
          <w:p>
            <w:pPr>
              <w:pStyle w:val="TableParagraph"/>
              <w:spacing w:line="254" w:lineRule="exact"/>
              <w:ind w:left="1" w:right="2"/>
              <w:jc w:val="center"/>
              <w:rPr>
                <w:sz w:val="24"/>
              </w:rPr>
            </w:pPr>
            <w:r>
              <w:rPr>
                <w:spacing w:val="-2"/>
                <w:sz w:val="24"/>
              </w:rPr>
              <w:t>.728</w:t>
            </w:r>
            <w:r>
              <w:rPr>
                <w:spacing w:val="-2"/>
                <w:sz w:val="24"/>
                <w:vertAlign w:val="superscript"/>
              </w:rPr>
              <w:t>**</w:t>
            </w:r>
          </w:p>
        </w:tc>
        <w:tc>
          <w:tcPr>
            <w:tcW w:w="953" w:type="dxa"/>
            <w:tcBorders>
              <w:top w:val="single" w:sz="4" w:space="0" w:color="000000"/>
            </w:tcBorders>
          </w:tcPr>
          <w:p>
            <w:pPr>
              <w:pStyle w:val="TableParagraph"/>
              <w:spacing w:line="254" w:lineRule="exact"/>
              <w:ind w:right="240"/>
              <w:jc w:val="center"/>
              <w:rPr>
                <w:sz w:val="24"/>
              </w:rPr>
            </w:pPr>
            <w:r>
              <w:rPr>
                <w:spacing w:val="-2"/>
                <w:sz w:val="24"/>
              </w:rPr>
              <w:t>.803</w:t>
            </w:r>
            <w:r>
              <w:rPr>
                <w:spacing w:val="-2"/>
                <w:sz w:val="24"/>
                <w:vertAlign w:val="superscript"/>
              </w:rPr>
              <w:t>**</w:t>
            </w:r>
          </w:p>
        </w:tc>
        <w:tc>
          <w:tcPr>
            <w:tcW w:w="1068" w:type="dxa"/>
            <w:tcBorders>
              <w:top w:val="single" w:sz="4" w:space="0" w:color="000000"/>
            </w:tcBorders>
          </w:tcPr>
          <w:p>
            <w:pPr>
              <w:pStyle w:val="TableParagraph"/>
              <w:spacing w:line="254" w:lineRule="exact"/>
              <w:ind w:right="93"/>
              <w:jc w:val="right"/>
              <w:rPr>
                <w:sz w:val="24"/>
              </w:rPr>
            </w:pPr>
            <w:r>
              <w:rPr>
                <w:spacing w:val="-2"/>
                <w:sz w:val="24"/>
              </w:rPr>
              <w:t>130.18</w:t>
            </w:r>
          </w:p>
        </w:tc>
        <w:tc>
          <w:tcPr>
            <w:tcW w:w="817" w:type="dxa"/>
            <w:tcBorders>
              <w:top w:val="single" w:sz="4" w:space="0" w:color="000000"/>
            </w:tcBorders>
          </w:tcPr>
          <w:p>
            <w:pPr>
              <w:pStyle w:val="TableParagraph"/>
              <w:spacing w:line="254" w:lineRule="exact"/>
              <w:ind w:right="55"/>
              <w:jc w:val="right"/>
              <w:rPr>
                <w:sz w:val="24"/>
              </w:rPr>
            </w:pPr>
            <w:r>
              <w:rPr>
                <w:spacing w:val="-2"/>
                <w:sz w:val="24"/>
              </w:rPr>
              <w:t>32.401</w:t>
            </w:r>
          </w:p>
        </w:tc>
      </w:tr>
      <w:tr>
        <w:trPr>
          <w:trHeight w:val="316" w:hRule="atLeast"/>
        </w:trPr>
        <w:tc>
          <w:tcPr>
            <w:tcW w:w="1803" w:type="dxa"/>
          </w:tcPr>
          <w:p>
            <w:pPr>
              <w:pStyle w:val="TableParagraph"/>
              <w:spacing w:line="263" w:lineRule="exact" w:before="34"/>
              <w:ind w:left="7"/>
              <w:rPr>
                <w:sz w:val="24"/>
              </w:rPr>
            </w:pPr>
            <w:r>
              <w:rPr>
                <w:spacing w:val="-5"/>
                <w:sz w:val="24"/>
              </w:rPr>
              <w:t>RA</w:t>
            </w:r>
          </w:p>
        </w:tc>
        <w:tc>
          <w:tcPr>
            <w:tcW w:w="1431" w:type="dxa"/>
          </w:tcPr>
          <w:p>
            <w:pPr>
              <w:pStyle w:val="TableParagraph"/>
              <w:spacing w:line="263" w:lineRule="exact" w:before="34"/>
              <w:ind w:right="223"/>
              <w:jc w:val="right"/>
              <w:rPr>
                <w:sz w:val="24"/>
              </w:rPr>
            </w:pPr>
            <w:r>
              <w:rPr>
                <w:spacing w:val="-5"/>
                <w:sz w:val="24"/>
              </w:rPr>
              <w:t>152</w:t>
            </w:r>
          </w:p>
        </w:tc>
        <w:tc>
          <w:tcPr>
            <w:tcW w:w="737" w:type="dxa"/>
          </w:tcPr>
          <w:p>
            <w:pPr>
              <w:pStyle w:val="TableParagraph"/>
              <w:spacing w:line="263" w:lineRule="exact" w:before="34"/>
              <w:ind w:right="230"/>
              <w:jc w:val="right"/>
              <w:rPr>
                <w:sz w:val="24"/>
              </w:rPr>
            </w:pPr>
            <w:r>
              <w:rPr>
                <w:spacing w:val="-5"/>
                <w:sz w:val="24"/>
              </w:rPr>
              <w:t>..</w:t>
            </w:r>
          </w:p>
        </w:tc>
        <w:tc>
          <w:tcPr>
            <w:tcW w:w="989" w:type="dxa"/>
          </w:tcPr>
          <w:p>
            <w:pPr>
              <w:pStyle w:val="TableParagraph"/>
              <w:spacing w:line="263" w:lineRule="exact" w:before="34"/>
              <w:ind w:right="175"/>
              <w:jc w:val="center"/>
              <w:rPr>
                <w:sz w:val="24"/>
              </w:rPr>
            </w:pPr>
            <w:r>
              <w:rPr>
                <w:spacing w:val="-5"/>
                <w:sz w:val="24"/>
              </w:rPr>
              <w:t>..</w:t>
            </w:r>
          </w:p>
        </w:tc>
        <w:tc>
          <w:tcPr>
            <w:tcW w:w="708" w:type="dxa"/>
          </w:tcPr>
          <w:p>
            <w:pPr>
              <w:pStyle w:val="TableParagraph"/>
              <w:spacing w:line="263" w:lineRule="exact" w:before="34"/>
              <w:ind w:left="1" w:right="2"/>
              <w:jc w:val="center"/>
              <w:rPr>
                <w:sz w:val="24"/>
              </w:rPr>
            </w:pPr>
            <w:r>
              <w:rPr>
                <w:spacing w:val="-2"/>
                <w:sz w:val="24"/>
              </w:rPr>
              <w:t>.659</w:t>
            </w:r>
            <w:r>
              <w:rPr>
                <w:spacing w:val="-2"/>
                <w:sz w:val="24"/>
                <w:vertAlign w:val="superscript"/>
              </w:rPr>
              <w:t>**</w:t>
            </w:r>
          </w:p>
        </w:tc>
        <w:tc>
          <w:tcPr>
            <w:tcW w:w="953" w:type="dxa"/>
          </w:tcPr>
          <w:p>
            <w:pPr>
              <w:pStyle w:val="TableParagraph"/>
              <w:spacing w:line="263" w:lineRule="exact" w:before="34"/>
              <w:ind w:right="240"/>
              <w:jc w:val="center"/>
              <w:rPr>
                <w:sz w:val="24"/>
              </w:rPr>
            </w:pPr>
            <w:r>
              <w:rPr>
                <w:spacing w:val="-2"/>
                <w:sz w:val="24"/>
              </w:rPr>
              <w:t>.797</w:t>
            </w:r>
            <w:r>
              <w:rPr>
                <w:spacing w:val="-2"/>
                <w:sz w:val="24"/>
                <w:vertAlign w:val="superscript"/>
              </w:rPr>
              <w:t>**</w:t>
            </w:r>
          </w:p>
        </w:tc>
        <w:tc>
          <w:tcPr>
            <w:tcW w:w="1068" w:type="dxa"/>
          </w:tcPr>
          <w:p>
            <w:pPr>
              <w:pStyle w:val="TableParagraph"/>
              <w:spacing w:line="263" w:lineRule="exact" w:before="34"/>
              <w:ind w:right="93"/>
              <w:jc w:val="right"/>
              <w:rPr>
                <w:sz w:val="24"/>
              </w:rPr>
            </w:pPr>
            <w:r>
              <w:rPr>
                <w:spacing w:val="-4"/>
                <w:sz w:val="24"/>
              </w:rPr>
              <w:t>4.53</w:t>
            </w:r>
          </w:p>
        </w:tc>
        <w:tc>
          <w:tcPr>
            <w:tcW w:w="817" w:type="dxa"/>
          </w:tcPr>
          <w:p>
            <w:pPr>
              <w:pStyle w:val="TableParagraph"/>
              <w:spacing w:line="263" w:lineRule="exact" w:before="34"/>
              <w:ind w:right="55"/>
              <w:jc w:val="right"/>
              <w:rPr>
                <w:sz w:val="24"/>
              </w:rPr>
            </w:pPr>
            <w:r>
              <w:rPr>
                <w:spacing w:val="-4"/>
                <w:sz w:val="24"/>
              </w:rPr>
              <w:t>1.675</w:t>
            </w:r>
          </w:p>
        </w:tc>
      </w:tr>
      <w:tr>
        <w:trPr>
          <w:trHeight w:val="335" w:hRule="atLeast"/>
        </w:trPr>
        <w:tc>
          <w:tcPr>
            <w:tcW w:w="1803" w:type="dxa"/>
          </w:tcPr>
          <w:p>
            <w:pPr>
              <w:pStyle w:val="TableParagraph"/>
              <w:spacing w:before="34"/>
              <w:ind w:left="7"/>
              <w:rPr>
                <w:sz w:val="24"/>
              </w:rPr>
            </w:pPr>
            <w:r>
              <w:rPr>
                <w:spacing w:val="-5"/>
                <w:sz w:val="24"/>
              </w:rPr>
              <w:t>SE</w:t>
            </w:r>
          </w:p>
        </w:tc>
        <w:tc>
          <w:tcPr>
            <w:tcW w:w="1431" w:type="dxa"/>
          </w:tcPr>
          <w:p>
            <w:pPr>
              <w:pStyle w:val="TableParagraph"/>
              <w:spacing w:before="34"/>
              <w:ind w:right="223"/>
              <w:jc w:val="right"/>
              <w:rPr>
                <w:sz w:val="24"/>
              </w:rPr>
            </w:pPr>
            <w:r>
              <w:rPr>
                <w:spacing w:val="-5"/>
                <w:sz w:val="24"/>
              </w:rPr>
              <w:t>152</w:t>
            </w:r>
          </w:p>
        </w:tc>
        <w:tc>
          <w:tcPr>
            <w:tcW w:w="737" w:type="dxa"/>
          </w:tcPr>
          <w:p>
            <w:pPr>
              <w:pStyle w:val="TableParagraph"/>
              <w:spacing w:before="34"/>
              <w:ind w:right="230"/>
              <w:jc w:val="right"/>
              <w:rPr>
                <w:sz w:val="24"/>
              </w:rPr>
            </w:pPr>
            <w:r>
              <w:rPr>
                <w:spacing w:val="-5"/>
                <w:sz w:val="24"/>
              </w:rPr>
              <w:t>..</w:t>
            </w:r>
          </w:p>
        </w:tc>
        <w:tc>
          <w:tcPr>
            <w:tcW w:w="989" w:type="dxa"/>
          </w:tcPr>
          <w:p>
            <w:pPr>
              <w:pStyle w:val="TableParagraph"/>
              <w:spacing w:before="34"/>
              <w:ind w:right="175"/>
              <w:jc w:val="center"/>
              <w:rPr>
                <w:sz w:val="24"/>
              </w:rPr>
            </w:pPr>
            <w:r>
              <w:rPr>
                <w:spacing w:val="-5"/>
                <w:sz w:val="24"/>
              </w:rPr>
              <w:t>..</w:t>
            </w:r>
          </w:p>
        </w:tc>
        <w:tc>
          <w:tcPr>
            <w:tcW w:w="708" w:type="dxa"/>
          </w:tcPr>
          <w:p>
            <w:pPr>
              <w:pStyle w:val="TableParagraph"/>
              <w:spacing w:before="34"/>
              <w:ind w:left="1" w:right="2"/>
              <w:jc w:val="center"/>
              <w:rPr>
                <w:sz w:val="24"/>
              </w:rPr>
            </w:pPr>
            <w:r>
              <w:rPr>
                <w:spacing w:val="-5"/>
                <w:sz w:val="24"/>
              </w:rPr>
              <w:t>..</w:t>
            </w:r>
          </w:p>
        </w:tc>
        <w:tc>
          <w:tcPr>
            <w:tcW w:w="953" w:type="dxa"/>
          </w:tcPr>
          <w:p>
            <w:pPr>
              <w:pStyle w:val="TableParagraph"/>
              <w:spacing w:before="34"/>
              <w:ind w:right="240"/>
              <w:jc w:val="center"/>
              <w:rPr>
                <w:sz w:val="24"/>
              </w:rPr>
            </w:pPr>
            <w:r>
              <w:rPr>
                <w:spacing w:val="-2"/>
                <w:sz w:val="24"/>
              </w:rPr>
              <w:t>.851</w:t>
            </w:r>
            <w:r>
              <w:rPr>
                <w:spacing w:val="-2"/>
                <w:sz w:val="24"/>
                <w:vertAlign w:val="superscript"/>
              </w:rPr>
              <w:t>**</w:t>
            </w:r>
          </w:p>
        </w:tc>
        <w:tc>
          <w:tcPr>
            <w:tcW w:w="1068" w:type="dxa"/>
          </w:tcPr>
          <w:p>
            <w:pPr>
              <w:pStyle w:val="TableParagraph"/>
              <w:spacing w:before="34"/>
              <w:ind w:right="93"/>
              <w:jc w:val="right"/>
              <w:rPr>
                <w:sz w:val="24"/>
              </w:rPr>
            </w:pPr>
            <w:r>
              <w:rPr>
                <w:spacing w:val="-2"/>
                <w:sz w:val="24"/>
              </w:rPr>
              <w:t>34.32</w:t>
            </w:r>
          </w:p>
        </w:tc>
        <w:tc>
          <w:tcPr>
            <w:tcW w:w="817" w:type="dxa"/>
          </w:tcPr>
          <w:p>
            <w:pPr>
              <w:pStyle w:val="TableParagraph"/>
              <w:spacing w:before="34"/>
              <w:ind w:right="55"/>
              <w:jc w:val="right"/>
              <w:rPr>
                <w:sz w:val="24"/>
              </w:rPr>
            </w:pPr>
            <w:r>
              <w:rPr>
                <w:spacing w:val="-4"/>
                <w:sz w:val="24"/>
              </w:rPr>
              <w:t>9.657</w:t>
            </w:r>
          </w:p>
        </w:tc>
      </w:tr>
      <w:tr>
        <w:trPr>
          <w:trHeight w:val="339" w:hRule="atLeast"/>
        </w:trPr>
        <w:tc>
          <w:tcPr>
            <w:tcW w:w="1803" w:type="dxa"/>
            <w:tcBorders>
              <w:bottom w:val="single" w:sz="4" w:space="0" w:color="000000"/>
            </w:tcBorders>
          </w:tcPr>
          <w:p>
            <w:pPr>
              <w:pStyle w:val="TableParagraph"/>
              <w:spacing w:before="15"/>
              <w:ind w:left="7"/>
              <w:rPr>
                <w:sz w:val="24"/>
              </w:rPr>
            </w:pPr>
            <w:r>
              <w:rPr>
                <w:spacing w:val="-5"/>
                <w:sz w:val="24"/>
              </w:rPr>
              <w:t>CAS</w:t>
            </w:r>
          </w:p>
        </w:tc>
        <w:tc>
          <w:tcPr>
            <w:tcW w:w="1431" w:type="dxa"/>
            <w:tcBorders>
              <w:bottom w:val="single" w:sz="4" w:space="0" w:color="000000"/>
            </w:tcBorders>
          </w:tcPr>
          <w:p>
            <w:pPr>
              <w:pStyle w:val="TableParagraph"/>
              <w:spacing w:before="15"/>
              <w:ind w:right="223"/>
              <w:jc w:val="right"/>
              <w:rPr>
                <w:sz w:val="24"/>
              </w:rPr>
            </w:pPr>
            <w:r>
              <w:rPr>
                <w:spacing w:val="-5"/>
                <w:sz w:val="24"/>
              </w:rPr>
              <w:t>152</w:t>
            </w:r>
          </w:p>
        </w:tc>
        <w:tc>
          <w:tcPr>
            <w:tcW w:w="737" w:type="dxa"/>
            <w:tcBorders>
              <w:bottom w:val="single" w:sz="4" w:space="0" w:color="000000"/>
            </w:tcBorders>
          </w:tcPr>
          <w:p>
            <w:pPr>
              <w:pStyle w:val="TableParagraph"/>
              <w:spacing w:before="15"/>
              <w:ind w:right="230"/>
              <w:jc w:val="right"/>
              <w:rPr>
                <w:sz w:val="24"/>
              </w:rPr>
            </w:pPr>
            <w:r>
              <w:rPr>
                <w:spacing w:val="-5"/>
                <w:sz w:val="24"/>
              </w:rPr>
              <w:t>..</w:t>
            </w:r>
          </w:p>
        </w:tc>
        <w:tc>
          <w:tcPr>
            <w:tcW w:w="989" w:type="dxa"/>
            <w:tcBorders>
              <w:bottom w:val="single" w:sz="4" w:space="0" w:color="000000"/>
            </w:tcBorders>
          </w:tcPr>
          <w:p>
            <w:pPr>
              <w:pStyle w:val="TableParagraph"/>
              <w:spacing w:before="15"/>
              <w:ind w:right="175"/>
              <w:jc w:val="center"/>
              <w:rPr>
                <w:sz w:val="24"/>
              </w:rPr>
            </w:pPr>
            <w:r>
              <w:rPr>
                <w:spacing w:val="-5"/>
                <w:sz w:val="24"/>
              </w:rPr>
              <w:t>..</w:t>
            </w:r>
          </w:p>
        </w:tc>
        <w:tc>
          <w:tcPr>
            <w:tcW w:w="708" w:type="dxa"/>
            <w:tcBorders>
              <w:bottom w:val="single" w:sz="4" w:space="0" w:color="000000"/>
            </w:tcBorders>
          </w:tcPr>
          <w:p>
            <w:pPr>
              <w:pStyle w:val="TableParagraph"/>
              <w:spacing w:before="15"/>
              <w:ind w:left="1" w:right="2"/>
              <w:jc w:val="center"/>
              <w:rPr>
                <w:sz w:val="24"/>
              </w:rPr>
            </w:pPr>
            <w:r>
              <w:rPr>
                <w:spacing w:val="-5"/>
                <w:sz w:val="24"/>
              </w:rPr>
              <w:t>..</w:t>
            </w:r>
          </w:p>
        </w:tc>
        <w:tc>
          <w:tcPr>
            <w:tcW w:w="953" w:type="dxa"/>
            <w:tcBorders>
              <w:bottom w:val="single" w:sz="4" w:space="0" w:color="000000"/>
            </w:tcBorders>
          </w:tcPr>
          <w:p>
            <w:pPr>
              <w:pStyle w:val="TableParagraph"/>
              <w:spacing w:before="15"/>
              <w:ind w:right="240"/>
              <w:jc w:val="center"/>
              <w:rPr>
                <w:sz w:val="24"/>
              </w:rPr>
            </w:pPr>
            <w:r>
              <w:rPr>
                <w:spacing w:val="-5"/>
                <w:sz w:val="24"/>
              </w:rPr>
              <w:t>..</w:t>
            </w:r>
          </w:p>
        </w:tc>
        <w:tc>
          <w:tcPr>
            <w:tcW w:w="1068" w:type="dxa"/>
            <w:tcBorders>
              <w:bottom w:val="single" w:sz="4" w:space="0" w:color="000000"/>
            </w:tcBorders>
          </w:tcPr>
          <w:p>
            <w:pPr>
              <w:pStyle w:val="TableParagraph"/>
              <w:spacing w:before="15"/>
              <w:ind w:right="93"/>
              <w:jc w:val="right"/>
              <w:rPr>
                <w:sz w:val="24"/>
              </w:rPr>
            </w:pPr>
            <w:r>
              <w:rPr>
                <w:spacing w:val="-2"/>
                <w:sz w:val="24"/>
              </w:rPr>
              <w:t>47.95</w:t>
            </w:r>
          </w:p>
        </w:tc>
        <w:tc>
          <w:tcPr>
            <w:tcW w:w="817" w:type="dxa"/>
            <w:tcBorders>
              <w:bottom w:val="single" w:sz="4" w:space="0" w:color="000000"/>
            </w:tcBorders>
          </w:tcPr>
          <w:p>
            <w:pPr>
              <w:pStyle w:val="TableParagraph"/>
              <w:spacing w:before="15"/>
              <w:ind w:right="55"/>
              <w:jc w:val="right"/>
              <w:rPr>
                <w:sz w:val="24"/>
              </w:rPr>
            </w:pPr>
            <w:r>
              <w:rPr>
                <w:spacing w:val="-4"/>
                <w:sz w:val="24"/>
              </w:rPr>
              <w:t>8.432</w:t>
            </w:r>
          </w:p>
        </w:tc>
      </w:tr>
    </w:tbl>
    <w:p>
      <w:pPr>
        <w:pStyle w:val="BodyText"/>
      </w:pPr>
      <w:r>
        <w:rPr/>
        <w:t>**. Correlation</w:t>
      </w:r>
      <w:r>
        <w:rPr>
          <w:spacing w:val="-1"/>
        </w:rPr>
        <w:t> </w:t>
      </w:r>
      <w:r>
        <w:rPr/>
        <w:t>is</w:t>
      </w:r>
      <w:r>
        <w:rPr>
          <w:spacing w:val="-3"/>
        </w:rPr>
        <w:t> </w:t>
      </w:r>
      <w:r>
        <w:rPr/>
        <w:t>significant</w:t>
      </w:r>
      <w:r>
        <w:rPr>
          <w:spacing w:val="4"/>
        </w:rPr>
        <w:t> </w:t>
      </w:r>
      <w:r>
        <w:rPr/>
        <w:t>at</w:t>
      </w:r>
      <w:r>
        <w:rPr>
          <w:spacing w:val="-5"/>
        </w:rPr>
        <w:t> </w:t>
      </w:r>
      <w:r>
        <w:rPr/>
        <w:t>the</w:t>
      </w:r>
      <w:r>
        <w:rPr>
          <w:spacing w:val="-2"/>
        </w:rPr>
        <w:t> </w:t>
      </w:r>
      <w:r>
        <w:rPr/>
        <w:t>0.05</w:t>
      </w:r>
      <w:r>
        <w:rPr>
          <w:spacing w:val="-1"/>
        </w:rPr>
        <w:t> </w:t>
      </w:r>
      <w:r>
        <w:rPr/>
        <w:t>level</w:t>
      </w:r>
      <w:r>
        <w:rPr>
          <w:spacing w:val="-9"/>
        </w:rPr>
        <w:t> </w:t>
      </w:r>
      <w:r>
        <w:rPr/>
        <w:t>(2-</w:t>
      </w:r>
      <w:r>
        <w:rPr>
          <w:spacing w:val="-2"/>
        </w:rPr>
        <w:t>tailed).</w:t>
      </w:r>
    </w:p>
    <w:p>
      <w:pPr>
        <w:pStyle w:val="BodyText"/>
        <w:spacing w:line="480" w:lineRule="auto" w:before="270"/>
        <w:ind w:right="1157" w:firstLine="720"/>
      </w:pPr>
      <w:r>
        <w:rPr/>
        <w:t>Table 4.5 shows the Pearson Product Moment on emotional-intelligence, reasoning ability, self-efficacy and academic achievement of students in chemistry,</w:t>
      </w:r>
      <w:r>
        <w:rPr>
          <w:spacing w:val="40"/>
        </w:rPr>
        <w:t> </w:t>
      </w:r>
      <w:r>
        <w:rPr/>
        <w:t>the six pairs of variables were significantly correlated. The strongest positive correlation, was between self-efficacy and Chemistry Achievement Test scores, r(150)=0.851,</w:t>
      </w:r>
      <w:r>
        <w:rPr>
          <w:spacing w:val="-1"/>
        </w:rPr>
        <w:t> </w:t>
      </w:r>
      <w:r>
        <w:rPr/>
        <w:t>p</w:t>
      </w:r>
      <w:r>
        <w:rPr>
          <w:u w:val="single"/>
        </w:rPr>
        <w:t>&lt;</w:t>
      </w:r>
      <w:r>
        <w:rPr/>
        <w:t>0.05.</w:t>
      </w:r>
      <w:r>
        <w:rPr>
          <w:spacing w:val="-1"/>
        </w:rPr>
        <w:t> </w:t>
      </w:r>
      <w:r>
        <w:rPr/>
        <w:t>This</w:t>
      </w:r>
      <w:r>
        <w:rPr>
          <w:spacing w:val="-1"/>
        </w:rPr>
        <w:t> </w:t>
      </w:r>
      <w:r>
        <w:rPr/>
        <w:t>means</w:t>
      </w:r>
      <w:r>
        <w:rPr>
          <w:spacing w:val="-4"/>
        </w:rPr>
        <w:t> </w:t>
      </w:r>
      <w:r>
        <w:rPr/>
        <w:t>that students</w:t>
      </w:r>
      <w:r>
        <w:rPr>
          <w:spacing w:val="-4"/>
        </w:rPr>
        <w:t> </w:t>
      </w:r>
      <w:r>
        <w:rPr/>
        <w:t>who had</w:t>
      </w:r>
      <w:r>
        <w:rPr>
          <w:spacing w:val="-3"/>
        </w:rPr>
        <w:t> </w:t>
      </w:r>
      <w:r>
        <w:rPr/>
        <w:t>relatively</w:t>
      </w:r>
      <w:r>
        <w:rPr>
          <w:spacing w:val="-3"/>
        </w:rPr>
        <w:t> </w:t>
      </w:r>
      <w:r>
        <w:rPr/>
        <w:t>high</w:t>
      </w:r>
      <w:r>
        <w:rPr>
          <w:spacing w:val="-7"/>
        </w:rPr>
        <w:t> </w:t>
      </w:r>
      <w:r>
        <w:rPr/>
        <w:t>scores</w:t>
      </w:r>
      <w:r>
        <w:rPr>
          <w:spacing w:val="-1"/>
        </w:rPr>
        <w:t> </w:t>
      </w:r>
      <w:r>
        <w:rPr/>
        <w:t>in self- efficacy were likely to have high scores in Chemistry Achievement Test. The least positive correlation was between reasoning ability and chemistry achievement test scores (r=0.797, p&lt;0.05). All the relationships had a large effect size according to Cohen (1988). There was significant relationship between the mean emotional- intelligence, reasoning</w:t>
      </w:r>
      <w:r>
        <w:rPr>
          <w:spacing w:val="-2"/>
        </w:rPr>
        <w:t> </w:t>
      </w:r>
      <w:r>
        <w:rPr/>
        <w:t>ability, self-efficacy</w:t>
      </w:r>
      <w:r>
        <w:rPr>
          <w:spacing w:val="-1"/>
        </w:rPr>
        <w:t> </w:t>
      </w:r>
      <w:r>
        <w:rPr/>
        <w:t>and</w:t>
      </w:r>
      <w:r>
        <w:rPr>
          <w:spacing w:val="-2"/>
        </w:rPr>
        <w:t> </w:t>
      </w:r>
      <w:r>
        <w:rPr/>
        <w:t>academic achievement scores</w:t>
      </w:r>
      <w:r>
        <w:rPr>
          <w:spacing w:val="-4"/>
        </w:rPr>
        <w:t> </w:t>
      </w:r>
      <w:r>
        <w:rPr/>
        <w:t>of</w:t>
      </w:r>
      <w:r>
        <w:rPr>
          <w:spacing w:val="-9"/>
        </w:rPr>
        <w:t> </w:t>
      </w:r>
      <w:r>
        <w:rPr/>
        <w:t>SS</w:t>
      </w:r>
      <w:r>
        <w:rPr>
          <w:spacing w:val="-2"/>
        </w:rPr>
        <w:t> </w:t>
      </w:r>
      <w:r>
        <w:rPr/>
        <w:t>II students in chemistry. Therefore, the null hypothesis that stated no significant relationship was rejected.</w:t>
      </w:r>
    </w:p>
    <w:p>
      <w:pPr>
        <w:pStyle w:val="Heading3"/>
        <w:spacing w:before="248"/>
        <w:ind w:left="480" w:firstLine="0"/>
      </w:pPr>
      <w:r>
        <w:rPr/>
        <w:t>Null</w:t>
      </w:r>
      <w:r>
        <w:rPr>
          <w:spacing w:val="-6"/>
        </w:rPr>
        <w:t> </w:t>
      </w:r>
      <w:r>
        <w:rPr/>
        <w:t>Hypothesis</w:t>
      </w:r>
      <w:r>
        <w:rPr>
          <w:spacing w:val="-1"/>
        </w:rPr>
        <w:t> </w:t>
      </w:r>
      <w:r>
        <w:rPr>
          <w:spacing w:val="-5"/>
        </w:rPr>
        <w:t>Two</w:t>
      </w:r>
    </w:p>
    <w:p>
      <w:pPr>
        <w:pStyle w:val="BodyText"/>
        <w:spacing w:line="480" w:lineRule="auto" w:before="271"/>
        <w:ind w:left="1109" w:right="1150"/>
      </w:pPr>
      <w:r>
        <w:rPr/>
        <w:t>There is no significant relationship in the mean scores of SSII male chemistry students</w:t>
      </w:r>
      <w:r>
        <w:rPr>
          <w:spacing w:val="-5"/>
        </w:rPr>
        <w:t> </w:t>
      </w:r>
      <w:r>
        <w:rPr/>
        <w:t>in</w:t>
      </w:r>
      <w:r>
        <w:rPr>
          <w:spacing w:val="-8"/>
        </w:rPr>
        <w:t> </w:t>
      </w:r>
      <w:r>
        <w:rPr/>
        <w:t>emotional-intelligence,</w:t>
      </w:r>
      <w:r>
        <w:rPr>
          <w:spacing w:val="-1"/>
        </w:rPr>
        <w:t> </w:t>
      </w:r>
      <w:r>
        <w:rPr/>
        <w:t>reasoning</w:t>
      </w:r>
      <w:r>
        <w:rPr>
          <w:spacing w:val="-3"/>
        </w:rPr>
        <w:t> </w:t>
      </w:r>
      <w:r>
        <w:rPr/>
        <w:t>ability, self-efficacy</w:t>
      </w:r>
      <w:r>
        <w:rPr>
          <w:spacing w:val="-8"/>
        </w:rPr>
        <w:t> </w:t>
      </w:r>
      <w:r>
        <w:rPr/>
        <w:t>and</w:t>
      </w:r>
      <w:r>
        <w:rPr>
          <w:spacing w:val="-3"/>
        </w:rPr>
        <w:t> </w:t>
      </w:r>
      <w:r>
        <w:rPr/>
        <w:t>academic achievement in chemistry?</w:t>
      </w:r>
    </w:p>
    <w:p>
      <w:pPr>
        <w:pStyle w:val="BodyText"/>
        <w:spacing w:line="480" w:lineRule="auto"/>
        <w:ind w:right="1170" w:firstLine="720"/>
      </w:pPr>
      <w:r>
        <w:rPr/>
        <w:t>To test this null hypothesis, an inferential statistic of Pearson Correlation was used. The summary of the computation is presented in Table 4.6.</w:t>
      </w:r>
    </w:p>
    <w:p>
      <w:pPr>
        <w:spacing w:after="0" w:line="480" w:lineRule="auto"/>
        <w:sectPr>
          <w:pgSz w:w="11910" w:h="16840"/>
          <w:pgMar w:header="0" w:footer="1012" w:top="1340" w:bottom="1200" w:left="1680" w:right="280"/>
        </w:sectPr>
      </w:pPr>
    </w:p>
    <w:p>
      <w:pPr>
        <w:pStyle w:val="Heading3"/>
        <w:spacing w:before="78"/>
        <w:ind w:left="1830" w:right="1155" w:hanging="1350"/>
      </w:pPr>
      <w:r>
        <w:rPr/>
        <w:t>Table 4.6: Summary of Pearson Correlation on Emotional-intelligence, Reasoning Ability, Self- efficacy and Academic Achievement of Male Students</w:t>
      </w:r>
    </w:p>
    <w:p>
      <w:pPr>
        <w:pStyle w:val="BodyText"/>
        <w:spacing w:before="2"/>
        <w:ind w:left="0"/>
        <w:jc w:val="left"/>
        <w:rPr>
          <w:b/>
          <w:sz w:val="20"/>
        </w:rPr>
      </w:pPr>
    </w:p>
    <w:tbl>
      <w:tblPr>
        <w:tblW w:w="0" w:type="auto"/>
        <w:jc w:val="left"/>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3"/>
        <w:gridCol w:w="1151"/>
        <w:gridCol w:w="775"/>
        <w:gridCol w:w="776"/>
        <w:gridCol w:w="814"/>
        <w:gridCol w:w="869"/>
        <w:gridCol w:w="960"/>
        <w:gridCol w:w="1722"/>
      </w:tblGrid>
      <w:tr>
        <w:trPr>
          <w:trHeight w:val="324" w:hRule="atLeast"/>
        </w:trPr>
        <w:tc>
          <w:tcPr>
            <w:tcW w:w="1183" w:type="dxa"/>
            <w:tcBorders>
              <w:top w:val="double" w:sz="12" w:space="0" w:color="000000"/>
              <w:bottom w:val="single" w:sz="4" w:space="0" w:color="000000"/>
            </w:tcBorders>
          </w:tcPr>
          <w:p>
            <w:pPr>
              <w:pStyle w:val="TableParagraph"/>
              <w:rPr>
                <w:sz w:val="22"/>
              </w:rPr>
            </w:pPr>
          </w:p>
        </w:tc>
        <w:tc>
          <w:tcPr>
            <w:tcW w:w="1151" w:type="dxa"/>
            <w:tcBorders>
              <w:top w:val="double" w:sz="12" w:space="0" w:color="000000"/>
              <w:bottom w:val="single" w:sz="4" w:space="0" w:color="000000"/>
            </w:tcBorders>
          </w:tcPr>
          <w:p>
            <w:pPr>
              <w:pStyle w:val="TableParagraph"/>
              <w:spacing w:line="261" w:lineRule="exact" w:before="43"/>
              <w:ind w:right="228"/>
              <w:jc w:val="right"/>
              <w:rPr>
                <w:b/>
                <w:sz w:val="24"/>
              </w:rPr>
            </w:pPr>
            <w:r>
              <w:rPr>
                <w:b/>
                <w:spacing w:val="-10"/>
                <w:sz w:val="24"/>
              </w:rPr>
              <w:t>N</w:t>
            </w:r>
          </w:p>
        </w:tc>
        <w:tc>
          <w:tcPr>
            <w:tcW w:w="775" w:type="dxa"/>
            <w:tcBorders>
              <w:top w:val="double" w:sz="12" w:space="0" w:color="000000"/>
              <w:bottom w:val="single" w:sz="4" w:space="0" w:color="000000"/>
            </w:tcBorders>
          </w:tcPr>
          <w:p>
            <w:pPr>
              <w:pStyle w:val="TableParagraph"/>
              <w:spacing w:line="261" w:lineRule="exact" w:before="43"/>
              <w:ind w:left="98" w:right="1"/>
              <w:jc w:val="center"/>
              <w:rPr>
                <w:b/>
                <w:sz w:val="24"/>
              </w:rPr>
            </w:pPr>
            <w:r>
              <w:rPr>
                <w:b/>
                <w:spacing w:val="-5"/>
                <w:sz w:val="24"/>
              </w:rPr>
              <w:t>CAS</w:t>
            </w:r>
          </w:p>
        </w:tc>
        <w:tc>
          <w:tcPr>
            <w:tcW w:w="776" w:type="dxa"/>
            <w:tcBorders>
              <w:top w:val="double" w:sz="12" w:space="0" w:color="000000"/>
              <w:bottom w:val="single" w:sz="4" w:space="0" w:color="000000"/>
            </w:tcBorders>
          </w:tcPr>
          <w:p>
            <w:pPr>
              <w:pStyle w:val="TableParagraph"/>
              <w:spacing w:line="261" w:lineRule="exact" w:before="43"/>
              <w:ind w:left="7" w:right="8"/>
              <w:jc w:val="center"/>
              <w:rPr>
                <w:b/>
                <w:sz w:val="24"/>
              </w:rPr>
            </w:pPr>
            <w:r>
              <w:rPr>
                <w:b/>
                <w:spacing w:val="-5"/>
                <w:sz w:val="24"/>
              </w:rPr>
              <w:t>EI</w:t>
            </w:r>
          </w:p>
        </w:tc>
        <w:tc>
          <w:tcPr>
            <w:tcW w:w="814" w:type="dxa"/>
            <w:tcBorders>
              <w:top w:val="double" w:sz="12" w:space="0" w:color="000000"/>
              <w:bottom w:val="single" w:sz="4" w:space="0" w:color="000000"/>
            </w:tcBorders>
          </w:tcPr>
          <w:p>
            <w:pPr>
              <w:pStyle w:val="TableParagraph"/>
              <w:spacing w:line="261" w:lineRule="exact" w:before="43"/>
              <w:ind w:left="9" w:right="34"/>
              <w:jc w:val="center"/>
              <w:rPr>
                <w:b/>
                <w:sz w:val="24"/>
              </w:rPr>
            </w:pPr>
            <w:r>
              <w:rPr>
                <w:b/>
                <w:spacing w:val="-5"/>
                <w:sz w:val="24"/>
              </w:rPr>
              <w:t>RA</w:t>
            </w:r>
          </w:p>
        </w:tc>
        <w:tc>
          <w:tcPr>
            <w:tcW w:w="869" w:type="dxa"/>
            <w:tcBorders>
              <w:top w:val="double" w:sz="12" w:space="0" w:color="000000"/>
              <w:bottom w:val="single" w:sz="4" w:space="0" w:color="000000"/>
            </w:tcBorders>
          </w:tcPr>
          <w:p>
            <w:pPr>
              <w:pStyle w:val="TableParagraph"/>
              <w:spacing w:line="261" w:lineRule="exact" w:before="43"/>
              <w:ind w:left="8" w:right="18"/>
              <w:jc w:val="center"/>
              <w:rPr>
                <w:b/>
                <w:sz w:val="24"/>
              </w:rPr>
            </w:pPr>
            <w:r>
              <w:rPr>
                <w:b/>
                <w:spacing w:val="-5"/>
                <w:sz w:val="24"/>
              </w:rPr>
              <w:t>SE</w:t>
            </w:r>
          </w:p>
        </w:tc>
        <w:tc>
          <w:tcPr>
            <w:tcW w:w="960" w:type="dxa"/>
            <w:tcBorders>
              <w:top w:val="double" w:sz="12" w:space="0" w:color="000000"/>
              <w:bottom w:val="single" w:sz="4" w:space="0" w:color="000000"/>
            </w:tcBorders>
          </w:tcPr>
          <w:p>
            <w:pPr>
              <w:pStyle w:val="TableParagraph"/>
              <w:spacing w:line="261" w:lineRule="exact" w:before="43"/>
              <w:ind w:left="14" w:right="6"/>
              <w:jc w:val="center"/>
              <w:rPr>
                <w:b/>
                <w:sz w:val="24"/>
              </w:rPr>
            </w:pPr>
            <w:r>
              <w:rPr>
                <w:b/>
                <w:spacing w:val="-4"/>
                <w:sz w:val="24"/>
              </w:rPr>
              <w:t>Mean</w:t>
            </w:r>
          </w:p>
        </w:tc>
        <w:tc>
          <w:tcPr>
            <w:tcW w:w="1722" w:type="dxa"/>
            <w:tcBorders>
              <w:top w:val="double" w:sz="12" w:space="0" w:color="000000"/>
              <w:bottom w:val="single" w:sz="4" w:space="0" w:color="000000"/>
            </w:tcBorders>
          </w:tcPr>
          <w:p>
            <w:pPr>
              <w:pStyle w:val="TableParagraph"/>
              <w:spacing w:line="261" w:lineRule="exact" w:before="43"/>
              <w:ind w:left="20" w:right="3"/>
              <w:jc w:val="center"/>
              <w:rPr>
                <w:b/>
                <w:sz w:val="24"/>
              </w:rPr>
            </w:pPr>
            <w:r>
              <w:rPr>
                <w:b/>
                <w:sz w:val="24"/>
              </w:rPr>
              <w:t>Std. </w:t>
            </w:r>
            <w:r>
              <w:rPr>
                <w:b/>
                <w:spacing w:val="-2"/>
                <w:sz w:val="24"/>
              </w:rPr>
              <w:t>Deviation</w:t>
            </w:r>
          </w:p>
        </w:tc>
      </w:tr>
      <w:tr>
        <w:trPr>
          <w:trHeight w:val="317" w:hRule="atLeast"/>
        </w:trPr>
        <w:tc>
          <w:tcPr>
            <w:tcW w:w="1183" w:type="dxa"/>
            <w:tcBorders>
              <w:top w:val="single" w:sz="4" w:space="0" w:color="000000"/>
            </w:tcBorders>
          </w:tcPr>
          <w:p>
            <w:pPr>
              <w:pStyle w:val="TableParagraph"/>
              <w:spacing w:line="263" w:lineRule="exact" w:before="35"/>
              <w:ind w:left="14"/>
              <w:rPr>
                <w:sz w:val="24"/>
              </w:rPr>
            </w:pPr>
            <w:r>
              <w:rPr>
                <w:spacing w:val="-5"/>
                <w:sz w:val="24"/>
              </w:rPr>
              <w:t>CAS</w:t>
            </w:r>
          </w:p>
        </w:tc>
        <w:tc>
          <w:tcPr>
            <w:tcW w:w="1151" w:type="dxa"/>
            <w:tcBorders>
              <w:top w:val="single" w:sz="4" w:space="0" w:color="000000"/>
            </w:tcBorders>
          </w:tcPr>
          <w:p>
            <w:pPr>
              <w:pStyle w:val="TableParagraph"/>
              <w:spacing w:line="263" w:lineRule="exact" w:before="35"/>
              <w:ind w:right="195"/>
              <w:jc w:val="right"/>
              <w:rPr>
                <w:sz w:val="24"/>
              </w:rPr>
            </w:pPr>
            <w:r>
              <w:rPr>
                <w:spacing w:val="-5"/>
                <w:sz w:val="24"/>
              </w:rPr>
              <w:t>89</w:t>
            </w:r>
          </w:p>
        </w:tc>
        <w:tc>
          <w:tcPr>
            <w:tcW w:w="775" w:type="dxa"/>
            <w:tcBorders>
              <w:top w:val="single" w:sz="4" w:space="0" w:color="000000"/>
            </w:tcBorders>
          </w:tcPr>
          <w:p>
            <w:pPr>
              <w:pStyle w:val="TableParagraph"/>
              <w:spacing w:line="263" w:lineRule="exact" w:before="35"/>
              <w:ind w:left="98"/>
              <w:jc w:val="center"/>
              <w:rPr>
                <w:sz w:val="24"/>
              </w:rPr>
            </w:pPr>
            <w:r>
              <w:rPr>
                <w:spacing w:val="-5"/>
                <w:sz w:val="24"/>
              </w:rPr>
              <w:t>..</w:t>
            </w:r>
          </w:p>
        </w:tc>
        <w:tc>
          <w:tcPr>
            <w:tcW w:w="776" w:type="dxa"/>
            <w:tcBorders>
              <w:top w:val="single" w:sz="4" w:space="0" w:color="000000"/>
            </w:tcBorders>
          </w:tcPr>
          <w:p>
            <w:pPr>
              <w:pStyle w:val="TableParagraph"/>
              <w:spacing w:line="263" w:lineRule="exact" w:before="35"/>
              <w:ind w:left="7" w:right="7"/>
              <w:jc w:val="center"/>
              <w:rPr>
                <w:sz w:val="24"/>
              </w:rPr>
            </w:pPr>
            <w:r>
              <w:rPr>
                <w:spacing w:val="-2"/>
                <w:sz w:val="24"/>
              </w:rPr>
              <w:t>.804</w:t>
            </w:r>
            <w:r>
              <w:rPr>
                <w:spacing w:val="-2"/>
                <w:sz w:val="24"/>
                <w:vertAlign w:val="superscript"/>
              </w:rPr>
              <w:t>**</w:t>
            </w:r>
          </w:p>
        </w:tc>
        <w:tc>
          <w:tcPr>
            <w:tcW w:w="814" w:type="dxa"/>
            <w:tcBorders>
              <w:top w:val="single" w:sz="4" w:space="0" w:color="000000"/>
            </w:tcBorders>
          </w:tcPr>
          <w:p>
            <w:pPr>
              <w:pStyle w:val="TableParagraph"/>
              <w:spacing w:line="263" w:lineRule="exact" w:before="35"/>
              <w:ind w:right="34"/>
              <w:jc w:val="center"/>
              <w:rPr>
                <w:sz w:val="24"/>
              </w:rPr>
            </w:pPr>
            <w:r>
              <w:rPr>
                <w:spacing w:val="-2"/>
                <w:sz w:val="24"/>
              </w:rPr>
              <w:t>.800</w:t>
            </w:r>
            <w:r>
              <w:rPr>
                <w:spacing w:val="-2"/>
                <w:sz w:val="24"/>
                <w:vertAlign w:val="superscript"/>
              </w:rPr>
              <w:t>**</w:t>
            </w:r>
          </w:p>
        </w:tc>
        <w:tc>
          <w:tcPr>
            <w:tcW w:w="869" w:type="dxa"/>
            <w:tcBorders>
              <w:top w:val="single" w:sz="4" w:space="0" w:color="000000"/>
            </w:tcBorders>
          </w:tcPr>
          <w:p>
            <w:pPr>
              <w:pStyle w:val="TableParagraph"/>
              <w:spacing w:line="263" w:lineRule="exact" w:before="35"/>
              <w:ind w:right="18"/>
              <w:jc w:val="center"/>
              <w:rPr>
                <w:sz w:val="24"/>
              </w:rPr>
            </w:pPr>
            <w:r>
              <w:rPr>
                <w:spacing w:val="-2"/>
                <w:sz w:val="24"/>
              </w:rPr>
              <w:t>.813</w:t>
            </w:r>
            <w:r>
              <w:rPr>
                <w:spacing w:val="-2"/>
                <w:sz w:val="24"/>
                <w:vertAlign w:val="superscript"/>
              </w:rPr>
              <w:t>**</w:t>
            </w:r>
          </w:p>
        </w:tc>
        <w:tc>
          <w:tcPr>
            <w:tcW w:w="960" w:type="dxa"/>
            <w:tcBorders>
              <w:top w:val="single" w:sz="4" w:space="0" w:color="000000"/>
            </w:tcBorders>
          </w:tcPr>
          <w:p>
            <w:pPr>
              <w:pStyle w:val="TableParagraph"/>
              <w:spacing w:line="263" w:lineRule="exact" w:before="35"/>
              <w:ind w:left="14" w:right="5"/>
              <w:jc w:val="center"/>
              <w:rPr>
                <w:sz w:val="24"/>
              </w:rPr>
            </w:pPr>
            <w:r>
              <w:rPr>
                <w:spacing w:val="-2"/>
                <w:sz w:val="24"/>
              </w:rPr>
              <w:t>47.49</w:t>
            </w:r>
          </w:p>
        </w:tc>
        <w:tc>
          <w:tcPr>
            <w:tcW w:w="1722" w:type="dxa"/>
            <w:tcBorders>
              <w:top w:val="single" w:sz="4" w:space="0" w:color="000000"/>
            </w:tcBorders>
          </w:tcPr>
          <w:p>
            <w:pPr>
              <w:pStyle w:val="TableParagraph"/>
              <w:spacing w:line="263" w:lineRule="exact" w:before="35"/>
              <w:ind w:left="20" w:right="4"/>
              <w:jc w:val="center"/>
              <w:rPr>
                <w:sz w:val="24"/>
              </w:rPr>
            </w:pPr>
            <w:r>
              <w:rPr>
                <w:spacing w:val="-4"/>
                <w:sz w:val="24"/>
              </w:rPr>
              <w:t>8.301</w:t>
            </w:r>
          </w:p>
        </w:tc>
      </w:tr>
      <w:tr>
        <w:trPr>
          <w:trHeight w:val="319" w:hRule="atLeast"/>
        </w:trPr>
        <w:tc>
          <w:tcPr>
            <w:tcW w:w="1183" w:type="dxa"/>
          </w:tcPr>
          <w:p>
            <w:pPr>
              <w:pStyle w:val="TableParagraph"/>
              <w:spacing w:line="265" w:lineRule="exact" w:before="34"/>
              <w:ind w:left="14"/>
              <w:rPr>
                <w:sz w:val="24"/>
              </w:rPr>
            </w:pPr>
            <w:r>
              <w:rPr>
                <w:spacing w:val="-5"/>
                <w:sz w:val="24"/>
              </w:rPr>
              <w:t>EI</w:t>
            </w:r>
          </w:p>
        </w:tc>
        <w:tc>
          <w:tcPr>
            <w:tcW w:w="1151" w:type="dxa"/>
          </w:tcPr>
          <w:p>
            <w:pPr>
              <w:pStyle w:val="TableParagraph"/>
              <w:spacing w:line="265" w:lineRule="exact" w:before="34"/>
              <w:ind w:right="195"/>
              <w:jc w:val="right"/>
              <w:rPr>
                <w:sz w:val="24"/>
              </w:rPr>
            </w:pPr>
            <w:r>
              <w:rPr>
                <w:spacing w:val="-5"/>
                <w:sz w:val="24"/>
              </w:rPr>
              <w:t>89</w:t>
            </w:r>
          </w:p>
        </w:tc>
        <w:tc>
          <w:tcPr>
            <w:tcW w:w="775" w:type="dxa"/>
          </w:tcPr>
          <w:p>
            <w:pPr>
              <w:pStyle w:val="TableParagraph"/>
              <w:spacing w:line="265" w:lineRule="exact" w:before="34"/>
              <w:ind w:left="98" w:right="3"/>
              <w:jc w:val="center"/>
              <w:rPr>
                <w:sz w:val="24"/>
              </w:rPr>
            </w:pPr>
            <w:r>
              <w:rPr>
                <w:spacing w:val="-5"/>
                <w:sz w:val="24"/>
              </w:rPr>
              <w:t>..</w:t>
            </w:r>
          </w:p>
        </w:tc>
        <w:tc>
          <w:tcPr>
            <w:tcW w:w="776" w:type="dxa"/>
          </w:tcPr>
          <w:p>
            <w:pPr>
              <w:pStyle w:val="TableParagraph"/>
              <w:spacing w:line="265" w:lineRule="exact" w:before="34"/>
              <w:ind w:left="8" w:right="1"/>
              <w:jc w:val="center"/>
              <w:rPr>
                <w:sz w:val="24"/>
              </w:rPr>
            </w:pPr>
            <w:r>
              <w:rPr>
                <w:spacing w:val="-5"/>
                <w:sz w:val="24"/>
              </w:rPr>
              <w:t>..</w:t>
            </w:r>
          </w:p>
        </w:tc>
        <w:tc>
          <w:tcPr>
            <w:tcW w:w="814" w:type="dxa"/>
          </w:tcPr>
          <w:p>
            <w:pPr>
              <w:pStyle w:val="TableParagraph"/>
              <w:spacing w:line="265" w:lineRule="exact" w:before="34"/>
              <w:ind w:right="34"/>
              <w:jc w:val="center"/>
              <w:rPr>
                <w:sz w:val="24"/>
              </w:rPr>
            </w:pPr>
            <w:r>
              <w:rPr>
                <w:spacing w:val="-2"/>
                <w:sz w:val="24"/>
              </w:rPr>
              <w:t>.701</w:t>
            </w:r>
            <w:r>
              <w:rPr>
                <w:spacing w:val="-2"/>
                <w:sz w:val="24"/>
                <w:vertAlign w:val="superscript"/>
              </w:rPr>
              <w:t>**</w:t>
            </w:r>
          </w:p>
        </w:tc>
        <w:tc>
          <w:tcPr>
            <w:tcW w:w="869" w:type="dxa"/>
          </w:tcPr>
          <w:p>
            <w:pPr>
              <w:pStyle w:val="TableParagraph"/>
              <w:spacing w:line="265" w:lineRule="exact" w:before="34"/>
              <w:ind w:right="18"/>
              <w:jc w:val="center"/>
              <w:rPr>
                <w:sz w:val="24"/>
              </w:rPr>
            </w:pPr>
            <w:r>
              <w:rPr>
                <w:spacing w:val="-2"/>
                <w:sz w:val="24"/>
              </w:rPr>
              <w:t>.682</w:t>
            </w:r>
            <w:r>
              <w:rPr>
                <w:spacing w:val="-2"/>
                <w:sz w:val="24"/>
                <w:vertAlign w:val="superscript"/>
              </w:rPr>
              <w:t>**</w:t>
            </w:r>
          </w:p>
        </w:tc>
        <w:tc>
          <w:tcPr>
            <w:tcW w:w="960" w:type="dxa"/>
          </w:tcPr>
          <w:p>
            <w:pPr>
              <w:pStyle w:val="TableParagraph"/>
              <w:spacing w:line="265" w:lineRule="exact" w:before="34"/>
              <w:ind w:left="14"/>
              <w:jc w:val="center"/>
              <w:rPr>
                <w:sz w:val="24"/>
              </w:rPr>
            </w:pPr>
            <w:r>
              <w:rPr>
                <w:spacing w:val="-2"/>
                <w:sz w:val="24"/>
              </w:rPr>
              <w:t>129.60</w:t>
            </w:r>
          </w:p>
        </w:tc>
        <w:tc>
          <w:tcPr>
            <w:tcW w:w="1722" w:type="dxa"/>
          </w:tcPr>
          <w:p>
            <w:pPr>
              <w:pStyle w:val="TableParagraph"/>
              <w:spacing w:line="265" w:lineRule="exact" w:before="34"/>
              <w:ind w:left="20"/>
              <w:jc w:val="center"/>
              <w:rPr>
                <w:sz w:val="24"/>
              </w:rPr>
            </w:pPr>
            <w:r>
              <w:rPr>
                <w:spacing w:val="-2"/>
                <w:sz w:val="24"/>
              </w:rPr>
              <w:t>34.121</w:t>
            </w:r>
          </w:p>
        </w:tc>
      </w:tr>
      <w:tr>
        <w:trPr>
          <w:trHeight w:val="340" w:hRule="atLeast"/>
        </w:trPr>
        <w:tc>
          <w:tcPr>
            <w:tcW w:w="1183" w:type="dxa"/>
          </w:tcPr>
          <w:p>
            <w:pPr>
              <w:pStyle w:val="TableParagraph"/>
              <w:spacing w:before="36"/>
              <w:ind w:left="14"/>
              <w:rPr>
                <w:sz w:val="24"/>
              </w:rPr>
            </w:pPr>
            <w:r>
              <w:rPr>
                <w:spacing w:val="-5"/>
                <w:sz w:val="24"/>
              </w:rPr>
              <w:t>RA</w:t>
            </w:r>
          </w:p>
        </w:tc>
        <w:tc>
          <w:tcPr>
            <w:tcW w:w="1151" w:type="dxa"/>
          </w:tcPr>
          <w:p>
            <w:pPr>
              <w:pStyle w:val="TableParagraph"/>
              <w:spacing w:before="36"/>
              <w:ind w:right="195"/>
              <w:jc w:val="right"/>
              <w:rPr>
                <w:sz w:val="24"/>
              </w:rPr>
            </w:pPr>
            <w:r>
              <w:rPr>
                <w:spacing w:val="-5"/>
                <w:sz w:val="24"/>
              </w:rPr>
              <w:t>89</w:t>
            </w:r>
          </w:p>
        </w:tc>
        <w:tc>
          <w:tcPr>
            <w:tcW w:w="775" w:type="dxa"/>
          </w:tcPr>
          <w:p>
            <w:pPr>
              <w:pStyle w:val="TableParagraph"/>
              <w:spacing w:before="36"/>
              <w:ind w:left="98" w:right="3"/>
              <w:jc w:val="center"/>
              <w:rPr>
                <w:sz w:val="24"/>
              </w:rPr>
            </w:pPr>
            <w:r>
              <w:rPr>
                <w:spacing w:val="-5"/>
                <w:sz w:val="24"/>
              </w:rPr>
              <w:t>..</w:t>
            </w:r>
          </w:p>
        </w:tc>
        <w:tc>
          <w:tcPr>
            <w:tcW w:w="776" w:type="dxa"/>
          </w:tcPr>
          <w:p>
            <w:pPr>
              <w:pStyle w:val="TableParagraph"/>
              <w:spacing w:before="36"/>
              <w:ind w:left="7" w:right="3"/>
              <w:jc w:val="center"/>
              <w:rPr>
                <w:sz w:val="24"/>
              </w:rPr>
            </w:pPr>
            <w:r>
              <w:rPr>
                <w:spacing w:val="-5"/>
                <w:sz w:val="24"/>
              </w:rPr>
              <w:t>..</w:t>
            </w:r>
          </w:p>
        </w:tc>
        <w:tc>
          <w:tcPr>
            <w:tcW w:w="814" w:type="dxa"/>
          </w:tcPr>
          <w:p>
            <w:pPr>
              <w:pStyle w:val="TableParagraph"/>
              <w:spacing w:before="36"/>
              <w:ind w:left="9" w:right="34"/>
              <w:jc w:val="center"/>
              <w:rPr>
                <w:sz w:val="24"/>
              </w:rPr>
            </w:pPr>
            <w:r>
              <w:rPr>
                <w:spacing w:val="-5"/>
                <w:sz w:val="24"/>
              </w:rPr>
              <w:t>..</w:t>
            </w:r>
          </w:p>
        </w:tc>
        <w:tc>
          <w:tcPr>
            <w:tcW w:w="869" w:type="dxa"/>
          </w:tcPr>
          <w:p>
            <w:pPr>
              <w:pStyle w:val="TableParagraph"/>
              <w:spacing w:before="36"/>
              <w:ind w:right="18"/>
              <w:jc w:val="center"/>
              <w:rPr>
                <w:sz w:val="24"/>
              </w:rPr>
            </w:pPr>
            <w:r>
              <w:rPr>
                <w:spacing w:val="-2"/>
                <w:sz w:val="24"/>
              </w:rPr>
              <w:t>.614</w:t>
            </w:r>
            <w:r>
              <w:rPr>
                <w:spacing w:val="-2"/>
                <w:sz w:val="24"/>
                <w:vertAlign w:val="superscript"/>
              </w:rPr>
              <w:t>**</w:t>
            </w:r>
          </w:p>
        </w:tc>
        <w:tc>
          <w:tcPr>
            <w:tcW w:w="960" w:type="dxa"/>
          </w:tcPr>
          <w:p>
            <w:pPr>
              <w:pStyle w:val="TableParagraph"/>
              <w:spacing w:before="36"/>
              <w:ind w:left="14"/>
              <w:jc w:val="center"/>
              <w:rPr>
                <w:sz w:val="24"/>
              </w:rPr>
            </w:pPr>
            <w:r>
              <w:rPr>
                <w:spacing w:val="-4"/>
                <w:sz w:val="24"/>
              </w:rPr>
              <w:t>4.45</w:t>
            </w:r>
          </w:p>
        </w:tc>
        <w:tc>
          <w:tcPr>
            <w:tcW w:w="1722" w:type="dxa"/>
          </w:tcPr>
          <w:p>
            <w:pPr>
              <w:pStyle w:val="TableParagraph"/>
              <w:spacing w:before="36"/>
              <w:ind w:left="20" w:right="4"/>
              <w:jc w:val="center"/>
              <w:rPr>
                <w:sz w:val="24"/>
              </w:rPr>
            </w:pPr>
            <w:r>
              <w:rPr>
                <w:spacing w:val="-4"/>
                <w:sz w:val="24"/>
              </w:rPr>
              <w:t>1.752</w:t>
            </w:r>
          </w:p>
        </w:tc>
      </w:tr>
      <w:tr>
        <w:trPr>
          <w:trHeight w:val="299" w:hRule="atLeast"/>
        </w:trPr>
        <w:tc>
          <w:tcPr>
            <w:tcW w:w="1183" w:type="dxa"/>
            <w:tcBorders>
              <w:bottom w:val="single" w:sz="4" w:space="0" w:color="000000"/>
            </w:tcBorders>
          </w:tcPr>
          <w:p>
            <w:pPr>
              <w:pStyle w:val="TableParagraph"/>
              <w:spacing w:line="262" w:lineRule="exact" w:before="17"/>
              <w:ind w:left="14"/>
              <w:rPr>
                <w:sz w:val="24"/>
              </w:rPr>
            </w:pPr>
            <w:r>
              <w:rPr>
                <w:spacing w:val="-5"/>
                <w:sz w:val="24"/>
              </w:rPr>
              <w:t>SE</w:t>
            </w:r>
          </w:p>
        </w:tc>
        <w:tc>
          <w:tcPr>
            <w:tcW w:w="1151" w:type="dxa"/>
            <w:tcBorders>
              <w:bottom w:val="single" w:sz="4" w:space="0" w:color="000000"/>
            </w:tcBorders>
          </w:tcPr>
          <w:p>
            <w:pPr>
              <w:pStyle w:val="TableParagraph"/>
              <w:spacing w:line="262" w:lineRule="exact" w:before="17"/>
              <w:ind w:right="195"/>
              <w:jc w:val="right"/>
              <w:rPr>
                <w:sz w:val="24"/>
              </w:rPr>
            </w:pPr>
            <w:r>
              <w:rPr>
                <w:spacing w:val="-5"/>
                <w:sz w:val="24"/>
              </w:rPr>
              <w:t>89</w:t>
            </w:r>
          </w:p>
        </w:tc>
        <w:tc>
          <w:tcPr>
            <w:tcW w:w="775" w:type="dxa"/>
            <w:tcBorders>
              <w:bottom w:val="single" w:sz="4" w:space="0" w:color="000000"/>
            </w:tcBorders>
          </w:tcPr>
          <w:p>
            <w:pPr>
              <w:pStyle w:val="TableParagraph"/>
              <w:spacing w:line="262" w:lineRule="exact" w:before="17"/>
              <w:ind w:left="98" w:right="3"/>
              <w:jc w:val="center"/>
              <w:rPr>
                <w:sz w:val="24"/>
              </w:rPr>
            </w:pPr>
            <w:r>
              <w:rPr>
                <w:spacing w:val="-5"/>
                <w:sz w:val="24"/>
              </w:rPr>
              <w:t>..</w:t>
            </w:r>
          </w:p>
        </w:tc>
        <w:tc>
          <w:tcPr>
            <w:tcW w:w="776" w:type="dxa"/>
            <w:tcBorders>
              <w:bottom w:val="single" w:sz="4" w:space="0" w:color="000000"/>
            </w:tcBorders>
          </w:tcPr>
          <w:p>
            <w:pPr>
              <w:pStyle w:val="TableParagraph"/>
              <w:spacing w:line="262" w:lineRule="exact" w:before="17"/>
              <w:ind w:left="7" w:right="3"/>
              <w:jc w:val="center"/>
              <w:rPr>
                <w:sz w:val="24"/>
              </w:rPr>
            </w:pPr>
            <w:r>
              <w:rPr>
                <w:spacing w:val="-5"/>
                <w:sz w:val="24"/>
              </w:rPr>
              <w:t>..</w:t>
            </w:r>
          </w:p>
        </w:tc>
        <w:tc>
          <w:tcPr>
            <w:tcW w:w="814" w:type="dxa"/>
            <w:tcBorders>
              <w:bottom w:val="single" w:sz="4" w:space="0" w:color="000000"/>
            </w:tcBorders>
          </w:tcPr>
          <w:p>
            <w:pPr>
              <w:pStyle w:val="TableParagraph"/>
              <w:spacing w:line="262" w:lineRule="exact" w:before="17"/>
              <w:ind w:left="5" w:right="34"/>
              <w:jc w:val="center"/>
              <w:rPr>
                <w:sz w:val="24"/>
              </w:rPr>
            </w:pPr>
            <w:r>
              <w:rPr>
                <w:spacing w:val="-5"/>
                <w:sz w:val="24"/>
              </w:rPr>
              <w:t>..</w:t>
            </w:r>
          </w:p>
        </w:tc>
        <w:tc>
          <w:tcPr>
            <w:tcW w:w="869" w:type="dxa"/>
            <w:tcBorders>
              <w:bottom w:val="single" w:sz="4" w:space="0" w:color="000000"/>
            </w:tcBorders>
          </w:tcPr>
          <w:p>
            <w:pPr>
              <w:pStyle w:val="TableParagraph"/>
              <w:spacing w:line="262" w:lineRule="exact" w:before="17"/>
              <w:ind w:left="10" w:right="18"/>
              <w:jc w:val="center"/>
              <w:rPr>
                <w:sz w:val="24"/>
              </w:rPr>
            </w:pPr>
            <w:r>
              <w:rPr>
                <w:spacing w:val="-5"/>
                <w:sz w:val="24"/>
              </w:rPr>
              <w:t>..</w:t>
            </w:r>
          </w:p>
        </w:tc>
        <w:tc>
          <w:tcPr>
            <w:tcW w:w="960" w:type="dxa"/>
            <w:tcBorders>
              <w:bottom w:val="single" w:sz="4" w:space="0" w:color="000000"/>
            </w:tcBorders>
          </w:tcPr>
          <w:p>
            <w:pPr>
              <w:pStyle w:val="TableParagraph"/>
              <w:spacing w:line="262" w:lineRule="exact" w:before="17"/>
              <w:ind w:left="14" w:right="5"/>
              <w:jc w:val="center"/>
              <w:rPr>
                <w:sz w:val="24"/>
              </w:rPr>
            </w:pPr>
            <w:r>
              <w:rPr>
                <w:spacing w:val="-2"/>
                <w:sz w:val="24"/>
              </w:rPr>
              <w:t>33.67</w:t>
            </w:r>
          </w:p>
        </w:tc>
        <w:tc>
          <w:tcPr>
            <w:tcW w:w="1722" w:type="dxa"/>
            <w:tcBorders>
              <w:bottom w:val="single" w:sz="4" w:space="0" w:color="000000"/>
            </w:tcBorders>
          </w:tcPr>
          <w:p>
            <w:pPr>
              <w:pStyle w:val="TableParagraph"/>
              <w:spacing w:line="262" w:lineRule="exact" w:before="17"/>
              <w:ind w:left="20" w:right="4"/>
              <w:jc w:val="center"/>
              <w:rPr>
                <w:sz w:val="24"/>
              </w:rPr>
            </w:pPr>
            <w:r>
              <w:rPr>
                <w:spacing w:val="-4"/>
                <w:sz w:val="24"/>
              </w:rPr>
              <w:t>9.546</w:t>
            </w:r>
          </w:p>
        </w:tc>
      </w:tr>
    </w:tbl>
    <w:p>
      <w:pPr>
        <w:pStyle w:val="BodyText"/>
        <w:spacing w:before="7"/>
      </w:pPr>
      <w:r>
        <w:rPr/>
        <w:t>**. Correlation</w:t>
      </w:r>
      <w:r>
        <w:rPr>
          <w:spacing w:val="-1"/>
        </w:rPr>
        <w:t> </w:t>
      </w:r>
      <w:r>
        <w:rPr/>
        <w:t>is</w:t>
      </w:r>
      <w:r>
        <w:rPr>
          <w:spacing w:val="-3"/>
        </w:rPr>
        <w:t> </w:t>
      </w:r>
      <w:r>
        <w:rPr/>
        <w:t>significant</w:t>
      </w:r>
      <w:r>
        <w:rPr>
          <w:spacing w:val="4"/>
        </w:rPr>
        <w:t> </w:t>
      </w:r>
      <w:r>
        <w:rPr/>
        <w:t>at</w:t>
      </w:r>
      <w:r>
        <w:rPr>
          <w:spacing w:val="-5"/>
        </w:rPr>
        <w:t> </w:t>
      </w:r>
      <w:r>
        <w:rPr/>
        <w:t>the</w:t>
      </w:r>
      <w:r>
        <w:rPr>
          <w:spacing w:val="-3"/>
        </w:rPr>
        <w:t> </w:t>
      </w:r>
      <w:r>
        <w:rPr/>
        <w:t>0.05</w:t>
      </w:r>
      <w:r>
        <w:rPr>
          <w:spacing w:val="-1"/>
        </w:rPr>
        <w:t> </w:t>
      </w:r>
      <w:r>
        <w:rPr/>
        <w:t>level</w:t>
      </w:r>
      <w:r>
        <w:rPr>
          <w:spacing w:val="-9"/>
        </w:rPr>
        <w:t> </w:t>
      </w:r>
      <w:r>
        <w:rPr/>
        <w:t>(2-</w:t>
      </w:r>
      <w:r>
        <w:rPr>
          <w:spacing w:val="-2"/>
        </w:rPr>
        <w:t>tailed).</w:t>
      </w:r>
    </w:p>
    <w:p>
      <w:pPr>
        <w:pStyle w:val="BodyText"/>
        <w:spacing w:line="480" w:lineRule="auto" w:before="242"/>
        <w:ind w:right="1157" w:firstLine="720"/>
      </w:pPr>
      <w:r>
        <w:rPr/>
        <w:t>Table 4.6 shows the pearson product moment correlation on emotional- intelligence, reasoning ability, self-efficacy and academic achievement of male students,</w:t>
      </w:r>
      <w:r>
        <w:rPr>
          <w:spacing w:val="-4"/>
        </w:rPr>
        <w:t> </w:t>
      </w:r>
      <w:r>
        <w:rPr/>
        <w:t>the</w:t>
      </w:r>
      <w:r>
        <w:rPr>
          <w:spacing w:val="-1"/>
        </w:rPr>
        <w:t> </w:t>
      </w:r>
      <w:r>
        <w:rPr/>
        <w:t>six</w:t>
      </w:r>
      <w:r>
        <w:rPr>
          <w:spacing w:val="-6"/>
        </w:rPr>
        <w:t> </w:t>
      </w:r>
      <w:r>
        <w:rPr/>
        <w:t>pairs</w:t>
      </w:r>
      <w:r>
        <w:rPr>
          <w:spacing w:val="-3"/>
        </w:rPr>
        <w:t> </w:t>
      </w:r>
      <w:r>
        <w:rPr/>
        <w:t>of</w:t>
      </w:r>
      <w:r>
        <w:rPr>
          <w:spacing w:val="-4"/>
        </w:rPr>
        <w:t> </w:t>
      </w:r>
      <w:r>
        <w:rPr/>
        <w:t>variables</w:t>
      </w:r>
      <w:r>
        <w:rPr>
          <w:spacing w:val="-3"/>
        </w:rPr>
        <w:t> </w:t>
      </w:r>
      <w:r>
        <w:rPr/>
        <w:t>were</w:t>
      </w:r>
      <w:r>
        <w:rPr>
          <w:spacing w:val="-2"/>
        </w:rPr>
        <w:t> </w:t>
      </w:r>
      <w:r>
        <w:rPr/>
        <w:t>significantly</w:t>
      </w:r>
      <w:r>
        <w:rPr>
          <w:spacing w:val="-6"/>
        </w:rPr>
        <w:t> </w:t>
      </w:r>
      <w:r>
        <w:rPr/>
        <w:t>correlated. The</w:t>
      </w:r>
      <w:r>
        <w:rPr>
          <w:spacing w:val="-2"/>
        </w:rPr>
        <w:t> </w:t>
      </w:r>
      <w:r>
        <w:rPr/>
        <w:t>strongest positive correlation, was between self-efficacy and Chemistry Achievement Test scores, (r=0.813, p</w:t>
      </w:r>
      <w:r>
        <w:rPr>
          <w:u w:val="single"/>
        </w:rPr>
        <w:t>&lt;</w:t>
      </w:r>
      <w:r>
        <w:rPr/>
        <w:t>0.05). This means that students who had relatively high scores in self- efficacy were likely to have high scores in Chemistry Achievement Test. The least positive correlation was between reasoning ability and Chemistry Achievement Test scores (r=0.800, p</w:t>
      </w:r>
      <w:r>
        <w:rPr>
          <w:u w:val="single"/>
        </w:rPr>
        <w:t>&lt;</w:t>
      </w:r>
      <w:r>
        <w:rPr/>
        <w:t>0.05). All the relationships had a large effect size according to Cohen (1988). There was significant relationship between the mean emotional- intelligence, reasoning</w:t>
      </w:r>
      <w:r>
        <w:rPr>
          <w:spacing w:val="-2"/>
        </w:rPr>
        <w:t> </w:t>
      </w:r>
      <w:r>
        <w:rPr/>
        <w:t>ability, self-efficacy</w:t>
      </w:r>
      <w:r>
        <w:rPr>
          <w:spacing w:val="-1"/>
        </w:rPr>
        <w:t> </w:t>
      </w:r>
      <w:r>
        <w:rPr/>
        <w:t>and</w:t>
      </w:r>
      <w:r>
        <w:rPr>
          <w:spacing w:val="-2"/>
        </w:rPr>
        <w:t> </w:t>
      </w:r>
      <w:r>
        <w:rPr/>
        <w:t>academic achievement scores</w:t>
      </w:r>
      <w:r>
        <w:rPr>
          <w:spacing w:val="-4"/>
        </w:rPr>
        <w:t> </w:t>
      </w:r>
      <w:r>
        <w:rPr/>
        <w:t>of</w:t>
      </w:r>
      <w:r>
        <w:rPr>
          <w:spacing w:val="-9"/>
        </w:rPr>
        <w:t> </w:t>
      </w:r>
      <w:r>
        <w:rPr/>
        <w:t>SS</w:t>
      </w:r>
      <w:r>
        <w:rPr>
          <w:spacing w:val="-2"/>
        </w:rPr>
        <w:t> </w:t>
      </w:r>
      <w:r>
        <w:rPr/>
        <w:t>II male students in chemistry. Therefore, the null hypothesis that stated no significant relationship was rejected.</w:t>
      </w:r>
    </w:p>
    <w:p>
      <w:pPr>
        <w:pStyle w:val="Heading3"/>
        <w:spacing w:before="209"/>
        <w:ind w:left="480" w:firstLine="0"/>
      </w:pPr>
      <w:r>
        <w:rPr/>
        <w:t>Null</w:t>
      </w:r>
      <w:r>
        <w:rPr>
          <w:spacing w:val="-6"/>
        </w:rPr>
        <w:t> </w:t>
      </w:r>
      <w:r>
        <w:rPr/>
        <w:t>Hypothesis</w:t>
      </w:r>
      <w:r>
        <w:rPr>
          <w:spacing w:val="-1"/>
        </w:rPr>
        <w:t> </w:t>
      </w:r>
      <w:r>
        <w:rPr>
          <w:spacing w:val="-4"/>
        </w:rPr>
        <w:t>Three</w:t>
      </w:r>
    </w:p>
    <w:p>
      <w:pPr>
        <w:pStyle w:val="BodyText"/>
        <w:spacing w:line="480" w:lineRule="auto" w:before="271"/>
        <w:ind w:left="1109" w:right="1150"/>
      </w:pPr>
      <w:r>
        <w:rPr/>
        <w:t>There is no significant relationship in</w:t>
      </w:r>
      <w:r>
        <w:rPr>
          <w:spacing w:val="-2"/>
        </w:rPr>
        <w:t> </w:t>
      </w:r>
      <w:r>
        <w:rPr/>
        <w:t>the mean</w:t>
      </w:r>
      <w:r>
        <w:rPr>
          <w:spacing w:val="-6"/>
        </w:rPr>
        <w:t> </w:t>
      </w:r>
      <w:r>
        <w:rPr/>
        <w:t>scores</w:t>
      </w:r>
      <w:r>
        <w:rPr>
          <w:spacing w:val="-8"/>
        </w:rPr>
        <w:t> </w:t>
      </w:r>
      <w:r>
        <w:rPr/>
        <w:t>of</w:t>
      </w:r>
      <w:r>
        <w:rPr>
          <w:spacing w:val="-9"/>
        </w:rPr>
        <w:t> </w:t>
      </w:r>
      <w:r>
        <w:rPr/>
        <w:t>SSII female</w:t>
      </w:r>
      <w:r>
        <w:rPr>
          <w:spacing w:val="-2"/>
        </w:rPr>
        <w:t> </w:t>
      </w:r>
      <w:r>
        <w:rPr/>
        <w:t>chemistry students</w:t>
      </w:r>
      <w:r>
        <w:rPr>
          <w:spacing w:val="-5"/>
        </w:rPr>
        <w:t> </w:t>
      </w:r>
      <w:r>
        <w:rPr/>
        <w:t>in</w:t>
      </w:r>
      <w:r>
        <w:rPr>
          <w:spacing w:val="-7"/>
        </w:rPr>
        <w:t> </w:t>
      </w:r>
      <w:r>
        <w:rPr/>
        <w:t>emotional-intelligence,</w:t>
      </w:r>
      <w:r>
        <w:rPr>
          <w:spacing w:val="-1"/>
        </w:rPr>
        <w:t> </w:t>
      </w:r>
      <w:r>
        <w:rPr/>
        <w:t>reasoning</w:t>
      </w:r>
      <w:r>
        <w:rPr>
          <w:spacing w:val="-3"/>
        </w:rPr>
        <w:t> </w:t>
      </w:r>
      <w:r>
        <w:rPr/>
        <w:t>ability, self-efficacy</w:t>
      </w:r>
      <w:r>
        <w:rPr>
          <w:spacing w:val="-8"/>
        </w:rPr>
        <w:t> </w:t>
      </w:r>
      <w:r>
        <w:rPr/>
        <w:t>and</w:t>
      </w:r>
      <w:r>
        <w:rPr>
          <w:spacing w:val="-3"/>
        </w:rPr>
        <w:t> </w:t>
      </w:r>
      <w:r>
        <w:rPr/>
        <w:t>academic achievement in chemistry.</w:t>
      </w:r>
    </w:p>
    <w:p>
      <w:pPr>
        <w:pStyle w:val="BodyText"/>
        <w:spacing w:line="480" w:lineRule="auto" w:before="1"/>
        <w:ind w:right="1170" w:firstLine="720"/>
      </w:pPr>
      <w:r>
        <w:rPr/>
        <w:t>To test this null hypothesis, an inferential statistic of Pearson Correlation was used. The summary of the computation is presented in Table 4.7.</w:t>
      </w:r>
    </w:p>
    <w:p>
      <w:pPr>
        <w:spacing w:after="0" w:line="480" w:lineRule="auto"/>
        <w:sectPr>
          <w:pgSz w:w="11910" w:h="16840"/>
          <w:pgMar w:header="0" w:footer="1012" w:top="1340" w:bottom="1200" w:left="1680" w:right="280"/>
        </w:sectPr>
      </w:pPr>
    </w:p>
    <w:p>
      <w:pPr>
        <w:pStyle w:val="Heading3"/>
        <w:spacing w:before="78" w:after="21"/>
        <w:ind w:left="1921" w:right="1155" w:hanging="1441"/>
      </w:pPr>
      <w:r>
        <w:rPr/>
        <w:t>Table</w:t>
      </w:r>
      <w:r>
        <w:rPr>
          <w:spacing w:val="-1"/>
        </w:rPr>
        <w:t> </w:t>
      </w:r>
      <w:r>
        <w:rPr/>
        <w:t>4.7:</w:t>
      </w:r>
      <w:r>
        <w:rPr>
          <w:spacing w:val="40"/>
        </w:rPr>
        <w:t> </w:t>
      </w:r>
      <w:r>
        <w:rPr/>
        <w:t>Summary of Pearson Correlation on Emotional-intelligence, Reasoning Ability, Self -efficacy and Academic Achievement of Female Students</w:t>
      </w:r>
    </w:p>
    <w:tbl>
      <w:tblPr>
        <w:tblW w:w="0" w:type="auto"/>
        <w:jc w:val="left"/>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1"/>
        <w:gridCol w:w="1115"/>
        <w:gridCol w:w="778"/>
        <w:gridCol w:w="839"/>
        <w:gridCol w:w="851"/>
        <w:gridCol w:w="832"/>
        <w:gridCol w:w="892"/>
        <w:gridCol w:w="1687"/>
      </w:tblGrid>
      <w:tr>
        <w:trPr>
          <w:trHeight w:val="310" w:hRule="atLeast"/>
        </w:trPr>
        <w:tc>
          <w:tcPr>
            <w:tcW w:w="1171" w:type="dxa"/>
            <w:tcBorders>
              <w:top w:val="double" w:sz="8" w:space="0" w:color="000000"/>
              <w:bottom w:val="single" w:sz="18" w:space="0" w:color="000000"/>
            </w:tcBorders>
          </w:tcPr>
          <w:p>
            <w:pPr>
              <w:pStyle w:val="TableParagraph"/>
              <w:rPr>
                <w:sz w:val="22"/>
              </w:rPr>
            </w:pPr>
          </w:p>
        </w:tc>
        <w:tc>
          <w:tcPr>
            <w:tcW w:w="1115" w:type="dxa"/>
            <w:tcBorders>
              <w:top w:val="double" w:sz="8" w:space="0" w:color="000000"/>
              <w:bottom w:val="single" w:sz="18" w:space="0" w:color="000000"/>
            </w:tcBorders>
          </w:tcPr>
          <w:p>
            <w:pPr>
              <w:pStyle w:val="TableParagraph"/>
              <w:spacing w:line="261" w:lineRule="exact" w:before="44"/>
              <w:ind w:right="204"/>
              <w:jc w:val="right"/>
              <w:rPr>
                <w:b/>
                <w:sz w:val="24"/>
              </w:rPr>
            </w:pPr>
            <w:r>
              <w:rPr>
                <w:b/>
                <w:spacing w:val="-10"/>
                <w:sz w:val="24"/>
              </w:rPr>
              <w:t>N</w:t>
            </w:r>
          </w:p>
        </w:tc>
        <w:tc>
          <w:tcPr>
            <w:tcW w:w="778" w:type="dxa"/>
            <w:tcBorders>
              <w:top w:val="double" w:sz="8" w:space="0" w:color="000000"/>
              <w:bottom w:val="single" w:sz="18" w:space="0" w:color="000000"/>
            </w:tcBorders>
          </w:tcPr>
          <w:p>
            <w:pPr>
              <w:pStyle w:val="TableParagraph"/>
              <w:spacing w:line="261" w:lineRule="exact" w:before="44"/>
              <w:ind w:left="47" w:right="1"/>
              <w:jc w:val="center"/>
              <w:rPr>
                <w:b/>
                <w:sz w:val="24"/>
              </w:rPr>
            </w:pPr>
            <w:r>
              <w:rPr>
                <w:b/>
                <w:spacing w:val="-5"/>
                <w:sz w:val="24"/>
              </w:rPr>
              <w:t>CAS</w:t>
            </w:r>
          </w:p>
        </w:tc>
        <w:tc>
          <w:tcPr>
            <w:tcW w:w="839" w:type="dxa"/>
            <w:tcBorders>
              <w:top w:val="double" w:sz="8" w:space="0" w:color="000000"/>
              <w:bottom w:val="single" w:sz="18" w:space="0" w:color="000000"/>
            </w:tcBorders>
          </w:tcPr>
          <w:p>
            <w:pPr>
              <w:pStyle w:val="TableParagraph"/>
              <w:spacing w:line="261" w:lineRule="exact" w:before="44"/>
              <w:ind w:right="11"/>
              <w:jc w:val="center"/>
              <w:rPr>
                <w:b/>
                <w:sz w:val="24"/>
              </w:rPr>
            </w:pPr>
            <w:r>
              <w:rPr>
                <w:b/>
                <w:spacing w:val="-5"/>
                <w:sz w:val="24"/>
              </w:rPr>
              <w:t>EI</w:t>
            </w:r>
          </w:p>
        </w:tc>
        <w:tc>
          <w:tcPr>
            <w:tcW w:w="851" w:type="dxa"/>
            <w:tcBorders>
              <w:top w:val="double" w:sz="8" w:space="0" w:color="000000"/>
              <w:bottom w:val="single" w:sz="18" w:space="0" w:color="000000"/>
            </w:tcBorders>
          </w:tcPr>
          <w:p>
            <w:pPr>
              <w:pStyle w:val="TableParagraph"/>
              <w:spacing w:line="261" w:lineRule="exact" w:before="44"/>
              <w:ind w:left="7" w:right="2"/>
              <w:jc w:val="center"/>
              <w:rPr>
                <w:b/>
                <w:sz w:val="24"/>
              </w:rPr>
            </w:pPr>
            <w:r>
              <w:rPr>
                <w:b/>
                <w:spacing w:val="-5"/>
                <w:sz w:val="24"/>
              </w:rPr>
              <w:t>RA</w:t>
            </w:r>
          </w:p>
        </w:tc>
        <w:tc>
          <w:tcPr>
            <w:tcW w:w="832" w:type="dxa"/>
            <w:tcBorders>
              <w:top w:val="double" w:sz="8" w:space="0" w:color="000000"/>
              <w:bottom w:val="single" w:sz="18" w:space="0" w:color="000000"/>
            </w:tcBorders>
          </w:tcPr>
          <w:p>
            <w:pPr>
              <w:pStyle w:val="TableParagraph"/>
              <w:spacing w:line="261" w:lineRule="exact" w:before="44"/>
              <w:ind w:left="22" w:right="3"/>
              <w:jc w:val="center"/>
              <w:rPr>
                <w:b/>
                <w:sz w:val="24"/>
              </w:rPr>
            </w:pPr>
            <w:r>
              <w:rPr>
                <w:b/>
                <w:spacing w:val="-5"/>
                <w:sz w:val="24"/>
              </w:rPr>
              <w:t>SE</w:t>
            </w:r>
          </w:p>
        </w:tc>
        <w:tc>
          <w:tcPr>
            <w:tcW w:w="892" w:type="dxa"/>
            <w:tcBorders>
              <w:top w:val="double" w:sz="8" w:space="0" w:color="000000"/>
              <w:bottom w:val="single" w:sz="18" w:space="0" w:color="000000"/>
            </w:tcBorders>
          </w:tcPr>
          <w:p>
            <w:pPr>
              <w:pStyle w:val="TableParagraph"/>
              <w:spacing w:line="261" w:lineRule="exact" w:before="44"/>
              <w:ind w:left="2" w:right="1"/>
              <w:jc w:val="center"/>
              <w:rPr>
                <w:b/>
                <w:sz w:val="24"/>
              </w:rPr>
            </w:pPr>
            <w:r>
              <w:rPr>
                <w:b/>
                <w:spacing w:val="-4"/>
                <w:sz w:val="24"/>
              </w:rPr>
              <w:t>Mean</w:t>
            </w:r>
          </w:p>
        </w:tc>
        <w:tc>
          <w:tcPr>
            <w:tcW w:w="1687" w:type="dxa"/>
            <w:tcBorders>
              <w:top w:val="double" w:sz="8" w:space="0" w:color="000000"/>
              <w:bottom w:val="single" w:sz="18" w:space="0" w:color="000000"/>
            </w:tcBorders>
          </w:tcPr>
          <w:p>
            <w:pPr>
              <w:pStyle w:val="TableParagraph"/>
              <w:spacing w:line="261" w:lineRule="exact" w:before="44"/>
              <w:ind w:left="1" w:right="19"/>
              <w:jc w:val="center"/>
              <w:rPr>
                <w:b/>
                <w:sz w:val="24"/>
              </w:rPr>
            </w:pPr>
            <w:r>
              <w:rPr>
                <w:b/>
                <w:sz w:val="24"/>
              </w:rPr>
              <w:t>Std. </w:t>
            </w:r>
            <w:r>
              <w:rPr>
                <w:b/>
                <w:spacing w:val="-2"/>
                <w:sz w:val="24"/>
              </w:rPr>
              <w:t>Deviation</w:t>
            </w:r>
          </w:p>
        </w:tc>
      </w:tr>
      <w:tr>
        <w:trPr>
          <w:trHeight w:val="305" w:hRule="atLeast"/>
        </w:trPr>
        <w:tc>
          <w:tcPr>
            <w:tcW w:w="1171" w:type="dxa"/>
            <w:tcBorders>
              <w:top w:val="single" w:sz="18" w:space="0" w:color="000000"/>
            </w:tcBorders>
          </w:tcPr>
          <w:p>
            <w:pPr>
              <w:pStyle w:val="TableParagraph"/>
              <w:spacing w:line="267" w:lineRule="exact"/>
              <w:ind w:left="14"/>
              <w:rPr>
                <w:sz w:val="24"/>
              </w:rPr>
            </w:pPr>
            <w:r>
              <w:rPr>
                <w:spacing w:val="-5"/>
                <w:sz w:val="24"/>
              </w:rPr>
              <w:t>CAS</w:t>
            </w:r>
          </w:p>
        </w:tc>
        <w:tc>
          <w:tcPr>
            <w:tcW w:w="1115" w:type="dxa"/>
            <w:tcBorders>
              <w:top w:val="single" w:sz="18" w:space="0" w:color="000000"/>
            </w:tcBorders>
          </w:tcPr>
          <w:p>
            <w:pPr>
              <w:pStyle w:val="TableParagraph"/>
              <w:spacing w:line="237" w:lineRule="exact" w:before="34"/>
              <w:ind w:right="171"/>
              <w:jc w:val="right"/>
              <w:rPr>
                <w:sz w:val="24"/>
              </w:rPr>
            </w:pPr>
            <w:r>
              <w:rPr>
                <w:spacing w:val="-5"/>
                <w:sz w:val="24"/>
              </w:rPr>
              <w:t>63</w:t>
            </w:r>
          </w:p>
        </w:tc>
        <w:tc>
          <w:tcPr>
            <w:tcW w:w="778" w:type="dxa"/>
            <w:tcBorders>
              <w:top w:val="single" w:sz="18" w:space="0" w:color="000000"/>
            </w:tcBorders>
          </w:tcPr>
          <w:p>
            <w:pPr>
              <w:pStyle w:val="TableParagraph"/>
              <w:spacing w:line="267" w:lineRule="exact"/>
              <w:ind w:left="47"/>
              <w:jc w:val="center"/>
              <w:rPr>
                <w:sz w:val="24"/>
              </w:rPr>
            </w:pPr>
            <w:r>
              <w:rPr>
                <w:spacing w:val="-5"/>
                <w:sz w:val="24"/>
              </w:rPr>
              <w:t>..</w:t>
            </w:r>
          </w:p>
        </w:tc>
        <w:tc>
          <w:tcPr>
            <w:tcW w:w="839" w:type="dxa"/>
            <w:tcBorders>
              <w:top w:val="single" w:sz="18" w:space="0" w:color="000000"/>
            </w:tcBorders>
          </w:tcPr>
          <w:p>
            <w:pPr>
              <w:pStyle w:val="TableParagraph"/>
              <w:spacing w:line="267" w:lineRule="exact"/>
              <w:ind w:right="11"/>
              <w:jc w:val="center"/>
              <w:rPr>
                <w:sz w:val="24"/>
              </w:rPr>
            </w:pPr>
            <w:r>
              <w:rPr>
                <w:spacing w:val="-2"/>
                <w:sz w:val="24"/>
              </w:rPr>
              <w:t>.810</w:t>
            </w:r>
            <w:r>
              <w:rPr>
                <w:spacing w:val="-2"/>
                <w:sz w:val="24"/>
                <w:vertAlign w:val="superscript"/>
              </w:rPr>
              <w:t>**</w:t>
            </w:r>
          </w:p>
        </w:tc>
        <w:tc>
          <w:tcPr>
            <w:tcW w:w="851" w:type="dxa"/>
            <w:tcBorders>
              <w:top w:val="single" w:sz="18" w:space="0" w:color="000000"/>
            </w:tcBorders>
          </w:tcPr>
          <w:p>
            <w:pPr>
              <w:pStyle w:val="TableParagraph"/>
              <w:spacing w:line="267" w:lineRule="exact"/>
              <w:ind w:left="5" w:right="7"/>
              <w:jc w:val="center"/>
              <w:rPr>
                <w:sz w:val="24"/>
              </w:rPr>
            </w:pPr>
            <w:r>
              <w:rPr>
                <w:spacing w:val="-2"/>
                <w:sz w:val="24"/>
              </w:rPr>
              <w:t>.796</w:t>
            </w:r>
            <w:r>
              <w:rPr>
                <w:spacing w:val="-2"/>
                <w:sz w:val="24"/>
                <w:vertAlign w:val="superscript"/>
              </w:rPr>
              <w:t>**</w:t>
            </w:r>
          </w:p>
        </w:tc>
        <w:tc>
          <w:tcPr>
            <w:tcW w:w="832" w:type="dxa"/>
            <w:tcBorders>
              <w:top w:val="single" w:sz="18" w:space="0" w:color="000000"/>
            </w:tcBorders>
          </w:tcPr>
          <w:p>
            <w:pPr>
              <w:pStyle w:val="TableParagraph"/>
              <w:spacing w:line="267" w:lineRule="exact"/>
              <w:ind w:left="22" w:right="10"/>
              <w:jc w:val="center"/>
              <w:rPr>
                <w:sz w:val="24"/>
              </w:rPr>
            </w:pPr>
            <w:r>
              <w:rPr>
                <w:spacing w:val="-2"/>
                <w:sz w:val="24"/>
              </w:rPr>
              <w:t>.899</w:t>
            </w:r>
            <w:r>
              <w:rPr>
                <w:spacing w:val="-2"/>
                <w:sz w:val="24"/>
                <w:vertAlign w:val="superscript"/>
              </w:rPr>
              <w:t>**</w:t>
            </w:r>
          </w:p>
        </w:tc>
        <w:tc>
          <w:tcPr>
            <w:tcW w:w="892" w:type="dxa"/>
            <w:tcBorders>
              <w:top w:val="single" w:sz="18" w:space="0" w:color="000000"/>
            </w:tcBorders>
          </w:tcPr>
          <w:p>
            <w:pPr>
              <w:pStyle w:val="TableParagraph"/>
              <w:spacing w:line="237" w:lineRule="exact" w:before="34"/>
              <w:ind w:left="3" w:right="1"/>
              <w:jc w:val="center"/>
              <w:rPr>
                <w:sz w:val="24"/>
              </w:rPr>
            </w:pPr>
            <w:r>
              <w:rPr>
                <w:spacing w:val="-2"/>
                <w:sz w:val="24"/>
              </w:rPr>
              <w:t>48.60</w:t>
            </w:r>
          </w:p>
        </w:tc>
        <w:tc>
          <w:tcPr>
            <w:tcW w:w="1687" w:type="dxa"/>
            <w:tcBorders>
              <w:top w:val="single" w:sz="18" w:space="0" w:color="000000"/>
            </w:tcBorders>
          </w:tcPr>
          <w:p>
            <w:pPr>
              <w:pStyle w:val="TableParagraph"/>
              <w:spacing w:line="237" w:lineRule="exact" w:before="34"/>
              <w:ind w:right="19"/>
              <w:jc w:val="center"/>
              <w:rPr>
                <w:sz w:val="24"/>
              </w:rPr>
            </w:pPr>
            <w:r>
              <w:rPr>
                <w:spacing w:val="-4"/>
                <w:sz w:val="24"/>
              </w:rPr>
              <w:t>8.637</w:t>
            </w:r>
          </w:p>
        </w:tc>
      </w:tr>
      <w:tr>
        <w:trPr>
          <w:trHeight w:val="368" w:hRule="atLeast"/>
        </w:trPr>
        <w:tc>
          <w:tcPr>
            <w:tcW w:w="1171" w:type="dxa"/>
          </w:tcPr>
          <w:p>
            <w:pPr>
              <w:pStyle w:val="TableParagraph"/>
              <w:spacing w:before="21"/>
              <w:ind w:left="14"/>
              <w:rPr>
                <w:sz w:val="24"/>
              </w:rPr>
            </w:pPr>
            <w:r>
              <w:rPr>
                <w:spacing w:val="-5"/>
                <w:sz w:val="24"/>
              </w:rPr>
              <w:t>EI</w:t>
            </w:r>
          </w:p>
        </w:tc>
        <w:tc>
          <w:tcPr>
            <w:tcW w:w="1115" w:type="dxa"/>
          </w:tcPr>
          <w:p>
            <w:pPr>
              <w:pStyle w:val="TableParagraph"/>
              <w:spacing w:before="64"/>
              <w:ind w:right="171"/>
              <w:jc w:val="right"/>
              <w:rPr>
                <w:sz w:val="24"/>
              </w:rPr>
            </w:pPr>
            <w:r>
              <w:rPr>
                <w:spacing w:val="-5"/>
                <w:sz w:val="24"/>
              </w:rPr>
              <w:t>63</w:t>
            </w:r>
          </w:p>
        </w:tc>
        <w:tc>
          <w:tcPr>
            <w:tcW w:w="778" w:type="dxa"/>
          </w:tcPr>
          <w:p>
            <w:pPr>
              <w:pStyle w:val="TableParagraph"/>
              <w:spacing w:before="21"/>
              <w:ind w:left="47" w:right="3"/>
              <w:jc w:val="center"/>
              <w:rPr>
                <w:sz w:val="24"/>
              </w:rPr>
            </w:pPr>
            <w:r>
              <w:rPr>
                <w:spacing w:val="-5"/>
                <w:sz w:val="24"/>
              </w:rPr>
              <w:t>..</w:t>
            </w:r>
          </w:p>
        </w:tc>
        <w:tc>
          <w:tcPr>
            <w:tcW w:w="839" w:type="dxa"/>
          </w:tcPr>
          <w:p>
            <w:pPr>
              <w:pStyle w:val="TableParagraph"/>
              <w:spacing w:before="21"/>
              <w:ind w:left="9" w:right="11"/>
              <w:jc w:val="center"/>
              <w:rPr>
                <w:sz w:val="24"/>
              </w:rPr>
            </w:pPr>
            <w:r>
              <w:rPr>
                <w:spacing w:val="-5"/>
                <w:sz w:val="24"/>
              </w:rPr>
              <w:t>..</w:t>
            </w:r>
          </w:p>
        </w:tc>
        <w:tc>
          <w:tcPr>
            <w:tcW w:w="851" w:type="dxa"/>
          </w:tcPr>
          <w:p>
            <w:pPr>
              <w:pStyle w:val="TableParagraph"/>
              <w:spacing w:before="21"/>
              <w:ind w:left="5" w:right="7"/>
              <w:jc w:val="center"/>
              <w:rPr>
                <w:sz w:val="24"/>
              </w:rPr>
            </w:pPr>
            <w:r>
              <w:rPr>
                <w:spacing w:val="-2"/>
                <w:sz w:val="24"/>
              </w:rPr>
              <w:t>.693</w:t>
            </w:r>
            <w:r>
              <w:rPr>
                <w:spacing w:val="-2"/>
                <w:sz w:val="24"/>
                <w:vertAlign w:val="superscript"/>
              </w:rPr>
              <w:t>**</w:t>
            </w:r>
          </w:p>
        </w:tc>
        <w:tc>
          <w:tcPr>
            <w:tcW w:w="832" w:type="dxa"/>
          </w:tcPr>
          <w:p>
            <w:pPr>
              <w:pStyle w:val="TableParagraph"/>
              <w:spacing w:before="21"/>
              <w:ind w:left="22" w:right="10"/>
              <w:jc w:val="center"/>
              <w:rPr>
                <w:sz w:val="24"/>
              </w:rPr>
            </w:pPr>
            <w:r>
              <w:rPr>
                <w:spacing w:val="-2"/>
                <w:sz w:val="24"/>
              </w:rPr>
              <w:t>.807</w:t>
            </w:r>
            <w:r>
              <w:rPr>
                <w:spacing w:val="-2"/>
                <w:sz w:val="24"/>
                <w:vertAlign w:val="superscript"/>
              </w:rPr>
              <w:t>**</w:t>
            </w:r>
          </w:p>
        </w:tc>
        <w:tc>
          <w:tcPr>
            <w:tcW w:w="892" w:type="dxa"/>
          </w:tcPr>
          <w:p>
            <w:pPr>
              <w:pStyle w:val="TableParagraph"/>
              <w:spacing w:before="64"/>
              <w:ind w:left="2" w:right="3"/>
              <w:jc w:val="center"/>
              <w:rPr>
                <w:sz w:val="24"/>
              </w:rPr>
            </w:pPr>
            <w:r>
              <w:rPr>
                <w:spacing w:val="-2"/>
                <w:sz w:val="24"/>
              </w:rPr>
              <w:t>131.00</w:t>
            </w:r>
          </w:p>
        </w:tc>
        <w:tc>
          <w:tcPr>
            <w:tcW w:w="1687" w:type="dxa"/>
          </w:tcPr>
          <w:p>
            <w:pPr>
              <w:pStyle w:val="TableParagraph"/>
              <w:spacing w:before="64"/>
              <w:ind w:left="5" w:right="19"/>
              <w:jc w:val="center"/>
              <w:rPr>
                <w:sz w:val="24"/>
              </w:rPr>
            </w:pPr>
            <w:r>
              <w:rPr>
                <w:spacing w:val="-2"/>
                <w:sz w:val="24"/>
              </w:rPr>
              <w:t>30.054</w:t>
            </w:r>
          </w:p>
        </w:tc>
      </w:tr>
      <w:tr>
        <w:trPr>
          <w:trHeight w:val="398" w:hRule="atLeast"/>
        </w:trPr>
        <w:tc>
          <w:tcPr>
            <w:tcW w:w="1171" w:type="dxa"/>
          </w:tcPr>
          <w:p>
            <w:pPr>
              <w:pStyle w:val="TableParagraph"/>
              <w:spacing w:before="55"/>
              <w:ind w:left="14"/>
              <w:rPr>
                <w:sz w:val="24"/>
              </w:rPr>
            </w:pPr>
            <w:r>
              <w:rPr>
                <w:spacing w:val="-5"/>
                <w:sz w:val="24"/>
              </w:rPr>
              <w:t>RA</w:t>
            </w:r>
          </w:p>
        </w:tc>
        <w:tc>
          <w:tcPr>
            <w:tcW w:w="1115" w:type="dxa"/>
          </w:tcPr>
          <w:p>
            <w:pPr>
              <w:pStyle w:val="TableParagraph"/>
              <w:spacing w:before="99"/>
              <w:ind w:right="171"/>
              <w:jc w:val="right"/>
              <w:rPr>
                <w:sz w:val="24"/>
              </w:rPr>
            </w:pPr>
            <w:r>
              <w:rPr>
                <w:spacing w:val="-5"/>
                <w:sz w:val="24"/>
              </w:rPr>
              <w:t>63</w:t>
            </w:r>
          </w:p>
        </w:tc>
        <w:tc>
          <w:tcPr>
            <w:tcW w:w="778" w:type="dxa"/>
          </w:tcPr>
          <w:p>
            <w:pPr>
              <w:pStyle w:val="TableParagraph"/>
              <w:spacing w:before="55"/>
              <w:ind w:left="47" w:right="3"/>
              <w:jc w:val="center"/>
              <w:rPr>
                <w:sz w:val="24"/>
              </w:rPr>
            </w:pPr>
            <w:r>
              <w:rPr>
                <w:spacing w:val="-5"/>
                <w:sz w:val="24"/>
              </w:rPr>
              <w:t>..</w:t>
            </w:r>
          </w:p>
        </w:tc>
        <w:tc>
          <w:tcPr>
            <w:tcW w:w="839" w:type="dxa"/>
          </w:tcPr>
          <w:p>
            <w:pPr>
              <w:pStyle w:val="TableParagraph"/>
              <w:spacing w:before="55"/>
              <w:ind w:left="7" w:right="11"/>
              <w:jc w:val="center"/>
              <w:rPr>
                <w:sz w:val="24"/>
              </w:rPr>
            </w:pPr>
            <w:r>
              <w:rPr>
                <w:spacing w:val="-5"/>
                <w:sz w:val="24"/>
              </w:rPr>
              <w:t>..</w:t>
            </w:r>
          </w:p>
        </w:tc>
        <w:tc>
          <w:tcPr>
            <w:tcW w:w="851" w:type="dxa"/>
          </w:tcPr>
          <w:p>
            <w:pPr>
              <w:pStyle w:val="TableParagraph"/>
              <w:spacing w:before="55"/>
              <w:ind w:left="7" w:right="2"/>
              <w:jc w:val="center"/>
              <w:rPr>
                <w:sz w:val="24"/>
              </w:rPr>
            </w:pPr>
            <w:r>
              <w:rPr>
                <w:spacing w:val="-5"/>
                <w:sz w:val="24"/>
              </w:rPr>
              <w:t>..</w:t>
            </w:r>
          </w:p>
        </w:tc>
        <w:tc>
          <w:tcPr>
            <w:tcW w:w="832" w:type="dxa"/>
          </w:tcPr>
          <w:p>
            <w:pPr>
              <w:pStyle w:val="TableParagraph"/>
              <w:spacing w:before="55"/>
              <w:ind w:left="22" w:right="10"/>
              <w:jc w:val="center"/>
              <w:rPr>
                <w:sz w:val="24"/>
              </w:rPr>
            </w:pPr>
            <w:r>
              <w:rPr>
                <w:spacing w:val="-2"/>
                <w:sz w:val="24"/>
              </w:rPr>
              <w:t>.728</w:t>
            </w:r>
            <w:r>
              <w:rPr>
                <w:spacing w:val="-2"/>
                <w:sz w:val="24"/>
                <w:vertAlign w:val="superscript"/>
              </w:rPr>
              <w:t>**</w:t>
            </w:r>
          </w:p>
        </w:tc>
        <w:tc>
          <w:tcPr>
            <w:tcW w:w="892" w:type="dxa"/>
          </w:tcPr>
          <w:p>
            <w:pPr>
              <w:pStyle w:val="TableParagraph"/>
              <w:spacing w:before="99"/>
              <w:ind w:left="2" w:right="3"/>
              <w:jc w:val="center"/>
              <w:rPr>
                <w:sz w:val="24"/>
              </w:rPr>
            </w:pPr>
            <w:r>
              <w:rPr>
                <w:spacing w:val="-4"/>
                <w:sz w:val="24"/>
              </w:rPr>
              <w:t>4.63</w:t>
            </w:r>
          </w:p>
        </w:tc>
        <w:tc>
          <w:tcPr>
            <w:tcW w:w="1687" w:type="dxa"/>
          </w:tcPr>
          <w:p>
            <w:pPr>
              <w:pStyle w:val="TableParagraph"/>
              <w:spacing w:before="99"/>
              <w:ind w:right="19"/>
              <w:jc w:val="center"/>
              <w:rPr>
                <w:sz w:val="24"/>
              </w:rPr>
            </w:pPr>
            <w:r>
              <w:rPr>
                <w:spacing w:val="-4"/>
                <w:sz w:val="24"/>
              </w:rPr>
              <w:t>1.569</w:t>
            </w:r>
          </w:p>
        </w:tc>
      </w:tr>
      <w:tr>
        <w:trPr>
          <w:trHeight w:val="476" w:hRule="atLeast"/>
        </w:trPr>
        <w:tc>
          <w:tcPr>
            <w:tcW w:w="1171" w:type="dxa"/>
            <w:tcBorders>
              <w:bottom w:val="single" w:sz="8" w:space="0" w:color="000000"/>
            </w:tcBorders>
          </w:tcPr>
          <w:p>
            <w:pPr>
              <w:pStyle w:val="TableParagraph"/>
              <w:spacing w:before="51"/>
              <w:ind w:left="14"/>
              <w:rPr>
                <w:sz w:val="24"/>
              </w:rPr>
            </w:pPr>
            <w:r>
              <w:rPr>
                <w:spacing w:val="-5"/>
                <w:sz w:val="24"/>
              </w:rPr>
              <w:t>SE</w:t>
            </w:r>
          </w:p>
        </w:tc>
        <w:tc>
          <w:tcPr>
            <w:tcW w:w="1115" w:type="dxa"/>
            <w:tcBorders>
              <w:bottom w:val="single" w:sz="8" w:space="0" w:color="000000"/>
            </w:tcBorders>
          </w:tcPr>
          <w:p>
            <w:pPr>
              <w:pStyle w:val="TableParagraph"/>
              <w:spacing w:before="94"/>
              <w:ind w:right="171"/>
              <w:jc w:val="right"/>
              <w:rPr>
                <w:sz w:val="24"/>
              </w:rPr>
            </w:pPr>
            <w:r>
              <w:rPr>
                <w:spacing w:val="-5"/>
                <w:sz w:val="24"/>
              </w:rPr>
              <w:t>63</w:t>
            </w:r>
          </w:p>
        </w:tc>
        <w:tc>
          <w:tcPr>
            <w:tcW w:w="778" w:type="dxa"/>
            <w:tcBorders>
              <w:bottom w:val="single" w:sz="8" w:space="0" w:color="000000"/>
            </w:tcBorders>
          </w:tcPr>
          <w:p>
            <w:pPr>
              <w:pStyle w:val="TableParagraph"/>
              <w:spacing w:before="15"/>
              <w:ind w:left="47" w:right="10"/>
              <w:jc w:val="center"/>
              <w:rPr>
                <w:sz w:val="16"/>
              </w:rPr>
            </w:pPr>
            <w:r>
              <w:rPr>
                <w:spacing w:val="-5"/>
                <w:sz w:val="16"/>
              </w:rPr>
              <w:t>..</w:t>
            </w:r>
          </w:p>
        </w:tc>
        <w:tc>
          <w:tcPr>
            <w:tcW w:w="839" w:type="dxa"/>
            <w:tcBorders>
              <w:bottom w:val="single" w:sz="8" w:space="0" w:color="000000"/>
            </w:tcBorders>
          </w:tcPr>
          <w:p>
            <w:pPr>
              <w:pStyle w:val="TableParagraph"/>
              <w:spacing w:before="51"/>
              <w:ind w:left="9" w:right="11"/>
              <w:jc w:val="center"/>
              <w:rPr>
                <w:sz w:val="24"/>
              </w:rPr>
            </w:pPr>
            <w:r>
              <w:rPr>
                <w:spacing w:val="-5"/>
                <w:sz w:val="24"/>
              </w:rPr>
              <w:t>..</w:t>
            </w:r>
          </w:p>
        </w:tc>
        <w:tc>
          <w:tcPr>
            <w:tcW w:w="851" w:type="dxa"/>
            <w:tcBorders>
              <w:bottom w:val="single" w:sz="8" w:space="0" w:color="000000"/>
            </w:tcBorders>
          </w:tcPr>
          <w:p>
            <w:pPr>
              <w:pStyle w:val="TableParagraph"/>
              <w:spacing w:before="51"/>
              <w:ind w:left="5" w:right="3"/>
              <w:jc w:val="center"/>
              <w:rPr>
                <w:sz w:val="24"/>
              </w:rPr>
            </w:pPr>
            <w:r>
              <w:rPr>
                <w:spacing w:val="-5"/>
                <w:sz w:val="24"/>
              </w:rPr>
              <w:t>..</w:t>
            </w:r>
          </w:p>
        </w:tc>
        <w:tc>
          <w:tcPr>
            <w:tcW w:w="832" w:type="dxa"/>
            <w:tcBorders>
              <w:bottom w:val="single" w:sz="8" w:space="0" w:color="000000"/>
            </w:tcBorders>
          </w:tcPr>
          <w:p>
            <w:pPr>
              <w:pStyle w:val="TableParagraph"/>
              <w:spacing w:before="51"/>
              <w:ind w:left="22"/>
              <w:jc w:val="center"/>
              <w:rPr>
                <w:sz w:val="24"/>
              </w:rPr>
            </w:pPr>
            <w:r>
              <w:rPr>
                <w:spacing w:val="-5"/>
                <w:sz w:val="24"/>
              </w:rPr>
              <w:t>..</w:t>
            </w:r>
          </w:p>
        </w:tc>
        <w:tc>
          <w:tcPr>
            <w:tcW w:w="892" w:type="dxa"/>
            <w:tcBorders>
              <w:bottom w:val="single" w:sz="8" w:space="0" w:color="000000"/>
            </w:tcBorders>
          </w:tcPr>
          <w:p>
            <w:pPr>
              <w:pStyle w:val="TableParagraph"/>
              <w:spacing w:before="94"/>
              <w:ind w:left="3" w:right="1"/>
              <w:jc w:val="center"/>
              <w:rPr>
                <w:sz w:val="24"/>
              </w:rPr>
            </w:pPr>
            <w:r>
              <w:rPr>
                <w:spacing w:val="-2"/>
                <w:sz w:val="24"/>
              </w:rPr>
              <w:t>35.24</w:t>
            </w:r>
          </w:p>
        </w:tc>
        <w:tc>
          <w:tcPr>
            <w:tcW w:w="1687" w:type="dxa"/>
            <w:tcBorders>
              <w:bottom w:val="single" w:sz="8" w:space="0" w:color="000000"/>
            </w:tcBorders>
          </w:tcPr>
          <w:p>
            <w:pPr>
              <w:pStyle w:val="TableParagraph"/>
              <w:spacing w:before="94"/>
              <w:ind w:right="19"/>
              <w:jc w:val="center"/>
              <w:rPr>
                <w:sz w:val="24"/>
              </w:rPr>
            </w:pPr>
            <w:r>
              <w:rPr>
                <w:spacing w:val="-4"/>
                <w:sz w:val="24"/>
              </w:rPr>
              <w:t>9.816</w:t>
            </w:r>
          </w:p>
        </w:tc>
      </w:tr>
    </w:tbl>
    <w:p>
      <w:pPr>
        <w:pStyle w:val="BodyText"/>
        <w:spacing w:line="20" w:lineRule="exact"/>
        <w:ind w:left="466"/>
        <w:jc w:val="left"/>
        <w:rPr>
          <w:sz w:val="2"/>
        </w:rPr>
      </w:pPr>
      <w:r>
        <w:rPr>
          <w:sz w:val="2"/>
        </w:rPr>
        <mc:AlternateContent>
          <mc:Choice Requires="wps">
            <w:drawing>
              <wp:inline distT="0" distB="0" distL="0" distR="0">
                <wp:extent cx="1040130" cy="12700"/>
                <wp:effectExtent l="0" t="0" r="0" b="0"/>
                <wp:docPr id="19" name="Group 19"/>
                <wp:cNvGraphicFramePr>
                  <a:graphicFrameLocks/>
                </wp:cNvGraphicFramePr>
                <a:graphic>
                  <a:graphicData uri="http://schemas.microsoft.com/office/word/2010/wordprocessingGroup">
                    <wpg:wgp>
                      <wpg:cNvPr id="19" name="Group 19"/>
                      <wpg:cNvGrpSpPr/>
                      <wpg:grpSpPr>
                        <a:xfrm>
                          <a:off x="0" y="0"/>
                          <a:ext cx="1040130" cy="12700"/>
                          <a:chExt cx="1040130" cy="12700"/>
                        </a:xfrm>
                      </wpg:grpSpPr>
                      <wps:wsp>
                        <wps:cNvPr id="20" name="Graphic 20"/>
                        <wps:cNvSpPr/>
                        <wps:spPr>
                          <a:xfrm>
                            <a:off x="0" y="0"/>
                            <a:ext cx="1040130" cy="12700"/>
                          </a:xfrm>
                          <a:custGeom>
                            <a:avLst/>
                            <a:gdLst/>
                            <a:ahLst/>
                            <a:cxnLst/>
                            <a:rect l="l" t="t" r="r" b="b"/>
                            <a:pathLst>
                              <a:path w="1040130" h="12700">
                                <a:moveTo>
                                  <a:pt x="1039672" y="0"/>
                                </a:moveTo>
                                <a:lnTo>
                                  <a:pt x="0" y="0"/>
                                </a:lnTo>
                                <a:lnTo>
                                  <a:pt x="0" y="12191"/>
                                </a:lnTo>
                                <a:lnTo>
                                  <a:pt x="1039672" y="12191"/>
                                </a:lnTo>
                                <a:lnTo>
                                  <a:pt x="10396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1.9pt;height:1pt;mso-position-horizontal-relative:char;mso-position-vertical-relative:line" id="docshapegroup18" coordorigin="0,0" coordsize="1638,20">
                <v:rect style="position:absolute;left:0;top:0;width:1638;height:20" id="docshape19" filled="true" fillcolor="#000000" stroked="false">
                  <v:fill type="solid"/>
                </v:rect>
              </v:group>
            </w:pict>
          </mc:Fallback>
        </mc:AlternateContent>
      </w:r>
      <w:r>
        <w:rPr>
          <w:sz w:val="2"/>
        </w:rPr>
      </w:r>
    </w:p>
    <w:p>
      <w:pPr>
        <w:pStyle w:val="BodyText"/>
        <w:spacing w:before="34"/>
      </w:pPr>
      <w:r>
        <w:rPr/>
        <w:t>**. Correlation</w:t>
      </w:r>
      <w:r>
        <w:rPr>
          <w:spacing w:val="-2"/>
        </w:rPr>
        <w:t> </w:t>
      </w:r>
      <w:r>
        <w:rPr/>
        <w:t>is</w:t>
      </w:r>
      <w:r>
        <w:rPr>
          <w:spacing w:val="-4"/>
        </w:rPr>
        <w:t> </w:t>
      </w:r>
      <w:r>
        <w:rPr/>
        <w:t>significant</w:t>
      </w:r>
      <w:r>
        <w:rPr>
          <w:spacing w:val="8"/>
        </w:rPr>
        <w:t> </w:t>
      </w:r>
      <w:r>
        <w:rPr/>
        <w:t>at</w:t>
      </w:r>
      <w:r>
        <w:rPr>
          <w:spacing w:val="-6"/>
        </w:rPr>
        <w:t> </w:t>
      </w:r>
      <w:r>
        <w:rPr/>
        <w:t>the</w:t>
      </w:r>
      <w:r>
        <w:rPr>
          <w:spacing w:val="-2"/>
        </w:rPr>
        <w:t> </w:t>
      </w:r>
      <w:r>
        <w:rPr/>
        <w:t>0.05</w:t>
      </w:r>
      <w:r>
        <w:rPr>
          <w:spacing w:val="-2"/>
        </w:rPr>
        <w:t> </w:t>
      </w:r>
      <w:r>
        <w:rPr/>
        <w:t>level</w:t>
      </w:r>
      <w:r>
        <w:rPr>
          <w:spacing w:val="-10"/>
        </w:rPr>
        <w:t> </w:t>
      </w:r>
      <w:r>
        <w:rPr/>
        <w:t>(2-</w:t>
      </w:r>
      <w:r>
        <w:rPr>
          <w:spacing w:val="-2"/>
        </w:rPr>
        <w:t>tailed).</w:t>
      </w:r>
    </w:p>
    <w:p>
      <w:pPr>
        <w:pStyle w:val="BodyText"/>
        <w:spacing w:line="480" w:lineRule="auto" w:before="238"/>
        <w:ind w:right="1157" w:firstLine="720"/>
      </w:pPr>
      <w:r>
        <w:rPr/>
        <w:t>Table 4.7 shows the pearson product moment correlation on emotional- intelligence, reasoning ability, self-efficacy and academic achievement of female students,</w:t>
      </w:r>
      <w:r>
        <w:rPr>
          <w:spacing w:val="-4"/>
        </w:rPr>
        <w:t> </w:t>
      </w:r>
      <w:r>
        <w:rPr/>
        <w:t>the</w:t>
      </w:r>
      <w:r>
        <w:rPr>
          <w:spacing w:val="-1"/>
        </w:rPr>
        <w:t> </w:t>
      </w:r>
      <w:r>
        <w:rPr/>
        <w:t>six</w:t>
      </w:r>
      <w:r>
        <w:rPr>
          <w:spacing w:val="-6"/>
        </w:rPr>
        <w:t> </w:t>
      </w:r>
      <w:r>
        <w:rPr/>
        <w:t>pairs</w:t>
      </w:r>
      <w:r>
        <w:rPr>
          <w:spacing w:val="-3"/>
        </w:rPr>
        <w:t> </w:t>
      </w:r>
      <w:r>
        <w:rPr/>
        <w:t>of</w:t>
      </w:r>
      <w:r>
        <w:rPr>
          <w:spacing w:val="-4"/>
        </w:rPr>
        <w:t> </w:t>
      </w:r>
      <w:r>
        <w:rPr/>
        <w:t>variables</w:t>
      </w:r>
      <w:r>
        <w:rPr>
          <w:spacing w:val="-3"/>
        </w:rPr>
        <w:t> </w:t>
      </w:r>
      <w:r>
        <w:rPr/>
        <w:t>were</w:t>
      </w:r>
      <w:r>
        <w:rPr>
          <w:spacing w:val="-2"/>
        </w:rPr>
        <w:t> </w:t>
      </w:r>
      <w:r>
        <w:rPr/>
        <w:t>significantly</w:t>
      </w:r>
      <w:r>
        <w:rPr>
          <w:spacing w:val="-6"/>
        </w:rPr>
        <w:t> </w:t>
      </w:r>
      <w:r>
        <w:rPr/>
        <w:t>correlated. The</w:t>
      </w:r>
      <w:r>
        <w:rPr>
          <w:spacing w:val="-2"/>
        </w:rPr>
        <w:t> </w:t>
      </w:r>
      <w:r>
        <w:rPr/>
        <w:t>strongest positive correlation, was between self-efficacy and Chemistry Achievement Test scores, (r=0.899, p&lt;0.05). This means that students who had relatively high scores in self- efficacy were likely to have high scores in Chemistry Achievement Test. The least positive correlation was between reasoning ability and chemistry achievement scores (r=0.796, p&lt;0.05). All the relationships had a large effect size according to Cohen (1988). There was significant relationship between the mean emotional-intelligence, reasoning ability, self-efficacy and academic achievement scores of SS II female students in chemistry. Therefore, the null hypothesis that stated no significant relationship was rejected.</w:t>
      </w:r>
    </w:p>
    <w:p>
      <w:pPr>
        <w:pStyle w:val="Heading3"/>
        <w:spacing w:before="7"/>
        <w:ind w:left="480" w:firstLine="0"/>
      </w:pPr>
      <w:r>
        <w:rPr/>
        <w:t>Null</w:t>
      </w:r>
      <w:r>
        <w:rPr>
          <w:spacing w:val="-6"/>
        </w:rPr>
        <w:t> </w:t>
      </w:r>
      <w:r>
        <w:rPr/>
        <w:t>Hypothesis</w:t>
      </w:r>
      <w:r>
        <w:rPr>
          <w:spacing w:val="1"/>
        </w:rPr>
        <w:t> </w:t>
      </w:r>
      <w:r>
        <w:rPr>
          <w:spacing w:val="-4"/>
        </w:rPr>
        <w:t>Four</w:t>
      </w:r>
    </w:p>
    <w:p>
      <w:pPr>
        <w:pStyle w:val="BodyText"/>
        <w:spacing w:line="480" w:lineRule="auto" w:before="271"/>
        <w:ind w:left="1201" w:right="1162"/>
      </w:pPr>
      <w:r>
        <w:rPr/>
        <w:t>There is no significant difference between the mean scores of SSII male and female chemistry students in emotional-intelligence, reasoning ability, self- efficacy and academic achievement in chemistry.</w:t>
      </w:r>
    </w:p>
    <w:p>
      <w:pPr>
        <w:pStyle w:val="BodyText"/>
        <w:spacing w:line="480" w:lineRule="auto" w:before="1"/>
        <w:ind w:right="1157" w:firstLine="720"/>
      </w:pPr>
      <w:r>
        <w:rPr/>
        <w:t>To test this null hypothesis, an inferential statistic of</w:t>
      </w:r>
      <w:r>
        <w:rPr>
          <w:spacing w:val="-2"/>
        </w:rPr>
        <w:t> </w:t>
      </w:r>
      <w:r>
        <w:rPr/>
        <w:t>one-way MANOVA was used. The summary of the computation is presented in Table 4.8.</w:t>
      </w:r>
    </w:p>
    <w:p>
      <w:pPr>
        <w:spacing w:after="0" w:line="480" w:lineRule="auto"/>
        <w:sectPr>
          <w:pgSz w:w="11910" w:h="16840"/>
          <w:pgMar w:header="0" w:footer="1012" w:top="1340" w:bottom="1200" w:left="1680" w:right="280"/>
        </w:sectPr>
      </w:pPr>
    </w:p>
    <w:p>
      <w:pPr>
        <w:pStyle w:val="Heading3"/>
        <w:tabs>
          <w:tab w:pos="1921" w:val="left" w:leader="none"/>
        </w:tabs>
        <w:spacing w:line="237" w:lineRule="auto" w:before="81"/>
        <w:ind w:left="1921" w:right="1167" w:hanging="1441"/>
        <w:jc w:val="left"/>
      </w:pPr>
      <w:r>
        <w:rPr/>
        <w:t>Table 4.8:</w:t>
        <w:tab/>
        <w:t>Summary</w:t>
      </w:r>
      <w:r>
        <w:rPr>
          <w:spacing w:val="39"/>
        </w:rPr>
        <w:t> </w:t>
      </w:r>
      <w:r>
        <w:rPr/>
        <w:t>of</w:t>
      </w:r>
      <w:r>
        <w:rPr>
          <w:spacing w:val="36"/>
        </w:rPr>
        <w:t> </w:t>
      </w:r>
      <w:r>
        <w:rPr/>
        <w:t>MANOVA</w:t>
      </w:r>
      <w:r>
        <w:rPr>
          <w:spacing w:val="35"/>
        </w:rPr>
        <w:t> </w:t>
      </w:r>
      <w:r>
        <w:rPr/>
        <w:t>of</w:t>
      </w:r>
      <w:r>
        <w:rPr>
          <w:spacing w:val="36"/>
        </w:rPr>
        <w:t> </w:t>
      </w:r>
      <w:r>
        <w:rPr/>
        <w:t>Academic</w:t>
      </w:r>
      <w:r>
        <w:rPr>
          <w:spacing w:val="35"/>
        </w:rPr>
        <w:t> </w:t>
      </w:r>
      <w:r>
        <w:rPr/>
        <w:t>Achievement</w:t>
      </w:r>
      <w:r>
        <w:rPr>
          <w:spacing w:val="36"/>
        </w:rPr>
        <w:t> </w:t>
      </w:r>
      <w:r>
        <w:rPr/>
        <w:t>in</w:t>
      </w:r>
      <w:r>
        <w:rPr>
          <w:spacing w:val="35"/>
        </w:rPr>
        <w:t> </w:t>
      </w:r>
      <w:r>
        <w:rPr/>
        <w:t>Chemistry by Gender</w:t>
      </w:r>
    </w:p>
    <w:p>
      <w:pPr>
        <w:pStyle w:val="BodyText"/>
        <w:spacing w:before="107"/>
        <w:ind w:left="0"/>
        <w:jc w:val="left"/>
        <w:rPr>
          <w:b/>
          <w:sz w:val="20"/>
        </w:rPr>
      </w:pP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7"/>
        <w:gridCol w:w="1218"/>
        <w:gridCol w:w="698"/>
        <w:gridCol w:w="1629"/>
        <w:gridCol w:w="1467"/>
        <w:gridCol w:w="932"/>
      </w:tblGrid>
      <w:tr>
        <w:trPr>
          <w:trHeight w:val="382" w:hRule="atLeast"/>
        </w:trPr>
        <w:tc>
          <w:tcPr>
            <w:tcW w:w="2227" w:type="dxa"/>
            <w:tcBorders>
              <w:top w:val="single" w:sz="4" w:space="0" w:color="000000"/>
              <w:bottom w:val="single" w:sz="4" w:space="0" w:color="000000"/>
            </w:tcBorders>
          </w:tcPr>
          <w:p>
            <w:pPr>
              <w:pStyle w:val="TableParagraph"/>
              <w:spacing w:line="273" w:lineRule="exact"/>
              <w:ind w:left="69"/>
              <w:rPr>
                <w:b/>
                <w:sz w:val="24"/>
              </w:rPr>
            </w:pPr>
            <w:r>
              <w:rPr>
                <w:b/>
                <w:spacing w:val="-2"/>
                <w:sz w:val="24"/>
              </w:rPr>
              <w:t>Statistics</w:t>
            </w:r>
          </w:p>
        </w:tc>
        <w:tc>
          <w:tcPr>
            <w:tcW w:w="1218" w:type="dxa"/>
            <w:tcBorders>
              <w:top w:val="single" w:sz="4" w:space="0" w:color="000000"/>
              <w:bottom w:val="single" w:sz="4" w:space="0" w:color="000000"/>
            </w:tcBorders>
          </w:tcPr>
          <w:p>
            <w:pPr>
              <w:pStyle w:val="TableParagraph"/>
              <w:spacing w:line="273" w:lineRule="exact"/>
              <w:ind w:left="315"/>
              <w:rPr>
                <w:b/>
                <w:sz w:val="24"/>
              </w:rPr>
            </w:pPr>
            <w:r>
              <w:rPr>
                <w:b/>
                <w:spacing w:val="-2"/>
                <w:sz w:val="24"/>
              </w:rPr>
              <w:t>Value</w:t>
            </w:r>
          </w:p>
        </w:tc>
        <w:tc>
          <w:tcPr>
            <w:tcW w:w="698" w:type="dxa"/>
            <w:tcBorders>
              <w:top w:val="single" w:sz="4" w:space="0" w:color="000000"/>
              <w:bottom w:val="single" w:sz="4" w:space="0" w:color="000000"/>
            </w:tcBorders>
          </w:tcPr>
          <w:p>
            <w:pPr>
              <w:pStyle w:val="TableParagraph"/>
              <w:spacing w:line="273" w:lineRule="exact"/>
              <w:ind w:left="226"/>
              <w:rPr>
                <w:b/>
                <w:sz w:val="24"/>
              </w:rPr>
            </w:pPr>
            <w:r>
              <w:rPr>
                <w:b/>
                <w:spacing w:val="-10"/>
                <w:sz w:val="24"/>
              </w:rPr>
              <w:t>F</w:t>
            </w:r>
          </w:p>
        </w:tc>
        <w:tc>
          <w:tcPr>
            <w:tcW w:w="1629" w:type="dxa"/>
            <w:tcBorders>
              <w:top w:val="single" w:sz="4" w:space="0" w:color="000000"/>
              <w:bottom w:val="single" w:sz="4" w:space="0" w:color="000000"/>
            </w:tcBorders>
          </w:tcPr>
          <w:p>
            <w:pPr>
              <w:pStyle w:val="TableParagraph"/>
              <w:spacing w:line="273" w:lineRule="exact"/>
              <w:ind w:right="153"/>
              <w:jc w:val="right"/>
              <w:rPr>
                <w:b/>
                <w:sz w:val="24"/>
              </w:rPr>
            </w:pPr>
            <w:r>
              <w:rPr>
                <w:b/>
                <w:sz w:val="24"/>
              </w:rPr>
              <w:t>Hypothesis</w:t>
            </w:r>
            <w:r>
              <w:rPr>
                <w:b/>
                <w:spacing w:val="-2"/>
                <w:sz w:val="24"/>
              </w:rPr>
              <w:t> </w:t>
            </w:r>
            <w:r>
              <w:rPr>
                <w:b/>
                <w:spacing w:val="-5"/>
                <w:sz w:val="24"/>
              </w:rPr>
              <w:t>df</w:t>
            </w:r>
          </w:p>
        </w:tc>
        <w:tc>
          <w:tcPr>
            <w:tcW w:w="1467" w:type="dxa"/>
            <w:tcBorders>
              <w:top w:val="single" w:sz="4" w:space="0" w:color="000000"/>
              <w:bottom w:val="single" w:sz="4" w:space="0" w:color="000000"/>
            </w:tcBorders>
          </w:tcPr>
          <w:p>
            <w:pPr>
              <w:pStyle w:val="TableParagraph"/>
              <w:spacing w:line="273" w:lineRule="exact"/>
              <w:ind w:left="141"/>
              <w:rPr>
                <w:b/>
                <w:sz w:val="24"/>
              </w:rPr>
            </w:pPr>
            <w:r>
              <w:rPr>
                <w:b/>
                <w:sz w:val="24"/>
              </w:rPr>
              <w:t>Error</w:t>
            </w:r>
            <w:r>
              <w:rPr>
                <w:b/>
                <w:spacing w:val="-4"/>
                <w:sz w:val="24"/>
              </w:rPr>
              <w:t> </w:t>
            </w:r>
            <w:r>
              <w:rPr>
                <w:b/>
                <w:spacing w:val="-5"/>
                <w:sz w:val="24"/>
              </w:rPr>
              <w:t>df</w:t>
            </w:r>
          </w:p>
        </w:tc>
        <w:tc>
          <w:tcPr>
            <w:tcW w:w="932" w:type="dxa"/>
            <w:tcBorders>
              <w:top w:val="single" w:sz="4" w:space="0" w:color="000000"/>
              <w:bottom w:val="single" w:sz="4" w:space="0" w:color="000000"/>
            </w:tcBorders>
          </w:tcPr>
          <w:p>
            <w:pPr>
              <w:pStyle w:val="TableParagraph"/>
              <w:spacing w:line="273" w:lineRule="exact"/>
              <w:ind w:left="283"/>
              <w:rPr>
                <w:b/>
                <w:sz w:val="24"/>
              </w:rPr>
            </w:pPr>
            <w:r>
              <w:rPr>
                <w:b/>
                <w:spacing w:val="-10"/>
                <w:sz w:val="24"/>
              </w:rPr>
              <w:t>p</w:t>
            </w:r>
          </w:p>
        </w:tc>
      </w:tr>
      <w:tr>
        <w:trPr>
          <w:trHeight w:val="353" w:hRule="atLeast"/>
        </w:trPr>
        <w:tc>
          <w:tcPr>
            <w:tcW w:w="2227" w:type="dxa"/>
            <w:tcBorders>
              <w:top w:val="single" w:sz="4" w:space="0" w:color="000000"/>
            </w:tcBorders>
          </w:tcPr>
          <w:p>
            <w:pPr>
              <w:pStyle w:val="TableParagraph"/>
              <w:spacing w:line="268" w:lineRule="exact"/>
              <w:ind w:left="69"/>
              <w:rPr>
                <w:sz w:val="24"/>
              </w:rPr>
            </w:pPr>
            <w:r>
              <w:rPr>
                <w:sz w:val="24"/>
              </w:rPr>
              <w:t>Pillai's</w:t>
            </w:r>
            <w:r>
              <w:rPr>
                <w:spacing w:val="-9"/>
                <w:sz w:val="24"/>
              </w:rPr>
              <w:t> </w:t>
            </w:r>
            <w:r>
              <w:rPr>
                <w:spacing w:val="-2"/>
                <w:sz w:val="24"/>
              </w:rPr>
              <w:t>Trace</w:t>
            </w:r>
          </w:p>
        </w:tc>
        <w:tc>
          <w:tcPr>
            <w:tcW w:w="1218" w:type="dxa"/>
            <w:tcBorders>
              <w:top w:val="single" w:sz="4" w:space="0" w:color="000000"/>
            </w:tcBorders>
          </w:tcPr>
          <w:p>
            <w:pPr>
              <w:pStyle w:val="TableParagraph"/>
              <w:spacing w:line="268" w:lineRule="exact"/>
              <w:ind w:right="137"/>
              <w:jc w:val="right"/>
              <w:rPr>
                <w:sz w:val="24"/>
              </w:rPr>
            </w:pPr>
            <w:r>
              <w:rPr>
                <w:spacing w:val="-4"/>
                <w:sz w:val="24"/>
              </w:rPr>
              <w:t>.010</w:t>
            </w:r>
          </w:p>
        </w:tc>
        <w:tc>
          <w:tcPr>
            <w:tcW w:w="698" w:type="dxa"/>
            <w:tcBorders>
              <w:top w:val="single" w:sz="4" w:space="0" w:color="000000"/>
            </w:tcBorders>
          </w:tcPr>
          <w:p>
            <w:pPr>
              <w:pStyle w:val="TableParagraph"/>
              <w:spacing w:line="268" w:lineRule="exact"/>
              <w:ind w:right="63"/>
              <w:jc w:val="right"/>
              <w:rPr>
                <w:sz w:val="24"/>
              </w:rPr>
            </w:pPr>
            <w:r>
              <w:rPr>
                <w:spacing w:val="-2"/>
                <w:sz w:val="24"/>
              </w:rPr>
              <w:t>.380</w:t>
            </w:r>
            <w:r>
              <w:rPr>
                <w:spacing w:val="-2"/>
                <w:sz w:val="24"/>
                <w:vertAlign w:val="superscript"/>
              </w:rPr>
              <w:t>a</w:t>
            </w:r>
          </w:p>
        </w:tc>
        <w:tc>
          <w:tcPr>
            <w:tcW w:w="1629" w:type="dxa"/>
            <w:tcBorders>
              <w:top w:val="single" w:sz="4" w:space="0" w:color="000000"/>
            </w:tcBorders>
          </w:tcPr>
          <w:p>
            <w:pPr>
              <w:pStyle w:val="TableParagraph"/>
              <w:spacing w:line="268" w:lineRule="exact"/>
              <w:ind w:right="140"/>
              <w:jc w:val="right"/>
              <w:rPr>
                <w:sz w:val="24"/>
              </w:rPr>
            </w:pPr>
            <w:r>
              <w:rPr>
                <w:spacing w:val="-4"/>
                <w:sz w:val="24"/>
              </w:rPr>
              <w:t>4.000</w:t>
            </w:r>
          </w:p>
        </w:tc>
        <w:tc>
          <w:tcPr>
            <w:tcW w:w="1467" w:type="dxa"/>
            <w:tcBorders>
              <w:top w:val="single" w:sz="4" w:space="0" w:color="000000"/>
            </w:tcBorders>
          </w:tcPr>
          <w:p>
            <w:pPr>
              <w:pStyle w:val="TableParagraph"/>
              <w:spacing w:line="268" w:lineRule="exact"/>
              <w:ind w:right="282"/>
              <w:jc w:val="right"/>
              <w:rPr>
                <w:sz w:val="24"/>
              </w:rPr>
            </w:pPr>
            <w:r>
              <w:rPr>
                <w:spacing w:val="-2"/>
                <w:sz w:val="24"/>
              </w:rPr>
              <w:t>147.000</w:t>
            </w:r>
          </w:p>
        </w:tc>
        <w:tc>
          <w:tcPr>
            <w:tcW w:w="932" w:type="dxa"/>
            <w:tcBorders>
              <w:top w:val="single" w:sz="4" w:space="0" w:color="000000"/>
            </w:tcBorders>
          </w:tcPr>
          <w:p>
            <w:pPr>
              <w:pStyle w:val="TableParagraph"/>
              <w:spacing w:line="268" w:lineRule="exact"/>
              <w:ind w:right="52"/>
              <w:jc w:val="right"/>
              <w:rPr>
                <w:sz w:val="24"/>
              </w:rPr>
            </w:pPr>
            <w:r>
              <w:rPr>
                <w:spacing w:val="-4"/>
                <w:sz w:val="24"/>
              </w:rPr>
              <w:t>.822</w:t>
            </w:r>
          </w:p>
        </w:tc>
      </w:tr>
      <w:tr>
        <w:trPr>
          <w:trHeight w:val="415" w:hRule="atLeast"/>
        </w:trPr>
        <w:tc>
          <w:tcPr>
            <w:tcW w:w="2227" w:type="dxa"/>
          </w:tcPr>
          <w:p>
            <w:pPr>
              <w:pStyle w:val="TableParagraph"/>
              <w:spacing w:before="82"/>
              <w:ind w:left="69"/>
              <w:rPr>
                <w:sz w:val="24"/>
              </w:rPr>
            </w:pPr>
            <w:r>
              <w:rPr>
                <w:sz w:val="24"/>
              </w:rPr>
              <w:t>Wilks'</w:t>
            </w:r>
            <w:r>
              <w:rPr>
                <w:spacing w:val="-6"/>
                <w:sz w:val="24"/>
              </w:rPr>
              <w:t> </w:t>
            </w:r>
            <w:r>
              <w:rPr>
                <w:spacing w:val="-2"/>
                <w:sz w:val="24"/>
              </w:rPr>
              <w:t>Lambda</w:t>
            </w:r>
          </w:p>
        </w:tc>
        <w:tc>
          <w:tcPr>
            <w:tcW w:w="1218" w:type="dxa"/>
          </w:tcPr>
          <w:p>
            <w:pPr>
              <w:pStyle w:val="TableParagraph"/>
              <w:spacing w:before="82"/>
              <w:ind w:right="137"/>
              <w:jc w:val="right"/>
              <w:rPr>
                <w:sz w:val="24"/>
              </w:rPr>
            </w:pPr>
            <w:r>
              <w:rPr>
                <w:spacing w:val="-4"/>
                <w:sz w:val="24"/>
              </w:rPr>
              <w:t>.990</w:t>
            </w:r>
          </w:p>
        </w:tc>
        <w:tc>
          <w:tcPr>
            <w:tcW w:w="698" w:type="dxa"/>
          </w:tcPr>
          <w:p>
            <w:pPr>
              <w:pStyle w:val="TableParagraph"/>
              <w:spacing w:before="82"/>
              <w:ind w:right="63"/>
              <w:jc w:val="right"/>
              <w:rPr>
                <w:sz w:val="24"/>
              </w:rPr>
            </w:pPr>
            <w:r>
              <w:rPr>
                <w:spacing w:val="-2"/>
                <w:sz w:val="24"/>
              </w:rPr>
              <w:t>.380</w:t>
            </w:r>
            <w:r>
              <w:rPr>
                <w:spacing w:val="-2"/>
                <w:sz w:val="24"/>
                <w:vertAlign w:val="superscript"/>
              </w:rPr>
              <w:t>a</w:t>
            </w:r>
          </w:p>
        </w:tc>
        <w:tc>
          <w:tcPr>
            <w:tcW w:w="1629" w:type="dxa"/>
          </w:tcPr>
          <w:p>
            <w:pPr>
              <w:pStyle w:val="TableParagraph"/>
              <w:spacing w:before="82"/>
              <w:ind w:right="140"/>
              <w:jc w:val="right"/>
              <w:rPr>
                <w:sz w:val="24"/>
              </w:rPr>
            </w:pPr>
            <w:r>
              <w:rPr>
                <w:spacing w:val="-4"/>
                <w:sz w:val="24"/>
              </w:rPr>
              <w:t>4.000</w:t>
            </w:r>
          </w:p>
        </w:tc>
        <w:tc>
          <w:tcPr>
            <w:tcW w:w="1467" w:type="dxa"/>
          </w:tcPr>
          <w:p>
            <w:pPr>
              <w:pStyle w:val="TableParagraph"/>
              <w:spacing w:before="82"/>
              <w:ind w:right="282"/>
              <w:jc w:val="right"/>
              <w:rPr>
                <w:sz w:val="24"/>
              </w:rPr>
            </w:pPr>
            <w:r>
              <w:rPr>
                <w:spacing w:val="-2"/>
                <w:sz w:val="24"/>
              </w:rPr>
              <w:t>147.000</w:t>
            </w:r>
          </w:p>
        </w:tc>
        <w:tc>
          <w:tcPr>
            <w:tcW w:w="932" w:type="dxa"/>
          </w:tcPr>
          <w:p>
            <w:pPr>
              <w:pStyle w:val="TableParagraph"/>
              <w:spacing w:before="82"/>
              <w:ind w:right="52"/>
              <w:jc w:val="right"/>
              <w:rPr>
                <w:sz w:val="24"/>
              </w:rPr>
            </w:pPr>
            <w:r>
              <w:rPr>
                <w:spacing w:val="-4"/>
                <w:sz w:val="24"/>
              </w:rPr>
              <w:t>.822</w:t>
            </w:r>
          </w:p>
        </w:tc>
      </w:tr>
      <w:tr>
        <w:trPr>
          <w:trHeight w:val="415" w:hRule="atLeast"/>
        </w:trPr>
        <w:tc>
          <w:tcPr>
            <w:tcW w:w="2227" w:type="dxa"/>
          </w:tcPr>
          <w:p>
            <w:pPr>
              <w:pStyle w:val="TableParagraph"/>
              <w:spacing w:before="84"/>
              <w:ind w:left="69"/>
              <w:rPr>
                <w:sz w:val="24"/>
              </w:rPr>
            </w:pPr>
            <w:r>
              <w:rPr>
                <w:sz w:val="24"/>
              </w:rPr>
              <w:t>Hotelling's</w:t>
            </w:r>
            <w:r>
              <w:rPr>
                <w:spacing w:val="-7"/>
                <w:sz w:val="24"/>
              </w:rPr>
              <w:t> </w:t>
            </w:r>
            <w:r>
              <w:rPr>
                <w:spacing w:val="-2"/>
                <w:sz w:val="24"/>
              </w:rPr>
              <w:t>Trace</w:t>
            </w:r>
          </w:p>
        </w:tc>
        <w:tc>
          <w:tcPr>
            <w:tcW w:w="1218" w:type="dxa"/>
          </w:tcPr>
          <w:p>
            <w:pPr>
              <w:pStyle w:val="TableParagraph"/>
              <w:spacing w:before="84"/>
              <w:ind w:right="137"/>
              <w:jc w:val="right"/>
              <w:rPr>
                <w:sz w:val="24"/>
              </w:rPr>
            </w:pPr>
            <w:r>
              <w:rPr>
                <w:spacing w:val="-4"/>
                <w:sz w:val="24"/>
              </w:rPr>
              <w:t>.010</w:t>
            </w:r>
          </w:p>
        </w:tc>
        <w:tc>
          <w:tcPr>
            <w:tcW w:w="698" w:type="dxa"/>
          </w:tcPr>
          <w:p>
            <w:pPr>
              <w:pStyle w:val="TableParagraph"/>
              <w:spacing w:before="84"/>
              <w:ind w:right="63"/>
              <w:jc w:val="right"/>
              <w:rPr>
                <w:sz w:val="24"/>
              </w:rPr>
            </w:pPr>
            <w:r>
              <w:rPr>
                <w:spacing w:val="-2"/>
                <w:sz w:val="24"/>
              </w:rPr>
              <w:t>.380</w:t>
            </w:r>
            <w:r>
              <w:rPr>
                <w:spacing w:val="-2"/>
                <w:sz w:val="24"/>
                <w:vertAlign w:val="superscript"/>
              </w:rPr>
              <w:t>a</w:t>
            </w:r>
          </w:p>
        </w:tc>
        <w:tc>
          <w:tcPr>
            <w:tcW w:w="1629" w:type="dxa"/>
          </w:tcPr>
          <w:p>
            <w:pPr>
              <w:pStyle w:val="TableParagraph"/>
              <w:spacing w:before="84"/>
              <w:ind w:right="140"/>
              <w:jc w:val="right"/>
              <w:rPr>
                <w:sz w:val="24"/>
              </w:rPr>
            </w:pPr>
            <w:r>
              <w:rPr>
                <w:spacing w:val="-4"/>
                <w:sz w:val="24"/>
              </w:rPr>
              <w:t>4.000</w:t>
            </w:r>
          </w:p>
        </w:tc>
        <w:tc>
          <w:tcPr>
            <w:tcW w:w="1467" w:type="dxa"/>
          </w:tcPr>
          <w:p>
            <w:pPr>
              <w:pStyle w:val="TableParagraph"/>
              <w:spacing w:before="84"/>
              <w:ind w:right="282"/>
              <w:jc w:val="right"/>
              <w:rPr>
                <w:sz w:val="24"/>
              </w:rPr>
            </w:pPr>
            <w:r>
              <w:rPr>
                <w:spacing w:val="-2"/>
                <w:sz w:val="24"/>
              </w:rPr>
              <w:t>147.000</w:t>
            </w:r>
          </w:p>
        </w:tc>
        <w:tc>
          <w:tcPr>
            <w:tcW w:w="932" w:type="dxa"/>
          </w:tcPr>
          <w:p>
            <w:pPr>
              <w:pStyle w:val="TableParagraph"/>
              <w:spacing w:before="84"/>
              <w:ind w:right="52"/>
              <w:jc w:val="right"/>
              <w:rPr>
                <w:sz w:val="24"/>
              </w:rPr>
            </w:pPr>
            <w:r>
              <w:rPr>
                <w:spacing w:val="-4"/>
                <w:sz w:val="24"/>
              </w:rPr>
              <w:t>.822</w:t>
            </w:r>
          </w:p>
        </w:tc>
      </w:tr>
      <w:tr>
        <w:trPr>
          <w:trHeight w:val="503" w:hRule="atLeast"/>
        </w:trPr>
        <w:tc>
          <w:tcPr>
            <w:tcW w:w="2227" w:type="dxa"/>
            <w:tcBorders>
              <w:bottom w:val="single" w:sz="4" w:space="0" w:color="000000"/>
            </w:tcBorders>
          </w:tcPr>
          <w:p>
            <w:pPr>
              <w:pStyle w:val="TableParagraph"/>
              <w:spacing w:before="82"/>
              <w:ind w:left="69"/>
              <w:rPr>
                <w:sz w:val="24"/>
              </w:rPr>
            </w:pPr>
            <w:r>
              <w:rPr>
                <w:sz w:val="24"/>
              </w:rPr>
              <w:t>Roy's</w:t>
            </w:r>
            <w:r>
              <w:rPr>
                <w:spacing w:val="-7"/>
                <w:sz w:val="24"/>
              </w:rPr>
              <w:t> </w:t>
            </w:r>
            <w:r>
              <w:rPr>
                <w:sz w:val="24"/>
              </w:rPr>
              <w:t>Largest</w:t>
            </w:r>
            <w:r>
              <w:rPr>
                <w:spacing w:val="2"/>
                <w:sz w:val="24"/>
              </w:rPr>
              <w:t> </w:t>
            </w:r>
            <w:r>
              <w:rPr>
                <w:spacing w:val="-4"/>
                <w:sz w:val="24"/>
              </w:rPr>
              <w:t>Root</w:t>
            </w:r>
          </w:p>
        </w:tc>
        <w:tc>
          <w:tcPr>
            <w:tcW w:w="1218" w:type="dxa"/>
            <w:tcBorders>
              <w:bottom w:val="single" w:sz="4" w:space="0" w:color="000000"/>
            </w:tcBorders>
          </w:tcPr>
          <w:p>
            <w:pPr>
              <w:pStyle w:val="TableParagraph"/>
              <w:spacing w:before="82"/>
              <w:ind w:right="137"/>
              <w:jc w:val="right"/>
              <w:rPr>
                <w:sz w:val="24"/>
              </w:rPr>
            </w:pPr>
            <w:r>
              <w:rPr>
                <w:spacing w:val="-4"/>
                <w:sz w:val="24"/>
              </w:rPr>
              <w:t>.010</w:t>
            </w:r>
          </w:p>
        </w:tc>
        <w:tc>
          <w:tcPr>
            <w:tcW w:w="698" w:type="dxa"/>
            <w:tcBorders>
              <w:bottom w:val="single" w:sz="4" w:space="0" w:color="000000"/>
            </w:tcBorders>
          </w:tcPr>
          <w:p>
            <w:pPr>
              <w:pStyle w:val="TableParagraph"/>
              <w:spacing w:before="82"/>
              <w:ind w:right="63"/>
              <w:jc w:val="right"/>
              <w:rPr>
                <w:sz w:val="24"/>
              </w:rPr>
            </w:pPr>
            <w:r>
              <w:rPr>
                <w:spacing w:val="-2"/>
                <w:sz w:val="24"/>
              </w:rPr>
              <w:t>.380</w:t>
            </w:r>
            <w:r>
              <w:rPr>
                <w:spacing w:val="-2"/>
                <w:sz w:val="24"/>
                <w:vertAlign w:val="superscript"/>
              </w:rPr>
              <w:t>a</w:t>
            </w:r>
          </w:p>
        </w:tc>
        <w:tc>
          <w:tcPr>
            <w:tcW w:w="1629" w:type="dxa"/>
            <w:tcBorders>
              <w:bottom w:val="single" w:sz="4" w:space="0" w:color="000000"/>
            </w:tcBorders>
          </w:tcPr>
          <w:p>
            <w:pPr>
              <w:pStyle w:val="TableParagraph"/>
              <w:spacing w:before="82"/>
              <w:ind w:right="140"/>
              <w:jc w:val="right"/>
              <w:rPr>
                <w:sz w:val="24"/>
              </w:rPr>
            </w:pPr>
            <w:r>
              <w:rPr>
                <w:spacing w:val="-4"/>
                <w:sz w:val="24"/>
              </w:rPr>
              <w:t>4.000</w:t>
            </w:r>
          </w:p>
        </w:tc>
        <w:tc>
          <w:tcPr>
            <w:tcW w:w="1467" w:type="dxa"/>
            <w:tcBorders>
              <w:bottom w:val="single" w:sz="4" w:space="0" w:color="000000"/>
            </w:tcBorders>
          </w:tcPr>
          <w:p>
            <w:pPr>
              <w:pStyle w:val="TableParagraph"/>
              <w:spacing w:before="82"/>
              <w:ind w:right="282"/>
              <w:jc w:val="right"/>
              <w:rPr>
                <w:sz w:val="24"/>
              </w:rPr>
            </w:pPr>
            <w:r>
              <w:rPr>
                <w:spacing w:val="-2"/>
                <w:sz w:val="24"/>
              </w:rPr>
              <w:t>147.000</w:t>
            </w:r>
          </w:p>
        </w:tc>
        <w:tc>
          <w:tcPr>
            <w:tcW w:w="932" w:type="dxa"/>
            <w:tcBorders>
              <w:bottom w:val="single" w:sz="4" w:space="0" w:color="000000"/>
            </w:tcBorders>
          </w:tcPr>
          <w:p>
            <w:pPr>
              <w:pStyle w:val="TableParagraph"/>
              <w:spacing w:before="82"/>
              <w:ind w:right="52"/>
              <w:jc w:val="right"/>
              <w:rPr>
                <w:sz w:val="24"/>
              </w:rPr>
            </w:pPr>
            <w:r>
              <w:rPr>
                <w:spacing w:val="-4"/>
                <w:sz w:val="24"/>
              </w:rPr>
              <w:t>.822</w:t>
            </w:r>
          </w:p>
        </w:tc>
      </w:tr>
    </w:tbl>
    <w:p>
      <w:pPr>
        <w:pStyle w:val="ListParagraph"/>
        <w:numPr>
          <w:ilvl w:val="3"/>
          <w:numId w:val="20"/>
        </w:numPr>
        <w:tabs>
          <w:tab w:pos="1430" w:val="left" w:leader="none"/>
        </w:tabs>
        <w:spacing w:line="240" w:lineRule="auto" w:before="0" w:after="0"/>
        <w:ind w:left="1430" w:right="0" w:hanging="229"/>
        <w:jc w:val="left"/>
        <w:rPr>
          <w:sz w:val="24"/>
        </w:rPr>
      </w:pPr>
      <w:r>
        <w:rPr>
          <w:sz w:val="24"/>
        </w:rPr>
        <w:t>Exact</w:t>
      </w:r>
      <w:r>
        <w:rPr>
          <w:spacing w:val="-4"/>
          <w:sz w:val="24"/>
        </w:rPr>
        <w:t> </w:t>
      </w:r>
      <w:r>
        <w:rPr>
          <w:spacing w:val="-2"/>
          <w:sz w:val="24"/>
        </w:rPr>
        <w:t>statistic</w:t>
      </w:r>
    </w:p>
    <w:p>
      <w:pPr>
        <w:pStyle w:val="ListParagraph"/>
        <w:numPr>
          <w:ilvl w:val="3"/>
          <w:numId w:val="20"/>
        </w:numPr>
        <w:tabs>
          <w:tab w:pos="1440" w:val="left" w:leader="none"/>
        </w:tabs>
        <w:spacing w:line="240" w:lineRule="auto" w:before="0" w:after="0"/>
        <w:ind w:left="1440" w:right="0" w:hanging="239"/>
        <w:jc w:val="left"/>
        <w:rPr>
          <w:sz w:val="24"/>
        </w:rPr>
      </w:pPr>
      <w:r>
        <w:rPr>
          <w:sz w:val="24"/>
        </w:rPr>
        <w:t>Design:</w:t>
      </w:r>
      <w:r>
        <w:rPr>
          <w:spacing w:val="-3"/>
          <w:sz w:val="24"/>
        </w:rPr>
        <w:t> </w:t>
      </w:r>
      <w:r>
        <w:rPr>
          <w:sz w:val="24"/>
        </w:rPr>
        <w:t>Intercept +</w:t>
      </w:r>
      <w:r>
        <w:rPr>
          <w:spacing w:val="-1"/>
          <w:sz w:val="24"/>
        </w:rPr>
        <w:t> </w:t>
      </w:r>
      <w:r>
        <w:rPr>
          <w:spacing w:val="-5"/>
          <w:sz w:val="24"/>
        </w:rPr>
        <w:t>sex</w:t>
      </w:r>
    </w:p>
    <w:p>
      <w:pPr>
        <w:pStyle w:val="BodyText"/>
        <w:spacing w:line="480" w:lineRule="auto" w:before="271"/>
        <w:ind w:right="1150" w:firstLine="720"/>
      </w:pPr>
      <w:r>
        <w:rPr/>
        <w:t>Table 4.8 shows</w:t>
      </w:r>
      <w:r>
        <w:rPr>
          <w:spacing w:val="40"/>
        </w:rPr>
        <w:t> </w:t>
      </w:r>
      <w:r>
        <w:rPr/>
        <w:t>one-way MANOVA was calculated examining the effect of gender on emotional-intelligence, reasoning ability, self-efficacy and academic achievement scores. No significant effect was found ((Lambda(4,147)= .380, p&gt; .05), the null hypothesis which stated no significant difference was retained. None of emotional-intelligence,</w:t>
      </w:r>
      <w:r>
        <w:rPr>
          <w:spacing w:val="-1"/>
        </w:rPr>
        <w:t> </w:t>
      </w:r>
      <w:r>
        <w:rPr/>
        <w:t>reasoning</w:t>
      </w:r>
      <w:r>
        <w:rPr>
          <w:spacing w:val="-3"/>
        </w:rPr>
        <w:t> </w:t>
      </w:r>
      <w:r>
        <w:rPr/>
        <w:t>ability, self-efficacy</w:t>
      </w:r>
      <w:r>
        <w:rPr>
          <w:spacing w:val="-7"/>
        </w:rPr>
        <w:t> </w:t>
      </w:r>
      <w:r>
        <w:rPr/>
        <w:t>and</w:t>
      </w:r>
      <w:r>
        <w:rPr>
          <w:spacing w:val="-3"/>
        </w:rPr>
        <w:t> </w:t>
      </w:r>
      <w:r>
        <w:rPr/>
        <w:t>academic</w:t>
      </w:r>
      <w:r>
        <w:rPr>
          <w:spacing w:val="-4"/>
        </w:rPr>
        <w:t> </w:t>
      </w:r>
      <w:r>
        <w:rPr/>
        <w:t>achievement was influenced by gender. Therefore, there is no significant difference in the mean score</w:t>
      </w:r>
      <w:r>
        <w:rPr>
          <w:spacing w:val="40"/>
        </w:rPr>
        <w:t> </w:t>
      </w:r>
      <w:r>
        <w:rPr/>
        <w:t>of male and female students in emotional-intelligence, reasoning ability, self-efficacy and academic achievement.</w:t>
      </w:r>
    </w:p>
    <w:p>
      <w:pPr>
        <w:pStyle w:val="Heading3"/>
        <w:numPr>
          <w:ilvl w:val="1"/>
          <w:numId w:val="20"/>
        </w:numPr>
        <w:tabs>
          <w:tab w:pos="1199" w:val="left" w:leader="none"/>
        </w:tabs>
        <w:spacing w:line="240" w:lineRule="auto" w:before="6" w:after="0"/>
        <w:ind w:left="1199" w:right="0" w:hanging="719"/>
        <w:jc w:val="both"/>
      </w:pPr>
      <w:r>
        <w:rPr>
          <w:spacing w:val="-2"/>
        </w:rPr>
        <w:t>Findings</w:t>
      </w:r>
    </w:p>
    <w:p>
      <w:pPr>
        <w:pStyle w:val="BodyText"/>
        <w:spacing w:before="271"/>
        <w:ind w:left="1201"/>
        <w:jc w:val="left"/>
      </w:pPr>
      <w:r>
        <w:rPr/>
        <w:t>The</w:t>
      </w:r>
      <w:r>
        <w:rPr>
          <w:spacing w:val="-1"/>
        </w:rPr>
        <w:t> </w:t>
      </w:r>
      <w:r>
        <w:rPr/>
        <w:t>summary</w:t>
      </w:r>
      <w:r>
        <w:rPr>
          <w:spacing w:val="-4"/>
        </w:rPr>
        <w:t> </w:t>
      </w:r>
      <w:r>
        <w:rPr/>
        <w:t>of</w:t>
      </w:r>
      <w:r>
        <w:rPr>
          <w:spacing w:val="-2"/>
        </w:rPr>
        <w:t> </w:t>
      </w:r>
      <w:r>
        <w:rPr/>
        <w:t>findings</w:t>
      </w:r>
      <w:r>
        <w:rPr>
          <w:spacing w:val="-2"/>
        </w:rPr>
        <w:t> </w:t>
      </w:r>
      <w:r>
        <w:rPr/>
        <w:t>of</w:t>
      </w:r>
      <w:r>
        <w:rPr>
          <w:spacing w:val="-7"/>
        </w:rPr>
        <w:t> </w:t>
      </w:r>
      <w:r>
        <w:rPr/>
        <w:t>the study</w:t>
      </w:r>
      <w:r>
        <w:rPr>
          <w:spacing w:val="-5"/>
        </w:rPr>
        <w:t> </w:t>
      </w:r>
      <w:r>
        <w:rPr/>
        <w:t>includes</w:t>
      </w:r>
      <w:r>
        <w:rPr>
          <w:spacing w:val="-1"/>
        </w:rPr>
        <w:t> </w:t>
      </w:r>
      <w:r>
        <w:rPr/>
        <w:t>the </w:t>
      </w:r>
      <w:r>
        <w:rPr>
          <w:spacing w:val="-2"/>
        </w:rPr>
        <w:t>following:</w:t>
      </w:r>
    </w:p>
    <w:p>
      <w:pPr>
        <w:pStyle w:val="BodyText"/>
        <w:spacing w:before="1"/>
        <w:ind w:left="0"/>
        <w:jc w:val="left"/>
      </w:pPr>
    </w:p>
    <w:p>
      <w:pPr>
        <w:pStyle w:val="ListParagraph"/>
        <w:numPr>
          <w:ilvl w:val="0"/>
          <w:numId w:val="21"/>
        </w:numPr>
        <w:tabs>
          <w:tab w:pos="1199" w:val="left" w:leader="none"/>
          <w:tab w:pos="1201" w:val="left" w:leader="none"/>
        </w:tabs>
        <w:spacing w:line="480" w:lineRule="auto" w:before="0" w:after="0"/>
        <w:ind w:left="1201" w:right="1156" w:hanging="538"/>
        <w:jc w:val="both"/>
        <w:rPr>
          <w:sz w:val="24"/>
        </w:rPr>
      </w:pPr>
      <w:r>
        <w:rPr>
          <w:sz w:val="24"/>
        </w:rPr>
        <w:t>There was significant relationship between the mean emotional-intelligence, reasoning ability, self-efficacy and academic achievement scores of SS II students in chemistry. The strongest positive correlation was between self- efficacy and Chemistry Achievement scores, r (150) = 0.851, P</w:t>
      </w:r>
      <w:r>
        <w:rPr>
          <w:sz w:val="24"/>
          <w:u w:val="single"/>
        </w:rPr>
        <w:t>&lt;</w:t>
      </w:r>
      <w:r>
        <w:rPr>
          <w:sz w:val="24"/>
        </w:rPr>
        <w:t> 0.05. The least positive correlation was between reasoning ability and Chemistry Achievement score (r = 0.797, P </w:t>
      </w:r>
      <w:r>
        <w:rPr>
          <w:sz w:val="24"/>
          <w:u w:val="single"/>
        </w:rPr>
        <w:t>&lt;</w:t>
      </w:r>
      <w:r>
        <w:rPr>
          <w:sz w:val="24"/>
        </w:rPr>
        <w:t> 0.05).</w:t>
      </w:r>
    </w:p>
    <w:p>
      <w:pPr>
        <w:pStyle w:val="ListParagraph"/>
        <w:numPr>
          <w:ilvl w:val="0"/>
          <w:numId w:val="21"/>
        </w:numPr>
        <w:tabs>
          <w:tab w:pos="1199" w:val="left" w:leader="none"/>
          <w:tab w:pos="1201" w:val="left" w:leader="none"/>
        </w:tabs>
        <w:spacing w:line="480" w:lineRule="auto" w:before="1" w:after="0"/>
        <w:ind w:left="1201" w:right="1162" w:hanging="538"/>
        <w:jc w:val="both"/>
        <w:rPr>
          <w:sz w:val="24"/>
        </w:rPr>
      </w:pPr>
      <w:r>
        <w:rPr>
          <w:sz w:val="24"/>
        </w:rPr>
        <w:t>There was significant relationship between the mean emotional – intelligence, reasoning ability, self – efficacy</w:t>
      </w:r>
      <w:r>
        <w:rPr>
          <w:spacing w:val="-1"/>
          <w:sz w:val="24"/>
        </w:rPr>
        <w:t> </w:t>
      </w:r>
      <w:r>
        <w:rPr>
          <w:sz w:val="24"/>
        </w:rPr>
        <w:t>and academic achievement scores of male SS</w:t>
      </w:r>
    </w:p>
    <w:p>
      <w:pPr>
        <w:spacing w:after="0" w:line="480" w:lineRule="auto"/>
        <w:jc w:val="both"/>
        <w:rPr>
          <w:sz w:val="24"/>
        </w:rPr>
        <w:sectPr>
          <w:pgSz w:w="11910" w:h="16840"/>
          <w:pgMar w:header="0" w:footer="1012" w:top="1340" w:bottom="1200" w:left="1680" w:right="280"/>
        </w:sectPr>
      </w:pPr>
    </w:p>
    <w:p>
      <w:pPr>
        <w:pStyle w:val="BodyText"/>
        <w:spacing w:line="480" w:lineRule="auto" w:before="74"/>
        <w:ind w:left="1201" w:right="1164"/>
      </w:pPr>
      <w:r>
        <w:rPr/>
        <w:t>II students in chemistry. The strongest positive correlation was between self- efficacy and chemistry achievement scores (r = 0.813, P </w:t>
      </w:r>
      <w:r>
        <w:rPr>
          <w:u w:val="single"/>
        </w:rPr>
        <w:t>&lt;</w:t>
      </w:r>
      <w:r>
        <w:rPr/>
        <w:t> 0.05) and the least positive correlation was between reasoning ability and chemistry</w:t>
      </w:r>
      <w:r>
        <w:rPr>
          <w:spacing w:val="-1"/>
        </w:rPr>
        <w:t> </w:t>
      </w:r>
      <w:r>
        <w:rPr/>
        <w:t>achievement cores (r = 0.800, P</w:t>
      </w:r>
      <w:r>
        <w:rPr>
          <w:u w:val="single"/>
        </w:rPr>
        <w:t>&lt;</w:t>
      </w:r>
      <w:r>
        <w:rPr/>
        <w:t> 0.05).</w:t>
      </w:r>
    </w:p>
    <w:p>
      <w:pPr>
        <w:pStyle w:val="ListParagraph"/>
        <w:numPr>
          <w:ilvl w:val="0"/>
          <w:numId w:val="21"/>
        </w:numPr>
        <w:tabs>
          <w:tab w:pos="1198" w:val="left" w:leader="none"/>
          <w:tab w:pos="1201" w:val="left" w:leader="none"/>
        </w:tabs>
        <w:spacing w:line="480" w:lineRule="auto" w:before="0" w:after="0"/>
        <w:ind w:left="1201" w:right="1158" w:hanging="538"/>
        <w:jc w:val="both"/>
        <w:rPr>
          <w:sz w:val="24"/>
        </w:rPr>
      </w:pPr>
      <w:r>
        <w:rPr>
          <w:sz w:val="24"/>
        </w:rPr>
        <w:t>There was significant relationship between the mean emotional – intelligence, reasoning ability, self-efficacy and academic achievement score of female SS II</w:t>
      </w:r>
      <w:r>
        <w:rPr>
          <w:spacing w:val="-2"/>
          <w:sz w:val="24"/>
        </w:rPr>
        <w:t> </w:t>
      </w:r>
      <w:r>
        <w:rPr>
          <w:sz w:val="24"/>
        </w:rPr>
        <w:t>students</w:t>
      </w:r>
      <w:r>
        <w:rPr>
          <w:spacing w:val="-1"/>
          <w:sz w:val="24"/>
        </w:rPr>
        <w:t> </w:t>
      </w:r>
      <w:r>
        <w:rPr>
          <w:sz w:val="24"/>
        </w:rPr>
        <w:t>in</w:t>
      </w:r>
      <w:r>
        <w:rPr>
          <w:spacing w:val="-7"/>
          <w:sz w:val="24"/>
        </w:rPr>
        <w:t> </w:t>
      </w:r>
      <w:r>
        <w:rPr>
          <w:sz w:val="24"/>
        </w:rPr>
        <w:t>chemistry.</w:t>
      </w:r>
      <w:r>
        <w:rPr>
          <w:spacing w:val="-1"/>
          <w:sz w:val="24"/>
        </w:rPr>
        <w:t> </w:t>
      </w:r>
      <w:r>
        <w:rPr>
          <w:sz w:val="24"/>
        </w:rPr>
        <w:t>The</w:t>
      </w:r>
      <w:r>
        <w:rPr>
          <w:spacing w:val="-4"/>
          <w:sz w:val="24"/>
        </w:rPr>
        <w:t> </w:t>
      </w:r>
      <w:r>
        <w:rPr>
          <w:sz w:val="24"/>
        </w:rPr>
        <w:t>strongest positive</w:t>
      </w:r>
      <w:r>
        <w:rPr>
          <w:spacing w:val="-4"/>
          <w:sz w:val="24"/>
        </w:rPr>
        <w:t> </w:t>
      </w:r>
      <w:r>
        <w:rPr>
          <w:sz w:val="24"/>
        </w:rPr>
        <w:t>correlations</w:t>
      </w:r>
      <w:r>
        <w:rPr>
          <w:spacing w:val="-5"/>
          <w:sz w:val="24"/>
        </w:rPr>
        <w:t> </w:t>
      </w:r>
      <w:r>
        <w:rPr>
          <w:sz w:val="24"/>
        </w:rPr>
        <w:t>was</w:t>
      </w:r>
      <w:r>
        <w:rPr>
          <w:spacing w:val="-5"/>
          <w:sz w:val="24"/>
        </w:rPr>
        <w:t> </w:t>
      </w:r>
      <w:r>
        <w:rPr>
          <w:sz w:val="24"/>
        </w:rPr>
        <w:t>between</w:t>
      </w:r>
      <w:r>
        <w:rPr>
          <w:spacing w:val="-7"/>
          <w:sz w:val="24"/>
        </w:rPr>
        <w:t> </w:t>
      </w:r>
      <w:r>
        <w:rPr>
          <w:sz w:val="24"/>
        </w:rPr>
        <w:t>self – efficacy and chemistry achievement score (r = 0.899, P &lt; 0.05) and the least positive correlation was between reasoning ability and chemistry</w:t>
      </w:r>
      <w:r>
        <w:rPr>
          <w:spacing w:val="-1"/>
          <w:sz w:val="24"/>
        </w:rPr>
        <w:t> </w:t>
      </w:r>
      <w:r>
        <w:rPr>
          <w:sz w:val="24"/>
        </w:rPr>
        <w:t>achievement scores (r = 0.796, P &lt; 0.05).</w:t>
      </w:r>
    </w:p>
    <w:p>
      <w:pPr>
        <w:pStyle w:val="ListParagraph"/>
        <w:numPr>
          <w:ilvl w:val="0"/>
          <w:numId w:val="21"/>
        </w:numPr>
        <w:tabs>
          <w:tab w:pos="1199" w:val="left" w:leader="none"/>
          <w:tab w:pos="1201" w:val="left" w:leader="none"/>
        </w:tabs>
        <w:spacing w:line="480" w:lineRule="auto" w:before="2" w:after="0"/>
        <w:ind w:left="1201" w:right="1167" w:hanging="538"/>
        <w:jc w:val="both"/>
        <w:rPr>
          <w:sz w:val="24"/>
        </w:rPr>
      </w:pPr>
      <w:r>
        <w:rPr>
          <w:sz w:val="24"/>
        </w:rPr>
        <w:t>There was no significant difference between the mean chemistry</w:t>
      </w:r>
      <w:r>
        <w:rPr>
          <w:spacing w:val="-3"/>
          <w:sz w:val="24"/>
        </w:rPr>
        <w:t> </w:t>
      </w:r>
      <w:r>
        <w:rPr>
          <w:sz w:val="24"/>
        </w:rPr>
        <w:t>achievement scores</w:t>
      </w:r>
      <w:r>
        <w:rPr>
          <w:spacing w:val="-3"/>
          <w:sz w:val="24"/>
        </w:rPr>
        <w:t> </w:t>
      </w:r>
      <w:r>
        <w:rPr>
          <w:sz w:val="24"/>
        </w:rPr>
        <w:t>F(1, 150)</w:t>
      </w:r>
      <w:r>
        <w:rPr>
          <w:spacing w:val="-4"/>
          <w:sz w:val="24"/>
        </w:rPr>
        <w:t> </w:t>
      </w:r>
      <w:r>
        <w:rPr>
          <w:sz w:val="24"/>
        </w:rPr>
        <w:t>=</w:t>
      </w:r>
      <w:r>
        <w:rPr>
          <w:spacing w:val="-2"/>
          <w:sz w:val="24"/>
        </w:rPr>
        <w:t> </w:t>
      </w:r>
      <w:r>
        <w:rPr>
          <w:sz w:val="24"/>
        </w:rPr>
        <w:t>0.636, P</w:t>
      </w:r>
      <w:r>
        <w:rPr>
          <w:spacing w:val="-5"/>
          <w:sz w:val="24"/>
        </w:rPr>
        <w:t> </w:t>
      </w:r>
      <w:r>
        <w:rPr>
          <w:sz w:val="24"/>
        </w:rPr>
        <w:t>=</w:t>
      </w:r>
      <w:r>
        <w:rPr>
          <w:spacing w:val="-2"/>
          <w:sz w:val="24"/>
        </w:rPr>
        <w:t> </w:t>
      </w:r>
      <w:r>
        <w:rPr>
          <w:sz w:val="24"/>
        </w:rPr>
        <w:t>0.426</w:t>
      </w:r>
      <w:r>
        <w:rPr>
          <w:spacing w:val="-6"/>
          <w:sz w:val="24"/>
        </w:rPr>
        <w:t> </w:t>
      </w:r>
      <w:r>
        <w:rPr>
          <w:sz w:val="24"/>
        </w:rPr>
        <w:t>&gt;</w:t>
      </w:r>
      <w:r>
        <w:rPr>
          <w:spacing w:val="-2"/>
          <w:sz w:val="24"/>
        </w:rPr>
        <w:t> </w:t>
      </w:r>
      <w:r>
        <w:rPr>
          <w:sz w:val="24"/>
        </w:rPr>
        <w:t>0.05;</w:t>
      </w:r>
      <w:r>
        <w:rPr>
          <w:spacing w:val="-6"/>
          <w:sz w:val="24"/>
        </w:rPr>
        <w:t> </w:t>
      </w:r>
      <w:r>
        <w:rPr>
          <w:sz w:val="24"/>
        </w:rPr>
        <w:t>mean</w:t>
      </w:r>
      <w:r>
        <w:rPr>
          <w:spacing w:val="-6"/>
          <w:sz w:val="24"/>
        </w:rPr>
        <w:t> </w:t>
      </w:r>
      <w:r>
        <w:rPr>
          <w:sz w:val="24"/>
        </w:rPr>
        <w:t>emotional</w:t>
      </w:r>
      <w:r>
        <w:rPr>
          <w:spacing w:val="-6"/>
          <w:sz w:val="24"/>
        </w:rPr>
        <w:t> </w:t>
      </w:r>
      <w:r>
        <w:rPr>
          <w:sz w:val="24"/>
        </w:rPr>
        <w:t>intelligence</w:t>
      </w:r>
      <w:r>
        <w:rPr>
          <w:spacing w:val="-2"/>
          <w:sz w:val="24"/>
        </w:rPr>
        <w:t> </w:t>
      </w:r>
      <w:r>
        <w:rPr>
          <w:sz w:val="24"/>
        </w:rPr>
        <w:t>scores F(1, 150) =</w:t>
      </w:r>
      <w:r>
        <w:rPr>
          <w:spacing w:val="-1"/>
          <w:sz w:val="24"/>
        </w:rPr>
        <w:t> </w:t>
      </w:r>
      <w:r>
        <w:rPr>
          <w:sz w:val="24"/>
        </w:rPr>
        <w:t>0.069, P =</w:t>
      </w:r>
      <w:r>
        <w:rPr>
          <w:spacing w:val="-1"/>
          <w:sz w:val="24"/>
        </w:rPr>
        <w:t> </w:t>
      </w:r>
      <w:r>
        <w:rPr>
          <w:sz w:val="24"/>
        </w:rPr>
        <w:t>0.793 &gt;</w:t>
      </w:r>
      <w:r>
        <w:rPr>
          <w:spacing w:val="-1"/>
          <w:sz w:val="24"/>
        </w:rPr>
        <w:t> </w:t>
      </w:r>
      <w:r>
        <w:rPr>
          <w:sz w:val="24"/>
        </w:rPr>
        <w:t>0.05; mean</w:t>
      </w:r>
      <w:r>
        <w:rPr>
          <w:spacing w:val="-5"/>
          <w:sz w:val="24"/>
        </w:rPr>
        <w:t> </w:t>
      </w:r>
      <w:r>
        <w:rPr>
          <w:sz w:val="24"/>
        </w:rPr>
        <w:t>reasoning ability scores</w:t>
      </w:r>
      <w:r>
        <w:rPr>
          <w:spacing w:val="-2"/>
          <w:sz w:val="24"/>
        </w:rPr>
        <w:t> </w:t>
      </w:r>
      <w:r>
        <w:rPr>
          <w:sz w:val="24"/>
        </w:rPr>
        <w:t>F(1, 150) =</w:t>
      </w:r>
    </w:p>
    <w:p>
      <w:pPr>
        <w:pStyle w:val="BodyText"/>
        <w:ind w:left="1201"/>
      </w:pPr>
      <w:r>
        <w:rPr/>
        <w:t>0.450,</w:t>
      </w:r>
      <w:r>
        <w:rPr>
          <w:spacing w:val="16"/>
        </w:rPr>
        <w:t> </w:t>
      </w:r>
      <w:r>
        <w:rPr/>
        <w:t>P</w:t>
      </w:r>
      <w:r>
        <w:rPr>
          <w:spacing w:val="11"/>
        </w:rPr>
        <w:t> </w:t>
      </w:r>
      <w:r>
        <w:rPr/>
        <w:t>=</w:t>
      </w:r>
      <w:r>
        <w:rPr>
          <w:spacing w:val="14"/>
        </w:rPr>
        <w:t> </w:t>
      </w:r>
      <w:r>
        <w:rPr/>
        <w:t>0.503</w:t>
      </w:r>
      <w:r>
        <w:rPr>
          <w:spacing w:val="15"/>
        </w:rPr>
        <w:t> </w:t>
      </w:r>
      <w:r>
        <w:rPr/>
        <w:t>&gt;0.05,</w:t>
      </w:r>
      <w:r>
        <w:rPr>
          <w:spacing w:val="16"/>
        </w:rPr>
        <w:t> </w:t>
      </w:r>
      <w:r>
        <w:rPr/>
        <w:t>and</w:t>
      </w:r>
      <w:r>
        <w:rPr>
          <w:spacing w:val="15"/>
        </w:rPr>
        <w:t> </w:t>
      </w:r>
      <w:r>
        <w:rPr/>
        <w:t>mean</w:t>
      </w:r>
      <w:r>
        <w:rPr>
          <w:spacing w:val="10"/>
        </w:rPr>
        <w:t> </w:t>
      </w:r>
      <w:r>
        <w:rPr/>
        <w:t>self-efficacy</w:t>
      </w:r>
      <w:r>
        <w:rPr>
          <w:spacing w:val="15"/>
        </w:rPr>
        <w:t> </w:t>
      </w:r>
      <w:r>
        <w:rPr/>
        <w:t>scores</w:t>
      </w:r>
      <w:r>
        <w:rPr>
          <w:spacing w:val="13"/>
        </w:rPr>
        <w:t> </w:t>
      </w:r>
      <w:r>
        <w:rPr/>
        <w:t>F(1,</w:t>
      </w:r>
      <w:r>
        <w:rPr>
          <w:spacing w:val="16"/>
        </w:rPr>
        <w:t> </w:t>
      </w:r>
      <w:r>
        <w:rPr/>
        <w:t>150)</w:t>
      </w:r>
      <w:r>
        <w:rPr>
          <w:spacing w:val="17"/>
        </w:rPr>
        <w:t> </w:t>
      </w:r>
      <w:r>
        <w:rPr/>
        <w:t>=</w:t>
      </w:r>
      <w:r>
        <w:rPr>
          <w:spacing w:val="14"/>
        </w:rPr>
        <w:t> </w:t>
      </w:r>
      <w:r>
        <w:rPr/>
        <w:t>0.967,</w:t>
      </w:r>
      <w:r>
        <w:rPr>
          <w:spacing w:val="17"/>
        </w:rPr>
        <w:t> </w:t>
      </w:r>
      <w:r>
        <w:rPr/>
        <w:t>P</w:t>
      </w:r>
      <w:r>
        <w:rPr>
          <w:spacing w:val="11"/>
        </w:rPr>
        <w:t> </w:t>
      </w:r>
      <w:r>
        <w:rPr>
          <w:spacing w:val="-10"/>
        </w:rPr>
        <w:t>=</w:t>
      </w:r>
    </w:p>
    <w:p>
      <w:pPr>
        <w:pStyle w:val="BodyText"/>
        <w:spacing w:before="1"/>
        <w:ind w:left="0"/>
        <w:jc w:val="left"/>
      </w:pPr>
    </w:p>
    <w:p>
      <w:pPr>
        <w:pStyle w:val="BodyText"/>
        <w:ind w:left="1201"/>
        <w:jc w:val="left"/>
      </w:pPr>
      <w:r>
        <w:rPr/>
        <w:t>0.327</w:t>
      </w:r>
      <w:r>
        <w:rPr>
          <w:spacing w:val="-3"/>
        </w:rPr>
        <w:t> </w:t>
      </w:r>
      <w:r>
        <w:rPr/>
        <w:t>&gt;</w:t>
      </w:r>
      <w:r>
        <w:rPr>
          <w:spacing w:val="-2"/>
        </w:rPr>
        <w:t> </w:t>
      </w:r>
      <w:r>
        <w:rPr/>
        <w:t>0.05</w:t>
      </w:r>
      <w:r>
        <w:rPr>
          <w:spacing w:val="-4"/>
        </w:rPr>
        <w:t> </w:t>
      </w:r>
      <w:r>
        <w:rPr/>
        <w:t>of</w:t>
      </w:r>
      <w:r>
        <w:rPr>
          <w:spacing w:val="-3"/>
        </w:rPr>
        <w:t> </w:t>
      </w:r>
      <w:r>
        <w:rPr/>
        <w:t>male</w:t>
      </w:r>
      <w:r>
        <w:rPr>
          <w:spacing w:val="-2"/>
        </w:rPr>
        <w:t> </w:t>
      </w:r>
      <w:r>
        <w:rPr/>
        <w:t>and</w:t>
      </w:r>
      <w:r>
        <w:rPr>
          <w:spacing w:val="3"/>
        </w:rPr>
        <w:t> </w:t>
      </w:r>
      <w:r>
        <w:rPr/>
        <w:t>female</w:t>
      </w:r>
      <w:r>
        <w:rPr>
          <w:spacing w:val="1"/>
        </w:rPr>
        <w:t> </w:t>
      </w:r>
      <w:r>
        <w:rPr/>
        <w:t>SSII</w:t>
      </w:r>
      <w:r>
        <w:rPr>
          <w:spacing w:val="1"/>
        </w:rPr>
        <w:t> </w:t>
      </w:r>
      <w:r>
        <w:rPr/>
        <w:t>students</w:t>
      </w:r>
      <w:r>
        <w:rPr>
          <w:spacing w:val="-3"/>
        </w:rPr>
        <w:t> </w:t>
      </w:r>
      <w:r>
        <w:rPr/>
        <w:t>in</w:t>
      </w:r>
      <w:r>
        <w:rPr>
          <w:spacing w:val="-5"/>
        </w:rPr>
        <w:t> </w:t>
      </w:r>
      <w:r>
        <w:rPr>
          <w:spacing w:val="-2"/>
        </w:rPr>
        <w:t>chemistry.</w:t>
      </w:r>
    </w:p>
    <w:p>
      <w:pPr>
        <w:pStyle w:val="BodyText"/>
        <w:spacing w:before="4"/>
        <w:ind w:left="0"/>
        <w:jc w:val="left"/>
      </w:pPr>
    </w:p>
    <w:p>
      <w:pPr>
        <w:pStyle w:val="Heading3"/>
        <w:numPr>
          <w:ilvl w:val="1"/>
          <w:numId w:val="20"/>
        </w:numPr>
        <w:tabs>
          <w:tab w:pos="1199" w:val="left" w:leader="none"/>
        </w:tabs>
        <w:spacing w:line="240" w:lineRule="auto" w:before="1" w:after="0"/>
        <w:ind w:left="1199" w:right="0" w:hanging="719"/>
        <w:jc w:val="both"/>
      </w:pPr>
      <w:r>
        <w:rPr>
          <w:spacing w:val="-2"/>
        </w:rPr>
        <w:t>Discussion</w:t>
      </w:r>
    </w:p>
    <w:p>
      <w:pPr>
        <w:pStyle w:val="BodyText"/>
        <w:spacing w:line="480" w:lineRule="auto" w:before="271"/>
        <w:ind w:right="1152" w:firstLine="720"/>
      </w:pPr>
      <w:r>
        <w:rPr/>
        <w:t>The objective of this was to examine the relationship of emotional- intelligence, reasoning ability, self-efficacy and achievement in chemistry among senior secondary</w:t>
      </w:r>
      <w:r>
        <w:rPr>
          <w:spacing w:val="-1"/>
        </w:rPr>
        <w:t> </w:t>
      </w:r>
      <w:r>
        <w:rPr/>
        <w:t>students (SS II) and to see if emotional-intelligent, reasoning ability and self-efficacy can be used to predict achievement in chemistry. For this purpose</w:t>
      </w:r>
      <w:r>
        <w:rPr>
          <w:spacing w:val="80"/>
        </w:rPr>
        <w:t> </w:t>
      </w:r>
      <w:r>
        <w:rPr/>
        <w:t>the student emotional-intelligence, reasoning ability and their self-efficacy were measured using Trait Emotional Intelligence Questionnaire, Group Assessment of Local Thinking and Chemistry Self-Efficacy Instrument, respectively. Their third</w:t>
      </w:r>
      <w:r>
        <w:rPr>
          <w:spacing w:val="40"/>
        </w:rPr>
        <w:t> </w:t>
      </w:r>
      <w:r>
        <w:rPr/>
        <w:t>term (MOCK) examination results were used for their chemistry achievement. Based</w:t>
      </w:r>
    </w:p>
    <w:p>
      <w:pPr>
        <w:spacing w:after="0" w:line="480" w:lineRule="auto"/>
        <w:sectPr>
          <w:pgSz w:w="11910" w:h="16840"/>
          <w:pgMar w:header="0" w:footer="1012" w:top="1340" w:bottom="1200" w:left="1680" w:right="280"/>
        </w:sectPr>
      </w:pPr>
    </w:p>
    <w:p>
      <w:pPr>
        <w:pStyle w:val="BodyText"/>
        <w:spacing w:line="480" w:lineRule="auto" w:before="74"/>
        <w:ind w:right="1158"/>
      </w:pPr>
      <w:r>
        <w:rPr/>
        <w:t>on the four variables, four hypotheses were formulated for testing. The results are discussed as follows:</w:t>
      </w:r>
    </w:p>
    <w:p>
      <w:pPr>
        <w:pStyle w:val="Heading3"/>
        <w:spacing w:before="5"/>
        <w:ind w:left="480" w:firstLine="0"/>
      </w:pPr>
      <w:r>
        <w:rPr/>
        <w:t>Null</w:t>
      </w:r>
      <w:r>
        <w:rPr>
          <w:spacing w:val="-6"/>
        </w:rPr>
        <w:t> </w:t>
      </w:r>
      <w:r>
        <w:rPr/>
        <w:t>Hypothesis</w:t>
      </w:r>
      <w:r>
        <w:rPr>
          <w:spacing w:val="-1"/>
        </w:rPr>
        <w:t> </w:t>
      </w:r>
      <w:r>
        <w:rPr>
          <w:spacing w:val="-4"/>
        </w:rPr>
        <w:t>One:</w:t>
      </w:r>
    </w:p>
    <w:p>
      <w:pPr>
        <w:pStyle w:val="BodyText"/>
        <w:spacing w:line="480" w:lineRule="auto" w:before="271"/>
        <w:ind w:right="1160" w:firstLine="720"/>
      </w:pPr>
      <w:r>
        <w:rPr/>
        <w:t>From the results in Table 4.5, it was found that there was significant relationship in emotional-intelligence, reasoning ability, self-efficacy and</w:t>
      </w:r>
      <w:r>
        <w:rPr>
          <w:spacing w:val="40"/>
        </w:rPr>
        <w:t> </w:t>
      </w:r>
      <w:r>
        <w:rPr/>
        <w:t>achievement in chemistry. The strongest correlation was between self-efficacy and achievement in chemistry</w:t>
      </w:r>
      <w:r>
        <w:rPr>
          <w:spacing w:val="-1"/>
        </w:rPr>
        <w:t> </w:t>
      </w:r>
      <w:r>
        <w:rPr/>
        <w:t>and the least correlation was between reasoning ability and achievement in chemistry.</w:t>
      </w:r>
    </w:p>
    <w:p>
      <w:pPr>
        <w:pStyle w:val="BodyText"/>
        <w:spacing w:line="480" w:lineRule="auto" w:before="2"/>
        <w:ind w:right="1159" w:firstLine="720"/>
      </w:pPr>
      <w:r>
        <w:rPr/>
        <w:t>This findings agrees with that of Mayer, Caruso and Salovey, (2000); Nada, (2000); Habibah, (2007); Rahil (2007); Svetlana, (2007); and Azuka, (2012) who found a positive significant relationship between</w:t>
      </w:r>
      <w:r>
        <w:rPr>
          <w:spacing w:val="-4"/>
        </w:rPr>
        <w:t> </w:t>
      </w:r>
      <w:r>
        <w:rPr/>
        <w:t>emotional-intelligence and academic achievement.</w:t>
      </w:r>
      <w:r>
        <w:rPr>
          <w:spacing w:val="-1"/>
        </w:rPr>
        <w:t> </w:t>
      </w:r>
      <w:r>
        <w:rPr/>
        <w:t>This</w:t>
      </w:r>
      <w:r>
        <w:rPr>
          <w:spacing w:val="-1"/>
        </w:rPr>
        <w:t> </w:t>
      </w:r>
      <w:r>
        <w:rPr/>
        <w:t>finding further</w:t>
      </w:r>
      <w:r>
        <w:rPr>
          <w:spacing w:val="-2"/>
        </w:rPr>
        <w:t> </w:t>
      </w:r>
      <w:r>
        <w:rPr/>
        <w:t>reveals</w:t>
      </w:r>
      <w:r>
        <w:rPr>
          <w:spacing w:val="-1"/>
        </w:rPr>
        <w:t> </w:t>
      </w:r>
      <w:r>
        <w:rPr/>
        <w:t>that people</w:t>
      </w:r>
      <w:r>
        <w:rPr>
          <w:spacing w:val="-4"/>
        </w:rPr>
        <w:t> </w:t>
      </w:r>
      <w:r>
        <w:rPr/>
        <w:t>with</w:t>
      </w:r>
      <w:r>
        <w:rPr>
          <w:spacing w:val="-3"/>
        </w:rPr>
        <w:t> </w:t>
      </w:r>
      <w:r>
        <w:rPr/>
        <w:t>high</w:t>
      </w:r>
      <w:r>
        <w:rPr>
          <w:spacing w:val="-3"/>
        </w:rPr>
        <w:t> </w:t>
      </w:r>
      <w:r>
        <w:rPr/>
        <w:t>emotional-intelligence performed better than those with low emotional – intelligence. This findings also agrees with that of Sungur (2001), Tekkaya and Yenilmez, (2006), Nasir and Mansur (2010), Oloyede (2012), Sirajo, Mari and Olorukooba (2013), Nnorom (2013) and Bhat (2016) who also found a positive significant relationship between reasoning ability</w:t>
      </w:r>
      <w:r>
        <w:rPr>
          <w:spacing w:val="-7"/>
        </w:rPr>
        <w:t> </w:t>
      </w:r>
      <w:r>
        <w:rPr/>
        <w:t>and</w:t>
      </w:r>
      <w:r>
        <w:rPr>
          <w:spacing w:val="-2"/>
        </w:rPr>
        <w:t> </w:t>
      </w:r>
      <w:r>
        <w:rPr/>
        <w:t>academic</w:t>
      </w:r>
      <w:r>
        <w:rPr>
          <w:spacing w:val="-3"/>
        </w:rPr>
        <w:t> </w:t>
      </w:r>
      <w:r>
        <w:rPr/>
        <w:t>achievement. This</w:t>
      </w:r>
      <w:r>
        <w:rPr>
          <w:spacing w:val="-4"/>
        </w:rPr>
        <w:t> </w:t>
      </w:r>
      <w:r>
        <w:rPr/>
        <w:t>shows</w:t>
      </w:r>
      <w:r>
        <w:rPr>
          <w:spacing w:val="-5"/>
        </w:rPr>
        <w:t> </w:t>
      </w:r>
      <w:r>
        <w:rPr/>
        <w:t>that formal</w:t>
      </w:r>
      <w:r>
        <w:rPr>
          <w:spacing w:val="-7"/>
        </w:rPr>
        <w:t> </w:t>
      </w:r>
      <w:r>
        <w:rPr/>
        <w:t>reasoning</w:t>
      </w:r>
      <w:r>
        <w:rPr>
          <w:spacing w:val="-2"/>
        </w:rPr>
        <w:t> </w:t>
      </w:r>
      <w:r>
        <w:rPr/>
        <w:t>ability</w:t>
      </w:r>
      <w:r>
        <w:rPr>
          <w:spacing w:val="-2"/>
        </w:rPr>
        <w:t> </w:t>
      </w:r>
      <w:r>
        <w:rPr/>
        <w:t>is</w:t>
      </w:r>
      <w:r>
        <w:rPr>
          <w:spacing w:val="-4"/>
        </w:rPr>
        <w:t> </w:t>
      </w:r>
      <w:r>
        <w:rPr/>
        <w:t>a</w:t>
      </w:r>
      <w:r>
        <w:rPr>
          <w:spacing w:val="-3"/>
        </w:rPr>
        <w:t> </w:t>
      </w:r>
      <w:r>
        <w:rPr/>
        <w:t>strong predictor for the achievement in chemistry. Many chemistry problems required application of chemical principles and functional relationship among concepts. This implication</w:t>
      </w:r>
      <w:r>
        <w:rPr>
          <w:spacing w:val="-5"/>
        </w:rPr>
        <w:t> </w:t>
      </w:r>
      <w:r>
        <w:rPr/>
        <w:t>requires</w:t>
      </w:r>
      <w:r>
        <w:rPr>
          <w:spacing w:val="-3"/>
        </w:rPr>
        <w:t> </w:t>
      </w:r>
      <w:r>
        <w:rPr/>
        <w:t>the</w:t>
      </w:r>
      <w:r>
        <w:rPr>
          <w:spacing w:val="-2"/>
        </w:rPr>
        <w:t> </w:t>
      </w:r>
      <w:r>
        <w:rPr/>
        <w:t>ability</w:t>
      </w:r>
      <w:r>
        <w:rPr>
          <w:spacing w:val="-5"/>
        </w:rPr>
        <w:t> </w:t>
      </w:r>
      <w:r>
        <w:rPr/>
        <w:t>to</w:t>
      </w:r>
      <w:r>
        <w:rPr>
          <w:spacing w:val="-1"/>
        </w:rPr>
        <w:t> </w:t>
      </w:r>
      <w:r>
        <w:rPr/>
        <w:t>apply</w:t>
      </w:r>
      <w:r>
        <w:rPr>
          <w:spacing w:val="-1"/>
        </w:rPr>
        <w:t> </w:t>
      </w:r>
      <w:r>
        <w:rPr/>
        <w:t>formal</w:t>
      </w:r>
      <w:r>
        <w:rPr>
          <w:spacing w:val="-5"/>
        </w:rPr>
        <w:t> </w:t>
      </w:r>
      <w:r>
        <w:rPr/>
        <w:t>reasoning</w:t>
      </w:r>
      <w:r>
        <w:rPr>
          <w:spacing w:val="-1"/>
        </w:rPr>
        <w:t> </w:t>
      </w:r>
      <w:r>
        <w:rPr/>
        <w:t>and</w:t>
      </w:r>
      <w:r>
        <w:rPr>
          <w:spacing w:val="-1"/>
        </w:rPr>
        <w:t> </w:t>
      </w:r>
      <w:r>
        <w:rPr/>
        <w:t>critical</w:t>
      </w:r>
      <w:r>
        <w:rPr>
          <w:spacing w:val="-5"/>
        </w:rPr>
        <w:t> </w:t>
      </w:r>
      <w:r>
        <w:rPr/>
        <w:t>thinking in</w:t>
      </w:r>
      <w:r>
        <w:rPr>
          <w:spacing w:val="-1"/>
        </w:rPr>
        <w:t> </w:t>
      </w:r>
      <w:r>
        <w:rPr/>
        <w:t>order to be successful in them.</w:t>
      </w:r>
    </w:p>
    <w:p>
      <w:pPr>
        <w:pStyle w:val="BodyText"/>
        <w:spacing w:line="480" w:lineRule="auto" w:before="2"/>
        <w:ind w:right="1162" w:firstLine="720"/>
      </w:pPr>
      <w:r>
        <w:rPr/>
        <w:t>Heron (1975) had suggested that chemistry courses were generally taught at a level of abstraction requiring a formal thought and critical thinking before it can be comprehended. Similarly Bandura (1997), Britner (2008), Kiran and Sungut (2011) and</w:t>
      </w:r>
      <w:r>
        <w:rPr>
          <w:spacing w:val="54"/>
        </w:rPr>
        <w:t> </w:t>
      </w:r>
      <w:r>
        <w:rPr/>
        <w:t>Baanu,</w:t>
      </w:r>
      <w:r>
        <w:rPr>
          <w:spacing w:val="54"/>
        </w:rPr>
        <w:t> </w:t>
      </w:r>
      <w:r>
        <w:rPr/>
        <w:t>Oyelekan</w:t>
      </w:r>
      <w:r>
        <w:rPr>
          <w:spacing w:val="50"/>
        </w:rPr>
        <w:t> </w:t>
      </w:r>
      <w:r>
        <w:rPr/>
        <w:t>and</w:t>
      </w:r>
      <w:r>
        <w:rPr>
          <w:spacing w:val="56"/>
        </w:rPr>
        <w:t> </w:t>
      </w:r>
      <w:r>
        <w:rPr/>
        <w:t>Olorundare</w:t>
      </w:r>
      <w:r>
        <w:rPr>
          <w:spacing w:val="55"/>
        </w:rPr>
        <w:t> </w:t>
      </w:r>
      <w:r>
        <w:rPr/>
        <w:t>(2016)</w:t>
      </w:r>
      <w:r>
        <w:rPr>
          <w:spacing w:val="54"/>
        </w:rPr>
        <w:t> </w:t>
      </w:r>
      <w:r>
        <w:rPr/>
        <w:t>who</w:t>
      </w:r>
      <w:r>
        <w:rPr>
          <w:spacing w:val="56"/>
        </w:rPr>
        <w:t> </w:t>
      </w:r>
      <w:r>
        <w:rPr/>
        <w:t>have</w:t>
      </w:r>
      <w:r>
        <w:rPr>
          <w:spacing w:val="51"/>
        </w:rPr>
        <w:t> </w:t>
      </w:r>
      <w:r>
        <w:rPr/>
        <w:t>affirmed</w:t>
      </w:r>
      <w:r>
        <w:rPr>
          <w:spacing w:val="56"/>
        </w:rPr>
        <w:t> </w:t>
      </w:r>
      <w:r>
        <w:rPr/>
        <w:t>the</w:t>
      </w:r>
      <w:r>
        <w:rPr>
          <w:spacing w:val="52"/>
        </w:rPr>
        <w:t> </w:t>
      </w:r>
      <w:r>
        <w:rPr>
          <w:spacing w:val="-2"/>
        </w:rPr>
        <w:t>relationship</w:t>
      </w:r>
    </w:p>
    <w:p>
      <w:pPr>
        <w:spacing w:after="0" w:line="480" w:lineRule="auto"/>
        <w:sectPr>
          <w:pgSz w:w="11910" w:h="16840"/>
          <w:pgMar w:header="0" w:footer="1012" w:top="1340" w:bottom="1200" w:left="1680" w:right="280"/>
        </w:sectPr>
      </w:pPr>
    </w:p>
    <w:p>
      <w:pPr>
        <w:pStyle w:val="BodyText"/>
        <w:spacing w:line="480" w:lineRule="auto" w:before="74"/>
        <w:ind w:right="1150"/>
      </w:pPr>
      <w:r>
        <w:rPr/>
        <w:t>between self-efficacy and students achievement. Therefore, this finding further revealed that people with high assurance of their capabilities (positive efficacy), approach difficult task as challenges which eventually result in better performance in that given tasks. These explain why there is a positive relationship between self- efficacy and achievement in chemistry. Similarly the more efficacious student‘s achieve greater level of success, where as the students lower in self – efficacy experience more failures. These outcomes then foster student‘s subsequent self- efficacy beliefs, enhancing successful students self-efficacy and diminishing the self- efficacy of students who gave up easily and thereby failed.</w:t>
      </w:r>
    </w:p>
    <w:p>
      <w:pPr>
        <w:pStyle w:val="Heading3"/>
        <w:spacing w:before="6"/>
        <w:ind w:left="480" w:firstLine="0"/>
      </w:pPr>
      <w:r>
        <w:rPr/>
        <w:t>Null</w:t>
      </w:r>
      <w:r>
        <w:rPr>
          <w:spacing w:val="-6"/>
        </w:rPr>
        <w:t> </w:t>
      </w:r>
      <w:r>
        <w:rPr/>
        <w:t>Hypothesis</w:t>
      </w:r>
      <w:r>
        <w:rPr>
          <w:spacing w:val="-1"/>
        </w:rPr>
        <w:t> </w:t>
      </w:r>
      <w:r>
        <w:rPr>
          <w:spacing w:val="-5"/>
        </w:rPr>
        <w:t>Two</w:t>
      </w:r>
    </w:p>
    <w:p>
      <w:pPr>
        <w:pStyle w:val="BodyText"/>
        <w:spacing w:line="480" w:lineRule="auto" w:before="272"/>
        <w:ind w:right="1158" w:firstLine="720"/>
      </w:pPr>
      <w:r>
        <w:rPr/>
        <w:t>From the result in Table 4.6, it was found that there was significant relationship in emotional – intelligence, reasoning ability, self – efficacy and achievement in chemistry among male SS II students in chemistry. The strongest correlation was between self – efficacy and achievement in chemistry and the least correlation was between reasoning ability and achievement in chemistry.</w:t>
      </w:r>
    </w:p>
    <w:p>
      <w:pPr>
        <w:pStyle w:val="BodyText"/>
        <w:spacing w:line="480" w:lineRule="auto" w:before="1"/>
        <w:ind w:right="1159" w:firstLine="720"/>
      </w:pPr>
      <w:r>
        <w:rPr/>
        <w:t>This finding agrees with that of Mayer, Caruso and Salovey, (2000); Nada, (2000); Habibah, (2007); Rahil (2007); Svetlana, (2007); and Azuka, (2012) who found a positive significant relationship between</w:t>
      </w:r>
      <w:r>
        <w:rPr>
          <w:spacing w:val="-4"/>
        </w:rPr>
        <w:t> </w:t>
      </w:r>
      <w:r>
        <w:rPr/>
        <w:t>emotional-intelligence and academic achievement.</w:t>
      </w:r>
      <w:r>
        <w:rPr>
          <w:spacing w:val="-1"/>
        </w:rPr>
        <w:t> </w:t>
      </w:r>
      <w:r>
        <w:rPr/>
        <w:t>This</w:t>
      </w:r>
      <w:r>
        <w:rPr>
          <w:spacing w:val="-1"/>
        </w:rPr>
        <w:t> </w:t>
      </w:r>
      <w:r>
        <w:rPr/>
        <w:t>finding further</w:t>
      </w:r>
      <w:r>
        <w:rPr>
          <w:spacing w:val="-2"/>
        </w:rPr>
        <w:t> </w:t>
      </w:r>
      <w:r>
        <w:rPr/>
        <w:t>reveals</w:t>
      </w:r>
      <w:r>
        <w:rPr>
          <w:spacing w:val="-1"/>
        </w:rPr>
        <w:t> </w:t>
      </w:r>
      <w:r>
        <w:rPr/>
        <w:t>that people</w:t>
      </w:r>
      <w:r>
        <w:rPr>
          <w:spacing w:val="-4"/>
        </w:rPr>
        <w:t> </w:t>
      </w:r>
      <w:r>
        <w:rPr/>
        <w:t>with</w:t>
      </w:r>
      <w:r>
        <w:rPr>
          <w:spacing w:val="-3"/>
        </w:rPr>
        <w:t> </w:t>
      </w:r>
      <w:r>
        <w:rPr/>
        <w:t>high</w:t>
      </w:r>
      <w:r>
        <w:rPr>
          <w:spacing w:val="-3"/>
        </w:rPr>
        <w:t> </w:t>
      </w:r>
      <w:r>
        <w:rPr/>
        <w:t>emotional-intelligence performed better than those with low emotional – intelligence. This findings also agrees with that of Sungur (2001), Tekkaya and Yenilmez, (2006), Nasir and Mansur (2010), Oloyede (2012), Sirajo, Mari and Olorukooba (2013), Nnorom (2013) and Bhat (2016) who also found a positive significant relationship between reasoning ability</w:t>
      </w:r>
      <w:r>
        <w:rPr>
          <w:spacing w:val="-7"/>
        </w:rPr>
        <w:t> </w:t>
      </w:r>
      <w:r>
        <w:rPr/>
        <w:t>and</w:t>
      </w:r>
      <w:r>
        <w:rPr>
          <w:spacing w:val="-2"/>
        </w:rPr>
        <w:t> </w:t>
      </w:r>
      <w:r>
        <w:rPr/>
        <w:t>academic</w:t>
      </w:r>
      <w:r>
        <w:rPr>
          <w:spacing w:val="-3"/>
        </w:rPr>
        <w:t> </w:t>
      </w:r>
      <w:r>
        <w:rPr/>
        <w:t>achievement. This</w:t>
      </w:r>
      <w:r>
        <w:rPr>
          <w:spacing w:val="-4"/>
        </w:rPr>
        <w:t> </w:t>
      </w:r>
      <w:r>
        <w:rPr/>
        <w:t>shows</w:t>
      </w:r>
      <w:r>
        <w:rPr>
          <w:spacing w:val="-5"/>
        </w:rPr>
        <w:t> </w:t>
      </w:r>
      <w:r>
        <w:rPr/>
        <w:t>that formal</w:t>
      </w:r>
      <w:r>
        <w:rPr>
          <w:spacing w:val="-7"/>
        </w:rPr>
        <w:t> </w:t>
      </w:r>
      <w:r>
        <w:rPr/>
        <w:t>reasoning</w:t>
      </w:r>
      <w:r>
        <w:rPr>
          <w:spacing w:val="-2"/>
        </w:rPr>
        <w:t> </w:t>
      </w:r>
      <w:r>
        <w:rPr/>
        <w:t>ability</w:t>
      </w:r>
      <w:r>
        <w:rPr>
          <w:spacing w:val="-2"/>
        </w:rPr>
        <w:t> </w:t>
      </w:r>
      <w:r>
        <w:rPr/>
        <w:t>is</w:t>
      </w:r>
      <w:r>
        <w:rPr>
          <w:spacing w:val="-4"/>
        </w:rPr>
        <w:t> </w:t>
      </w:r>
      <w:r>
        <w:rPr/>
        <w:t>a</w:t>
      </w:r>
      <w:r>
        <w:rPr>
          <w:spacing w:val="-3"/>
        </w:rPr>
        <w:t> </w:t>
      </w:r>
      <w:r>
        <w:rPr/>
        <w:t>strong predictor for the achievement in chemistry.</w:t>
      </w:r>
    </w:p>
    <w:p>
      <w:pPr>
        <w:spacing w:after="0" w:line="480" w:lineRule="auto"/>
        <w:sectPr>
          <w:pgSz w:w="11910" w:h="16840"/>
          <w:pgMar w:header="0" w:footer="1012" w:top="1340" w:bottom="1200" w:left="1680" w:right="280"/>
        </w:sectPr>
      </w:pPr>
    </w:p>
    <w:p>
      <w:pPr>
        <w:pStyle w:val="BodyText"/>
        <w:spacing w:line="480" w:lineRule="auto" w:before="74"/>
        <w:ind w:right="1154" w:firstLine="720"/>
      </w:pPr>
      <w:r>
        <w:rPr/>
        <w:t>Many chemistry problems required application of chemical principles and functional relationship among concepts. This implication requires the ability to apply formal reasoning and critical thinking in order to be successful in them. Heron (1975) had suggested that chemistry courses were generally taught at a level of abstraction requiring a formal thought and critical thinking before it can be comprehended. Similarly Bandura (1997), Britner (2008), Kiran and Sungut (2011) and Baanu, Oyelekan and Olorundare (2016) who have affirmed the relationship between self- efficacy</w:t>
      </w:r>
      <w:r>
        <w:rPr>
          <w:spacing w:val="-7"/>
        </w:rPr>
        <w:t> </w:t>
      </w:r>
      <w:r>
        <w:rPr/>
        <w:t>and</w:t>
      </w:r>
      <w:r>
        <w:rPr>
          <w:spacing w:val="-2"/>
        </w:rPr>
        <w:t> </w:t>
      </w:r>
      <w:r>
        <w:rPr/>
        <w:t>students</w:t>
      </w:r>
      <w:r>
        <w:rPr>
          <w:spacing w:val="-4"/>
        </w:rPr>
        <w:t> </w:t>
      </w:r>
      <w:r>
        <w:rPr/>
        <w:t>achievement. Therefore,</w:t>
      </w:r>
      <w:r>
        <w:rPr>
          <w:spacing w:val="-5"/>
        </w:rPr>
        <w:t> </w:t>
      </w:r>
      <w:r>
        <w:rPr/>
        <w:t>this finding further</w:t>
      </w:r>
      <w:r>
        <w:rPr>
          <w:spacing w:val="-1"/>
        </w:rPr>
        <w:t> </w:t>
      </w:r>
      <w:r>
        <w:rPr/>
        <w:t>revealed</w:t>
      </w:r>
      <w:r>
        <w:rPr>
          <w:spacing w:val="-2"/>
        </w:rPr>
        <w:t> </w:t>
      </w:r>
      <w:r>
        <w:rPr/>
        <w:t>that people with high assurance of their capabilities (positive efficacy), approach difficult task as challenges which eventually result in better performance in that given tasks. These explain why there is a positive relationship between self-efficacy and achievement in chemistry. Similarly the more efficacious student‘s achieve greater level of success, where as the students lower in self – efficacy experience more failures. These outcomes then foster student‘s subsequent self-efficacy beliefs, enhancing successful students</w:t>
      </w:r>
      <w:r>
        <w:rPr>
          <w:spacing w:val="-2"/>
        </w:rPr>
        <w:t> </w:t>
      </w:r>
      <w:r>
        <w:rPr/>
        <w:t>self-efficacy</w:t>
      </w:r>
      <w:r>
        <w:rPr>
          <w:spacing w:val="-5"/>
        </w:rPr>
        <w:t> </w:t>
      </w:r>
      <w:r>
        <w:rPr/>
        <w:t>and diminishing the self-efficacy</w:t>
      </w:r>
      <w:r>
        <w:rPr>
          <w:spacing w:val="-10"/>
        </w:rPr>
        <w:t> </w:t>
      </w:r>
      <w:r>
        <w:rPr/>
        <w:t>of</w:t>
      </w:r>
      <w:r>
        <w:rPr>
          <w:spacing w:val="-3"/>
        </w:rPr>
        <w:t> </w:t>
      </w:r>
      <w:r>
        <w:rPr/>
        <w:t>students</w:t>
      </w:r>
      <w:r>
        <w:rPr>
          <w:spacing w:val="-2"/>
        </w:rPr>
        <w:t> </w:t>
      </w:r>
      <w:r>
        <w:rPr/>
        <w:t>who gave</w:t>
      </w:r>
      <w:r>
        <w:rPr>
          <w:spacing w:val="-1"/>
        </w:rPr>
        <w:t> </w:t>
      </w:r>
      <w:r>
        <w:rPr/>
        <w:t>up easily and thereby failed.</w:t>
      </w:r>
    </w:p>
    <w:p>
      <w:pPr>
        <w:pStyle w:val="Heading3"/>
        <w:spacing w:before="8"/>
        <w:ind w:left="480" w:firstLine="0"/>
      </w:pPr>
      <w:r>
        <w:rPr/>
        <w:t>Null</w:t>
      </w:r>
      <w:r>
        <w:rPr>
          <w:spacing w:val="-6"/>
        </w:rPr>
        <w:t> </w:t>
      </w:r>
      <w:r>
        <w:rPr/>
        <w:t>Hypothesis</w:t>
      </w:r>
      <w:r>
        <w:rPr>
          <w:spacing w:val="-1"/>
        </w:rPr>
        <w:t> </w:t>
      </w:r>
      <w:r>
        <w:rPr>
          <w:spacing w:val="-4"/>
        </w:rPr>
        <w:t>Three</w:t>
      </w:r>
    </w:p>
    <w:p>
      <w:pPr>
        <w:pStyle w:val="BodyText"/>
        <w:spacing w:line="480" w:lineRule="auto" w:before="271"/>
        <w:ind w:right="1160" w:firstLine="720"/>
      </w:pPr>
      <w:r>
        <w:rPr/>
        <w:t>From the results in Table 4.7, it was found that there was significant relationship in emotional – intelligence, reasoning ability, self – efficacy and achievement in chemistry among female SSII students in chemistry. The strongest correlation was between self – efficacy and academic achievement in chemistry and the least correlation was between reasoning ability and achievement in chemistry.</w:t>
      </w:r>
    </w:p>
    <w:p>
      <w:pPr>
        <w:pStyle w:val="BodyText"/>
        <w:spacing w:line="480" w:lineRule="auto" w:before="1"/>
        <w:ind w:right="1161" w:firstLine="720"/>
      </w:pPr>
      <w:r>
        <w:rPr/>
        <w:t>This findings agrees with that of Mayer, Caruso and Salovey, (2000); Nada, (2000); Habibah, (2007); Rahil (2007); Svetlana, (2007); and Azuka, (2012) who found</w:t>
      </w:r>
      <w:r>
        <w:rPr>
          <w:spacing w:val="-1"/>
        </w:rPr>
        <w:t> </w:t>
      </w:r>
      <w:r>
        <w:rPr/>
        <w:t>a</w:t>
      </w:r>
      <w:r>
        <w:rPr>
          <w:spacing w:val="1"/>
        </w:rPr>
        <w:t> </w:t>
      </w:r>
      <w:r>
        <w:rPr/>
        <w:t>positive</w:t>
      </w:r>
      <w:r>
        <w:rPr>
          <w:spacing w:val="1"/>
        </w:rPr>
        <w:t> </w:t>
      </w:r>
      <w:r>
        <w:rPr/>
        <w:t>significant</w:t>
      </w:r>
      <w:r>
        <w:rPr>
          <w:spacing w:val="7"/>
        </w:rPr>
        <w:t> </w:t>
      </w:r>
      <w:r>
        <w:rPr/>
        <w:t>relationship</w:t>
      </w:r>
      <w:r>
        <w:rPr>
          <w:spacing w:val="1"/>
        </w:rPr>
        <w:t> </w:t>
      </w:r>
      <w:r>
        <w:rPr/>
        <w:t>between</w:t>
      </w:r>
      <w:r>
        <w:rPr>
          <w:spacing w:val="-3"/>
        </w:rPr>
        <w:t> </w:t>
      </w:r>
      <w:r>
        <w:rPr/>
        <w:t>emotional-intelligence</w:t>
      </w:r>
      <w:r>
        <w:rPr>
          <w:spacing w:val="1"/>
        </w:rPr>
        <w:t> </w:t>
      </w:r>
      <w:r>
        <w:rPr/>
        <w:t>and</w:t>
      </w:r>
      <w:r>
        <w:rPr>
          <w:spacing w:val="2"/>
        </w:rPr>
        <w:t> </w:t>
      </w:r>
      <w:r>
        <w:rPr>
          <w:spacing w:val="-2"/>
        </w:rPr>
        <w:t>academic</w:t>
      </w:r>
    </w:p>
    <w:p>
      <w:pPr>
        <w:spacing w:after="0" w:line="480" w:lineRule="auto"/>
        <w:sectPr>
          <w:pgSz w:w="11910" w:h="16840"/>
          <w:pgMar w:header="0" w:footer="1012" w:top="1340" w:bottom="1200" w:left="1680" w:right="280"/>
        </w:sectPr>
      </w:pPr>
    </w:p>
    <w:p>
      <w:pPr>
        <w:pStyle w:val="BodyText"/>
        <w:spacing w:line="480" w:lineRule="auto" w:before="74"/>
        <w:ind w:right="1159"/>
      </w:pPr>
      <w:r>
        <w:rPr/>
        <w:t>achievement.</w:t>
      </w:r>
      <w:r>
        <w:rPr>
          <w:spacing w:val="-1"/>
        </w:rPr>
        <w:t> </w:t>
      </w:r>
      <w:r>
        <w:rPr/>
        <w:t>This</w:t>
      </w:r>
      <w:r>
        <w:rPr>
          <w:spacing w:val="-1"/>
        </w:rPr>
        <w:t> </w:t>
      </w:r>
      <w:r>
        <w:rPr/>
        <w:t>finding further</w:t>
      </w:r>
      <w:r>
        <w:rPr>
          <w:spacing w:val="-2"/>
        </w:rPr>
        <w:t> </w:t>
      </w:r>
      <w:r>
        <w:rPr/>
        <w:t>reveals</w:t>
      </w:r>
      <w:r>
        <w:rPr>
          <w:spacing w:val="-1"/>
        </w:rPr>
        <w:t> </w:t>
      </w:r>
      <w:r>
        <w:rPr/>
        <w:t>that people</w:t>
      </w:r>
      <w:r>
        <w:rPr>
          <w:spacing w:val="-4"/>
        </w:rPr>
        <w:t> </w:t>
      </w:r>
      <w:r>
        <w:rPr/>
        <w:t>with</w:t>
      </w:r>
      <w:r>
        <w:rPr>
          <w:spacing w:val="-3"/>
        </w:rPr>
        <w:t> </w:t>
      </w:r>
      <w:r>
        <w:rPr/>
        <w:t>high</w:t>
      </w:r>
      <w:r>
        <w:rPr>
          <w:spacing w:val="-3"/>
        </w:rPr>
        <w:t> </w:t>
      </w:r>
      <w:r>
        <w:rPr/>
        <w:t>emotional-intelligence performed better than those with low emotional – intelligence. This findings also agrees with that of Sungur (2001), Tekkaya and Yenilmez, (2006), Nasir and Mansur (2010), Oloyede (2012), Sirajo, Mari and Olorukooba (2013), Nnorom (2013) and Bhat (2016) who also found a positive significant relationship between reasoning ability</w:t>
      </w:r>
      <w:r>
        <w:rPr>
          <w:spacing w:val="-7"/>
        </w:rPr>
        <w:t> </w:t>
      </w:r>
      <w:r>
        <w:rPr/>
        <w:t>and</w:t>
      </w:r>
      <w:r>
        <w:rPr>
          <w:spacing w:val="-2"/>
        </w:rPr>
        <w:t> </w:t>
      </w:r>
      <w:r>
        <w:rPr/>
        <w:t>academic</w:t>
      </w:r>
      <w:r>
        <w:rPr>
          <w:spacing w:val="-3"/>
        </w:rPr>
        <w:t> </w:t>
      </w:r>
      <w:r>
        <w:rPr/>
        <w:t>achievement. This</w:t>
      </w:r>
      <w:r>
        <w:rPr>
          <w:spacing w:val="-4"/>
        </w:rPr>
        <w:t> </w:t>
      </w:r>
      <w:r>
        <w:rPr/>
        <w:t>shows</w:t>
      </w:r>
      <w:r>
        <w:rPr>
          <w:spacing w:val="-5"/>
        </w:rPr>
        <w:t> </w:t>
      </w:r>
      <w:r>
        <w:rPr/>
        <w:t>that formal</w:t>
      </w:r>
      <w:r>
        <w:rPr>
          <w:spacing w:val="-7"/>
        </w:rPr>
        <w:t> </w:t>
      </w:r>
      <w:r>
        <w:rPr/>
        <w:t>reasoning</w:t>
      </w:r>
      <w:r>
        <w:rPr>
          <w:spacing w:val="-2"/>
        </w:rPr>
        <w:t> </w:t>
      </w:r>
      <w:r>
        <w:rPr/>
        <w:t>ability</w:t>
      </w:r>
      <w:r>
        <w:rPr>
          <w:spacing w:val="-2"/>
        </w:rPr>
        <w:t> </w:t>
      </w:r>
      <w:r>
        <w:rPr/>
        <w:t>is</w:t>
      </w:r>
      <w:r>
        <w:rPr>
          <w:spacing w:val="-4"/>
        </w:rPr>
        <w:t> </w:t>
      </w:r>
      <w:r>
        <w:rPr/>
        <w:t>a</w:t>
      </w:r>
      <w:r>
        <w:rPr>
          <w:spacing w:val="-3"/>
        </w:rPr>
        <w:t> </w:t>
      </w:r>
      <w:r>
        <w:rPr/>
        <w:t>strong predictor for the achievement in chemistry.</w:t>
      </w:r>
    </w:p>
    <w:p>
      <w:pPr>
        <w:pStyle w:val="BodyText"/>
        <w:spacing w:line="480" w:lineRule="auto" w:before="1"/>
        <w:ind w:right="1152" w:firstLine="720"/>
      </w:pPr>
      <w:r>
        <w:rPr/>
        <w:t>Many chemistry problems required application of chemical principles and functional relationship among concepts. This implication requires the ability to apply formal reasoning and critical thinking in order to be successful in them. Heron (1975) had suggested that chemistry courses were generally taught at a level of abstraction requiring a formal thought and critical thinking before it can be comprehended. Similarly Bandura (1997), Britner (2008), Kiran and Sungut (2011) and Baanu, Oyelekan and Olorundare (2016) who have affirmed the relationship between self- efficacy</w:t>
      </w:r>
      <w:r>
        <w:rPr>
          <w:spacing w:val="-7"/>
        </w:rPr>
        <w:t> </w:t>
      </w:r>
      <w:r>
        <w:rPr/>
        <w:t>and</w:t>
      </w:r>
      <w:r>
        <w:rPr>
          <w:spacing w:val="-2"/>
        </w:rPr>
        <w:t> </w:t>
      </w:r>
      <w:r>
        <w:rPr/>
        <w:t>students</w:t>
      </w:r>
      <w:r>
        <w:rPr>
          <w:spacing w:val="-4"/>
        </w:rPr>
        <w:t> </w:t>
      </w:r>
      <w:r>
        <w:rPr/>
        <w:t>achievement. Therefore,</w:t>
      </w:r>
      <w:r>
        <w:rPr>
          <w:spacing w:val="-5"/>
        </w:rPr>
        <w:t> </w:t>
      </w:r>
      <w:r>
        <w:rPr/>
        <w:t>this finding further</w:t>
      </w:r>
      <w:r>
        <w:rPr>
          <w:spacing w:val="-1"/>
        </w:rPr>
        <w:t> </w:t>
      </w:r>
      <w:r>
        <w:rPr/>
        <w:t>revealed</w:t>
      </w:r>
      <w:r>
        <w:rPr>
          <w:spacing w:val="-2"/>
        </w:rPr>
        <w:t> </w:t>
      </w:r>
      <w:r>
        <w:rPr/>
        <w:t>that people with high assurance of their capabilities (positive efficacy), approach difficult task as challenges which eventually result in better performance in that given tasks. These explain why there is a positive relationship between self-efficacy and achievement in chemistry. Similarly the more efficacious student‘s achieve greater level of success, whereas the students lower in self – efficacy experience more failures. These outcomes then foster student‘s subsequent self-efficacy beliefs, enhancing successful students</w:t>
      </w:r>
      <w:r>
        <w:rPr>
          <w:spacing w:val="-2"/>
        </w:rPr>
        <w:t> </w:t>
      </w:r>
      <w:r>
        <w:rPr/>
        <w:t>self-efficacy</w:t>
      </w:r>
      <w:r>
        <w:rPr>
          <w:spacing w:val="-5"/>
        </w:rPr>
        <w:t> </w:t>
      </w:r>
      <w:r>
        <w:rPr/>
        <w:t>and diminishing the self-efficacy</w:t>
      </w:r>
      <w:r>
        <w:rPr>
          <w:spacing w:val="-10"/>
        </w:rPr>
        <w:t> </w:t>
      </w:r>
      <w:r>
        <w:rPr/>
        <w:t>of</w:t>
      </w:r>
      <w:r>
        <w:rPr>
          <w:spacing w:val="-3"/>
        </w:rPr>
        <w:t> </w:t>
      </w:r>
      <w:r>
        <w:rPr/>
        <w:t>students</w:t>
      </w:r>
      <w:r>
        <w:rPr>
          <w:spacing w:val="-2"/>
        </w:rPr>
        <w:t> </w:t>
      </w:r>
      <w:r>
        <w:rPr/>
        <w:t>who gave</w:t>
      </w:r>
      <w:r>
        <w:rPr>
          <w:spacing w:val="-1"/>
        </w:rPr>
        <w:t> </w:t>
      </w:r>
      <w:r>
        <w:rPr/>
        <w:t>up easily and thereby failed.</w:t>
      </w:r>
    </w:p>
    <w:p>
      <w:pPr>
        <w:spacing w:after="0" w:line="480" w:lineRule="auto"/>
        <w:sectPr>
          <w:pgSz w:w="11910" w:h="16840"/>
          <w:pgMar w:header="0" w:footer="1012" w:top="1340" w:bottom="1200" w:left="1680" w:right="280"/>
        </w:sectPr>
      </w:pPr>
    </w:p>
    <w:p>
      <w:pPr>
        <w:pStyle w:val="Heading3"/>
        <w:spacing w:before="78"/>
        <w:ind w:left="480" w:firstLine="0"/>
      </w:pPr>
      <w:r>
        <w:rPr/>
        <w:t>Null</w:t>
      </w:r>
      <w:r>
        <w:rPr>
          <w:spacing w:val="-6"/>
        </w:rPr>
        <w:t> </w:t>
      </w:r>
      <w:r>
        <w:rPr/>
        <w:t>Hypothesis</w:t>
      </w:r>
      <w:r>
        <w:rPr>
          <w:spacing w:val="1"/>
        </w:rPr>
        <w:t> </w:t>
      </w:r>
      <w:r>
        <w:rPr>
          <w:spacing w:val="-4"/>
        </w:rPr>
        <w:t>Four</w:t>
      </w:r>
    </w:p>
    <w:p>
      <w:pPr>
        <w:pStyle w:val="BodyText"/>
        <w:spacing w:line="480" w:lineRule="auto" w:before="272"/>
        <w:ind w:right="1164" w:firstLine="720"/>
      </w:pPr>
      <w:r>
        <w:rPr/>
        <w:t>From Table 4.8 it was found that there was no significant difference between the mean academic achievement, emotional-intelligence, reasoning ability and self- efficacy of male and female SS II students in chemistry.</w:t>
      </w:r>
    </w:p>
    <w:p>
      <w:pPr>
        <w:pStyle w:val="BodyText"/>
        <w:spacing w:line="480" w:lineRule="auto"/>
        <w:ind w:right="1155" w:firstLine="720"/>
      </w:pPr>
      <w:r>
        <w:rPr/>
        <w:t>This findings agrees with that of Omoniyi (2006), Amelink (2009), Afuwape (2011) and Oludipe‘s (2012) who reported that there was no significant difference in science performances between male and female students. The findings disagrees with that of Amunga, Amadato and Musera (2011), Obrentz (2012), Ezeudo and Obi – Theresa (2013) and Tenaco whose findings showed that male students are better performers than female in chemistry; Cumberbatch (1993), Cheeseman, Simpson and Wint (2006) and Fayombo (2012) found out that there was significant gender difference in</w:t>
      </w:r>
      <w:r>
        <w:rPr>
          <w:spacing w:val="-1"/>
        </w:rPr>
        <w:t> </w:t>
      </w:r>
      <w:r>
        <w:rPr/>
        <w:t>academic achievement in favour of</w:t>
      </w:r>
      <w:r>
        <w:rPr>
          <w:spacing w:val="-4"/>
        </w:rPr>
        <w:t> </w:t>
      </w:r>
      <w:r>
        <w:rPr/>
        <w:t>the female. This shows that there are gender differences and similarities in academic achievement at different levels of education</w:t>
      </w:r>
      <w:r>
        <w:rPr>
          <w:spacing w:val="-6"/>
        </w:rPr>
        <w:t> </w:t>
      </w:r>
      <w:r>
        <w:rPr/>
        <w:t>around</w:t>
      </w:r>
      <w:r>
        <w:rPr>
          <w:spacing w:val="-1"/>
        </w:rPr>
        <w:t> </w:t>
      </w:r>
      <w:r>
        <w:rPr/>
        <w:t>the</w:t>
      </w:r>
      <w:r>
        <w:rPr>
          <w:spacing w:val="-2"/>
        </w:rPr>
        <w:t> </w:t>
      </w:r>
      <w:r>
        <w:rPr/>
        <w:t>globe. Also this finding</w:t>
      </w:r>
      <w:r>
        <w:rPr>
          <w:spacing w:val="-1"/>
        </w:rPr>
        <w:t> </w:t>
      </w:r>
      <w:r>
        <w:rPr/>
        <w:t>agrees</w:t>
      </w:r>
      <w:r>
        <w:rPr>
          <w:spacing w:val="-3"/>
        </w:rPr>
        <w:t> </w:t>
      </w:r>
      <w:r>
        <w:rPr/>
        <w:t>with</w:t>
      </w:r>
      <w:r>
        <w:rPr>
          <w:spacing w:val="-6"/>
        </w:rPr>
        <w:t> </w:t>
      </w:r>
      <w:r>
        <w:rPr/>
        <w:t>that of</w:t>
      </w:r>
      <w:r>
        <w:rPr>
          <w:spacing w:val="-9"/>
        </w:rPr>
        <w:t> </w:t>
      </w:r>
      <w:r>
        <w:rPr/>
        <w:t>Goleman</w:t>
      </w:r>
      <w:r>
        <w:rPr>
          <w:spacing w:val="-6"/>
        </w:rPr>
        <w:t> </w:t>
      </w:r>
      <w:r>
        <w:rPr/>
        <w:t>(1998) who asserted that no gender differences in emotional-intelligence, exist, admitting that while men and women may have different profiles of strength and weakness in different areas of</w:t>
      </w:r>
      <w:r>
        <w:rPr>
          <w:spacing w:val="-4"/>
        </w:rPr>
        <w:t> </w:t>
      </w:r>
      <w:r>
        <w:rPr/>
        <w:t>emotional-intelligence, their overall levels of emotional-intelligence are equivalent. However, studies by Mayer and Geher (1996), Mayer, Caruso and Salovey (1999), Mandell and Pherwani, Brackett and Mayer (2003), found that females scored higher than males on emotional-intelligence. Jordan (2010) who indicated that gender differences were particularly pronounced for science for which stronger</w:t>
      </w:r>
      <w:r>
        <w:rPr>
          <w:spacing w:val="-2"/>
        </w:rPr>
        <w:t> </w:t>
      </w:r>
      <w:r>
        <w:rPr/>
        <w:t>relationships</w:t>
      </w:r>
      <w:r>
        <w:rPr>
          <w:spacing w:val="-1"/>
        </w:rPr>
        <w:t> </w:t>
      </w:r>
      <w:r>
        <w:rPr/>
        <w:t>were</w:t>
      </w:r>
      <w:r>
        <w:rPr>
          <w:spacing w:val="-4"/>
        </w:rPr>
        <w:t> </w:t>
      </w:r>
      <w:r>
        <w:rPr/>
        <w:t>observed</w:t>
      </w:r>
      <w:r>
        <w:rPr>
          <w:spacing w:val="-3"/>
        </w:rPr>
        <w:t> </w:t>
      </w:r>
      <w:r>
        <w:rPr/>
        <w:t>all</w:t>
      </w:r>
      <w:r>
        <w:rPr>
          <w:spacing w:val="-2"/>
        </w:rPr>
        <w:t> </w:t>
      </w:r>
      <w:r>
        <w:rPr/>
        <w:t>emotional-intelligence</w:t>
      </w:r>
      <w:r>
        <w:rPr>
          <w:spacing w:val="-4"/>
        </w:rPr>
        <w:t> </w:t>
      </w:r>
      <w:r>
        <w:rPr/>
        <w:t>components</w:t>
      </w:r>
      <w:r>
        <w:rPr>
          <w:spacing w:val="-1"/>
        </w:rPr>
        <w:t> </w:t>
      </w:r>
      <w:r>
        <w:rPr/>
        <w:t>for males. Competing evidence exists surrounding whether or not males and females differ significantly in general levels of emotional-intelligence. Perhaps gender differences exist</w:t>
      </w:r>
      <w:r>
        <w:rPr>
          <w:spacing w:val="5"/>
        </w:rPr>
        <w:t> </w:t>
      </w:r>
      <w:r>
        <w:rPr/>
        <w:t>in</w:t>
      </w:r>
      <w:r>
        <w:rPr>
          <w:spacing w:val="-1"/>
        </w:rPr>
        <w:t> </w:t>
      </w:r>
      <w:r>
        <w:rPr/>
        <w:t>emotional-intelligence</w:t>
      </w:r>
      <w:r>
        <w:rPr>
          <w:spacing w:val="-3"/>
        </w:rPr>
        <w:t> </w:t>
      </w:r>
      <w:r>
        <w:rPr/>
        <w:t>only</w:t>
      </w:r>
      <w:r>
        <w:rPr>
          <w:spacing w:val="-6"/>
        </w:rPr>
        <w:t> </w:t>
      </w:r>
      <w:r>
        <w:rPr/>
        <w:t>when</w:t>
      </w:r>
      <w:r>
        <w:rPr>
          <w:spacing w:val="-6"/>
        </w:rPr>
        <w:t> </w:t>
      </w:r>
      <w:r>
        <w:rPr/>
        <w:t>one</w:t>
      </w:r>
      <w:r>
        <w:rPr>
          <w:spacing w:val="-3"/>
        </w:rPr>
        <w:t> </w:t>
      </w:r>
      <w:r>
        <w:rPr/>
        <w:t>defines</w:t>
      </w:r>
      <w:r>
        <w:rPr>
          <w:spacing w:val="-3"/>
        </w:rPr>
        <w:t> </w:t>
      </w:r>
      <w:r>
        <w:rPr/>
        <w:t>emotional-intelligence</w:t>
      </w:r>
      <w:r>
        <w:rPr>
          <w:spacing w:val="2"/>
        </w:rPr>
        <w:t> </w:t>
      </w:r>
      <w:r>
        <w:rPr/>
        <w:t>in</w:t>
      </w:r>
      <w:r>
        <w:rPr>
          <w:spacing w:val="-1"/>
        </w:rPr>
        <w:t> </w:t>
      </w:r>
      <w:r>
        <w:rPr>
          <w:spacing w:val="-2"/>
        </w:rPr>
        <w:t>purely</w:t>
      </w:r>
    </w:p>
    <w:p>
      <w:pPr>
        <w:spacing w:after="0" w:line="480" w:lineRule="auto"/>
        <w:sectPr>
          <w:pgSz w:w="11910" w:h="16840"/>
          <w:pgMar w:header="0" w:footer="1012" w:top="1340" w:bottom="1200" w:left="1680" w:right="280"/>
        </w:sectPr>
      </w:pPr>
    </w:p>
    <w:p>
      <w:pPr>
        <w:pStyle w:val="BodyText"/>
        <w:spacing w:line="480" w:lineRule="auto" w:before="74"/>
        <w:ind w:right="1152"/>
      </w:pPr>
      <w:r>
        <w:rPr/>
        <w:t>cognitive manner rather through a mixed perspective. It could also be the case that gender differences do exist but measurement artifacts such as over – estimation of ability on the part of males are more likely to occur with self-report measures.</w:t>
      </w:r>
    </w:p>
    <w:p>
      <w:pPr>
        <w:pStyle w:val="BodyText"/>
        <w:spacing w:line="480" w:lineRule="auto"/>
        <w:ind w:right="1160" w:firstLine="720"/>
      </w:pPr>
      <w:r>
        <w:rPr/>
        <w:t>More research a required to determine whether or not gender differences do exist on emotional-intelligence. Also this study agrees with Shemesh in Mari (2001), Mani (2006) Sadket (2012), revealed that there was no significant difference in the performance of the male and female student. It disagrees with Graybill (1975),</w:t>
      </w:r>
      <w:r>
        <w:rPr>
          <w:spacing w:val="40"/>
        </w:rPr>
        <w:t> </w:t>
      </w:r>
      <w:r>
        <w:rPr/>
        <w:t>Ajagun (1998) who revealed the superiority of girls over boys. Also Graybill (1975), Good (1977) and Howe and Shayer (1981) who demonstrated that boys are superior</w:t>
      </w:r>
      <w:r>
        <w:rPr>
          <w:spacing w:val="40"/>
        </w:rPr>
        <w:t> </w:t>
      </w:r>
      <w:r>
        <w:rPr/>
        <w:t>to girls in their level of performing piagetian like formal reasoning tasks. Also this study agrees with Wigfield, Eccles, Maclver, Reuman and Midgley (1991), Britner (2002), who observed that in the area of mathematics, boys and girls reported equal confidence during the elementary year. Ruvikumar and Manimozh (2011) reported that the self-efficacy of boys and girls is almost equal among the biology students. Kirna and Sungur (2012), establish that no gender difference was found concerning science self-efficacy. Also this study disagrees with Pajera and Miller (1994), Debacker and Nelson (2000), Calvallo, Rozman, Larebee and Ishikawa (2001), Louis and Mistela (2012) who found significant gender difference with male students. Student began the course with significantly higher self-efficacy and ended the course also with higher self-efficacy. Also disagrees with Britner and Pajares (2006), who revealed that girls reported stronger science self-efficacy than did boys.</w:t>
      </w:r>
    </w:p>
    <w:p>
      <w:pPr>
        <w:spacing w:after="0" w:line="480" w:lineRule="auto"/>
        <w:sectPr>
          <w:pgSz w:w="11910" w:h="16840"/>
          <w:pgMar w:header="0" w:footer="1012" w:top="1340" w:bottom="1200" w:left="1680" w:right="280"/>
        </w:sectPr>
      </w:pPr>
    </w:p>
    <w:p>
      <w:pPr>
        <w:pStyle w:val="Heading2"/>
        <w:ind w:left="506" w:right="1187"/>
      </w:pPr>
      <w:r>
        <w:rPr/>
        <w:t>CHAPTER</w:t>
      </w:r>
      <w:r>
        <w:rPr>
          <w:spacing w:val="-9"/>
        </w:rPr>
        <w:t> </w:t>
      </w:r>
      <w:r>
        <w:rPr>
          <w:spacing w:val="-4"/>
        </w:rPr>
        <w:t>FIVE</w:t>
      </w:r>
    </w:p>
    <w:p>
      <w:pPr>
        <w:pStyle w:val="BodyText"/>
        <w:ind w:left="0"/>
        <w:jc w:val="left"/>
        <w:rPr>
          <w:b/>
        </w:rPr>
      </w:pPr>
    </w:p>
    <w:p>
      <w:pPr>
        <w:spacing w:before="0"/>
        <w:ind w:left="423" w:right="1107" w:firstLine="0"/>
        <w:jc w:val="center"/>
        <w:rPr>
          <w:b/>
          <w:sz w:val="24"/>
        </w:rPr>
      </w:pPr>
      <w:r>
        <w:rPr>
          <w:b/>
          <w:sz w:val="24"/>
        </w:rPr>
        <w:t>SUMMARY,</w:t>
      </w:r>
      <w:r>
        <w:rPr>
          <w:b/>
          <w:spacing w:val="1"/>
          <w:sz w:val="24"/>
        </w:rPr>
        <w:t> </w:t>
      </w:r>
      <w:r>
        <w:rPr>
          <w:b/>
          <w:sz w:val="24"/>
        </w:rPr>
        <w:t>CONCLUSION</w:t>
      </w:r>
      <w:r>
        <w:rPr>
          <w:b/>
          <w:spacing w:val="1"/>
          <w:sz w:val="24"/>
        </w:rPr>
        <w:t> </w:t>
      </w:r>
      <w:r>
        <w:rPr>
          <w:b/>
          <w:sz w:val="24"/>
        </w:rPr>
        <w:t>AND </w:t>
      </w:r>
      <w:r>
        <w:rPr>
          <w:b/>
          <w:spacing w:val="-2"/>
          <w:sz w:val="24"/>
        </w:rPr>
        <w:t>RECOMMENDATIONS</w:t>
      </w:r>
    </w:p>
    <w:p>
      <w:pPr>
        <w:pStyle w:val="BodyText"/>
        <w:spacing w:before="1"/>
        <w:ind w:left="0"/>
        <w:jc w:val="left"/>
        <w:rPr>
          <w:b/>
        </w:rPr>
      </w:pPr>
    </w:p>
    <w:p>
      <w:pPr>
        <w:pStyle w:val="Heading3"/>
        <w:numPr>
          <w:ilvl w:val="1"/>
          <w:numId w:val="17"/>
        </w:numPr>
        <w:tabs>
          <w:tab w:pos="1199" w:val="left" w:leader="none"/>
        </w:tabs>
        <w:spacing w:line="240" w:lineRule="auto" w:before="0" w:after="0"/>
        <w:ind w:left="1199" w:right="0" w:hanging="719"/>
        <w:jc w:val="both"/>
      </w:pPr>
      <w:r>
        <w:rPr>
          <w:spacing w:val="-2"/>
        </w:rPr>
        <w:t>Introduction</w:t>
      </w:r>
    </w:p>
    <w:p>
      <w:pPr>
        <w:pStyle w:val="BodyText"/>
        <w:spacing w:line="480" w:lineRule="auto" w:before="271"/>
        <w:ind w:right="1160" w:firstLine="720"/>
      </w:pPr>
      <w:r>
        <w:rPr/>
        <w:t>This study investigated the relationship among students emotional- intelligence, reasoning ability and self-efficacy as predictors of achievement among senior secondary school chemistry students. The data collected were analyzed using the following statistical tools: mean and standard deviation were used to answer research</w:t>
      </w:r>
      <w:r>
        <w:rPr>
          <w:spacing w:val="-3"/>
        </w:rPr>
        <w:t> </w:t>
      </w:r>
      <w:r>
        <w:rPr/>
        <w:t>question</w:t>
      </w:r>
      <w:r>
        <w:rPr>
          <w:spacing w:val="-1"/>
        </w:rPr>
        <w:t> </w:t>
      </w:r>
      <w:r>
        <w:rPr/>
        <w:t>1,</w:t>
      </w:r>
      <w:r>
        <w:rPr>
          <w:spacing w:val="9"/>
        </w:rPr>
        <w:t> </w:t>
      </w:r>
      <w:r>
        <w:rPr/>
        <w:t>2,</w:t>
      </w:r>
      <w:r>
        <w:rPr>
          <w:spacing w:val="7"/>
        </w:rPr>
        <w:t> </w:t>
      </w:r>
      <w:r>
        <w:rPr/>
        <w:t>and</w:t>
      </w:r>
      <w:r>
        <w:rPr>
          <w:spacing w:val="3"/>
        </w:rPr>
        <w:t> </w:t>
      </w:r>
      <w:r>
        <w:rPr/>
        <w:t>3</w:t>
      </w:r>
      <w:r>
        <w:rPr>
          <w:spacing w:val="4"/>
        </w:rPr>
        <w:t> </w:t>
      </w:r>
      <w:r>
        <w:rPr/>
        <w:t>while</w:t>
      </w:r>
      <w:r>
        <w:rPr>
          <w:spacing w:val="7"/>
        </w:rPr>
        <w:t> </w:t>
      </w:r>
      <w:r>
        <w:rPr/>
        <w:t>mean ranks</w:t>
      </w:r>
      <w:r>
        <w:rPr>
          <w:spacing w:val="1"/>
        </w:rPr>
        <w:t> </w:t>
      </w:r>
      <w:r>
        <w:rPr/>
        <w:t>were</w:t>
      </w:r>
      <w:r>
        <w:rPr>
          <w:spacing w:val="3"/>
        </w:rPr>
        <w:t> </w:t>
      </w:r>
      <w:r>
        <w:rPr/>
        <w:t>used to</w:t>
      </w:r>
      <w:r>
        <w:rPr>
          <w:spacing w:val="9"/>
        </w:rPr>
        <w:t> </w:t>
      </w:r>
      <w:r>
        <w:rPr/>
        <w:t>answer</w:t>
      </w:r>
      <w:r>
        <w:rPr>
          <w:spacing w:val="5"/>
        </w:rPr>
        <w:t> </w:t>
      </w:r>
      <w:r>
        <w:rPr/>
        <w:t>research </w:t>
      </w:r>
      <w:r>
        <w:rPr>
          <w:spacing w:val="-2"/>
        </w:rPr>
        <w:t>question</w:t>
      </w:r>
    </w:p>
    <w:p>
      <w:pPr>
        <w:pStyle w:val="BodyText"/>
        <w:spacing w:before="2"/>
      </w:pPr>
      <w:r>
        <w:rPr/>
        <w:t>4.</w:t>
      </w:r>
      <w:r>
        <w:rPr>
          <w:spacing w:val="-3"/>
        </w:rPr>
        <w:t> </w:t>
      </w:r>
      <w:r>
        <w:rPr/>
        <w:t>This</w:t>
      </w:r>
      <w:r>
        <w:rPr>
          <w:spacing w:val="-3"/>
        </w:rPr>
        <w:t> </w:t>
      </w:r>
      <w:r>
        <w:rPr/>
        <w:t>chapter</w:t>
      </w:r>
      <w:r>
        <w:rPr>
          <w:spacing w:val="-1"/>
        </w:rPr>
        <w:t> </w:t>
      </w:r>
      <w:r>
        <w:rPr/>
        <w:t>is</w:t>
      </w:r>
      <w:r>
        <w:rPr>
          <w:spacing w:val="-4"/>
        </w:rPr>
        <w:t> </w:t>
      </w:r>
      <w:r>
        <w:rPr/>
        <w:t>presented</w:t>
      </w:r>
      <w:r>
        <w:rPr>
          <w:spacing w:val="1"/>
        </w:rPr>
        <w:t> </w:t>
      </w:r>
      <w:r>
        <w:rPr/>
        <w:t>under the</w:t>
      </w:r>
      <w:r>
        <w:rPr>
          <w:spacing w:val="-3"/>
        </w:rPr>
        <w:t> </w:t>
      </w:r>
      <w:r>
        <w:rPr/>
        <w:t>following</w:t>
      </w:r>
      <w:r>
        <w:rPr>
          <w:spacing w:val="-1"/>
        </w:rPr>
        <w:t> </w:t>
      </w:r>
      <w:r>
        <w:rPr/>
        <w:t>sub-</w:t>
      </w:r>
      <w:r>
        <w:rPr>
          <w:spacing w:val="-2"/>
        </w:rPr>
        <w:t>headings:</w:t>
      </w:r>
    </w:p>
    <w:p>
      <w:pPr>
        <w:pStyle w:val="ListParagraph"/>
        <w:numPr>
          <w:ilvl w:val="1"/>
          <w:numId w:val="17"/>
        </w:numPr>
        <w:tabs>
          <w:tab w:pos="1199" w:val="left" w:leader="none"/>
        </w:tabs>
        <w:spacing w:line="240" w:lineRule="auto" w:before="276" w:after="0"/>
        <w:ind w:left="1199" w:right="0" w:hanging="719"/>
        <w:jc w:val="both"/>
        <w:rPr>
          <w:sz w:val="24"/>
        </w:rPr>
      </w:pPr>
      <w:r>
        <w:rPr>
          <w:sz w:val="24"/>
        </w:rPr>
        <w:t>Summary</w:t>
      </w:r>
      <w:r>
        <w:rPr>
          <w:spacing w:val="-5"/>
          <w:sz w:val="24"/>
        </w:rPr>
        <w:t> </w:t>
      </w:r>
      <w:r>
        <w:rPr>
          <w:sz w:val="24"/>
        </w:rPr>
        <w:t>of</w:t>
      </w:r>
      <w:r>
        <w:rPr>
          <w:spacing w:val="-3"/>
          <w:sz w:val="24"/>
        </w:rPr>
        <w:t> </w:t>
      </w:r>
      <w:r>
        <w:rPr>
          <w:sz w:val="24"/>
        </w:rPr>
        <w:t>the</w:t>
      </w:r>
      <w:r>
        <w:rPr>
          <w:spacing w:val="5"/>
          <w:sz w:val="24"/>
        </w:rPr>
        <w:t> </w:t>
      </w:r>
      <w:r>
        <w:rPr>
          <w:spacing w:val="-4"/>
          <w:sz w:val="24"/>
        </w:rPr>
        <w:t>Study</w:t>
      </w:r>
    </w:p>
    <w:p>
      <w:pPr>
        <w:pStyle w:val="ListParagraph"/>
        <w:numPr>
          <w:ilvl w:val="1"/>
          <w:numId w:val="17"/>
        </w:numPr>
        <w:tabs>
          <w:tab w:pos="1199" w:val="left" w:leader="none"/>
        </w:tabs>
        <w:spacing w:line="240" w:lineRule="auto" w:before="276" w:after="0"/>
        <w:ind w:left="1199" w:right="0" w:hanging="719"/>
        <w:jc w:val="both"/>
        <w:rPr>
          <w:sz w:val="24"/>
        </w:rPr>
      </w:pPr>
      <w:r>
        <w:rPr>
          <w:spacing w:val="-2"/>
          <w:sz w:val="24"/>
        </w:rPr>
        <w:t>Conclusion</w:t>
      </w:r>
    </w:p>
    <w:p>
      <w:pPr>
        <w:pStyle w:val="BodyText"/>
        <w:ind w:left="0"/>
        <w:jc w:val="left"/>
      </w:pPr>
    </w:p>
    <w:p>
      <w:pPr>
        <w:pStyle w:val="ListParagraph"/>
        <w:numPr>
          <w:ilvl w:val="1"/>
          <w:numId w:val="17"/>
        </w:numPr>
        <w:tabs>
          <w:tab w:pos="1199" w:val="left" w:leader="none"/>
        </w:tabs>
        <w:spacing w:line="240" w:lineRule="auto" w:before="0" w:after="0"/>
        <w:ind w:left="1199" w:right="0" w:hanging="719"/>
        <w:jc w:val="both"/>
        <w:rPr>
          <w:sz w:val="24"/>
        </w:rPr>
      </w:pPr>
      <w:r>
        <w:rPr>
          <w:spacing w:val="-2"/>
          <w:sz w:val="24"/>
        </w:rPr>
        <w:t>Recommendations</w:t>
      </w:r>
    </w:p>
    <w:p>
      <w:pPr>
        <w:pStyle w:val="BodyText"/>
        <w:ind w:left="0"/>
        <w:jc w:val="left"/>
      </w:pPr>
    </w:p>
    <w:p>
      <w:pPr>
        <w:pStyle w:val="ListParagraph"/>
        <w:numPr>
          <w:ilvl w:val="1"/>
          <w:numId w:val="17"/>
        </w:numPr>
        <w:tabs>
          <w:tab w:pos="1199" w:val="left" w:leader="none"/>
        </w:tabs>
        <w:spacing w:line="240" w:lineRule="auto" w:before="0" w:after="0"/>
        <w:ind w:left="1199" w:right="0" w:hanging="719"/>
        <w:jc w:val="both"/>
        <w:rPr>
          <w:sz w:val="24"/>
        </w:rPr>
      </w:pPr>
      <w:r>
        <w:rPr>
          <w:sz w:val="24"/>
        </w:rPr>
        <w:t>Limitation</w:t>
      </w:r>
      <w:r>
        <w:rPr>
          <w:spacing w:val="-4"/>
          <w:sz w:val="24"/>
        </w:rPr>
        <w:t> </w:t>
      </w:r>
      <w:r>
        <w:rPr>
          <w:sz w:val="24"/>
        </w:rPr>
        <w:t>of</w:t>
      </w:r>
      <w:r>
        <w:rPr>
          <w:spacing w:val="-7"/>
          <w:sz w:val="24"/>
        </w:rPr>
        <w:t> </w:t>
      </w:r>
      <w:r>
        <w:rPr>
          <w:sz w:val="24"/>
        </w:rPr>
        <w:t>the</w:t>
      </w:r>
      <w:r>
        <w:rPr>
          <w:spacing w:val="1"/>
          <w:sz w:val="24"/>
        </w:rPr>
        <w:t> </w:t>
      </w:r>
      <w:r>
        <w:rPr>
          <w:spacing w:val="-4"/>
          <w:sz w:val="24"/>
        </w:rPr>
        <w:t>Study</w:t>
      </w:r>
    </w:p>
    <w:p>
      <w:pPr>
        <w:pStyle w:val="BodyText"/>
        <w:ind w:left="0"/>
        <w:jc w:val="left"/>
      </w:pPr>
    </w:p>
    <w:p>
      <w:pPr>
        <w:pStyle w:val="ListParagraph"/>
        <w:numPr>
          <w:ilvl w:val="1"/>
          <w:numId w:val="17"/>
        </w:numPr>
        <w:tabs>
          <w:tab w:pos="1199" w:val="left" w:leader="none"/>
        </w:tabs>
        <w:spacing w:line="240" w:lineRule="auto" w:before="0" w:after="0"/>
        <w:ind w:left="1199" w:right="0" w:hanging="719"/>
        <w:jc w:val="both"/>
        <w:rPr>
          <w:sz w:val="24"/>
        </w:rPr>
      </w:pPr>
      <w:r>
        <w:rPr>
          <w:sz w:val="24"/>
        </w:rPr>
        <w:t>Implication</w:t>
      </w:r>
      <w:r>
        <w:rPr>
          <w:spacing w:val="-3"/>
          <w:sz w:val="24"/>
        </w:rPr>
        <w:t> </w:t>
      </w:r>
      <w:r>
        <w:rPr>
          <w:sz w:val="24"/>
        </w:rPr>
        <w:t>of</w:t>
      </w:r>
      <w:r>
        <w:rPr>
          <w:spacing w:val="-6"/>
          <w:sz w:val="24"/>
        </w:rPr>
        <w:t> </w:t>
      </w:r>
      <w:r>
        <w:rPr>
          <w:sz w:val="24"/>
        </w:rPr>
        <w:t>the</w:t>
      </w:r>
      <w:r>
        <w:rPr>
          <w:spacing w:val="1"/>
          <w:sz w:val="24"/>
        </w:rPr>
        <w:t> </w:t>
      </w:r>
      <w:r>
        <w:rPr>
          <w:spacing w:val="-4"/>
          <w:sz w:val="24"/>
        </w:rPr>
        <w:t>Study</w:t>
      </w:r>
    </w:p>
    <w:p>
      <w:pPr>
        <w:pStyle w:val="BodyText"/>
        <w:ind w:left="0"/>
        <w:jc w:val="left"/>
      </w:pPr>
    </w:p>
    <w:p>
      <w:pPr>
        <w:pStyle w:val="ListParagraph"/>
        <w:numPr>
          <w:ilvl w:val="1"/>
          <w:numId w:val="17"/>
        </w:numPr>
        <w:tabs>
          <w:tab w:pos="1199" w:val="left" w:leader="none"/>
        </w:tabs>
        <w:spacing w:line="240" w:lineRule="auto" w:before="1" w:after="0"/>
        <w:ind w:left="1199" w:right="0" w:hanging="719"/>
        <w:jc w:val="both"/>
        <w:rPr>
          <w:sz w:val="24"/>
        </w:rPr>
      </w:pPr>
      <w:r>
        <w:rPr>
          <w:sz w:val="24"/>
        </w:rPr>
        <w:t>Contributions</w:t>
      </w:r>
      <w:r>
        <w:rPr>
          <w:spacing w:val="-5"/>
          <w:sz w:val="24"/>
        </w:rPr>
        <w:t> </w:t>
      </w:r>
      <w:r>
        <w:rPr>
          <w:sz w:val="24"/>
        </w:rPr>
        <w:t>to</w:t>
      </w:r>
      <w:r>
        <w:rPr>
          <w:spacing w:val="3"/>
          <w:sz w:val="24"/>
        </w:rPr>
        <w:t> </w:t>
      </w:r>
      <w:r>
        <w:rPr>
          <w:spacing w:val="-2"/>
          <w:sz w:val="24"/>
        </w:rPr>
        <w:t>Knowledge</w:t>
      </w:r>
    </w:p>
    <w:p>
      <w:pPr>
        <w:pStyle w:val="ListParagraph"/>
        <w:numPr>
          <w:ilvl w:val="1"/>
          <w:numId w:val="17"/>
        </w:numPr>
        <w:tabs>
          <w:tab w:pos="1199" w:val="left" w:leader="none"/>
        </w:tabs>
        <w:spacing w:line="240" w:lineRule="auto" w:before="276" w:after="0"/>
        <w:ind w:left="1199" w:right="0" w:hanging="719"/>
        <w:jc w:val="both"/>
        <w:rPr>
          <w:sz w:val="24"/>
        </w:rPr>
      </w:pPr>
      <w:r>
        <w:rPr>
          <w:sz w:val="24"/>
        </w:rPr>
        <w:t>Suggestion</w:t>
      </w:r>
      <w:r>
        <w:rPr>
          <w:spacing w:val="-3"/>
          <w:sz w:val="24"/>
        </w:rPr>
        <w:t> </w:t>
      </w:r>
      <w:r>
        <w:rPr>
          <w:sz w:val="24"/>
        </w:rPr>
        <w:t>for</w:t>
      </w:r>
      <w:r>
        <w:rPr>
          <w:spacing w:val="-1"/>
          <w:sz w:val="24"/>
        </w:rPr>
        <w:t> </w:t>
      </w:r>
      <w:r>
        <w:rPr>
          <w:sz w:val="24"/>
        </w:rPr>
        <w:t>Further</w:t>
      </w:r>
      <w:r>
        <w:rPr>
          <w:spacing w:val="-1"/>
          <w:sz w:val="24"/>
        </w:rPr>
        <w:t> </w:t>
      </w:r>
      <w:r>
        <w:rPr>
          <w:spacing w:val="-2"/>
          <w:sz w:val="24"/>
        </w:rPr>
        <w:t>Studies</w:t>
      </w:r>
    </w:p>
    <w:p>
      <w:pPr>
        <w:pStyle w:val="BodyText"/>
        <w:spacing w:before="4"/>
        <w:ind w:left="0"/>
        <w:jc w:val="left"/>
      </w:pPr>
    </w:p>
    <w:p>
      <w:pPr>
        <w:pStyle w:val="Heading3"/>
        <w:numPr>
          <w:ilvl w:val="1"/>
          <w:numId w:val="22"/>
        </w:numPr>
        <w:tabs>
          <w:tab w:pos="1199" w:val="left" w:leader="none"/>
        </w:tabs>
        <w:spacing w:line="240" w:lineRule="auto" w:before="0" w:after="0"/>
        <w:ind w:left="1199" w:right="0" w:hanging="719"/>
        <w:jc w:val="both"/>
      </w:pPr>
      <w:r>
        <w:rPr/>
        <w:t>Summary</w:t>
      </w:r>
      <w:r>
        <w:rPr>
          <w:spacing w:val="-1"/>
        </w:rPr>
        <w:t> </w:t>
      </w:r>
      <w:r>
        <w:rPr/>
        <w:t>of</w:t>
      </w:r>
      <w:r>
        <w:rPr>
          <w:spacing w:val="-3"/>
        </w:rPr>
        <w:t> </w:t>
      </w:r>
      <w:r>
        <w:rPr/>
        <w:t>the</w:t>
      </w:r>
      <w:r>
        <w:rPr>
          <w:spacing w:val="-2"/>
        </w:rPr>
        <w:t> </w:t>
      </w:r>
      <w:r>
        <w:rPr>
          <w:spacing w:val="-4"/>
        </w:rPr>
        <w:t>Study</w:t>
      </w:r>
    </w:p>
    <w:p>
      <w:pPr>
        <w:pStyle w:val="BodyText"/>
        <w:spacing w:line="480" w:lineRule="auto" w:before="272"/>
        <w:ind w:right="1158" w:firstLine="720"/>
      </w:pPr>
      <w:r>
        <w:rPr/>
        <w:t>This study investigated the relationship of students emotional-intelligence, reasoning ability and self-efficacy as predictors of achievement of senior secondary school chemistry students of Zonkwa Education Zone, Kaduna, Nigeria.</w:t>
      </w:r>
    </w:p>
    <w:p>
      <w:pPr>
        <w:pStyle w:val="BodyText"/>
        <w:spacing w:line="480" w:lineRule="auto" w:before="1"/>
        <w:ind w:right="1153" w:firstLine="720"/>
      </w:pPr>
      <w:r>
        <w:rPr/>
        <mc:AlternateContent>
          <mc:Choice Requires="wps">
            <w:drawing>
              <wp:anchor distT="0" distB="0" distL="0" distR="0" allowOverlap="1" layoutInCell="1" locked="0" behindDoc="1" simplePos="0" relativeHeight="484154368">
                <wp:simplePos x="0" y="0"/>
                <wp:positionH relativeFrom="page">
                  <wp:posOffset>3902964</wp:posOffset>
                </wp:positionH>
                <wp:positionV relativeFrom="paragraph">
                  <wp:posOffset>2001101</wp:posOffset>
                </wp:positionV>
                <wp:extent cx="210820" cy="1403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10820" cy="140335"/>
                        </a:xfrm>
                        <a:prstGeom prst="rect">
                          <a:avLst/>
                        </a:prstGeom>
                      </wps:spPr>
                      <wps:txbx>
                        <w:txbxContent>
                          <w:p>
                            <w:pPr>
                              <w:spacing w:line="221" w:lineRule="exact" w:before="0"/>
                              <w:ind w:left="0" w:right="0" w:firstLine="0"/>
                              <w:jc w:val="left"/>
                              <w:rPr>
                                <w:rFonts w:ascii="Calibri"/>
                                <w:sz w:val="22"/>
                              </w:rPr>
                            </w:pPr>
                            <w:r>
                              <w:rPr>
                                <w:rFonts w:ascii="Calibri"/>
                                <w:spacing w:val="-6"/>
                                <w:sz w:val="22"/>
                              </w:rPr>
                              <w:t>110</w:t>
                            </w:r>
                          </w:p>
                        </w:txbxContent>
                      </wps:txbx>
                      <wps:bodyPr wrap="square" lIns="0" tIns="0" rIns="0" bIns="0" rtlCol="0">
                        <a:noAutofit/>
                      </wps:bodyPr>
                    </wps:wsp>
                  </a:graphicData>
                </a:graphic>
              </wp:anchor>
            </w:drawing>
          </mc:Choice>
          <mc:Fallback>
            <w:pict>
              <v:shape style="position:absolute;margin-left:307.320007pt;margin-top:157.567017pt;width:16.6pt;height:11.05pt;mso-position-horizontal-relative:page;mso-position-vertical-relative:paragraph;z-index:-19162112" type="#_x0000_t202" id="docshape20" filled="false" stroked="false">
                <v:textbox inset="0,0,0,0">
                  <w:txbxContent>
                    <w:p>
                      <w:pPr>
                        <w:spacing w:line="221" w:lineRule="exact" w:before="0"/>
                        <w:ind w:left="0" w:right="0" w:firstLine="0"/>
                        <w:jc w:val="left"/>
                        <w:rPr>
                          <w:rFonts w:ascii="Calibri"/>
                          <w:sz w:val="22"/>
                        </w:rPr>
                      </w:pPr>
                      <w:r>
                        <w:rPr>
                          <w:rFonts w:ascii="Calibri"/>
                          <w:spacing w:val="-6"/>
                          <w:sz w:val="22"/>
                        </w:rPr>
                        <w:t>110</w:t>
                      </w:r>
                    </w:p>
                  </w:txbxContent>
                </v:textbox>
                <w10:wrap type="none"/>
              </v:shape>
            </w:pict>
          </mc:Fallback>
        </mc:AlternateContent>
      </w:r>
      <w:r>
        <w:rPr/>
        <w:t>The study population comprised all public co-educational senior secondary school students (SSII) offering chemistry in Zonkwa Education Zone. The samples consisting of 152 senior secondary chemistry students were used for data collection. Three hypotheses were tested. There instruments were used for the purpose of data collection.</w:t>
      </w:r>
      <w:r>
        <w:rPr>
          <w:spacing w:val="37"/>
        </w:rPr>
        <w:t> </w:t>
      </w:r>
      <w:r>
        <w:rPr/>
        <w:t>They</w:t>
      </w:r>
      <w:r>
        <w:rPr>
          <w:spacing w:val="31"/>
        </w:rPr>
        <w:t> </w:t>
      </w:r>
      <w:r>
        <w:rPr/>
        <w:t>were</w:t>
      </w:r>
      <w:r>
        <w:rPr>
          <w:spacing w:val="34"/>
        </w:rPr>
        <w:t> </w:t>
      </w:r>
      <w:r>
        <w:rPr/>
        <w:t>Trait</w:t>
      </w:r>
      <w:r>
        <w:rPr>
          <w:spacing w:val="40"/>
        </w:rPr>
        <w:t> </w:t>
      </w:r>
      <w:r>
        <w:rPr/>
        <w:t>Emotional</w:t>
      </w:r>
      <w:r>
        <w:rPr>
          <w:spacing w:val="31"/>
        </w:rPr>
        <w:t> </w:t>
      </w:r>
      <w:r>
        <w:rPr/>
        <w:t>Intelligence</w:t>
      </w:r>
      <w:r>
        <w:rPr>
          <w:spacing w:val="34"/>
        </w:rPr>
        <w:t> </w:t>
      </w:r>
      <w:r>
        <w:rPr/>
        <w:t>Questionnaire</w:t>
      </w:r>
      <w:r>
        <w:rPr>
          <w:spacing w:val="34"/>
        </w:rPr>
        <w:t> </w:t>
      </w:r>
      <w:r>
        <w:rPr/>
        <w:t>(TEIQue),</w:t>
      </w:r>
      <w:r>
        <w:rPr>
          <w:spacing w:val="33"/>
        </w:rPr>
        <w:t> </w:t>
      </w:r>
      <w:r>
        <w:rPr/>
        <w:t>Group</w:t>
      </w:r>
    </w:p>
    <w:p>
      <w:pPr>
        <w:pStyle w:val="BodyText"/>
        <w:spacing w:before="10"/>
        <w:ind w:left="0"/>
        <w:jc w:val="left"/>
        <w:rPr>
          <w:sz w:val="19"/>
        </w:rPr>
      </w:pPr>
      <w:r>
        <w:rPr/>
        <mc:AlternateContent>
          <mc:Choice Requires="wps">
            <w:drawing>
              <wp:anchor distT="0" distB="0" distL="0" distR="0" allowOverlap="1" layoutInCell="1" locked="0" behindDoc="1" simplePos="0" relativeHeight="487593472">
                <wp:simplePos x="0" y="0"/>
                <wp:positionH relativeFrom="page">
                  <wp:posOffset>3694429</wp:posOffset>
                </wp:positionH>
                <wp:positionV relativeFrom="paragraph">
                  <wp:posOffset>160435</wp:posOffset>
                </wp:positionV>
                <wp:extent cx="468630" cy="33464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468630" cy="334645"/>
                        </a:xfrm>
                        <a:custGeom>
                          <a:avLst/>
                          <a:gdLst/>
                          <a:ahLst/>
                          <a:cxnLst/>
                          <a:rect l="l" t="t" r="r" b="b"/>
                          <a:pathLst>
                            <a:path w="468630" h="334645">
                              <a:moveTo>
                                <a:pt x="468629" y="0"/>
                              </a:moveTo>
                              <a:lnTo>
                                <a:pt x="0" y="0"/>
                              </a:lnTo>
                              <a:lnTo>
                                <a:pt x="0" y="334644"/>
                              </a:lnTo>
                              <a:lnTo>
                                <a:pt x="468629" y="334644"/>
                              </a:lnTo>
                              <a:lnTo>
                                <a:pt x="468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0.899994pt;margin-top:12.632734pt;width:36.9pt;height:26.35pt;mso-position-horizontal-relative:page;mso-position-vertical-relative:paragraph;z-index:-15723008;mso-wrap-distance-left:0;mso-wrap-distance-right:0" id="docshape21" filled="true" fillcolor="#ffffff" stroked="false">
                <v:fill type="solid"/>
                <w10:wrap type="topAndBottom"/>
              </v:rect>
            </w:pict>
          </mc:Fallback>
        </mc:AlternateContent>
      </w:r>
    </w:p>
    <w:p>
      <w:pPr>
        <w:spacing w:after="0"/>
        <w:jc w:val="left"/>
        <w:rPr>
          <w:sz w:val="19"/>
        </w:rPr>
        <w:sectPr>
          <w:footerReference w:type="default" r:id="rId19"/>
          <w:pgSz w:w="11910" w:h="16840"/>
          <w:pgMar w:header="0" w:footer="0" w:top="1340" w:bottom="280" w:left="1680" w:right="280"/>
        </w:sectPr>
      </w:pPr>
    </w:p>
    <w:p>
      <w:pPr>
        <w:pStyle w:val="BodyText"/>
        <w:spacing w:line="480" w:lineRule="auto" w:before="74"/>
        <w:ind w:right="1159"/>
      </w:pPr>
      <w:r>
        <w:rPr/>
        <w:t>Assessment of Local Thinking (GALT) and Chemistry Self-efficacy Instrument</w:t>
      </w:r>
      <w:r>
        <w:rPr>
          <w:spacing w:val="40"/>
        </w:rPr>
        <w:t> </w:t>
      </w:r>
      <w:r>
        <w:rPr/>
        <w:t>(CSI). The TEIQue was used to determine students‘ emotional-intelligence, GALT was used to measure student‘s reasoning ability and CSI was used to determine the student‘s self-efficacy in chemistry. The students‘ third term result (qualifying examination) was used as their chemistry academic achievement. The variables emotional-intelligence, reasoning ability and self-efficacy of were analyzed using</w:t>
      </w:r>
      <w:r>
        <w:rPr>
          <w:spacing w:val="40"/>
        </w:rPr>
        <w:t> </w:t>
      </w:r>
      <w:r>
        <w:rPr/>
        <w:t>non-parametric test of Mann-Whitney u test, and academic achievement scores were analyzed</w:t>
      </w:r>
      <w:r>
        <w:rPr>
          <w:spacing w:val="-1"/>
        </w:rPr>
        <w:t> </w:t>
      </w:r>
      <w:r>
        <w:rPr/>
        <w:t>using parametric test of</w:t>
      </w:r>
      <w:r>
        <w:rPr>
          <w:spacing w:val="-4"/>
        </w:rPr>
        <w:t> </w:t>
      </w:r>
      <w:r>
        <w:rPr/>
        <w:t>independent sample</w:t>
      </w:r>
      <w:r>
        <w:rPr>
          <w:spacing w:val="-2"/>
        </w:rPr>
        <w:t> </w:t>
      </w:r>
      <w:r>
        <w:rPr/>
        <w:t>t test. The</w:t>
      </w:r>
      <w:r>
        <w:rPr>
          <w:spacing w:val="-2"/>
        </w:rPr>
        <w:t> </w:t>
      </w:r>
      <w:r>
        <w:rPr/>
        <w:t>three</w:t>
      </w:r>
      <w:r>
        <w:rPr>
          <w:spacing w:val="-2"/>
        </w:rPr>
        <w:t> </w:t>
      </w:r>
      <w:r>
        <w:rPr/>
        <w:t>null hypotheses formulated were tested at P ≤ 0.05 level of significance as seen in chapter four.</w:t>
      </w:r>
    </w:p>
    <w:p>
      <w:pPr>
        <w:pStyle w:val="ListParagraph"/>
        <w:numPr>
          <w:ilvl w:val="2"/>
          <w:numId w:val="22"/>
        </w:numPr>
        <w:tabs>
          <w:tab w:pos="1199" w:val="left" w:leader="none"/>
          <w:tab w:pos="1201" w:val="left" w:leader="none"/>
        </w:tabs>
        <w:spacing w:line="480" w:lineRule="auto" w:before="2" w:after="0"/>
        <w:ind w:left="1201" w:right="1154" w:hanging="538"/>
        <w:jc w:val="both"/>
        <w:rPr>
          <w:sz w:val="24"/>
        </w:rPr>
      </w:pPr>
      <w:r>
        <w:rPr>
          <w:sz w:val="24"/>
        </w:rPr>
        <w:t>There was significant relationship between the mean emotional-intelligence, reasoning ability, self-efficacy and academic achievement scores among SS II students in chemistry. The strongest positive correlation was between self- efficacy and Chemistry Achievement Test scores. The least positive</w:t>
      </w:r>
      <w:r>
        <w:rPr>
          <w:spacing w:val="40"/>
          <w:sz w:val="24"/>
        </w:rPr>
        <w:t> </w:t>
      </w:r>
      <w:r>
        <w:rPr>
          <w:sz w:val="24"/>
        </w:rPr>
        <w:t>correlation was between reasoning ability and Chemistry Achievement Test score .</w:t>
      </w:r>
    </w:p>
    <w:p>
      <w:pPr>
        <w:pStyle w:val="ListParagraph"/>
        <w:numPr>
          <w:ilvl w:val="2"/>
          <w:numId w:val="22"/>
        </w:numPr>
        <w:tabs>
          <w:tab w:pos="1199" w:val="left" w:leader="none"/>
          <w:tab w:pos="1201" w:val="left" w:leader="none"/>
        </w:tabs>
        <w:spacing w:line="480" w:lineRule="auto" w:before="1" w:after="0"/>
        <w:ind w:left="1201" w:right="1159" w:hanging="538"/>
        <w:jc w:val="both"/>
        <w:rPr>
          <w:sz w:val="24"/>
        </w:rPr>
      </w:pPr>
      <w:r>
        <w:rPr>
          <w:sz w:val="24"/>
        </w:rPr>
        <w:t>There was significant relationship between the mean emotional – intelligence, reasoning ability, self – efficacy and academic achievement scores among</w:t>
      </w:r>
      <w:r>
        <w:rPr>
          <w:spacing w:val="40"/>
          <w:sz w:val="24"/>
        </w:rPr>
        <w:t> </w:t>
      </w:r>
      <w:r>
        <w:rPr>
          <w:sz w:val="24"/>
        </w:rPr>
        <w:t>male SS II students in chemistry. The strongest positive correlation was between self-efficacy and chemistry achievement test scores and the least positive correlation was between reasoning ability and chemistry</w:t>
      </w:r>
      <w:r>
        <w:rPr>
          <w:spacing w:val="-1"/>
          <w:sz w:val="24"/>
        </w:rPr>
        <w:t> </w:t>
      </w:r>
      <w:r>
        <w:rPr>
          <w:sz w:val="24"/>
        </w:rPr>
        <w:t>achievement test score</w:t>
      </w:r>
    </w:p>
    <w:p>
      <w:pPr>
        <w:pStyle w:val="ListParagraph"/>
        <w:numPr>
          <w:ilvl w:val="2"/>
          <w:numId w:val="22"/>
        </w:numPr>
        <w:tabs>
          <w:tab w:pos="1198" w:val="left" w:leader="none"/>
          <w:tab w:pos="1201" w:val="left" w:leader="none"/>
        </w:tabs>
        <w:spacing w:line="480" w:lineRule="auto" w:before="1" w:after="0"/>
        <w:ind w:left="1201" w:right="1158" w:hanging="538"/>
        <w:jc w:val="both"/>
        <w:rPr>
          <w:sz w:val="24"/>
        </w:rPr>
      </w:pPr>
      <w:r>
        <w:rPr>
          <w:sz w:val="24"/>
        </w:rPr>
        <w:t>There was significant relationship between the mean emotional – intelligence, reasoning ability,</w:t>
      </w:r>
      <w:r>
        <w:rPr>
          <w:spacing w:val="-2"/>
          <w:sz w:val="24"/>
        </w:rPr>
        <w:t> </w:t>
      </w:r>
      <w:r>
        <w:rPr>
          <w:sz w:val="24"/>
        </w:rPr>
        <w:t>self-efficacy</w:t>
      </w:r>
      <w:r>
        <w:rPr>
          <w:spacing w:val="-8"/>
          <w:sz w:val="24"/>
        </w:rPr>
        <w:t> </w:t>
      </w:r>
      <w:r>
        <w:rPr>
          <w:sz w:val="24"/>
        </w:rPr>
        <w:t>and</w:t>
      </w:r>
      <w:r>
        <w:rPr>
          <w:spacing w:val="-4"/>
          <w:sz w:val="24"/>
        </w:rPr>
        <w:t> </w:t>
      </w:r>
      <w:r>
        <w:rPr>
          <w:sz w:val="24"/>
        </w:rPr>
        <w:t>academic</w:t>
      </w:r>
      <w:r>
        <w:rPr>
          <w:spacing w:val="-5"/>
          <w:sz w:val="24"/>
        </w:rPr>
        <w:t> </w:t>
      </w:r>
      <w:r>
        <w:rPr>
          <w:sz w:val="24"/>
        </w:rPr>
        <w:t>achievement score among female SS II students in chemistry. The strongest positive correlations was between self</w:t>
      </w:r>
      <w:r>
        <w:rPr>
          <w:spacing w:val="29"/>
          <w:sz w:val="24"/>
        </w:rPr>
        <w:t> </w:t>
      </w:r>
      <w:r>
        <w:rPr>
          <w:sz w:val="24"/>
        </w:rPr>
        <w:t>–</w:t>
      </w:r>
      <w:r>
        <w:rPr>
          <w:spacing w:val="36"/>
          <w:sz w:val="24"/>
        </w:rPr>
        <w:t> </w:t>
      </w:r>
      <w:r>
        <w:rPr>
          <w:sz w:val="24"/>
        </w:rPr>
        <w:t>efficacy</w:t>
      </w:r>
      <w:r>
        <w:rPr>
          <w:spacing w:val="31"/>
          <w:sz w:val="24"/>
        </w:rPr>
        <w:t> </w:t>
      </w:r>
      <w:r>
        <w:rPr>
          <w:sz w:val="24"/>
        </w:rPr>
        <w:t>and</w:t>
      </w:r>
      <w:r>
        <w:rPr>
          <w:spacing w:val="31"/>
          <w:sz w:val="24"/>
        </w:rPr>
        <w:t> </w:t>
      </w:r>
      <w:r>
        <w:rPr>
          <w:sz w:val="24"/>
        </w:rPr>
        <w:t>chemistry</w:t>
      </w:r>
      <w:r>
        <w:rPr>
          <w:spacing w:val="27"/>
          <w:sz w:val="24"/>
        </w:rPr>
        <w:t> </w:t>
      </w:r>
      <w:r>
        <w:rPr>
          <w:sz w:val="24"/>
        </w:rPr>
        <w:t>achievement</w:t>
      </w:r>
      <w:r>
        <w:rPr>
          <w:spacing w:val="40"/>
          <w:sz w:val="24"/>
        </w:rPr>
        <w:t> </w:t>
      </w:r>
      <w:r>
        <w:rPr>
          <w:sz w:val="24"/>
        </w:rPr>
        <w:t>test</w:t>
      </w:r>
      <w:r>
        <w:rPr>
          <w:spacing w:val="36"/>
          <w:sz w:val="24"/>
        </w:rPr>
        <w:t> </w:t>
      </w:r>
      <w:r>
        <w:rPr>
          <w:sz w:val="24"/>
        </w:rPr>
        <w:t>score</w:t>
      </w:r>
      <w:r>
        <w:rPr>
          <w:spacing w:val="80"/>
          <w:w w:val="150"/>
          <w:sz w:val="24"/>
        </w:rPr>
        <w:t> </w:t>
      </w:r>
      <w:r>
        <w:rPr>
          <w:sz w:val="24"/>
        </w:rPr>
        <w:t>and</w:t>
      </w:r>
      <w:r>
        <w:rPr>
          <w:spacing w:val="31"/>
          <w:sz w:val="24"/>
        </w:rPr>
        <w:t> </w:t>
      </w:r>
      <w:r>
        <w:rPr>
          <w:sz w:val="24"/>
        </w:rPr>
        <w:t>the</w:t>
      </w:r>
      <w:r>
        <w:rPr>
          <w:spacing w:val="35"/>
          <w:sz w:val="24"/>
        </w:rPr>
        <w:t> </w:t>
      </w:r>
      <w:r>
        <w:rPr>
          <w:sz w:val="24"/>
        </w:rPr>
        <w:t>least</w:t>
      </w:r>
      <w:r>
        <w:rPr>
          <w:spacing w:val="36"/>
          <w:sz w:val="24"/>
        </w:rPr>
        <w:t> </w:t>
      </w:r>
      <w:r>
        <w:rPr>
          <w:sz w:val="24"/>
        </w:rPr>
        <w:t>positive</w:t>
      </w:r>
    </w:p>
    <w:p>
      <w:pPr>
        <w:spacing w:after="0" w:line="480" w:lineRule="auto"/>
        <w:jc w:val="both"/>
        <w:rPr>
          <w:sz w:val="24"/>
        </w:rPr>
        <w:sectPr>
          <w:footerReference w:type="default" r:id="rId20"/>
          <w:pgSz w:w="11910" w:h="16840"/>
          <w:pgMar w:header="0" w:footer="1012" w:top="1340" w:bottom="1200" w:left="1680" w:right="280"/>
          <w:pgNumType w:start="111"/>
        </w:sectPr>
      </w:pPr>
    </w:p>
    <w:p>
      <w:pPr>
        <w:pStyle w:val="BodyText"/>
        <w:spacing w:line="480" w:lineRule="auto" w:before="74"/>
        <w:ind w:left="1201" w:right="1155"/>
      </w:pPr>
      <w:r>
        <w:rPr/>
        <w:t>correlation was between reasoning ability and chemistry achievement test scores .</w:t>
      </w:r>
    </w:p>
    <w:p>
      <w:pPr>
        <w:pStyle w:val="ListParagraph"/>
        <w:numPr>
          <w:ilvl w:val="2"/>
          <w:numId w:val="22"/>
        </w:numPr>
        <w:tabs>
          <w:tab w:pos="1199" w:val="left" w:leader="none"/>
          <w:tab w:pos="1201" w:val="left" w:leader="none"/>
        </w:tabs>
        <w:spacing w:line="480" w:lineRule="auto" w:before="0" w:after="0"/>
        <w:ind w:left="1201" w:right="1159" w:hanging="538"/>
        <w:jc w:val="both"/>
        <w:rPr>
          <w:sz w:val="24"/>
        </w:rPr>
      </w:pPr>
      <w:r>
        <w:rPr>
          <w:sz w:val="24"/>
        </w:rPr>
        <w:t>There</w:t>
      </w:r>
      <w:r>
        <w:rPr>
          <w:spacing w:val="-3"/>
          <w:sz w:val="24"/>
        </w:rPr>
        <w:t> </w:t>
      </w:r>
      <w:r>
        <w:rPr>
          <w:sz w:val="24"/>
        </w:rPr>
        <w:t>was no significant difference between</w:t>
      </w:r>
      <w:r>
        <w:rPr>
          <w:spacing w:val="-7"/>
          <w:sz w:val="24"/>
        </w:rPr>
        <w:t> </w:t>
      </w:r>
      <w:r>
        <w:rPr>
          <w:sz w:val="24"/>
        </w:rPr>
        <w:t>the means</w:t>
      </w:r>
      <w:r>
        <w:rPr>
          <w:spacing w:val="-4"/>
          <w:sz w:val="24"/>
        </w:rPr>
        <w:t> </w:t>
      </w:r>
      <w:r>
        <w:rPr>
          <w:sz w:val="24"/>
        </w:rPr>
        <w:t>chemistry</w:t>
      </w:r>
      <w:r>
        <w:rPr>
          <w:spacing w:val="-11"/>
          <w:sz w:val="24"/>
        </w:rPr>
        <w:t> </w:t>
      </w:r>
      <w:r>
        <w:rPr>
          <w:sz w:val="24"/>
        </w:rPr>
        <w:t>achievement scores and mean emotional intelligence scores; mean reasoning ability scores and mean self-efficacy scores among male and female SSII students in </w:t>
      </w:r>
      <w:r>
        <w:rPr>
          <w:spacing w:val="-2"/>
          <w:sz w:val="24"/>
        </w:rPr>
        <w:t>chemistry.</w:t>
      </w:r>
    </w:p>
    <w:p>
      <w:pPr>
        <w:pStyle w:val="Heading3"/>
        <w:numPr>
          <w:ilvl w:val="1"/>
          <w:numId w:val="22"/>
        </w:numPr>
        <w:tabs>
          <w:tab w:pos="1199" w:val="left" w:leader="none"/>
        </w:tabs>
        <w:spacing w:line="240" w:lineRule="auto" w:before="6" w:after="0"/>
        <w:ind w:left="1199" w:right="0" w:hanging="719"/>
        <w:jc w:val="both"/>
      </w:pPr>
      <w:r>
        <w:rPr>
          <w:spacing w:val="-2"/>
        </w:rPr>
        <w:t>Conclusions</w:t>
      </w:r>
    </w:p>
    <w:p>
      <w:pPr>
        <w:pStyle w:val="ListParagraph"/>
        <w:numPr>
          <w:ilvl w:val="0"/>
          <w:numId w:val="23"/>
        </w:numPr>
        <w:tabs>
          <w:tab w:pos="1198" w:val="left" w:leader="none"/>
          <w:tab w:pos="1201" w:val="left" w:leader="none"/>
        </w:tabs>
        <w:spacing w:line="480" w:lineRule="auto" w:before="271" w:after="0"/>
        <w:ind w:left="1201" w:right="1159" w:hanging="668"/>
        <w:jc w:val="both"/>
        <w:rPr>
          <w:sz w:val="24"/>
        </w:rPr>
      </w:pPr>
      <w:r>
        <w:rPr>
          <w:sz w:val="24"/>
        </w:rPr>
        <w:t>There was positive correlation in emotional-intelligence, reasoning ability, self-efficacy and achievement in chemistry among SS II chemistry students and the strongest correlation was between self-efficacy and academic achievement while the least positive correlation</w:t>
      </w:r>
      <w:r>
        <w:rPr>
          <w:spacing w:val="-4"/>
          <w:sz w:val="24"/>
        </w:rPr>
        <w:t> </w:t>
      </w:r>
      <w:r>
        <w:rPr>
          <w:sz w:val="24"/>
        </w:rPr>
        <w:t>was</w:t>
      </w:r>
      <w:r>
        <w:rPr>
          <w:spacing w:val="-2"/>
          <w:sz w:val="24"/>
        </w:rPr>
        <w:t> </w:t>
      </w:r>
      <w:r>
        <w:rPr>
          <w:sz w:val="24"/>
        </w:rPr>
        <w:t>between</w:t>
      </w:r>
      <w:r>
        <w:rPr>
          <w:spacing w:val="-4"/>
          <w:sz w:val="24"/>
        </w:rPr>
        <w:t> </w:t>
      </w:r>
      <w:r>
        <w:rPr>
          <w:sz w:val="24"/>
        </w:rPr>
        <w:t>reasoning ability and academic achievement.</w:t>
      </w:r>
    </w:p>
    <w:p>
      <w:pPr>
        <w:pStyle w:val="ListParagraph"/>
        <w:numPr>
          <w:ilvl w:val="0"/>
          <w:numId w:val="23"/>
        </w:numPr>
        <w:tabs>
          <w:tab w:pos="1199" w:val="left" w:leader="none"/>
          <w:tab w:pos="1201" w:val="left" w:leader="none"/>
        </w:tabs>
        <w:spacing w:line="480" w:lineRule="auto" w:before="1" w:after="0"/>
        <w:ind w:left="1201" w:right="1159" w:hanging="735"/>
        <w:jc w:val="both"/>
        <w:rPr>
          <w:sz w:val="24"/>
        </w:rPr>
      </w:pPr>
      <w:r>
        <w:rPr>
          <w:sz w:val="24"/>
        </w:rPr>
        <w:t>Student‘s emotional-intelligence, reasoning ability and self-efficacy are predictors of achievement in chemistry. Self-efficacy being the strongest followed by emotional intelligence and reasoning ability being the least. That is students with high scores in emotional-intelligence, reasoning ability and self-efficacy performed better than those with low emotional intelligence, reasoning ability and self-efficacy.</w:t>
      </w:r>
    </w:p>
    <w:p>
      <w:pPr>
        <w:pStyle w:val="ListParagraph"/>
        <w:numPr>
          <w:ilvl w:val="0"/>
          <w:numId w:val="23"/>
        </w:numPr>
        <w:tabs>
          <w:tab w:pos="1198" w:val="left" w:leader="none"/>
          <w:tab w:pos="1201" w:val="left" w:leader="none"/>
        </w:tabs>
        <w:spacing w:line="480" w:lineRule="auto" w:before="1" w:after="0"/>
        <w:ind w:left="1201" w:right="1160" w:hanging="802"/>
        <w:jc w:val="both"/>
        <w:rPr>
          <w:sz w:val="24"/>
        </w:rPr>
      </w:pPr>
      <w:r>
        <w:rPr>
          <w:sz w:val="24"/>
        </w:rPr>
        <w:t>There was positive correlation among emotional – intelligence, reasoning ability, self – efficacy and academic achievement in chemistry of SS II male students and the strongest correlation was between self – efficacy and academic achievement, followed by emotional intelligence while the least positive correlation was between reasoning ability and academic achievement.</w:t>
      </w:r>
    </w:p>
    <w:p>
      <w:pPr>
        <w:pStyle w:val="ListParagraph"/>
        <w:numPr>
          <w:ilvl w:val="0"/>
          <w:numId w:val="23"/>
        </w:numPr>
        <w:tabs>
          <w:tab w:pos="1198" w:val="left" w:leader="none"/>
          <w:tab w:pos="1201" w:val="left" w:leader="none"/>
        </w:tabs>
        <w:spacing w:line="480" w:lineRule="auto" w:before="2" w:after="0"/>
        <w:ind w:left="1201" w:right="1162" w:hanging="788"/>
        <w:jc w:val="both"/>
        <w:rPr>
          <w:sz w:val="24"/>
        </w:rPr>
      </w:pPr>
      <w:r>
        <w:rPr>
          <w:sz w:val="24"/>
        </w:rPr>
        <w:t>There was positive correlative in emotional – intelligence, reasoning ability, self – efficacy</w:t>
      </w:r>
      <w:r>
        <w:rPr>
          <w:spacing w:val="-6"/>
          <w:sz w:val="24"/>
        </w:rPr>
        <w:t> </w:t>
      </w:r>
      <w:r>
        <w:rPr>
          <w:sz w:val="24"/>
        </w:rPr>
        <w:t>and achievement in</w:t>
      </w:r>
      <w:r>
        <w:rPr>
          <w:spacing w:val="-1"/>
          <w:sz w:val="24"/>
        </w:rPr>
        <w:t> </w:t>
      </w:r>
      <w:r>
        <w:rPr>
          <w:sz w:val="24"/>
        </w:rPr>
        <w:t>chemistry among SS II female students and</w:t>
      </w:r>
    </w:p>
    <w:p>
      <w:pPr>
        <w:spacing w:after="0" w:line="480" w:lineRule="auto"/>
        <w:jc w:val="both"/>
        <w:rPr>
          <w:sz w:val="24"/>
        </w:rPr>
        <w:sectPr>
          <w:pgSz w:w="11910" w:h="16840"/>
          <w:pgMar w:header="0" w:footer="1012" w:top="1340" w:bottom="1200" w:left="1680" w:right="280"/>
        </w:sectPr>
      </w:pPr>
    </w:p>
    <w:p>
      <w:pPr>
        <w:pStyle w:val="BodyText"/>
        <w:spacing w:line="480" w:lineRule="auto" w:before="74"/>
        <w:ind w:left="1201" w:right="1160"/>
      </w:pPr>
      <w:r>
        <w:rPr/>
        <w:t>the strongest correlation was between self – efficacy and academic achievement followed by emotional intelligence while the least positive correlation was between reasoning ability and academic achievement.</w:t>
      </w:r>
    </w:p>
    <w:p>
      <w:pPr>
        <w:pStyle w:val="ListParagraph"/>
        <w:numPr>
          <w:ilvl w:val="0"/>
          <w:numId w:val="23"/>
        </w:numPr>
        <w:tabs>
          <w:tab w:pos="1201" w:val="left" w:leader="none"/>
        </w:tabs>
        <w:spacing w:line="480" w:lineRule="auto" w:before="0" w:after="0"/>
        <w:ind w:left="1201" w:right="1154" w:hanging="720"/>
        <w:jc w:val="both"/>
        <w:rPr>
          <w:sz w:val="24"/>
        </w:rPr>
      </w:pPr>
      <w:r>
        <w:rPr>
          <w:sz w:val="24"/>
        </w:rPr>
        <w:t>Emotional – intelligence, reasoning ability</w:t>
      </w:r>
      <w:r>
        <w:rPr>
          <w:spacing w:val="-1"/>
          <w:sz w:val="24"/>
        </w:rPr>
        <w:t> </w:t>
      </w:r>
      <w:r>
        <w:rPr>
          <w:sz w:val="24"/>
        </w:rPr>
        <w:t>and self –</w:t>
      </w:r>
      <w:r>
        <w:rPr>
          <w:spacing w:val="-1"/>
          <w:sz w:val="24"/>
        </w:rPr>
        <w:t> </w:t>
      </w:r>
      <w:r>
        <w:rPr>
          <w:sz w:val="24"/>
        </w:rPr>
        <w:t>efficacy</w:t>
      </w:r>
      <w:r>
        <w:rPr>
          <w:spacing w:val="-1"/>
          <w:sz w:val="24"/>
        </w:rPr>
        <w:t> </w:t>
      </w:r>
      <w:r>
        <w:rPr>
          <w:sz w:val="24"/>
        </w:rPr>
        <w:t>are</w:t>
      </w:r>
      <w:r>
        <w:rPr>
          <w:spacing w:val="-2"/>
          <w:sz w:val="24"/>
        </w:rPr>
        <w:t> </w:t>
      </w:r>
      <w:r>
        <w:rPr>
          <w:sz w:val="24"/>
        </w:rPr>
        <w:t>predictors</w:t>
      </w:r>
      <w:r>
        <w:rPr>
          <w:spacing w:val="-3"/>
          <w:sz w:val="24"/>
        </w:rPr>
        <w:t> </w:t>
      </w:r>
      <w:r>
        <w:rPr>
          <w:sz w:val="24"/>
        </w:rPr>
        <w:t>of achievement in chemistry with self – efficacy being the strongest and reasoning ability the least. That male and female students with high scores in emotional</w:t>
      </w:r>
      <w:r>
        <w:rPr>
          <w:spacing w:val="-6"/>
          <w:sz w:val="24"/>
        </w:rPr>
        <w:t> </w:t>
      </w:r>
      <w:r>
        <w:rPr>
          <w:sz w:val="24"/>
        </w:rPr>
        <w:t>– intelligence, reasoning ability</w:t>
      </w:r>
      <w:r>
        <w:rPr>
          <w:spacing w:val="-3"/>
          <w:sz w:val="24"/>
        </w:rPr>
        <w:t> </w:t>
      </w:r>
      <w:r>
        <w:rPr>
          <w:sz w:val="24"/>
        </w:rPr>
        <w:t>and self – efficacy</w:t>
      </w:r>
      <w:r>
        <w:rPr>
          <w:spacing w:val="-3"/>
          <w:sz w:val="24"/>
        </w:rPr>
        <w:t> </w:t>
      </w:r>
      <w:r>
        <w:rPr>
          <w:sz w:val="24"/>
        </w:rPr>
        <w:t>performed better than those with low emotional – intelligence, reasoning ability and self – </w:t>
      </w:r>
      <w:r>
        <w:rPr>
          <w:spacing w:val="-2"/>
          <w:sz w:val="24"/>
        </w:rPr>
        <w:t>efficacy.</w:t>
      </w:r>
    </w:p>
    <w:p>
      <w:pPr>
        <w:pStyle w:val="ListParagraph"/>
        <w:numPr>
          <w:ilvl w:val="0"/>
          <w:numId w:val="23"/>
        </w:numPr>
        <w:tabs>
          <w:tab w:pos="1198" w:val="left" w:leader="none"/>
          <w:tab w:pos="1201" w:val="left" w:leader="none"/>
        </w:tabs>
        <w:spacing w:line="480" w:lineRule="auto" w:before="2" w:after="0"/>
        <w:ind w:left="1201" w:right="1158" w:hanging="788"/>
        <w:jc w:val="both"/>
        <w:rPr>
          <w:sz w:val="24"/>
        </w:rPr>
      </w:pPr>
      <w:r>
        <w:rPr>
          <w:sz w:val="24"/>
        </w:rPr>
        <w:t>There was no difference in male and female achievement in chemistry and emotional-intelligence, reasoning ability and self-efficacy. That is both male and female students performed equally.</w:t>
      </w:r>
    </w:p>
    <w:p>
      <w:pPr>
        <w:pStyle w:val="BodyText"/>
        <w:spacing w:line="480" w:lineRule="auto"/>
        <w:ind w:right="1150" w:firstLine="720"/>
      </w:pPr>
      <w:r>
        <w:rPr/>
        <w:t>Finally, the overall result of this study revealed that there exist a positive relationship among students, emotional-intelligence, reasoning ability, self-efficacy and achievement in chemistry and all the three variables can be used to predict students academic achievement in chemistry for both male and female. It was also revealed that there is no significant difference between the male and female students‘ achievement in chemistry emotional-intelligence, reasoning ability and self-efficacy.</w:t>
      </w:r>
    </w:p>
    <w:p>
      <w:pPr>
        <w:pStyle w:val="Heading3"/>
        <w:numPr>
          <w:ilvl w:val="1"/>
          <w:numId w:val="22"/>
        </w:numPr>
        <w:tabs>
          <w:tab w:pos="1199" w:val="left" w:leader="none"/>
        </w:tabs>
        <w:spacing w:line="240" w:lineRule="auto" w:before="6" w:after="0"/>
        <w:ind w:left="1199" w:right="0" w:hanging="719"/>
        <w:jc w:val="both"/>
      </w:pPr>
      <w:r>
        <w:rPr>
          <w:spacing w:val="-2"/>
        </w:rPr>
        <w:t>Recommendations</w:t>
      </w:r>
    </w:p>
    <w:p>
      <w:pPr>
        <w:pStyle w:val="BodyText"/>
        <w:spacing w:before="272"/>
        <w:ind w:left="1201"/>
      </w:pPr>
      <w:r>
        <w:rPr/>
        <w:t>Based</w:t>
      </w:r>
      <w:r>
        <w:rPr>
          <w:spacing w:val="-3"/>
        </w:rPr>
        <w:t> </w:t>
      </w:r>
      <w:r>
        <w:rPr/>
        <w:t>on</w:t>
      </w:r>
      <w:r>
        <w:rPr>
          <w:spacing w:val="-4"/>
        </w:rPr>
        <w:t> </w:t>
      </w:r>
      <w:r>
        <w:rPr/>
        <w:t>the</w:t>
      </w:r>
      <w:r>
        <w:rPr>
          <w:spacing w:val="-1"/>
        </w:rPr>
        <w:t> </w:t>
      </w:r>
      <w:r>
        <w:rPr/>
        <w:t>findings</w:t>
      </w:r>
      <w:r>
        <w:rPr>
          <w:spacing w:val="-2"/>
        </w:rPr>
        <w:t> </w:t>
      </w:r>
      <w:r>
        <w:rPr/>
        <w:t>of</w:t>
      </w:r>
      <w:r>
        <w:rPr>
          <w:spacing w:val="-8"/>
        </w:rPr>
        <w:t> </w:t>
      </w:r>
      <w:r>
        <w:rPr/>
        <w:t>this</w:t>
      </w:r>
      <w:r>
        <w:rPr>
          <w:spacing w:val="-2"/>
        </w:rPr>
        <w:t> </w:t>
      </w:r>
      <w:r>
        <w:rPr/>
        <w:t>study</w:t>
      </w:r>
      <w:r>
        <w:rPr>
          <w:spacing w:val="-10"/>
        </w:rPr>
        <w:t> </w:t>
      </w:r>
      <w:r>
        <w:rPr/>
        <w:t>the</w:t>
      </w:r>
      <w:r>
        <w:rPr>
          <w:spacing w:val="4"/>
        </w:rPr>
        <w:t> </w:t>
      </w:r>
      <w:r>
        <w:rPr/>
        <w:t>following recommendations</w:t>
      </w:r>
      <w:r>
        <w:rPr>
          <w:spacing w:val="-2"/>
        </w:rPr>
        <w:t> </w:t>
      </w:r>
      <w:r>
        <w:rPr/>
        <w:t>are</w:t>
      </w:r>
      <w:r>
        <w:rPr>
          <w:spacing w:val="4"/>
        </w:rPr>
        <w:t> </w:t>
      </w:r>
      <w:r>
        <w:rPr>
          <w:spacing w:val="-2"/>
        </w:rPr>
        <w:t>made;</w:t>
      </w:r>
    </w:p>
    <w:p>
      <w:pPr>
        <w:pStyle w:val="BodyText"/>
        <w:ind w:left="0"/>
        <w:jc w:val="left"/>
      </w:pPr>
    </w:p>
    <w:p>
      <w:pPr>
        <w:pStyle w:val="ListParagraph"/>
        <w:numPr>
          <w:ilvl w:val="2"/>
          <w:numId w:val="22"/>
        </w:numPr>
        <w:tabs>
          <w:tab w:pos="1558" w:val="left" w:leader="none"/>
          <w:tab w:pos="1561" w:val="left" w:leader="none"/>
        </w:tabs>
        <w:spacing w:line="480" w:lineRule="auto" w:before="0" w:after="0"/>
        <w:ind w:left="1561" w:right="1158" w:hanging="721"/>
        <w:jc w:val="both"/>
        <w:rPr>
          <w:sz w:val="24"/>
        </w:rPr>
      </w:pPr>
      <w:r>
        <w:rPr>
          <w:sz w:val="24"/>
        </w:rPr>
        <w:t>It was observed that emotional-intelligence, reasoning ability and self- efficacy correlated well with achievement in chemistry. Therefore science teachers should encourage their students to develop positive emotional- intelligence, strong reasoning ability and self-efficacy towards science so as to perform better in natural science.</w:t>
      </w:r>
    </w:p>
    <w:p>
      <w:pPr>
        <w:spacing w:after="0" w:line="480" w:lineRule="auto"/>
        <w:jc w:val="both"/>
        <w:rPr>
          <w:sz w:val="24"/>
        </w:rPr>
        <w:sectPr>
          <w:pgSz w:w="11910" w:h="16840"/>
          <w:pgMar w:header="0" w:footer="1012" w:top="1340" w:bottom="1200" w:left="1680" w:right="280"/>
        </w:sectPr>
      </w:pPr>
    </w:p>
    <w:p>
      <w:pPr>
        <w:pStyle w:val="ListParagraph"/>
        <w:numPr>
          <w:ilvl w:val="2"/>
          <w:numId w:val="22"/>
        </w:numPr>
        <w:tabs>
          <w:tab w:pos="1559" w:val="left" w:leader="none"/>
          <w:tab w:pos="1561" w:val="left" w:leader="none"/>
        </w:tabs>
        <w:spacing w:line="480" w:lineRule="auto" w:before="74" w:after="0"/>
        <w:ind w:left="1561" w:right="1158" w:hanging="721"/>
        <w:jc w:val="both"/>
        <w:rPr>
          <w:sz w:val="24"/>
        </w:rPr>
      </w:pPr>
      <w:r>
        <w:rPr>
          <w:sz w:val="24"/>
        </w:rPr>
        <w:t>Chemistry teachers should acknowledge the relevance of emotional – intelligence, self – efficacy a significant psychosocial factor in chemical </w:t>
      </w:r>
      <w:r>
        <w:rPr>
          <w:spacing w:val="-2"/>
          <w:sz w:val="24"/>
        </w:rPr>
        <w:t>education.</w:t>
      </w:r>
    </w:p>
    <w:p>
      <w:pPr>
        <w:pStyle w:val="ListParagraph"/>
        <w:numPr>
          <w:ilvl w:val="2"/>
          <w:numId w:val="22"/>
        </w:numPr>
        <w:tabs>
          <w:tab w:pos="1558" w:val="left" w:leader="none"/>
          <w:tab w:pos="1561" w:val="left" w:leader="none"/>
        </w:tabs>
        <w:spacing w:line="480" w:lineRule="auto" w:before="0" w:after="0"/>
        <w:ind w:left="1561" w:right="1163" w:hanging="721"/>
        <w:jc w:val="both"/>
        <w:rPr>
          <w:sz w:val="24"/>
        </w:rPr>
      </w:pPr>
      <w:r>
        <w:rPr>
          <w:sz w:val="24"/>
        </w:rPr>
        <w:t>The emotion and feelings of students in terms of stress mood, and adaptability, intrapersonal and interpersonal</w:t>
      </w:r>
      <w:r>
        <w:rPr>
          <w:spacing w:val="-3"/>
          <w:sz w:val="24"/>
        </w:rPr>
        <w:t> </w:t>
      </w:r>
      <w:r>
        <w:rPr>
          <w:sz w:val="24"/>
        </w:rPr>
        <w:t>psychological reactions in the chemistry classroom setting should be identified and understood by the </w:t>
      </w:r>
      <w:r>
        <w:rPr>
          <w:spacing w:val="-2"/>
          <w:sz w:val="24"/>
        </w:rPr>
        <w:t>teachers.</w:t>
      </w:r>
    </w:p>
    <w:p>
      <w:pPr>
        <w:pStyle w:val="ListParagraph"/>
        <w:numPr>
          <w:ilvl w:val="2"/>
          <w:numId w:val="22"/>
        </w:numPr>
        <w:tabs>
          <w:tab w:pos="1558" w:val="left" w:leader="none"/>
          <w:tab w:pos="1561" w:val="left" w:leader="none"/>
        </w:tabs>
        <w:spacing w:line="480" w:lineRule="auto" w:before="1" w:after="0"/>
        <w:ind w:left="1561" w:right="1150" w:hanging="721"/>
        <w:jc w:val="both"/>
        <w:rPr>
          <w:sz w:val="24"/>
        </w:rPr>
      </w:pPr>
      <w:r>
        <w:rPr>
          <w:sz w:val="24"/>
        </w:rPr>
        <w:t>As teachers plan chemistry lessons, tests and examinations the emotional understanding, skills and capabilities, reasoning ability and self – efficacy of the students should be put into consideration.</w:t>
      </w:r>
    </w:p>
    <w:p>
      <w:pPr>
        <w:pStyle w:val="Heading3"/>
        <w:numPr>
          <w:ilvl w:val="1"/>
          <w:numId w:val="22"/>
        </w:numPr>
        <w:tabs>
          <w:tab w:pos="1199" w:val="left" w:leader="none"/>
        </w:tabs>
        <w:spacing w:line="240" w:lineRule="auto" w:before="6" w:after="0"/>
        <w:ind w:left="1199" w:right="0" w:hanging="719"/>
        <w:jc w:val="both"/>
      </w:pPr>
      <w:r>
        <w:rPr/>
        <w:t>Limitation</w:t>
      </w:r>
      <w:r>
        <w:rPr>
          <w:spacing w:val="2"/>
        </w:rPr>
        <w:t> </w:t>
      </w:r>
      <w:r>
        <w:rPr/>
        <w:t>of</w:t>
      </w:r>
      <w:r>
        <w:rPr>
          <w:spacing w:val="-2"/>
        </w:rPr>
        <w:t> </w:t>
      </w:r>
      <w:r>
        <w:rPr/>
        <w:t>the</w:t>
      </w:r>
      <w:r>
        <w:rPr>
          <w:spacing w:val="-4"/>
        </w:rPr>
        <w:t> </w:t>
      </w:r>
      <w:r>
        <w:rPr>
          <w:spacing w:val="-2"/>
        </w:rPr>
        <w:t>Study</w:t>
      </w:r>
    </w:p>
    <w:p>
      <w:pPr>
        <w:pStyle w:val="BodyText"/>
        <w:spacing w:line="480" w:lineRule="auto" w:before="271"/>
        <w:ind w:right="1150" w:firstLine="720"/>
      </w:pPr>
      <w:r>
        <w:rPr/>
        <w:t>Except for achievement measured by student‘s final (qualifying) examination scores and their reasoning ability measured using Group Assessment of Logical Thinking (GALT) test instrument, the emotional-intelligence, and self-efficacy data were gathered entirely</w:t>
      </w:r>
      <w:r>
        <w:rPr>
          <w:spacing w:val="-5"/>
        </w:rPr>
        <w:t> </w:t>
      </w:r>
      <w:r>
        <w:rPr/>
        <w:t>through student‘s self- report. Student may have found that the statement on the survey did not resonate with their own perspective and unique self- beliefs, or students may have found some survey items difficult to interpret. In additional self-report data entails the risk that students may not have answered items honestly therefore resulting in some of them rating themselves lower than their emotional-intelligence and self-efficacy and some rating themselves higher that their emotional-intelligence and self-efficacy.</w:t>
      </w:r>
    </w:p>
    <w:p>
      <w:pPr>
        <w:spacing w:after="0" w:line="480" w:lineRule="auto"/>
        <w:sectPr>
          <w:pgSz w:w="11910" w:h="16840"/>
          <w:pgMar w:header="0" w:footer="1012" w:top="1340" w:bottom="1200" w:left="1680" w:right="280"/>
        </w:sectPr>
      </w:pPr>
    </w:p>
    <w:p>
      <w:pPr>
        <w:pStyle w:val="Heading3"/>
        <w:numPr>
          <w:ilvl w:val="1"/>
          <w:numId w:val="22"/>
        </w:numPr>
        <w:tabs>
          <w:tab w:pos="1199" w:val="left" w:leader="none"/>
        </w:tabs>
        <w:spacing w:line="240" w:lineRule="auto" w:before="70" w:after="0"/>
        <w:ind w:left="1199" w:right="0" w:hanging="719"/>
        <w:jc w:val="both"/>
      </w:pPr>
      <w:r>
        <w:rPr/>
        <w:t>Contribution</w:t>
      </w:r>
      <w:r>
        <w:rPr>
          <w:spacing w:val="1"/>
        </w:rPr>
        <w:t> </w:t>
      </w:r>
      <w:r>
        <w:rPr/>
        <w:t>to</w:t>
      </w:r>
      <w:r>
        <w:rPr>
          <w:spacing w:val="-8"/>
        </w:rPr>
        <w:t> </w:t>
      </w:r>
      <w:r>
        <w:rPr>
          <w:spacing w:val="-2"/>
        </w:rPr>
        <w:t>Knowledge</w:t>
      </w:r>
    </w:p>
    <w:p>
      <w:pPr>
        <w:pStyle w:val="BodyText"/>
        <w:spacing w:before="272"/>
        <w:ind w:left="1201"/>
        <w:jc w:val="left"/>
      </w:pPr>
      <w:r>
        <w:rPr/>
        <w:t>This</w:t>
      </w:r>
      <w:r>
        <w:rPr>
          <w:spacing w:val="-6"/>
        </w:rPr>
        <w:t> </w:t>
      </w:r>
      <w:r>
        <w:rPr/>
        <w:t>study</w:t>
      </w:r>
      <w:r>
        <w:rPr>
          <w:spacing w:val="-10"/>
        </w:rPr>
        <w:t> </w:t>
      </w:r>
      <w:r>
        <w:rPr/>
        <w:t>has</w:t>
      </w:r>
      <w:r>
        <w:rPr>
          <w:spacing w:val="-3"/>
        </w:rPr>
        <w:t> </w:t>
      </w:r>
      <w:r>
        <w:rPr/>
        <w:t>contributed</w:t>
      </w:r>
      <w:r>
        <w:rPr>
          <w:spacing w:val="-6"/>
        </w:rPr>
        <w:t> </w:t>
      </w:r>
      <w:r>
        <w:rPr/>
        <w:t>to</w:t>
      </w:r>
      <w:r>
        <w:rPr>
          <w:spacing w:val="3"/>
        </w:rPr>
        <w:t> </w:t>
      </w:r>
      <w:r>
        <w:rPr/>
        <w:t>knowledge</w:t>
      </w:r>
      <w:r>
        <w:rPr>
          <w:spacing w:val="3"/>
        </w:rPr>
        <w:t> </w:t>
      </w:r>
      <w:r>
        <w:rPr/>
        <w:t>in</w:t>
      </w:r>
      <w:r>
        <w:rPr>
          <w:spacing w:val="-6"/>
        </w:rPr>
        <w:t> </w:t>
      </w:r>
      <w:r>
        <w:rPr/>
        <w:t>the</w:t>
      </w:r>
      <w:r>
        <w:rPr>
          <w:spacing w:val="3"/>
        </w:rPr>
        <w:t> </w:t>
      </w:r>
      <w:r>
        <w:rPr/>
        <w:t>following</w:t>
      </w:r>
      <w:r>
        <w:rPr>
          <w:spacing w:val="-1"/>
        </w:rPr>
        <w:t> </w:t>
      </w:r>
      <w:r>
        <w:rPr>
          <w:spacing w:val="-2"/>
        </w:rPr>
        <w:t>ways:</w:t>
      </w:r>
    </w:p>
    <w:p>
      <w:pPr>
        <w:pStyle w:val="BodyText"/>
        <w:ind w:left="0"/>
        <w:jc w:val="left"/>
      </w:pPr>
    </w:p>
    <w:p>
      <w:pPr>
        <w:pStyle w:val="ListParagraph"/>
        <w:numPr>
          <w:ilvl w:val="2"/>
          <w:numId w:val="22"/>
        </w:numPr>
        <w:tabs>
          <w:tab w:pos="1741" w:val="left" w:leader="none"/>
          <w:tab w:pos="1743" w:val="left" w:leader="none"/>
        </w:tabs>
        <w:spacing w:line="480" w:lineRule="auto" w:before="0" w:after="0"/>
        <w:ind w:left="1743" w:right="1160" w:hanging="668"/>
        <w:jc w:val="both"/>
        <w:rPr>
          <w:sz w:val="24"/>
        </w:rPr>
      </w:pPr>
      <w:r>
        <w:rPr>
          <w:sz w:val="24"/>
        </w:rPr>
        <w:t>It was established that there is a strong positive relationship between the mean emotional-intelligence, reasoning ability, self-efficacy and academic achievement.</w:t>
      </w:r>
    </w:p>
    <w:p>
      <w:pPr>
        <w:pStyle w:val="ListParagraph"/>
        <w:numPr>
          <w:ilvl w:val="2"/>
          <w:numId w:val="22"/>
        </w:numPr>
        <w:tabs>
          <w:tab w:pos="1743" w:val="left" w:leader="none"/>
        </w:tabs>
        <w:spacing w:line="480" w:lineRule="auto" w:before="1" w:after="0"/>
        <w:ind w:left="1743" w:right="1160" w:hanging="735"/>
        <w:jc w:val="both"/>
        <w:rPr>
          <w:sz w:val="24"/>
        </w:rPr>
      </w:pPr>
      <w:r>
        <w:rPr>
          <w:sz w:val="24"/>
        </w:rPr>
        <w:t>The study</w:t>
      </w:r>
      <w:r>
        <w:rPr>
          <w:spacing w:val="-1"/>
          <w:sz w:val="24"/>
        </w:rPr>
        <w:t> </w:t>
      </w:r>
      <w:r>
        <w:rPr>
          <w:sz w:val="24"/>
        </w:rPr>
        <w:t>established that there is a strong positive relationship between the mean emotional-intelligence, reasoning ability, self-efficacy and academic achievement.</w:t>
      </w:r>
    </w:p>
    <w:p>
      <w:pPr>
        <w:pStyle w:val="ListParagraph"/>
        <w:numPr>
          <w:ilvl w:val="2"/>
          <w:numId w:val="22"/>
        </w:numPr>
        <w:tabs>
          <w:tab w:pos="1741" w:val="left" w:leader="none"/>
          <w:tab w:pos="1743" w:val="left" w:leader="none"/>
        </w:tabs>
        <w:spacing w:line="480" w:lineRule="auto" w:before="1" w:after="0"/>
        <w:ind w:left="1743" w:right="1161" w:hanging="802"/>
        <w:jc w:val="both"/>
        <w:rPr>
          <w:sz w:val="24"/>
        </w:rPr>
      </w:pPr>
      <w:r>
        <w:rPr>
          <w:sz w:val="24"/>
        </w:rPr>
        <w:t>The study showed that there are no significant differences between the mean chemistry achievement and emotional-intelligence, reasoning ability, self-efficacy among male and female students.</w:t>
      </w:r>
    </w:p>
    <w:p>
      <w:pPr>
        <w:pStyle w:val="ListParagraph"/>
        <w:numPr>
          <w:ilvl w:val="2"/>
          <w:numId w:val="22"/>
        </w:numPr>
        <w:tabs>
          <w:tab w:pos="1742" w:val="left" w:leader="none"/>
        </w:tabs>
        <w:spacing w:line="240" w:lineRule="auto" w:before="0" w:after="0"/>
        <w:ind w:left="1742" w:right="0" w:hanging="786"/>
        <w:jc w:val="both"/>
        <w:rPr>
          <w:sz w:val="24"/>
        </w:rPr>
      </w:pPr>
      <w:r>
        <w:rPr>
          <w:sz w:val="24"/>
        </w:rPr>
        <w:t>It</w:t>
      </w:r>
      <w:r>
        <w:rPr>
          <w:spacing w:val="-1"/>
          <w:sz w:val="24"/>
        </w:rPr>
        <w:t> </w:t>
      </w:r>
      <w:r>
        <w:rPr>
          <w:sz w:val="24"/>
        </w:rPr>
        <w:t>has</w:t>
      </w:r>
      <w:r>
        <w:rPr>
          <w:spacing w:val="-3"/>
          <w:sz w:val="24"/>
        </w:rPr>
        <w:t> </w:t>
      </w:r>
      <w:r>
        <w:rPr>
          <w:sz w:val="24"/>
        </w:rPr>
        <w:t>added</w:t>
      </w:r>
      <w:r>
        <w:rPr>
          <w:spacing w:val="-1"/>
          <w:sz w:val="24"/>
        </w:rPr>
        <w:t> </w:t>
      </w:r>
      <w:r>
        <w:rPr>
          <w:sz w:val="24"/>
        </w:rPr>
        <w:t>to</w:t>
      </w:r>
      <w:r>
        <w:rPr>
          <w:spacing w:val="-5"/>
          <w:sz w:val="24"/>
        </w:rPr>
        <w:t> </w:t>
      </w:r>
      <w:r>
        <w:rPr>
          <w:sz w:val="24"/>
        </w:rPr>
        <w:t>the</w:t>
      </w:r>
      <w:r>
        <w:rPr>
          <w:spacing w:val="-1"/>
          <w:sz w:val="24"/>
        </w:rPr>
        <w:t> </w:t>
      </w:r>
      <w:r>
        <w:rPr>
          <w:sz w:val="24"/>
        </w:rPr>
        <w:t>existing</w:t>
      </w:r>
      <w:r>
        <w:rPr>
          <w:spacing w:val="3"/>
          <w:sz w:val="24"/>
        </w:rPr>
        <w:t> </w:t>
      </w:r>
      <w:r>
        <w:rPr>
          <w:spacing w:val="-2"/>
          <w:sz w:val="24"/>
        </w:rPr>
        <w:t>literature</w:t>
      </w:r>
    </w:p>
    <w:p>
      <w:pPr>
        <w:pStyle w:val="BodyText"/>
        <w:ind w:left="0"/>
        <w:jc w:val="left"/>
      </w:pPr>
    </w:p>
    <w:p>
      <w:pPr>
        <w:pStyle w:val="ListParagraph"/>
        <w:numPr>
          <w:ilvl w:val="2"/>
          <w:numId w:val="22"/>
        </w:numPr>
        <w:tabs>
          <w:tab w:pos="1743" w:val="left" w:leader="none"/>
        </w:tabs>
        <w:spacing w:line="480" w:lineRule="auto" w:before="0" w:after="0"/>
        <w:ind w:left="1743" w:right="1158" w:hanging="721"/>
        <w:jc w:val="both"/>
        <w:rPr>
          <w:sz w:val="24"/>
        </w:rPr>
      </w:pPr>
      <w:r>
        <w:rPr>
          <w:sz w:val="24"/>
        </w:rPr>
        <w:t>The study</w:t>
      </w:r>
      <w:r>
        <w:rPr>
          <w:spacing w:val="-2"/>
          <w:sz w:val="24"/>
        </w:rPr>
        <w:t> </w:t>
      </w:r>
      <w:r>
        <w:rPr>
          <w:sz w:val="24"/>
        </w:rPr>
        <w:t>is</w:t>
      </w:r>
      <w:r>
        <w:rPr>
          <w:spacing w:val="-1"/>
          <w:sz w:val="24"/>
        </w:rPr>
        <w:t> </w:t>
      </w:r>
      <w:r>
        <w:rPr>
          <w:sz w:val="24"/>
        </w:rPr>
        <w:t>on</w:t>
      </w:r>
      <w:r>
        <w:rPr>
          <w:spacing w:val="-2"/>
          <w:sz w:val="24"/>
        </w:rPr>
        <w:t> </w:t>
      </w:r>
      <w:r>
        <w:rPr>
          <w:sz w:val="24"/>
        </w:rPr>
        <w:t>emotional-intelligence, reasoning ability, self-efficacy</w:t>
      </w:r>
      <w:r>
        <w:rPr>
          <w:spacing w:val="-2"/>
          <w:sz w:val="24"/>
        </w:rPr>
        <w:t> </w:t>
      </w:r>
      <w:r>
        <w:rPr>
          <w:sz w:val="24"/>
        </w:rPr>
        <w:t>as predictors of achievement in chemistry in Zonkwa Education, Zone Kaduna State for the first time.</w:t>
      </w:r>
    </w:p>
    <w:p>
      <w:pPr>
        <w:pStyle w:val="Heading3"/>
        <w:numPr>
          <w:ilvl w:val="1"/>
          <w:numId w:val="22"/>
        </w:numPr>
        <w:tabs>
          <w:tab w:pos="1199" w:val="left" w:leader="none"/>
        </w:tabs>
        <w:spacing w:line="240" w:lineRule="auto" w:before="6" w:after="0"/>
        <w:ind w:left="1199" w:right="0" w:hanging="719"/>
        <w:jc w:val="both"/>
      </w:pPr>
      <w:r>
        <w:rPr/>
        <w:t>Suggestions</w:t>
      </w:r>
      <w:r>
        <w:rPr>
          <w:spacing w:val="-5"/>
        </w:rPr>
        <w:t> </w:t>
      </w:r>
      <w:r>
        <w:rPr/>
        <w:t>for</w:t>
      </w:r>
      <w:r>
        <w:rPr>
          <w:spacing w:val="-6"/>
        </w:rPr>
        <w:t> </w:t>
      </w:r>
      <w:r>
        <w:rPr/>
        <w:t>Further</w:t>
      </w:r>
      <w:r>
        <w:rPr>
          <w:spacing w:val="-5"/>
        </w:rPr>
        <w:t> </w:t>
      </w:r>
      <w:r>
        <w:rPr>
          <w:spacing w:val="-2"/>
        </w:rPr>
        <w:t>Study</w:t>
      </w:r>
    </w:p>
    <w:p>
      <w:pPr>
        <w:pStyle w:val="BodyText"/>
        <w:spacing w:line="480" w:lineRule="auto" w:before="271"/>
        <w:ind w:right="1169" w:firstLine="720"/>
      </w:pPr>
      <w:r>
        <w:rPr/>
        <w:t>Based on the findings of</w:t>
      </w:r>
      <w:r>
        <w:rPr>
          <w:spacing w:val="-1"/>
        </w:rPr>
        <w:t> </w:t>
      </w:r>
      <w:r>
        <w:rPr/>
        <w:t>this research, the following suggestions were offered for further studies;</w:t>
      </w:r>
    </w:p>
    <w:p>
      <w:pPr>
        <w:pStyle w:val="ListParagraph"/>
        <w:numPr>
          <w:ilvl w:val="2"/>
          <w:numId w:val="22"/>
        </w:numPr>
        <w:tabs>
          <w:tab w:pos="1199" w:val="left" w:leader="none"/>
          <w:tab w:pos="1201" w:val="left" w:leader="none"/>
        </w:tabs>
        <w:spacing w:line="480" w:lineRule="auto" w:before="0" w:after="0"/>
        <w:ind w:left="1201" w:right="1155" w:hanging="538"/>
        <w:jc w:val="both"/>
        <w:rPr>
          <w:sz w:val="24"/>
        </w:rPr>
      </w:pPr>
      <w:r>
        <w:rPr>
          <w:sz w:val="24"/>
        </w:rPr>
        <w:t>Since the sample respondents were drawn from some selected co-educational public schools in Zonkwa educational zone Kaduna, Nigeria, the effect found may mainly reflect the situation on the zone. Hence, the findings may not be representative of</w:t>
      </w:r>
      <w:r>
        <w:rPr>
          <w:spacing w:val="-3"/>
          <w:sz w:val="24"/>
        </w:rPr>
        <w:t> </w:t>
      </w:r>
      <w:r>
        <w:rPr>
          <w:sz w:val="24"/>
        </w:rPr>
        <w:t>all secondary schools in Nigeria. Thus, this study</w:t>
      </w:r>
      <w:r>
        <w:rPr>
          <w:spacing w:val="-5"/>
          <w:sz w:val="24"/>
        </w:rPr>
        <w:t> </w:t>
      </w:r>
      <w:r>
        <w:rPr>
          <w:sz w:val="24"/>
        </w:rPr>
        <w:t>needs to be replicated in other parts of Nigeria in order to get a better general picture of</w:t>
      </w:r>
      <w:r>
        <w:rPr>
          <w:spacing w:val="40"/>
          <w:sz w:val="24"/>
        </w:rPr>
        <w:t> </w:t>
      </w:r>
      <w:r>
        <w:rPr>
          <w:sz w:val="24"/>
        </w:rPr>
        <w:t>the</w:t>
      </w:r>
      <w:r>
        <w:rPr>
          <w:spacing w:val="65"/>
          <w:sz w:val="24"/>
        </w:rPr>
        <w:t> </w:t>
      </w:r>
      <w:r>
        <w:rPr>
          <w:sz w:val="24"/>
        </w:rPr>
        <w:t>whole</w:t>
      </w:r>
      <w:r>
        <w:rPr>
          <w:spacing w:val="69"/>
          <w:sz w:val="24"/>
        </w:rPr>
        <w:t> </w:t>
      </w:r>
      <w:r>
        <w:rPr>
          <w:sz w:val="24"/>
        </w:rPr>
        <w:t>country.</w:t>
      </w:r>
      <w:r>
        <w:rPr>
          <w:spacing w:val="68"/>
          <w:sz w:val="24"/>
        </w:rPr>
        <w:t> </w:t>
      </w:r>
      <w:r>
        <w:rPr>
          <w:sz w:val="24"/>
        </w:rPr>
        <w:t>This</w:t>
      </w:r>
      <w:r>
        <w:rPr>
          <w:spacing w:val="68"/>
          <w:sz w:val="24"/>
        </w:rPr>
        <w:t> </w:t>
      </w:r>
      <w:r>
        <w:rPr>
          <w:sz w:val="24"/>
        </w:rPr>
        <w:t>will</w:t>
      </w:r>
      <w:r>
        <w:rPr>
          <w:spacing w:val="66"/>
          <w:sz w:val="24"/>
        </w:rPr>
        <w:t> </w:t>
      </w:r>
      <w:r>
        <w:rPr>
          <w:sz w:val="24"/>
        </w:rPr>
        <w:t>facilitate</w:t>
      </w:r>
      <w:r>
        <w:rPr>
          <w:spacing w:val="65"/>
          <w:sz w:val="24"/>
        </w:rPr>
        <w:t> </w:t>
      </w:r>
      <w:r>
        <w:rPr>
          <w:sz w:val="24"/>
        </w:rPr>
        <w:t>better</w:t>
      </w:r>
      <w:r>
        <w:rPr>
          <w:spacing w:val="67"/>
          <w:sz w:val="24"/>
        </w:rPr>
        <w:t> </w:t>
      </w:r>
      <w:r>
        <w:rPr>
          <w:sz w:val="24"/>
        </w:rPr>
        <w:t>decision</w:t>
      </w:r>
      <w:r>
        <w:rPr>
          <w:spacing w:val="66"/>
          <w:sz w:val="24"/>
        </w:rPr>
        <w:t> </w:t>
      </w:r>
      <w:r>
        <w:rPr>
          <w:sz w:val="24"/>
        </w:rPr>
        <w:t>making</w:t>
      </w:r>
      <w:r>
        <w:rPr>
          <w:spacing w:val="66"/>
          <w:sz w:val="24"/>
        </w:rPr>
        <w:t> </w:t>
      </w:r>
      <w:r>
        <w:rPr>
          <w:sz w:val="24"/>
        </w:rPr>
        <w:t>as</w:t>
      </w:r>
      <w:r>
        <w:rPr>
          <w:spacing w:val="68"/>
          <w:sz w:val="24"/>
        </w:rPr>
        <w:t> </w:t>
      </w:r>
      <w:r>
        <w:rPr>
          <w:sz w:val="24"/>
        </w:rPr>
        <w:t>regards</w:t>
      </w:r>
    </w:p>
    <w:p>
      <w:pPr>
        <w:spacing w:after="0" w:line="480" w:lineRule="auto"/>
        <w:jc w:val="both"/>
        <w:rPr>
          <w:sz w:val="24"/>
        </w:rPr>
        <w:sectPr>
          <w:pgSz w:w="11910" w:h="16840"/>
          <w:pgMar w:header="0" w:footer="1012" w:top="1900" w:bottom="1200" w:left="1680" w:right="280"/>
        </w:sectPr>
      </w:pPr>
    </w:p>
    <w:p>
      <w:pPr>
        <w:pStyle w:val="BodyText"/>
        <w:spacing w:line="480" w:lineRule="auto" w:before="74"/>
        <w:ind w:left="1201" w:right="1170"/>
        <w:jc w:val="left"/>
      </w:pPr>
      <w:r>
        <w:rPr/>
        <w:t>relationship among emotional-intelligence, reasoning ability, self-efficacy and achievement in chemistry.</w:t>
      </w:r>
    </w:p>
    <w:p>
      <w:pPr>
        <w:pStyle w:val="ListParagraph"/>
        <w:numPr>
          <w:ilvl w:val="2"/>
          <w:numId w:val="22"/>
        </w:numPr>
        <w:tabs>
          <w:tab w:pos="1200" w:val="left" w:leader="none"/>
        </w:tabs>
        <w:spacing w:line="240" w:lineRule="auto" w:before="0" w:after="0"/>
        <w:ind w:left="1200" w:right="0" w:hanging="537"/>
        <w:jc w:val="left"/>
        <w:rPr>
          <w:sz w:val="24"/>
        </w:rPr>
      </w:pPr>
      <w:r>
        <w:rPr>
          <w:sz w:val="24"/>
        </w:rPr>
        <w:t>Similar</w:t>
      </w:r>
      <w:r>
        <w:rPr>
          <w:spacing w:val="-1"/>
          <w:sz w:val="24"/>
        </w:rPr>
        <w:t> </w:t>
      </w:r>
      <w:r>
        <w:rPr>
          <w:sz w:val="24"/>
        </w:rPr>
        <w:t>study</w:t>
      </w:r>
      <w:r>
        <w:rPr>
          <w:spacing w:val="-6"/>
          <w:sz w:val="24"/>
        </w:rPr>
        <w:t> </w:t>
      </w:r>
      <w:r>
        <w:rPr>
          <w:sz w:val="24"/>
        </w:rPr>
        <w:t>in</w:t>
      </w:r>
      <w:r>
        <w:rPr>
          <w:spacing w:val="-6"/>
          <w:sz w:val="24"/>
        </w:rPr>
        <w:t> </w:t>
      </w:r>
      <w:r>
        <w:rPr>
          <w:sz w:val="24"/>
        </w:rPr>
        <w:t>other</w:t>
      </w:r>
      <w:r>
        <w:rPr>
          <w:spacing w:val="-1"/>
          <w:sz w:val="24"/>
        </w:rPr>
        <w:t> </w:t>
      </w:r>
      <w:r>
        <w:rPr>
          <w:sz w:val="24"/>
        </w:rPr>
        <w:t>science</w:t>
      </w:r>
      <w:r>
        <w:rPr>
          <w:spacing w:val="-2"/>
          <w:sz w:val="24"/>
        </w:rPr>
        <w:t> </w:t>
      </w:r>
      <w:r>
        <w:rPr>
          <w:sz w:val="24"/>
        </w:rPr>
        <w:t>subjects</w:t>
      </w:r>
      <w:r>
        <w:rPr>
          <w:spacing w:val="-4"/>
          <w:sz w:val="24"/>
        </w:rPr>
        <w:t> </w:t>
      </w:r>
      <w:r>
        <w:rPr>
          <w:sz w:val="24"/>
        </w:rPr>
        <w:t>needs</w:t>
      </w:r>
      <w:r>
        <w:rPr>
          <w:spacing w:val="-3"/>
          <w:sz w:val="24"/>
        </w:rPr>
        <w:t> </w:t>
      </w:r>
      <w:r>
        <w:rPr>
          <w:sz w:val="24"/>
        </w:rPr>
        <w:t>to</w:t>
      </w:r>
      <w:r>
        <w:rPr>
          <w:spacing w:val="3"/>
          <w:sz w:val="24"/>
        </w:rPr>
        <w:t> </w:t>
      </w:r>
      <w:r>
        <w:rPr>
          <w:sz w:val="24"/>
        </w:rPr>
        <w:t>be</w:t>
      </w:r>
      <w:r>
        <w:rPr>
          <w:spacing w:val="-2"/>
          <w:sz w:val="24"/>
        </w:rPr>
        <w:t> </w:t>
      </w:r>
      <w:r>
        <w:rPr>
          <w:sz w:val="24"/>
        </w:rPr>
        <w:t>carried</w:t>
      </w:r>
      <w:r>
        <w:rPr>
          <w:spacing w:val="-1"/>
          <w:sz w:val="24"/>
        </w:rPr>
        <w:t> </w:t>
      </w:r>
      <w:r>
        <w:rPr>
          <w:spacing w:val="-4"/>
          <w:sz w:val="24"/>
        </w:rPr>
        <w:t>out.</w:t>
      </w:r>
    </w:p>
    <w:p>
      <w:pPr>
        <w:pStyle w:val="BodyText"/>
        <w:ind w:left="0"/>
        <w:jc w:val="left"/>
      </w:pPr>
    </w:p>
    <w:p>
      <w:pPr>
        <w:pStyle w:val="ListParagraph"/>
        <w:numPr>
          <w:ilvl w:val="2"/>
          <w:numId w:val="22"/>
        </w:numPr>
        <w:tabs>
          <w:tab w:pos="1201" w:val="left" w:leader="none"/>
        </w:tabs>
        <w:spacing w:line="480" w:lineRule="auto" w:before="0" w:after="0"/>
        <w:ind w:left="1201" w:right="1168" w:hanging="538"/>
        <w:jc w:val="left"/>
        <w:rPr>
          <w:sz w:val="24"/>
        </w:rPr>
      </w:pPr>
      <w:r>
        <w:rPr>
          <w:sz w:val="24"/>
        </w:rPr>
        <w:t>Since the study was done using senior secondary (II) students similar studies could be replicated using pre-degree and undergraduate students.</w:t>
      </w:r>
    </w:p>
    <w:p>
      <w:pPr>
        <w:spacing w:after="0" w:line="480" w:lineRule="auto"/>
        <w:jc w:val="left"/>
        <w:rPr>
          <w:sz w:val="24"/>
        </w:rPr>
        <w:sectPr>
          <w:pgSz w:w="11910" w:h="16840"/>
          <w:pgMar w:header="0" w:footer="1012" w:top="1340" w:bottom="1200" w:left="1680" w:right="280"/>
        </w:sectPr>
      </w:pPr>
    </w:p>
    <w:p>
      <w:pPr>
        <w:pStyle w:val="Heading2"/>
        <w:ind w:left="504" w:right="1187"/>
      </w:pPr>
      <w:r>
        <w:rPr>
          <w:spacing w:val="-2"/>
        </w:rPr>
        <w:t>REFERENCES</w:t>
      </w:r>
    </w:p>
    <w:p>
      <w:pPr>
        <w:pStyle w:val="BodyText"/>
        <w:spacing w:before="233"/>
        <w:ind w:left="1023" w:right="1168" w:hanging="543"/>
      </w:pPr>
      <w:r>
        <w:rPr/>
        <w:t>Abd-El-Khalick, F. &amp; Akerson, V. L. (2004). Learning as Conceptual Change:</w:t>
      </w:r>
      <w:r>
        <w:rPr>
          <w:spacing w:val="40"/>
        </w:rPr>
        <w:t> </w:t>
      </w:r>
      <w:r>
        <w:rPr/>
        <w:t>Factors Mediating the Development of Preservice Elementary Teacher‘s Views of the Nature of Science. Science Education, 88, 785 – 810.</w:t>
      </w:r>
    </w:p>
    <w:p>
      <w:pPr>
        <w:spacing w:line="240" w:lineRule="auto" w:before="243"/>
        <w:ind w:left="1023" w:right="1163" w:hanging="543"/>
        <w:jc w:val="both"/>
        <w:rPr>
          <w:sz w:val="24"/>
        </w:rPr>
      </w:pPr>
      <w:r>
        <w:rPr>
          <w:sz w:val="24"/>
        </w:rPr>
        <w:t>Abd-El-Khalick, F. &amp; Lederman, N. G. (2000). Improving Science Teacher‘s Conceptions of Nature of Science: a Critical Review of the Literature. </w:t>
      </w:r>
      <w:r>
        <w:rPr>
          <w:i/>
          <w:sz w:val="24"/>
        </w:rPr>
        <w:t>International Journal of Science Education, </w:t>
      </w:r>
      <w:r>
        <w:rPr>
          <w:sz w:val="24"/>
        </w:rPr>
        <w:t>22, 665 – 701.</w:t>
      </w:r>
    </w:p>
    <w:p>
      <w:pPr>
        <w:spacing w:line="240" w:lineRule="auto" w:before="238"/>
        <w:ind w:left="1023" w:right="1159" w:hanging="543"/>
        <w:jc w:val="both"/>
        <w:rPr>
          <w:sz w:val="24"/>
        </w:rPr>
      </w:pPr>
      <w:r>
        <w:rPr>
          <w:sz w:val="24"/>
        </w:rPr>
        <w:t>Abdullah, M. C., Elias, H. M. &amp;</w:t>
      </w:r>
      <w:r>
        <w:rPr>
          <w:spacing w:val="-6"/>
          <w:sz w:val="24"/>
        </w:rPr>
        <w:t> </w:t>
      </w:r>
      <w:r>
        <w:rPr>
          <w:sz w:val="24"/>
        </w:rPr>
        <w:t>Uli, J. (2004).</w:t>
      </w:r>
      <w:r>
        <w:rPr>
          <w:spacing w:val="40"/>
          <w:sz w:val="24"/>
        </w:rPr>
        <w:t> </w:t>
      </w:r>
      <w:r>
        <w:rPr>
          <w:sz w:val="24"/>
        </w:rPr>
        <w:t>Emotional</w:t>
      </w:r>
      <w:r>
        <w:rPr>
          <w:spacing w:val="-6"/>
          <w:sz w:val="24"/>
        </w:rPr>
        <w:t> </w:t>
      </w:r>
      <w:r>
        <w:rPr>
          <w:sz w:val="24"/>
        </w:rPr>
        <w:t>Intelligence and Academic Achievement Among Malaysian Secondary Students‘.</w:t>
      </w:r>
      <w:r>
        <w:rPr>
          <w:spacing w:val="40"/>
          <w:sz w:val="24"/>
        </w:rPr>
        <w:t> </w:t>
      </w:r>
      <w:r>
        <w:rPr>
          <w:i/>
          <w:sz w:val="24"/>
        </w:rPr>
        <w:t>Pakistan Journal of Psychological Research</w:t>
      </w:r>
      <w:r>
        <w:rPr>
          <w:sz w:val="24"/>
        </w:rPr>
        <w:t>.</w:t>
      </w:r>
      <w:r>
        <w:rPr>
          <w:spacing w:val="40"/>
          <w:sz w:val="24"/>
        </w:rPr>
        <w:t> </w:t>
      </w:r>
      <w:r>
        <w:rPr>
          <w:sz w:val="24"/>
        </w:rPr>
        <w:t>19, (3-4), 105-121.</w:t>
      </w:r>
    </w:p>
    <w:p>
      <w:pPr>
        <w:pStyle w:val="BodyText"/>
        <w:spacing w:before="243"/>
        <w:ind w:left="1023" w:right="1158" w:hanging="543"/>
      </w:pPr>
      <w:r>
        <w:rPr/>
        <w:t>Adetunde, L. A., &amp; Akinsina, A. P. (2008). Factors affecting the standard of female education: A case study of senior secondary schools in Kassena-Nankana district. </w:t>
      </w:r>
      <w:r>
        <w:rPr>
          <w:i/>
        </w:rPr>
        <w:t>Journal of Social Sciences, 44, </w:t>
      </w:r>
      <w:r>
        <w:rPr/>
        <w:t>338-342.</w:t>
      </w:r>
    </w:p>
    <w:p>
      <w:pPr>
        <w:pStyle w:val="BodyText"/>
        <w:spacing w:line="242" w:lineRule="auto" w:before="238"/>
        <w:ind w:left="1023" w:right="1303" w:hanging="543"/>
        <w:jc w:val="left"/>
      </w:pPr>
      <w:r>
        <w:rPr/>
        <w:t>Adeyemo,</w:t>
      </w:r>
      <w:r>
        <w:rPr>
          <w:spacing w:val="-3"/>
        </w:rPr>
        <w:t> </w:t>
      </w:r>
      <w:r>
        <w:rPr/>
        <w:t>D.</w:t>
      </w:r>
      <w:r>
        <w:rPr>
          <w:spacing w:val="-4"/>
        </w:rPr>
        <w:t> </w:t>
      </w:r>
      <w:r>
        <w:rPr/>
        <w:t>A.</w:t>
      </w:r>
      <w:r>
        <w:rPr>
          <w:spacing w:val="-3"/>
        </w:rPr>
        <w:t> </w:t>
      </w:r>
      <w:r>
        <w:rPr/>
        <w:t>(2007).</w:t>
      </w:r>
      <w:r>
        <w:rPr>
          <w:spacing w:val="-3"/>
        </w:rPr>
        <w:t> </w:t>
      </w:r>
      <w:r>
        <w:rPr/>
        <w:t>Moderating</w:t>
      </w:r>
      <w:r>
        <w:rPr>
          <w:spacing w:val="-4"/>
        </w:rPr>
        <w:t> </w:t>
      </w:r>
      <w:r>
        <w:rPr/>
        <w:t>Influence</w:t>
      </w:r>
      <w:r>
        <w:rPr>
          <w:spacing w:val="-5"/>
        </w:rPr>
        <w:t> </w:t>
      </w:r>
      <w:r>
        <w:rPr/>
        <w:t>of</w:t>
      </w:r>
      <w:r>
        <w:rPr>
          <w:spacing w:val="-7"/>
        </w:rPr>
        <w:t> </w:t>
      </w:r>
      <w:r>
        <w:rPr/>
        <w:t>Emotional</w:t>
      </w:r>
      <w:r>
        <w:rPr>
          <w:spacing w:val="-9"/>
        </w:rPr>
        <w:t> </w:t>
      </w:r>
      <w:r>
        <w:rPr/>
        <w:t>Intelligence</w:t>
      </w:r>
      <w:r>
        <w:rPr>
          <w:spacing w:val="-5"/>
        </w:rPr>
        <w:t> </w:t>
      </w:r>
      <w:r>
        <w:rPr/>
        <w:t>on</w:t>
      </w:r>
      <w:r>
        <w:rPr>
          <w:spacing w:val="-9"/>
        </w:rPr>
        <w:t> </w:t>
      </w:r>
      <w:r>
        <w:rPr/>
        <w:t>the</w:t>
      </w:r>
      <w:r>
        <w:rPr>
          <w:spacing w:val="-5"/>
        </w:rPr>
        <w:t> </w:t>
      </w:r>
      <w:r>
        <w:rPr/>
        <w:t>link between Academic self-efficacy and achievement of University Students.</w:t>
      </w:r>
    </w:p>
    <w:p>
      <w:pPr>
        <w:spacing w:line="242" w:lineRule="auto" w:before="0"/>
        <w:ind w:left="1023" w:right="2953" w:firstLine="0"/>
        <w:jc w:val="left"/>
        <w:rPr>
          <w:sz w:val="24"/>
        </w:rPr>
      </w:pPr>
      <w:r>
        <w:rPr>
          <w:i/>
          <w:sz w:val="24"/>
        </w:rPr>
        <w:t>Psychology</w:t>
      </w:r>
      <w:r>
        <w:rPr>
          <w:i/>
          <w:spacing w:val="-6"/>
          <w:sz w:val="24"/>
        </w:rPr>
        <w:t> </w:t>
      </w:r>
      <w:r>
        <w:rPr>
          <w:i/>
          <w:sz w:val="24"/>
        </w:rPr>
        <w:t>Developing</w:t>
      </w:r>
      <w:r>
        <w:rPr>
          <w:i/>
          <w:spacing w:val="-5"/>
          <w:sz w:val="24"/>
        </w:rPr>
        <w:t> </w:t>
      </w:r>
      <w:r>
        <w:rPr>
          <w:i/>
          <w:sz w:val="24"/>
        </w:rPr>
        <w:t>Societies</w:t>
      </w:r>
      <w:r>
        <w:rPr>
          <w:i/>
          <w:spacing w:val="-5"/>
          <w:sz w:val="24"/>
        </w:rPr>
        <w:t> </w:t>
      </w:r>
      <w:r>
        <w:rPr>
          <w:sz w:val="24"/>
        </w:rPr>
        <w:t>19</w:t>
      </w:r>
      <w:r>
        <w:rPr>
          <w:spacing w:val="-5"/>
          <w:sz w:val="24"/>
        </w:rPr>
        <w:t> </w:t>
      </w:r>
      <w:r>
        <w:rPr>
          <w:sz w:val="24"/>
        </w:rPr>
        <w:t>(2),</w:t>
      </w:r>
      <w:r>
        <w:rPr>
          <w:spacing w:val="-3"/>
          <w:sz w:val="24"/>
        </w:rPr>
        <w:t> </w:t>
      </w:r>
      <w:r>
        <w:rPr>
          <w:sz w:val="24"/>
        </w:rPr>
        <w:t>199-213. </w:t>
      </w:r>
      <w:hyperlink r:id="rId21">
        <w:r>
          <w:rPr>
            <w:spacing w:val="-2"/>
            <w:sz w:val="24"/>
          </w:rPr>
          <w:t>http://dx.doi.org/10.1177/0971333360701900204</w:t>
        </w:r>
      </w:hyperlink>
      <w:r>
        <w:rPr>
          <w:spacing w:val="-2"/>
          <w:sz w:val="24"/>
        </w:rPr>
        <w:t>.</w:t>
      </w:r>
    </w:p>
    <w:p>
      <w:pPr>
        <w:spacing w:line="240" w:lineRule="auto" w:before="230"/>
        <w:ind w:left="1023" w:right="1161" w:hanging="543"/>
        <w:jc w:val="both"/>
        <w:rPr>
          <w:sz w:val="24"/>
        </w:rPr>
      </w:pPr>
      <w:r>
        <w:rPr>
          <w:sz w:val="24"/>
        </w:rPr>
        <w:t>Adigwe,</w:t>
      </w:r>
      <w:r>
        <w:rPr>
          <w:spacing w:val="40"/>
          <w:sz w:val="24"/>
        </w:rPr>
        <w:t> </w:t>
      </w:r>
      <w:r>
        <w:rPr>
          <w:sz w:val="24"/>
        </w:rPr>
        <w:t>J.C.&amp; Ifeoma G.A. Okonkwo (2013).</w:t>
      </w:r>
      <w:r>
        <w:rPr>
          <w:spacing w:val="40"/>
          <w:sz w:val="24"/>
        </w:rPr>
        <w:t> </w:t>
      </w:r>
      <w:r>
        <w:rPr>
          <w:sz w:val="24"/>
        </w:rPr>
        <w:t>Effects of Concept Map and Simulation-Game Instructional Approaches on Students‘ Achievement in Environmental Concepts in Chemistry Among Secondary School Students. </w:t>
      </w:r>
      <w:r>
        <w:rPr>
          <w:i/>
          <w:sz w:val="24"/>
        </w:rPr>
        <w:t>Journal of Studies in Science and Mathematics Education.</w:t>
      </w:r>
      <w:r>
        <w:rPr>
          <w:i/>
          <w:spacing w:val="40"/>
          <w:sz w:val="24"/>
        </w:rPr>
        <w:t> </w:t>
      </w:r>
      <w:r>
        <w:rPr>
          <w:sz w:val="24"/>
        </w:rPr>
        <w:t>3: 7-18.</w:t>
      </w:r>
    </w:p>
    <w:p>
      <w:pPr>
        <w:spacing w:line="240" w:lineRule="auto" w:before="240"/>
        <w:ind w:left="1023" w:right="1151" w:hanging="543"/>
        <w:jc w:val="both"/>
        <w:rPr>
          <w:sz w:val="24"/>
        </w:rPr>
      </w:pPr>
      <w:r>
        <w:rPr>
          <w:sz w:val="24"/>
        </w:rPr>
        <w:t>Afuwape, M. O. (2011). Students‘ self-concept and their Achievement in Basic Science. </w:t>
      </w:r>
      <w:r>
        <w:rPr>
          <w:i/>
          <w:sz w:val="24"/>
        </w:rPr>
        <w:t>International Multidisciplinary Journal, Ethiopia, </w:t>
      </w:r>
      <w:r>
        <w:rPr>
          <w:sz w:val="24"/>
        </w:rPr>
        <w:t>5(4), 191-200. </w:t>
      </w:r>
      <w:hyperlink r:id="rId22">
        <w:r>
          <w:rPr>
            <w:spacing w:val="-2"/>
            <w:sz w:val="24"/>
          </w:rPr>
          <w:t>http://dx.doi.org/10.431/afrrev.v5i4.69276</w:t>
        </w:r>
      </w:hyperlink>
      <w:r>
        <w:rPr>
          <w:spacing w:val="-2"/>
          <w:sz w:val="24"/>
        </w:rPr>
        <w:t>.</w:t>
      </w:r>
    </w:p>
    <w:p>
      <w:pPr>
        <w:pStyle w:val="BodyText"/>
        <w:spacing w:before="243"/>
        <w:ind w:left="1023" w:right="1168" w:hanging="543"/>
      </w:pPr>
      <w:r>
        <w:rPr/>
        <w:t>Agueler, L. L., &amp; Agwagalu, U. N. N. (2007). Female participation in STM (science, technology and mathematics) education in Nigeria and national development. </w:t>
      </w:r>
      <w:r>
        <w:rPr>
          <w:i/>
        </w:rPr>
        <w:t>Journal of Social Science, 15(2), </w:t>
      </w:r>
      <w:r>
        <w:rPr/>
        <w:t>121-126.</w:t>
      </w:r>
    </w:p>
    <w:p>
      <w:pPr>
        <w:spacing w:line="240" w:lineRule="auto" w:before="238"/>
        <w:ind w:left="1023" w:right="1150" w:hanging="543"/>
        <w:jc w:val="both"/>
        <w:rPr>
          <w:sz w:val="24"/>
        </w:rPr>
      </w:pPr>
      <w:r>
        <w:rPr>
          <w:sz w:val="24"/>
        </w:rPr>
        <w:t>Ajila C, Olutola A 2007. Impact of parents' socio-economic status on university students' academic performance. </w:t>
      </w:r>
      <w:r>
        <w:rPr>
          <w:i/>
          <w:sz w:val="24"/>
        </w:rPr>
        <w:t>Ife Journal of Educational Studies, </w:t>
      </w:r>
      <w:r>
        <w:rPr>
          <w:sz w:val="24"/>
        </w:rPr>
        <w:t>7(1): 31 - </w:t>
      </w:r>
      <w:r>
        <w:rPr>
          <w:spacing w:val="-4"/>
          <w:sz w:val="24"/>
        </w:rPr>
        <w:t>39.</w:t>
      </w:r>
    </w:p>
    <w:p>
      <w:pPr>
        <w:spacing w:before="242"/>
        <w:ind w:left="1023" w:right="1170" w:hanging="543"/>
        <w:jc w:val="left"/>
        <w:rPr>
          <w:sz w:val="24"/>
        </w:rPr>
      </w:pPr>
      <w:r>
        <w:rPr>
          <w:sz w:val="24"/>
        </w:rPr>
        <w:t>Allan,</w:t>
      </w:r>
      <w:r>
        <w:rPr>
          <w:spacing w:val="80"/>
          <w:sz w:val="24"/>
        </w:rPr>
        <w:t> </w:t>
      </w:r>
      <w:r>
        <w:rPr>
          <w:sz w:val="24"/>
        </w:rPr>
        <w:t>K.</w:t>
      </w:r>
      <w:r>
        <w:rPr>
          <w:spacing w:val="80"/>
          <w:sz w:val="24"/>
        </w:rPr>
        <w:t> </w:t>
      </w:r>
      <w:r>
        <w:rPr>
          <w:sz w:val="24"/>
        </w:rPr>
        <w:t>(2006).</w:t>
      </w:r>
      <w:r>
        <w:rPr>
          <w:spacing w:val="80"/>
          <w:sz w:val="24"/>
        </w:rPr>
        <w:t> </w:t>
      </w:r>
      <w:r>
        <w:rPr>
          <w:i/>
          <w:sz w:val="24"/>
        </w:rPr>
        <w:t>Inference:</w:t>
      </w:r>
      <w:r>
        <w:rPr>
          <w:i/>
          <w:spacing w:val="80"/>
          <w:sz w:val="24"/>
        </w:rPr>
        <w:t> </w:t>
      </w:r>
      <w:r>
        <w:rPr>
          <w:i/>
          <w:sz w:val="24"/>
        </w:rPr>
        <w:t>Abduction,</w:t>
      </w:r>
      <w:r>
        <w:rPr>
          <w:i/>
          <w:spacing w:val="80"/>
          <w:sz w:val="24"/>
        </w:rPr>
        <w:t> </w:t>
      </w:r>
      <w:r>
        <w:rPr>
          <w:i/>
          <w:sz w:val="24"/>
        </w:rPr>
        <w:t>induction,</w:t>
      </w:r>
      <w:r>
        <w:rPr>
          <w:i/>
          <w:spacing w:val="80"/>
          <w:sz w:val="24"/>
        </w:rPr>
        <w:t> </w:t>
      </w:r>
      <w:r>
        <w:rPr>
          <w:i/>
          <w:sz w:val="24"/>
        </w:rPr>
        <w:t>deduction.</w:t>
      </w:r>
      <w:r>
        <w:rPr>
          <w:i/>
          <w:spacing w:val="80"/>
          <w:sz w:val="24"/>
        </w:rPr>
        <w:t> </w:t>
      </w:r>
      <w:r>
        <w:rPr>
          <w:i/>
          <w:sz w:val="24"/>
        </w:rPr>
        <w:t>Encyclopedia</w:t>
      </w:r>
      <w:r>
        <w:rPr>
          <w:i/>
          <w:spacing w:val="80"/>
          <w:sz w:val="24"/>
        </w:rPr>
        <w:t> </w:t>
      </w:r>
      <w:r>
        <w:rPr>
          <w:i/>
          <w:sz w:val="24"/>
        </w:rPr>
        <w:t>of Language and Linguistics. </w:t>
      </w:r>
      <w:r>
        <w:rPr>
          <w:sz w:val="24"/>
        </w:rPr>
        <w:t>Oxford: Elsevier.</w:t>
      </w:r>
    </w:p>
    <w:p>
      <w:pPr>
        <w:pStyle w:val="BodyText"/>
        <w:spacing w:line="275" w:lineRule="exact" w:before="241"/>
        <w:jc w:val="left"/>
      </w:pPr>
      <w:r>
        <w:rPr/>
        <w:t>Amelink,</w:t>
      </w:r>
      <w:r>
        <w:rPr>
          <w:spacing w:val="-4"/>
        </w:rPr>
        <w:t> </w:t>
      </w:r>
      <w:r>
        <w:rPr/>
        <w:t>C.</w:t>
      </w:r>
      <w:r>
        <w:rPr>
          <w:spacing w:val="-1"/>
        </w:rPr>
        <w:t> </w:t>
      </w:r>
      <w:r>
        <w:rPr/>
        <w:t>(2009).</w:t>
      </w:r>
      <w:r>
        <w:rPr>
          <w:spacing w:val="-1"/>
        </w:rPr>
        <w:t> </w:t>
      </w:r>
      <w:r>
        <w:rPr/>
        <w:t>Literature</w:t>
      </w:r>
      <w:r>
        <w:rPr>
          <w:spacing w:val="-8"/>
        </w:rPr>
        <w:t> </w:t>
      </w:r>
      <w:r>
        <w:rPr/>
        <w:t>overview:</w:t>
      </w:r>
      <w:r>
        <w:rPr>
          <w:spacing w:val="-3"/>
        </w:rPr>
        <w:t> </w:t>
      </w:r>
      <w:r>
        <w:rPr/>
        <w:t>Gender</w:t>
      </w:r>
      <w:r>
        <w:rPr>
          <w:spacing w:val="-2"/>
        </w:rPr>
        <w:t> </w:t>
      </w:r>
      <w:r>
        <w:rPr/>
        <w:t>Difference</w:t>
      </w:r>
      <w:r>
        <w:rPr>
          <w:spacing w:val="1"/>
        </w:rPr>
        <w:t> </w:t>
      </w:r>
      <w:r>
        <w:rPr/>
        <w:t>in</w:t>
      </w:r>
      <w:r>
        <w:rPr>
          <w:spacing w:val="-7"/>
        </w:rPr>
        <w:t> </w:t>
      </w:r>
      <w:r>
        <w:rPr/>
        <w:t>Science</w:t>
      </w:r>
      <w:r>
        <w:rPr>
          <w:spacing w:val="1"/>
        </w:rPr>
        <w:t> </w:t>
      </w:r>
      <w:r>
        <w:rPr>
          <w:spacing w:val="-2"/>
        </w:rPr>
        <w:t>Achievement.</w:t>
      </w:r>
    </w:p>
    <w:p>
      <w:pPr>
        <w:pStyle w:val="BodyText"/>
        <w:spacing w:line="242" w:lineRule="auto"/>
        <w:ind w:left="1023" w:right="1303"/>
        <w:jc w:val="left"/>
      </w:pPr>
      <w:r>
        <w:rPr/>
        <w:t>Retrieved December 1, 2013, from </w:t>
      </w:r>
      <w:hyperlink r:id="rId23">
        <w:r>
          <w:rPr>
            <w:spacing w:val="-2"/>
          </w:rPr>
          <w:t>http://www.engr.psu.edu/awe/misc/arp_genderdifferencescience_overview.pdf.</w:t>
        </w:r>
      </w:hyperlink>
    </w:p>
    <w:p>
      <w:pPr>
        <w:spacing w:line="240" w:lineRule="auto" w:before="234"/>
        <w:ind w:left="1023" w:right="1156" w:hanging="543"/>
        <w:jc w:val="both"/>
        <w:rPr>
          <w:sz w:val="24"/>
        </w:rPr>
      </w:pPr>
      <w:r>
        <w:rPr>
          <w:sz w:val="24"/>
        </w:rPr>
        <w:t>American Association of university Women Educational</w:t>
      </w:r>
      <w:r>
        <w:rPr>
          <w:spacing w:val="40"/>
          <w:sz w:val="24"/>
        </w:rPr>
        <w:t> </w:t>
      </w:r>
      <w:r>
        <w:rPr>
          <w:sz w:val="24"/>
        </w:rPr>
        <w:t>Foundation,</w:t>
      </w:r>
      <w:r>
        <w:rPr>
          <w:spacing w:val="80"/>
          <w:sz w:val="24"/>
        </w:rPr>
        <w:t> </w:t>
      </w:r>
      <w:r>
        <w:rPr>
          <w:sz w:val="24"/>
        </w:rPr>
        <w:t>(1999).</w:t>
      </w:r>
      <w:r>
        <w:rPr>
          <w:spacing w:val="40"/>
          <w:sz w:val="24"/>
        </w:rPr>
        <w:t> </w:t>
      </w:r>
      <w:r>
        <w:rPr>
          <w:i/>
          <w:sz w:val="24"/>
        </w:rPr>
        <w:t>Gender gaps:</w:t>
      </w:r>
      <w:r>
        <w:rPr>
          <w:i/>
          <w:spacing w:val="40"/>
          <w:sz w:val="24"/>
        </w:rPr>
        <w:t> </w:t>
      </w:r>
      <w:r>
        <w:rPr>
          <w:i/>
          <w:sz w:val="24"/>
        </w:rPr>
        <w:t>Where schools still fail our children.</w:t>
      </w:r>
      <w:r>
        <w:rPr>
          <w:i/>
          <w:spacing w:val="40"/>
          <w:sz w:val="24"/>
        </w:rPr>
        <w:t> </w:t>
      </w:r>
      <w:r>
        <w:rPr>
          <w:sz w:val="24"/>
        </w:rPr>
        <w:t>New York:</w:t>
      </w:r>
      <w:r>
        <w:rPr>
          <w:spacing w:val="40"/>
          <w:sz w:val="24"/>
        </w:rPr>
        <w:t> </w:t>
      </w:r>
      <w:r>
        <w:rPr>
          <w:sz w:val="24"/>
        </w:rPr>
        <w:t>American Institutes for Research.</w:t>
      </w:r>
    </w:p>
    <w:p>
      <w:pPr>
        <w:spacing w:after="0" w:line="240" w:lineRule="auto"/>
        <w:jc w:val="both"/>
        <w:rPr>
          <w:sz w:val="24"/>
        </w:rPr>
        <w:sectPr>
          <w:pgSz w:w="11910" w:h="16840"/>
          <w:pgMar w:header="0" w:footer="1012" w:top="1340" w:bottom="1200" w:left="1680" w:right="280"/>
        </w:sectPr>
      </w:pPr>
    </w:p>
    <w:p>
      <w:pPr>
        <w:spacing w:line="240" w:lineRule="auto" w:before="74"/>
        <w:ind w:left="1023" w:right="1171" w:hanging="543"/>
        <w:jc w:val="both"/>
        <w:rPr>
          <w:sz w:val="24"/>
        </w:rPr>
      </w:pPr>
      <w:r>
        <w:rPr>
          <w:sz w:val="24"/>
        </w:rPr>
        <w:t>Amunga, J. K., Amadalo, M. M., &amp; Musera, G. (2011). Disparities in Chemistry</w:t>
      </w:r>
      <w:r>
        <w:rPr>
          <w:spacing w:val="-1"/>
          <w:sz w:val="24"/>
        </w:rPr>
        <w:t> </w:t>
      </w:r>
      <w:r>
        <w:rPr>
          <w:sz w:val="24"/>
        </w:rPr>
        <w:t>and Biology Achievement in Secondary Schools: Implications for Vision 2030. </w:t>
      </w:r>
      <w:r>
        <w:rPr>
          <w:i/>
          <w:sz w:val="24"/>
        </w:rPr>
        <w:t>International Journal of Humanities and Social Science, 1</w:t>
      </w:r>
      <w:r>
        <w:rPr>
          <w:sz w:val="24"/>
        </w:rPr>
        <w:t>(18), 226-236.</w:t>
      </w:r>
    </w:p>
    <w:p>
      <w:pPr>
        <w:spacing w:line="242" w:lineRule="auto" w:before="238"/>
        <w:ind w:left="1023" w:right="1155" w:hanging="543"/>
        <w:jc w:val="both"/>
        <w:rPr>
          <w:sz w:val="24"/>
        </w:rPr>
      </w:pPr>
      <w:r>
        <w:rPr>
          <w:sz w:val="24"/>
        </w:rPr>
        <w:t>Anugwom, E. E. (2009). Women, Education and Work in Nigeria. </w:t>
      </w:r>
      <w:r>
        <w:rPr>
          <w:i/>
          <w:sz w:val="24"/>
        </w:rPr>
        <w:t>Educational Research</w:t>
      </w:r>
      <w:r>
        <w:rPr>
          <w:i/>
          <w:spacing w:val="18"/>
          <w:sz w:val="24"/>
        </w:rPr>
        <w:t> </w:t>
      </w:r>
      <w:r>
        <w:rPr>
          <w:i/>
          <w:sz w:val="24"/>
        </w:rPr>
        <w:t>and</w:t>
      </w:r>
      <w:r>
        <w:rPr>
          <w:i/>
          <w:spacing w:val="19"/>
          <w:sz w:val="24"/>
        </w:rPr>
        <w:t> </w:t>
      </w:r>
      <w:r>
        <w:rPr>
          <w:i/>
          <w:sz w:val="24"/>
        </w:rPr>
        <w:t>Review</w:t>
      </w:r>
      <w:r>
        <w:rPr>
          <w:i/>
          <w:spacing w:val="15"/>
          <w:sz w:val="24"/>
        </w:rPr>
        <w:t> </w:t>
      </w:r>
      <w:r>
        <w:rPr>
          <w:sz w:val="24"/>
        </w:rPr>
        <w:t>4.4:</w:t>
      </w:r>
      <w:r>
        <w:rPr>
          <w:spacing w:val="18"/>
          <w:sz w:val="24"/>
        </w:rPr>
        <w:t> </w:t>
      </w:r>
      <w:r>
        <w:rPr>
          <w:sz w:val="24"/>
        </w:rPr>
        <w:t>127</w:t>
      </w:r>
      <w:r>
        <w:rPr>
          <w:spacing w:val="20"/>
          <w:sz w:val="24"/>
        </w:rPr>
        <w:t> </w:t>
      </w:r>
      <w:r>
        <w:rPr>
          <w:sz w:val="24"/>
        </w:rPr>
        <w:t>–</w:t>
      </w:r>
      <w:r>
        <w:rPr>
          <w:spacing w:val="19"/>
          <w:sz w:val="24"/>
        </w:rPr>
        <w:t> </w:t>
      </w:r>
      <w:r>
        <w:rPr>
          <w:sz w:val="24"/>
        </w:rPr>
        <w:t>134.</w:t>
      </w:r>
      <w:r>
        <w:rPr>
          <w:spacing w:val="20"/>
          <w:sz w:val="24"/>
        </w:rPr>
        <w:t> </w:t>
      </w:r>
      <w:r>
        <w:rPr>
          <w:sz w:val="24"/>
        </w:rPr>
        <w:t>Retrieved</w:t>
      </w:r>
      <w:r>
        <w:rPr>
          <w:spacing w:val="19"/>
          <w:sz w:val="24"/>
        </w:rPr>
        <w:t> </w:t>
      </w:r>
      <w:r>
        <w:rPr>
          <w:sz w:val="24"/>
        </w:rPr>
        <w:t>June</w:t>
      </w:r>
      <w:r>
        <w:rPr>
          <w:spacing w:val="18"/>
          <w:sz w:val="24"/>
        </w:rPr>
        <w:t> </w:t>
      </w:r>
      <w:r>
        <w:rPr>
          <w:sz w:val="24"/>
        </w:rPr>
        <w:t>5,</w:t>
      </w:r>
      <w:r>
        <w:rPr>
          <w:spacing w:val="20"/>
          <w:sz w:val="24"/>
        </w:rPr>
        <w:t> </w:t>
      </w:r>
      <w:r>
        <w:rPr>
          <w:sz w:val="24"/>
        </w:rPr>
        <w:t>2011,</w:t>
      </w:r>
      <w:r>
        <w:rPr>
          <w:spacing w:val="21"/>
          <w:sz w:val="24"/>
        </w:rPr>
        <w:t> </w:t>
      </w:r>
      <w:r>
        <w:rPr>
          <w:sz w:val="24"/>
        </w:rPr>
        <w:t>from</w:t>
      </w:r>
      <w:r>
        <w:rPr>
          <w:spacing w:val="15"/>
          <w:sz w:val="24"/>
        </w:rPr>
        <w:t> </w:t>
      </w:r>
      <w:r>
        <w:rPr>
          <w:sz w:val="24"/>
        </w:rPr>
        <w:t>Aremu,</w:t>
      </w:r>
      <w:r>
        <w:rPr>
          <w:spacing w:val="21"/>
          <w:sz w:val="24"/>
        </w:rPr>
        <w:t> </w:t>
      </w:r>
      <w:r>
        <w:rPr>
          <w:spacing w:val="-5"/>
          <w:sz w:val="24"/>
        </w:rPr>
        <w:t>C.</w:t>
      </w:r>
    </w:p>
    <w:p>
      <w:pPr>
        <w:pStyle w:val="BodyText"/>
        <w:ind w:left="1023" w:right="1165"/>
      </w:pPr>
      <w:r>
        <w:rPr/>
        <w:t>A. 1999. Beyond Home: the cost of women engagement in full time work in Ibadan. Unpublished M.Ed. Thesis, Department of Guidance &amp; Counseling, University of Ibadan, Ibadan pp.69</w:t>
      </w:r>
    </w:p>
    <w:p>
      <w:pPr>
        <w:spacing w:line="240" w:lineRule="auto" w:before="237"/>
        <w:ind w:left="1023" w:right="1152" w:hanging="543"/>
        <w:jc w:val="both"/>
        <w:rPr>
          <w:sz w:val="24"/>
        </w:rPr>
      </w:pPr>
      <w:r>
        <w:rPr>
          <w:sz w:val="24"/>
        </w:rPr>
        <w:t>Aremu, S. &amp; Oluwole, D. A. (2001). Gender and Birth order as Predictors of Normal Pupils Anxiety Patterns in Examinations. </w:t>
      </w:r>
      <w:r>
        <w:rPr>
          <w:i/>
          <w:sz w:val="24"/>
        </w:rPr>
        <w:t>Ibadan Journals of Educational Studies</w:t>
      </w:r>
      <w:r>
        <w:rPr>
          <w:sz w:val="24"/>
        </w:rPr>
        <w:t>. 1, (1), 175-181.</w:t>
      </w:r>
    </w:p>
    <w:p>
      <w:pPr>
        <w:pStyle w:val="BodyText"/>
        <w:spacing w:before="238"/>
        <w:ind w:left="1023" w:right="1158" w:hanging="543"/>
      </w:pPr>
      <w:r>
        <w:rPr/>
        <w:t>Arockia M., &amp; Sangeetha R. (2013).</w:t>
      </w:r>
      <w:r>
        <w:rPr>
          <w:spacing w:val="40"/>
        </w:rPr>
        <w:t> </w:t>
      </w:r>
      <w:r>
        <w:rPr/>
        <w:t>Avinashilingam</w:t>
      </w:r>
      <w:r>
        <w:rPr>
          <w:spacing w:val="-5"/>
        </w:rPr>
        <w:t> </w:t>
      </w:r>
      <w:r>
        <w:rPr/>
        <w:t>Institute for Home Science and Higher Education for Women, Coimbatore, Tamilnadu, India.</w:t>
      </w:r>
      <w:r>
        <w:rPr>
          <w:spacing w:val="40"/>
        </w:rPr>
        <w:t> </w:t>
      </w:r>
      <w:r>
        <w:rPr>
          <w:i/>
        </w:rPr>
        <w:t>University Journal of Psychology </w:t>
      </w:r>
      <w:r>
        <w:rPr/>
        <w:t>1 (2):</w:t>
      </w:r>
      <w:r>
        <w:rPr>
          <w:spacing w:val="40"/>
        </w:rPr>
        <w:t> </w:t>
      </w:r>
      <w:r>
        <w:rPr/>
        <w:t>41-45.</w:t>
      </w:r>
    </w:p>
    <w:p>
      <w:pPr>
        <w:spacing w:line="237" w:lineRule="auto" w:before="245"/>
        <w:ind w:left="1023" w:right="1154" w:hanging="543"/>
        <w:jc w:val="both"/>
        <w:rPr>
          <w:sz w:val="24"/>
        </w:rPr>
      </w:pPr>
      <w:r>
        <w:rPr>
          <w:sz w:val="24"/>
        </w:rPr>
        <w:t>Azizi</w:t>
      </w:r>
      <w:r>
        <w:rPr>
          <w:spacing w:val="-1"/>
          <w:sz w:val="24"/>
        </w:rPr>
        <w:t> </w:t>
      </w:r>
      <w:r>
        <w:rPr>
          <w:sz w:val="24"/>
        </w:rPr>
        <w:t>Y., Ng. S.E, Noordin</w:t>
      </w:r>
      <w:r>
        <w:rPr>
          <w:spacing w:val="-1"/>
          <w:sz w:val="24"/>
        </w:rPr>
        <w:t> </w:t>
      </w:r>
      <w:r>
        <w:rPr>
          <w:sz w:val="24"/>
        </w:rPr>
        <w:t>Y. Yusuf</w:t>
      </w:r>
      <w:r>
        <w:rPr>
          <w:spacing w:val="-4"/>
          <w:sz w:val="24"/>
        </w:rPr>
        <w:t> </w:t>
      </w:r>
      <w:r>
        <w:rPr>
          <w:sz w:val="24"/>
        </w:rPr>
        <w:t>B., Shehrin, H. &amp;Goh, M.L. (2012). </w:t>
      </w:r>
      <w:r>
        <w:rPr>
          <w:i/>
          <w:sz w:val="24"/>
        </w:rPr>
        <w:t>The Impact of Emotional Intelligence Element on Academic Achievement</w:t>
      </w:r>
      <w:r>
        <w:rPr>
          <w:sz w:val="24"/>
        </w:rPr>
        <w:t>. 65, 4.</w:t>
      </w:r>
    </w:p>
    <w:p>
      <w:pPr>
        <w:pStyle w:val="BodyText"/>
        <w:spacing w:before="244"/>
        <w:ind w:left="1023" w:right="1160" w:hanging="543"/>
      </w:pPr>
      <w:r>
        <w:rPr/>
        <w:t>Azuka B. F. (2012).</w:t>
      </w:r>
      <w:r>
        <w:rPr>
          <w:spacing w:val="80"/>
        </w:rPr>
        <w:t> </w:t>
      </w:r>
      <w:r>
        <w:rPr/>
        <w:t>The</w:t>
      </w:r>
      <w:r>
        <w:rPr>
          <w:spacing w:val="80"/>
        </w:rPr>
        <w:t> </w:t>
      </w:r>
      <w:r>
        <w:rPr/>
        <w:t>Relationship Between Emotional Intelligence and Academic Achievement of Senior Secondary School Students:</w:t>
      </w:r>
      <w:r>
        <w:rPr>
          <w:spacing w:val="40"/>
        </w:rPr>
        <w:t> </w:t>
      </w:r>
      <w:r>
        <w:rPr>
          <w:i/>
        </w:rPr>
        <w:t>Journal of Education and practice </w:t>
      </w:r>
      <w:r>
        <w:rPr/>
        <w:t>ISSN 2222-1735 paper ISSN 2222-288X (online) 3, 10.</w:t>
      </w:r>
    </w:p>
    <w:p>
      <w:pPr>
        <w:pStyle w:val="BodyText"/>
        <w:spacing w:before="238"/>
        <w:ind w:left="1023" w:right="1152" w:hanging="543"/>
      </w:pPr>
      <w:r>
        <w:rPr/>
        <w:t>Baanu, T.F., Oyelakan O.S &amp; Olorundare A.S. (2016).</w:t>
      </w:r>
      <w:r>
        <w:rPr>
          <w:spacing w:val="40"/>
        </w:rPr>
        <w:t> </w:t>
      </w:r>
      <w:r>
        <w:rPr/>
        <w:t>Self-Efficacy and Chemistry Students‘ Academic Achievement in Senior Secondary Schools in North- Central, Nigeria.</w:t>
      </w:r>
      <w:r>
        <w:rPr>
          <w:spacing w:val="40"/>
        </w:rPr>
        <w:t> </w:t>
      </w:r>
      <w:r>
        <w:rPr>
          <w:i/>
        </w:rPr>
        <w:t>Journal of Educational Science</w:t>
      </w:r>
      <w:r>
        <w:rPr/>
        <w:t>. 4, 1.</w:t>
      </w:r>
    </w:p>
    <w:p>
      <w:pPr>
        <w:pStyle w:val="BodyText"/>
        <w:ind w:left="0"/>
        <w:jc w:val="left"/>
      </w:pPr>
    </w:p>
    <w:p>
      <w:pPr>
        <w:pStyle w:val="BodyText"/>
        <w:spacing w:line="242" w:lineRule="auto"/>
        <w:ind w:left="1201" w:right="1170" w:hanging="720"/>
        <w:jc w:val="left"/>
      </w:pPr>
      <w:r>
        <w:rPr/>
        <w:t>Bagley,</w:t>
      </w:r>
      <w:r>
        <w:rPr>
          <w:spacing w:val="80"/>
        </w:rPr>
        <w:t> </w:t>
      </w:r>
      <w:r>
        <w:rPr/>
        <w:t>M.</w:t>
      </w:r>
      <w:r>
        <w:rPr>
          <w:spacing w:val="80"/>
        </w:rPr>
        <w:t> </w:t>
      </w:r>
      <w:r>
        <w:rPr/>
        <w:t>(2017).</w:t>
      </w:r>
      <w:r>
        <w:rPr>
          <w:spacing w:val="80"/>
        </w:rPr>
        <w:t> </w:t>
      </w:r>
      <w:r>
        <w:rPr/>
        <w:t>What</w:t>
      </w:r>
      <w:r>
        <w:rPr>
          <w:spacing w:val="80"/>
        </w:rPr>
        <w:t> </w:t>
      </w:r>
      <w:r>
        <w:rPr/>
        <w:t>is</w:t>
      </w:r>
      <w:r>
        <w:rPr>
          <w:spacing w:val="80"/>
        </w:rPr>
        <w:t> </w:t>
      </w:r>
      <w:r>
        <w:rPr/>
        <w:t>Chemistry.</w:t>
      </w:r>
      <w:r>
        <w:rPr>
          <w:spacing w:val="80"/>
        </w:rPr>
        <w:t> </w:t>
      </w:r>
      <w:r>
        <w:rPr/>
        <w:t>Live</w:t>
      </w:r>
      <w:r>
        <w:rPr>
          <w:spacing w:val="80"/>
        </w:rPr>
        <w:t> </w:t>
      </w:r>
      <w:r>
        <w:rPr/>
        <w:t>Science</w:t>
      </w:r>
      <w:r>
        <w:rPr>
          <w:spacing w:val="80"/>
        </w:rPr>
        <w:t> </w:t>
      </w:r>
      <w:r>
        <w:rPr/>
        <w:t>Contributor.</w:t>
      </w:r>
      <w:r>
        <w:rPr>
          <w:spacing w:val="80"/>
        </w:rPr>
        <w:t> </w:t>
      </w:r>
      <w:r>
        <w:rPr/>
        <w:t>ET</w:t>
      </w:r>
      <w:r>
        <w:rPr>
          <w:spacing w:val="80"/>
        </w:rPr>
        <w:t> </w:t>
      </w:r>
      <w:r>
        <w:rPr/>
        <w:t>Credit: Bufalloboy 2513 </w:t>
      </w:r>
      <w:r>
        <w:rPr>
          <w:i/>
        </w:rPr>
        <w:t>Shutterstock</w:t>
      </w:r>
      <w:r>
        <w:rPr/>
        <w:t>. Pg 1 – 3.</w:t>
      </w:r>
    </w:p>
    <w:p>
      <w:pPr>
        <w:spacing w:line="240" w:lineRule="auto" w:before="235"/>
        <w:ind w:left="1023" w:right="1157" w:hanging="543"/>
        <w:jc w:val="both"/>
        <w:rPr>
          <w:i/>
          <w:sz w:val="24"/>
        </w:rPr>
      </w:pPr>
      <w:r>
        <w:rPr>
          <w:sz w:val="24"/>
        </w:rPr>
        <w:t>Bamikole, O. O.&amp; Abiodun, D. B. (2013).</w:t>
      </w:r>
      <w:r>
        <w:rPr>
          <w:spacing w:val="40"/>
          <w:sz w:val="24"/>
        </w:rPr>
        <w:t> </w:t>
      </w:r>
      <w:r>
        <w:rPr>
          <w:sz w:val="24"/>
        </w:rPr>
        <w:t>Peer-Led Guided Inquiry as an Effective Strategy for Improving Secondary School Students‘ Performance and Practical Skills</w:t>
      </w:r>
      <w:r>
        <w:rPr>
          <w:spacing w:val="13"/>
          <w:sz w:val="24"/>
        </w:rPr>
        <w:t> </w:t>
      </w:r>
      <w:r>
        <w:rPr>
          <w:sz w:val="24"/>
        </w:rPr>
        <w:t>in</w:t>
      </w:r>
      <w:r>
        <w:rPr>
          <w:spacing w:val="8"/>
          <w:sz w:val="24"/>
        </w:rPr>
        <w:t> </w:t>
      </w:r>
      <w:r>
        <w:rPr>
          <w:sz w:val="24"/>
        </w:rPr>
        <w:t>Chemistry.</w:t>
      </w:r>
      <w:r>
        <w:rPr>
          <w:spacing w:val="52"/>
          <w:w w:val="150"/>
          <w:sz w:val="24"/>
        </w:rPr>
        <w:t> </w:t>
      </w:r>
      <w:r>
        <w:rPr>
          <w:i/>
          <w:sz w:val="24"/>
        </w:rPr>
        <w:t>Journal</w:t>
      </w:r>
      <w:r>
        <w:rPr>
          <w:i/>
          <w:spacing w:val="10"/>
          <w:sz w:val="24"/>
        </w:rPr>
        <w:t> </w:t>
      </w:r>
      <w:r>
        <w:rPr>
          <w:i/>
          <w:sz w:val="24"/>
        </w:rPr>
        <w:t>of</w:t>
      </w:r>
      <w:r>
        <w:rPr>
          <w:i/>
          <w:spacing w:val="13"/>
          <w:sz w:val="24"/>
        </w:rPr>
        <w:t> </w:t>
      </w:r>
      <w:r>
        <w:rPr>
          <w:i/>
          <w:sz w:val="24"/>
        </w:rPr>
        <w:t>Studies</w:t>
      </w:r>
      <w:r>
        <w:rPr>
          <w:i/>
          <w:spacing w:val="6"/>
          <w:sz w:val="24"/>
        </w:rPr>
        <w:t> </w:t>
      </w:r>
      <w:r>
        <w:rPr>
          <w:i/>
          <w:sz w:val="24"/>
        </w:rPr>
        <w:t>in</w:t>
      </w:r>
      <w:r>
        <w:rPr>
          <w:i/>
          <w:spacing w:val="9"/>
          <w:sz w:val="24"/>
        </w:rPr>
        <w:t> </w:t>
      </w:r>
      <w:r>
        <w:rPr>
          <w:i/>
          <w:sz w:val="24"/>
        </w:rPr>
        <w:t>Science</w:t>
      </w:r>
      <w:r>
        <w:rPr>
          <w:i/>
          <w:spacing w:val="4"/>
          <w:sz w:val="24"/>
        </w:rPr>
        <w:t> </w:t>
      </w:r>
      <w:r>
        <w:rPr>
          <w:i/>
          <w:sz w:val="24"/>
        </w:rPr>
        <w:t>and</w:t>
      </w:r>
      <w:r>
        <w:rPr>
          <w:i/>
          <w:spacing w:val="8"/>
          <w:sz w:val="24"/>
        </w:rPr>
        <w:t> </w:t>
      </w:r>
      <w:r>
        <w:rPr>
          <w:i/>
          <w:sz w:val="24"/>
        </w:rPr>
        <w:t>Mathematics</w:t>
      </w:r>
      <w:r>
        <w:rPr>
          <w:i/>
          <w:spacing w:val="7"/>
          <w:sz w:val="24"/>
        </w:rPr>
        <w:t> </w:t>
      </w:r>
      <w:r>
        <w:rPr>
          <w:i/>
          <w:spacing w:val="-2"/>
          <w:sz w:val="24"/>
        </w:rPr>
        <w:t>Education.</w:t>
      </w:r>
    </w:p>
    <w:p>
      <w:pPr>
        <w:pStyle w:val="BodyText"/>
        <w:spacing w:before="3"/>
        <w:ind w:left="1023"/>
      </w:pPr>
      <w:r>
        <w:rPr/>
        <w:t>3.</w:t>
      </w:r>
      <w:r>
        <w:rPr>
          <w:spacing w:val="5"/>
        </w:rPr>
        <w:t> </w:t>
      </w:r>
      <w:r>
        <w:rPr/>
        <w:t>33-</w:t>
      </w:r>
      <w:r>
        <w:rPr>
          <w:spacing w:val="-5"/>
        </w:rPr>
        <w:t>46.</w:t>
      </w:r>
    </w:p>
    <w:p>
      <w:pPr>
        <w:pStyle w:val="BodyText"/>
        <w:spacing w:line="242" w:lineRule="auto" w:before="237"/>
        <w:ind w:left="1023" w:right="1155" w:hanging="543"/>
      </w:pPr>
      <w:r>
        <w:rPr/>
        <w:t>Bandura, A. (1977). ―</w:t>
      </w:r>
      <w:r>
        <w:rPr>
          <w:i/>
        </w:rPr>
        <w:t>Self-Efficacy: </w:t>
      </w:r>
      <w:r>
        <w:rPr/>
        <w:t>Toward a Unifying Theory of bahavioural Change‖ Psychological Review 84 (2): 191-215.</w:t>
      </w:r>
    </w:p>
    <w:p>
      <w:pPr>
        <w:spacing w:line="240" w:lineRule="auto" w:before="235"/>
        <w:ind w:left="1023" w:right="1158" w:hanging="543"/>
        <w:jc w:val="both"/>
        <w:rPr>
          <w:sz w:val="24"/>
        </w:rPr>
      </w:pPr>
      <w:r>
        <w:rPr>
          <w:sz w:val="24"/>
        </w:rPr>
        <w:t>Bandura, A. (1977b). </w:t>
      </w:r>
      <w:r>
        <w:rPr>
          <w:i/>
          <w:sz w:val="24"/>
        </w:rPr>
        <w:t>Social learning theory. </w:t>
      </w:r>
      <w:r>
        <w:rPr>
          <w:sz w:val="24"/>
        </w:rPr>
        <w:t>Englewood Cliffs, NJ: Prentice Hall. Bandura,</w:t>
      </w:r>
      <w:r>
        <w:rPr>
          <w:spacing w:val="-1"/>
          <w:sz w:val="24"/>
        </w:rPr>
        <w:t> </w:t>
      </w:r>
      <w:r>
        <w:rPr>
          <w:sz w:val="24"/>
        </w:rPr>
        <w:t>A.</w:t>
      </w:r>
      <w:r>
        <w:rPr>
          <w:spacing w:val="-1"/>
          <w:sz w:val="24"/>
        </w:rPr>
        <w:t> </w:t>
      </w:r>
      <w:r>
        <w:rPr>
          <w:sz w:val="24"/>
        </w:rPr>
        <w:t>(1986),</w:t>
      </w:r>
      <w:r>
        <w:rPr>
          <w:spacing w:val="-3"/>
          <w:sz w:val="24"/>
        </w:rPr>
        <w:t> </w:t>
      </w:r>
      <w:r>
        <w:rPr>
          <w:i/>
          <w:sz w:val="24"/>
        </w:rPr>
        <w:t>Social</w:t>
      </w:r>
      <w:r>
        <w:rPr>
          <w:i/>
          <w:spacing w:val="-6"/>
          <w:sz w:val="24"/>
        </w:rPr>
        <w:t> </w:t>
      </w:r>
      <w:r>
        <w:rPr>
          <w:i/>
          <w:sz w:val="24"/>
        </w:rPr>
        <w:t>foundations</w:t>
      </w:r>
      <w:r>
        <w:rPr>
          <w:i/>
          <w:spacing w:val="-4"/>
          <w:sz w:val="24"/>
        </w:rPr>
        <w:t> </w:t>
      </w:r>
      <w:r>
        <w:rPr>
          <w:i/>
          <w:sz w:val="24"/>
        </w:rPr>
        <w:t>of thought</w:t>
      </w:r>
      <w:r>
        <w:rPr>
          <w:i/>
          <w:spacing w:val="-11"/>
          <w:sz w:val="24"/>
        </w:rPr>
        <w:t> </w:t>
      </w:r>
      <w:r>
        <w:rPr>
          <w:i/>
          <w:sz w:val="24"/>
        </w:rPr>
        <w:t>and</w:t>
      </w:r>
      <w:r>
        <w:rPr>
          <w:i/>
          <w:spacing w:val="-3"/>
          <w:sz w:val="24"/>
        </w:rPr>
        <w:t> </w:t>
      </w:r>
      <w:r>
        <w:rPr>
          <w:i/>
          <w:sz w:val="24"/>
        </w:rPr>
        <w:t>action:</w:t>
      </w:r>
      <w:r>
        <w:rPr>
          <w:i/>
          <w:spacing w:val="-5"/>
          <w:sz w:val="24"/>
        </w:rPr>
        <w:t> </w:t>
      </w:r>
      <w:r>
        <w:rPr>
          <w:i/>
          <w:sz w:val="24"/>
        </w:rPr>
        <w:t>A</w:t>
      </w:r>
      <w:r>
        <w:rPr>
          <w:i/>
          <w:spacing w:val="-1"/>
          <w:sz w:val="24"/>
        </w:rPr>
        <w:t> </w:t>
      </w:r>
      <w:r>
        <w:rPr>
          <w:i/>
          <w:sz w:val="24"/>
        </w:rPr>
        <w:t>social</w:t>
      </w:r>
      <w:r>
        <w:rPr>
          <w:i/>
          <w:spacing w:val="-3"/>
          <w:sz w:val="24"/>
        </w:rPr>
        <w:t> </w:t>
      </w:r>
      <w:r>
        <w:rPr>
          <w:i/>
          <w:sz w:val="24"/>
        </w:rPr>
        <w:t>cognitive theory. </w:t>
      </w:r>
      <w:r>
        <w:rPr>
          <w:sz w:val="24"/>
        </w:rPr>
        <w:t>Englewood Cliffs, NJ: Prentice-Hall.</w:t>
      </w:r>
    </w:p>
    <w:p>
      <w:pPr>
        <w:spacing w:line="237" w:lineRule="auto" w:before="245"/>
        <w:ind w:left="1023" w:right="1159" w:hanging="543"/>
        <w:jc w:val="both"/>
        <w:rPr>
          <w:sz w:val="24"/>
        </w:rPr>
      </w:pPr>
      <w:r>
        <w:rPr>
          <w:sz w:val="24"/>
        </w:rPr>
        <w:t>Bandura, A. (1986). </w:t>
      </w:r>
      <w:r>
        <w:rPr>
          <w:i/>
          <w:sz w:val="24"/>
        </w:rPr>
        <w:t>Social Foundations of Thought and Action: A Social Cognitive Theory. </w:t>
      </w:r>
      <w:r>
        <w:rPr>
          <w:sz w:val="24"/>
        </w:rPr>
        <w:t>Englewood Cliffs, NJ: Prentice-Hall.</w:t>
      </w:r>
    </w:p>
    <w:p>
      <w:pPr>
        <w:spacing w:line="237" w:lineRule="auto" w:before="246"/>
        <w:ind w:left="1023" w:right="1157" w:hanging="543"/>
        <w:jc w:val="both"/>
        <w:rPr>
          <w:sz w:val="24"/>
        </w:rPr>
      </w:pPr>
      <w:r>
        <w:rPr>
          <w:sz w:val="24"/>
        </w:rPr>
        <w:t>Bandura,</w:t>
      </w:r>
      <w:r>
        <w:rPr>
          <w:spacing w:val="-1"/>
          <w:sz w:val="24"/>
        </w:rPr>
        <w:t> </w:t>
      </w:r>
      <w:r>
        <w:rPr>
          <w:sz w:val="24"/>
        </w:rPr>
        <w:t>A.</w:t>
      </w:r>
      <w:r>
        <w:rPr>
          <w:spacing w:val="-1"/>
          <w:sz w:val="24"/>
        </w:rPr>
        <w:t> </w:t>
      </w:r>
      <w:r>
        <w:rPr>
          <w:sz w:val="24"/>
        </w:rPr>
        <w:t>(1997). </w:t>
      </w:r>
      <w:r>
        <w:rPr>
          <w:i/>
          <w:sz w:val="24"/>
        </w:rPr>
        <w:t>Self-efficacy:</w:t>
      </w:r>
      <w:r>
        <w:rPr>
          <w:i/>
          <w:spacing w:val="-2"/>
          <w:sz w:val="24"/>
        </w:rPr>
        <w:t> </w:t>
      </w:r>
      <w:r>
        <w:rPr>
          <w:i/>
          <w:sz w:val="24"/>
        </w:rPr>
        <w:t>The</w:t>
      </w:r>
      <w:r>
        <w:rPr>
          <w:i/>
          <w:spacing w:val="-4"/>
          <w:sz w:val="24"/>
        </w:rPr>
        <w:t> </w:t>
      </w:r>
      <w:r>
        <w:rPr>
          <w:i/>
          <w:sz w:val="24"/>
        </w:rPr>
        <w:t>Exercise</w:t>
      </w:r>
      <w:r>
        <w:rPr>
          <w:i/>
          <w:spacing w:val="-4"/>
          <w:sz w:val="24"/>
        </w:rPr>
        <w:t> </w:t>
      </w:r>
      <w:r>
        <w:rPr>
          <w:i/>
          <w:sz w:val="24"/>
        </w:rPr>
        <w:t>of</w:t>
      </w:r>
      <w:r>
        <w:rPr>
          <w:i/>
          <w:spacing w:val="-3"/>
          <w:sz w:val="24"/>
        </w:rPr>
        <w:t> </w:t>
      </w:r>
      <w:r>
        <w:rPr>
          <w:i/>
          <w:sz w:val="24"/>
        </w:rPr>
        <w:t>Control. </w:t>
      </w:r>
      <w:r>
        <w:rPr>
          <w:sz w:val="24"/>
        </w:rPr>
        <w:t>New</w:t>
      </w:r>
      <w:r>
        <w:rPr>
          <w:spacing w:val="-4"/>
          <w:sz w:val="24"/>
        </w:rPr>
        <w:t> </w:t>
      </w:r>
      <w:r>
        <w:rPr>
          <w:sz w:val="24"/>
        </w:rPr>
        <w:t>York:</w:t>
      </w:r>
      <w:r>
        <w:rPr>
          <w:spacing w:val="-3"/>
          <w:sz w:val="24"/>
        </w:rPr>
        <w:t> </w:t>
      </w:r>
      <w:r>
        <w:rPr>
          <w:sz w:val="24"/>
        </w:rPr>
        <w:t>W.H.</w:t>
      </w:r>
      <w:r>
        <w:rPr>
          <w:spacing w:val="-2"/>
          <w:sz w:val="24"/>
        </w:rPr>
        <w:t> </w:t>
      </w:r>
      <w:r>
        <w:rPr>
          <w:sz w:val="24"/>
        </w:rPr>
        <w:t>Freeman and Company.</w:t>
      </w:r>
    </w:p>
    <w:p>
      <w:pPr>
        <w:spacing w:line="237" w:lineRule="auto" w:before="246"/>
        <w:ind w:left="1023" w:right="1160" w:hanging="543"/>
        <w:jc w:val="both"/>
        <w:rPr>
          <w:sz w:val="24"/>
        </w:rPr>
      </w:pPr>
      <w:r>
        <w:rPr>
          <w:sz w:val="24"/>
        </w:rPr>
        <w:t>Bandura, A. (2001).</w:t>
      </w:r>
      <w:r>
        <w:rPr>
          <w:spacing w:val="40"/>
          <w:sz w:val="24"/>
        </w:rPr>
        <w:t> </w:t>
      </w:r>
      <w:r>
        <w:rPr>
          <w:i/>
          <w:sz w:val="24"/>
        </w:rPr>
        <w:t>Guide for constructing self-efficacy scales. </w:t>
      </w:r>
      <w:r>
        <w:rPr>
          <w:sz w:val="24"/>
        </w:rPr>
        <w:t>(Revised). Available from Frank Pajares, Emory University, Atlanta. GA, 30322.</w:t>
      </w:r>
    </w:p>
    <w:p>
      <w:pPr>
        <w:spacing w:after="0" w:line="237" w:lineRule="auto"/>
        <w:jc w:val="both"/>
        <w:rPr>
          <w:sz w:val="24"/>
        </w:rPr>
        <w:sectPr>
          <w:pgSz w:w="11910" w:h="16840"/>
          <w:pgMar w:header="0" w:footer="1012" w:top="1340" w:bottom="1200" w:left="1680" w:right="280"/>
        </w:sectPr>
      </w:pPr>
    </w:p>
    <w:p>
      <w:pPr>
        <w:spacing w:line="237" w:lineRule="auto" w:before="76"/>
        <w:ind w:left="1023" w:right="1156" w:hanging="543"/>
        <w:jc w:val="both"/>
        <w:rPr>
          <w:sz w:val="24"/>
        </w:rPr>
      </w:pPr>
      <w:r>
        <w:rPr>
          <w:sz w:val="24"/>
        </w:rPr>
        <w:t>Bandura, A. (2001).</w:t>
      </w:r>
      <w:r>
        <w:rPr>
          <w:spacing w:val="40"/>
          <w:sz w:val="24"/>
        </w:rPr>
        <w:t> </w:t>
      </w:r>
      <w:r>
        <w:rPr>
          <w:sz w:val="24"/>
        </w:rPr>
        <w:t>Social Cognitive theory:</w:t>
      </w:r>
      <w:r>
        <w:rPr>
          <w:spacing w:val="40"/>
          <w:sz w:val="24"/>
        </w:rPr>
        <w:t> </w:t>
      </w:r>
      <w:r>
        <w:rPr>
          <w:sz w:val="24"/>
        </w:rPr>
        <w:t>An Agentic Perspective.</w:t>
      </w:r>
      <w:r>
        <w:rPr>
          <w:spacing w:val="40"/>
          <w:sz w:val="24"/>
        </w:rPr>
        <w:t> </w:t>
      </w:r>
      <w:r>
        <w:rPr>
          <w:i/>
          <w:sz w:val="24"/>
        </w:rPr>
        <w:t>Annual Review of Psychology, </w:t>
      </w:r>
      <w:r>
        <w:rPr>
          <w:sz w:val="24"/>
        </w:rPr>
        <w:t>52, 1-26.</w:t>
      </w:r>
    </w:p>
    <w:p>
      <w:pPr>
        <w:pStyle w:val="BodyText"/>
        <w:spacing w:before="243"/>
        <w:ind w:left="1023" w:right="1160" w:hanging="543"/>
      </w:pPr>
      <w:r>
        <w:rPr/>
        <w:t>Barchard, K. A. (2001). Seven components potentially related to emotional intelligence. Retrieved June 6, 2010 [Online] Available: </w:t>
      </w:r>
      <w:hyperlink r:id="rId24">
        <w:r>
          <w:rPr>
            <w:color w:val="0000FF"/>
            <w:spacing w:val="-2"/>
          </w:rPr>
          <w:t>http://ipip.ori.org/newEmotionalIntelligenceKey.htm</w:t>
        </w:r>
        <w:r>
          <w:rPr>
            <w:spacing w:val="-2"/>
          </w:rPr>
          <w:t>.</w:t>
        </w:r>
      </w:hyperlink>
    </w:p>
    <w:p>
      <w:pPr>
        <w:spacing w:line="242" w:lineRule="auto" w:before="238"/>
        <w:ind w:left="1023" w:right="1156" w:hanging="543"/>
        <w:jc w:val="both"/>
        <w:rPr>
          <w:sz w:val="24"/>
        </w:rPr>
      </w:pPr>
      <w:r>
        <w:rPr>
          <w:sz w:val="24"/>
        </w:rPr>
        <w:t>Bar-On, R. (1997). </w:t>
      </w:r>
      <w:r>
        <w:rPr>
          <w:i/>
          <w:sz w:val="24"/>
        </w:rPr>
        <w:t>Bar-On Emotional Quotient Inventory (EQ-I): </w:t>
      </w:r>
      <w:r>
        <w:rPr>
          <w:sz w:val="24"/>
        </w:rPr>
        <w:t>Technical Manual Toronto, Canada: Multi – Health System.</w:t>
      </w:r>
    </w:p>
    <w:p>
      <w:pPr>
        <w:spacing w:line="242" w:lineRule="auto" w:before="235"/>
        <w:ind w:left="1023" w:right="1156" w:hanging="543"/>
        <w:jc w:val="both"/>
        <w:rPr>
          <w:sz w:val="24"/>
        </w:rPr>
      </w:pPr>
      <w:r>
        <w:rPr>
          <w:sz w:val="24"/>
        </w:rPr>
        <w:t>Bar-On, R. (2002). </w:t>
      </w:r>
      <w:r>
        <w:rPr>
          <w:i/>
          <w:sz w:val="24"/>
        </w:rPr>
        <w:t>Bar-On Emotional Quotient Inventory (EQ-I): </w:t>
      </w:r>
      <w:r>
        <w:rPr>
          <w:sz w:val="24"/>
        </w:rPr>
        <w:t>Technical Manual Toronto, Canada: Multi – Health System.</w:t>
      </w:r>
    </w:p>
    <w:p>
      <w:pPr>
        <w:pStyle w:val="BodyText"/>
        <w:spacing w:before="235"/>
        <w:ind w:left="1023" w:right="1162" w:hanging="543"/>
      </w:pPr>
      <w:r>
        <w:rPr/>
        <w:t>Bastain, V.A., Burns, N.R., &amp; Nettelbeck T. (2005).</w:t>
      </w:r>
      <w:r>
        <w:rPr>
          <w:spacing w:val="40"/>
        </w:rPr>
        <w:t> </w:t>
      </w:r>
      <w:r>
        <w:rPr/>
        <w:t>Emotional intelligence predicts life skills, but not as well as personality and cognitive abilities.</w:t>
      </w:r>
      <w:r>
        <w:rPr>
          <w:spacing w:val="40"/>
        </w:rPr>
        <w:t> </w:t>
      </w:r>
      <w:r>
        <w:rPr/>
        <w:t>Personality and individual differences, 39, 1135-1145.</w:t>
      </w:r>
    </w:p>
    <w:p>
      <w:pPr>
        <w:spacing w:line="237" w:lineRule="auto" w:before="245"/>
        <w:ind w:left="1023" w:right="1154" w:hanging="543"/>
        <w:jc w:val="both"/>
        <w:rPr>
          <w:sz w:val="24"/>
        </w:rPr>
      </w:pPr>
      <w:r>
        <w:rPr>
          <w:sz w:val="24"/>
        </w:rPr>
        <w:t>Bhat, M. A. (2014). Construction and Evaluation of Reasoning Ability Test. </w:t>
      </w:r>
      <w:r>
        <w:rPr>
          <w:i/>
          <w:sz w:val="24"/>
        </w:rPr>
        <w:t>Journal of Educational Studies, </w:t>
      </w:r>
      <w:r>
        <w:rPr>
          <w:sz w:val="24"/>
        </w:rPr>
        <w:t>1(2), 47-52</w:t>
      </w:r>
    </w:p>
    <w:p>
      <w:pPr>
        <w:spacing w:line="240" w:lineRule="auto" w:before="244"/>
        <w:ind w:left="1023" w:right="1155" w:hanging="543"/>
        <w:jc w:val="both"/>
        <w:rPr>
          <w:sz w:val="24"/>
        </w:rPr>
      </w:pPr>
      <w:r>
        <w:rPr>
          <w:sz w:val="24"/>
        </w:rPr>
        <w:t>Bhat, M. A. (2016). The Predictive Power of Reasoning Ability on Academic Achievement. </w:t>
      </w:r>
      <w:r>
        <w:rPr>
          <w:i/>
          <w:sz w:val="24"/>
        </w:rPr>
        <w:t>International Journal of Learning, Teaching and Educational Research</w:t>
      </w:r>
      <w:r>
        <w:rPr>
          <w:sz w:val="24"/>
        </w:rPr>
        <w:t>. 15 (1),79 – 88.</w:t>
      </w:r>
    </w:p>
    <w:p>
      <w:pPr>
        <w:pStyle w:val="BodyText"/>
        <w:spacing w:line="242" w:lineRule="auto" w:before="238"/>
        <w:ind w:left="1023" w:right="1168" w:hanging="543"/>
      </w:pPr>
      <w:r>
        <w:rPr/>
        <w:t>Blanchette, I. (2006).</w:t>
      </w:r>
      <w:r>
        <w:rPr>
          <w:spacing w:val="40"/>
        </w:rPr>
        <w:t> </w:t>
      </w:r>
      <w:r>
        <w:rPr/>
        <w:t>The Effect of Emotion on Interpretation and Logic in a Conditional Reasoning Task.</w:t>
      </w:r>
      <w:r>
        <w:rPr>
          <w:spacing w:val="40"/>
        </w:rPr>
        <w:t> </w:t>
      </w:r>
      <w:r>
        <w:rPr>
          <w:i/>
        </w:rPr>
        <w:t>Memory &amp; Cognition, </w:t>
      </w:r>
      <w:r>
        <w:rPr/>
        <w:t>34, 112-1125.</w:t>
      </w:r>
    </w:p>
    <w:p>
      <w:pPr>
        <w:spacing w:line="240" w:lineRule="auto" w:before="234"/>
        <w:ind w:left="1023" w:right="1160" w:hanging="543"/>
        <w:jc w:val="both"/>
        <w:rPr>
          <w:sz w:val="24"/>
        </w:rPr>
      </w:pPr>
      <w:r>
        <w:rPr>
          <w:sz w:val="24"/>
        </w:rPr>
        <w:t>Bracket, M. A. &amp;Mayer, J. D. (2003). Convergent, Discriminant, and Incremental Validity of Competing Measures of Emotional Intelligence. </w:t>
      </w:r>
      <w:r>
        <w:rPr>
          <w:i/>
          <w:sz w:val="24"/>
        </w:rPr>
        <w:t>Personality and Social Psychology Bulletin, </w:t>
      </w:r>
      <w:r>
        <w:rPr>
          <w:sz w:val="24"/>
        </w:rPr>
        <w:t>29(9), 1147 – 1158.</w:t>
      </w:r>
    </w:p>
    <w:p>
      <w:pPr>
        <w:spacing w:line="240" w:lineRule="auto" w:before="243"/>
        <w:ind w:left="1023" w:right="1152" w:hanging="543"/>
        <w:jc w:val="both"/>
        <w:rPr>
          <w:sz w:val="24"/>
        </w:rPr>
      </w:pPr>
      <w:r>
        <w:rPr>
          <w:sz w:val="24"/>
        </w:rPr>
        <w:t>Britner, S. L. &amp; Pajares, F. (2006). Sources of Science Self-Efficacy Beliefs of</w:t>
      </w:r>
      <w:r>
        <w:rPr>
          <w:spacing w:val="80"/>
          <w:sz w:val="24"/>
        </w:rPr>
        <w:t> </w:t>
      </w:r>
      <w:r>
        <w:rPr>
          <w:sz w:val="24"/>
        </w:rPr>
        <w:t>Middle School</w:t>
      </w:r>
      <w:r>
        <w:rPr>
          <w:spacing w:val="-5"/>
          <w:sz w:val="24"/>
        </w:rPr>
        <w:t> </w:t>
      </w:r>
      <w:r>
        <w:rPr>
          <w:sz w:val="24"/>
        </w:rPr>
        <w:t>Students. </w:t>
      </w:r>
      <w:r>
        <w:rPr>
          <w:i/>
          <w:sz w:val="24"/>
        </w:rPr>
        <w:t>Journal of Research in Science Teaching</w:t>
      </w:r>
      <w:r>
        <w:rPr>
          <w:sz w:val="24"/>
        </w:rPr>
        <w:t>, 43(5), 485 – </w:t>
      </w:r>
      <w:r>
        <w:rPr>
          <w:spacing w:val="-4"/>
          <w:sz w:val="24"/>
        </w:rPr>
        <w:t>499.</w:t>
      </w:r>
    </w:p>
    <w:p>
      <w:pPr>
        <w:pStyle w:val="BodyText"/>
        <w:spacing w:before="238"/>
        <w:ind w:left="1023" w:right="1159" w:hanging="543"/>
      </w:pPr>
      <w:r>
        <w:rPr/>
        <w:t>Britner, S. L. (2008). Motivation in High School Science Students: A Comparison of Gender Differences in Life, Physical and Earth Science Classes. </w:t>
      </w:r>
      <w:r>
        <w:rPr>
          <w:i/>
        </w:rPr>
        <w:t>Journal of Research in Science Teaching</w:t>
      </w:r>
      <w:r>
        <w:rPr/>
        <w:t>, 45(8), 955 – 970.</w:t>
      </w:r>
    </w:p>
    <w:p>
      <w:pPr>
        <w:pStyle w:val="BodyText"/>
        <w:spacing w:line="237" w:lineRule="auto" w:before="245"/>
        <w:ind w:left="1023" w:right="1162" w:hanging="543"/>
      </w:pPr>
      <w:r>
        <w:rPr/>
        <w:t>Busolo,A.J. (2010). Gender Differences in Students Achievement in Chemistry in Secondary Schools of Kakameya District, Kenya.</w:t>
      </w:r>
    </w:p>
    <w:p>
      <w:pPr>
        <w:spacing w:line="240" w:lineRule="auto" w:before="244"/>
        <w:ind w:left="1023" w:right="1157" w:hanging="543"/>
        <w:jc w:val="both"/>
        <w:rPr>
          <w:i/>
          <w:sz w:val="24"/>
        </w:rPr>
      </w:pPr>
      <w:r>
        <w:rPr>
          <w:sz w:val="24"/>
        </w:rPr>
        <w:t>Butler A.G., (2013).</w:t>
      </w:r>
      <w:r>
        <w:rPr>
          <w:spacing w:val="40"/>
          <w:sz w:val="24"/>
        </w:rPr>
        <w:t> </w:t>
      </w:r>
      <w:r>
        <w:rPr>
          <w:sz w:val="24"/>
        </w:rPr>
        <w:t>Exploring the Role of</w:t>
      </w:r>
      <w:r>
        <w:rPr>
          <w:spacing w:val="-4"/>
          <w:sz w:val="24"/>
        </w:rPr>
        <w:t> </w:t>
      </w:r>
      <w:r>
        <w:rPr>
          <w:sz w:val="24"/>
        </w:rPr>
        <w:t>Social Reasoning and Self-Efficacy in</w:t>
      </w:r>
      <w:r>
        <w:rPr>
          <w:spacing w:val="-1"/>
          <w:sz w:val="24"/>
        </w:rPr>
        <w:t> </w:t>
      </w:r>
      <w:r>
        <w:rPr>
          <w:sz w:val="24"/>
        </w:rPr>
        <w:t>the Mathematics Problem-Solving Performance of Lower and Higher income Children.</w:t>
      </w:r>
      <w:r>
        <w:rPr>
          <w:spacing w:val="40"/>
          <w:sz w:val="24"/>
        </w:rPr>
        <w:t> </w:t>
      </w:r>
      <w:r>
        <w:rPr>
          <w:i/>
          <w:sz w:val="24"/>
        </w:rPr>
        <w:t>Journal of Educational Research and practice.3, (1); 93 – 119.</w:t>
      </w:r>
    </w:p>
    <w:p>
      <w:pPr>
        <w:pStyle w:val="BodyText"/>
        <w:spacing w:before="237"/>
        <w:ind w:left="1023" w:right="1160" w:hanging="543"/>
      </w:pPr>
      <w:r>
        <w:rPr/>
        <w:t>Can, S. (2009).</w:t>
      </w:r>
      <w:r>
        <w:rPr>
          <w:spacing w:val="40"/>
        </w:rPr>
        <w:t> </w:t>
      </w:r>
      <w:r>
        <w:rPr/>
        <w:t>The effects of Science Students Teachers‘ Academic Achievements, their grade levels, Gender and Type of Education they are Exposed to on their Format Learning Styles.</w:t>
      </w:r>
      <w:r>
        <w:rPr>
          <w:spacing w:val="40"/>
        </w:rPr>
        <w:t> </w:t>
      </w:r>
      <w:r>
        <w:rPr/>
        <w:t>(Case of Mugla University, Turkey).</w:t>
      </w:r>
      <w:r>
        <w:rPr>
          <w:spacing w:val="40"/>
        </w:rPr>
        <w:t> </w:t>
      </w:r>
      <w:r>
        <w:rPr>
          <w:i/>
        </w:rPr>
        <w:t>Procedia Social and Behavioral Sciences, </w:t>
      </w:r>
      <w:r>
        <w:rPr/>
        <w:t>1 (1), 1853-1857.</w:t>
      </w:r>
      <w:r>
        <w:rPr>
          <w:spacing w:val="40"/>
        </w:rPr>
        <w:t> </w:t>
      </w:r>
      <w:r>
        <w:rPr/>
        <w:t>Retrieved from Elsevier Sceince Direct Database.</w:t>
      </w:r>
    </w:p>
    <w:p>
      <w:pPr>
        <w:spacing w:after="0"/>
        <w:sectPr>
          <w:pgSz w:w="11910" w:h="16840"/>
          <w:pgMar w:header="0" w:footer="1012" w:top="1340" w:bottom="1200" w:left="1680" w:right="280"/>
        </w:sectPr>
      </w:pPr>
    </w:p>
    <w:p>
      <w:pPr>
        <w:pStyle w:val="BodyText"/>
        <w:spacing w:before="74"/>
        <w:ind w:left="1023" w:right="1165" w:hanging="543"/>
      </w:pPr>
      <w:r>
        <w:rPr/>
        <w:t>Cavallo, A., Rozman, M., Larabee. T. &amp; Ishikawa. C. (2001). Shift in Male and Female Students' Learning, Motivation beliefs, and Scientific Understanding in an</w:t>
      </w:r>
      <w:r>
        <w:rPr>
          <w:spacing w:val="-1"/>
        </w:rPr>
        <w:t> </w:t>
      </w:r>
      <w:r>
        <w:rPr/>
        <w:t>Inquiry-based College Physics Course. Paper Presented at the Meeting of</w:t>
      </w:r>
      <w:r>
        <w:rPr>
          <w:spacing w:val="-4"/>
        </w:rPr>
        <w:t> </w:t>
      </w:r>
      <w:r>
        <w:rPr/>
        <w:t>the National Association for Research in Science Teaching, St Louis, M.O.</w:t>
      </w:r>
    </w:p>
    <w:p>
      <w:pPr>
        <w:pStyle w:val="BodyText"/>
        <w:spacing w:before="240"/>
        <w:ind w:left="1023" w:right="1155" w:hanging="543"/>
      </w:pPr>
      <w:r>
        <w:rPr/>
        <w:t>Cheeseman, J., Simpson, N., &amp; Wint, A.G. (2006). Determinants of Student Performance at the University: Reflections </w:t>
      </w:r>
      <w:r>
        <w:rPr>
          <w:i/>
        </w:rPr>
        <w:t>' </w:t>
      </w:r>
      <w:r>
        <w:rPr/>
        <w:t>from the Caribbean. Research project of uwi, Mona, strategic Transformation Team. Retrieved on July 2011 [Online] Available: </w:t>
      </w:r>
      <w:hyperlink r:id="rId25">
        <w:r>
          <w:rPr>
            <w:color w:val="0000FF"/>
          </w:rPr>
          <w:t>http://www.mona.uwi.edu/opair/research/student-</w:t>
        </w:r>
      </w:hyperlink>
      <w:r>
        <w:rPr>
          <w:color w:val="0000FF"/>
        </w:rPr>
        <w:t> </w:t>
      </w:r>
      <w:hyperlink r:id="rId25">
        <w:r>
          <w:rPr>
            <w:color w:val="0000FF"/>
            <w:spacing w:val="-2"/>
          </w:rPr>
          <w:t>performance-paper-revised.pdf</w:t>
        </w:r>
      </w:hyperlink>
    </w:p>
    <w:p>
      <w:pPr>
        <w:spacing w:line="240" w:lineRule="auto" w:before="238"/>
        <w:ind w:left="1023" w:right="1153" w:hanging="543"/>
        <w:jc w:val="both"/>
        <w:rPr>
          <w:i/>
          <w:sz w:val="24"/>
        </w:rPr>
      </w:pPr>
      <w:r>
        <w:rPr>
          <w:sz w:val="24"/>
        </w:rPr>
        <w:t>Chemers, M. M„ Hu, L„ &amp; Garcia. B. F. (2001). Academic Self-Efficacy and First- Year College Student Performance and Adjustment. </w:t>
      </w:r>
      <w:r>
        <w:rPr>
          <w:i/>
          <w:sz w:val="24"/>
        </w:rPr>
        <w:t>Journal of Educational Psychology, 93(1), 55-64.</w:t>
      </w:r>
    </w:p>
    <w:p>
      <w:pPr>
        <w:spacing w:before="243"/>
        <w:ind w:left="1023" w:right="1164" w:hanging="543"/>
        <w:jc w:val="both"/>
        <w:rPr>
          <w:sz w:val="24"/>
        </w:rPr>
      </w:pPr>
      <w:r>
        <w:rPr>
          <w:sz w:val="24"/>
        </w:rPr>
        <w:t>Chen, T. C. (2000). </w:t>
      </w:r>
      <w:r>
        <w:rPr>
          <w:i/>
          <w:sz w:val="24"/>
        </w:rPr>
        <w:t>Technology, reasoning, and freedom: Modern and postmodern conditions. </w:t>
      </w:r>
      <w:r>
        <w:rPr>
          <w:sz w:val="24"/>
        </w:rPr>
        <w:t>Taipei: Laureate (In Chinese).</w:t>
      </w:r>
    </w:p>
    <w:p>
      <w:pPr>
        <w:pStyle w:val="BodyText"/>
        <w:spacing w:before="241"/>
        <w:ind w:left="1023" w:right="1169" w:hanging="543"/>
      </w:pPr>
      <w:r>
        <w:rPr/>
        <w:t>Chovwen, C. O. (2004). Psychological Factors Predicting Perceived Acceptance and Career Growth of Female Executives in Selected Occupations. Unpublished Ph.D Thesis of the University of Ibadan. xiv, 183p.</w:t>
      </w:r>
    </w:p>
    <w:p>
      <w:pPr>
        <w:pStyle w:val="BodyText"/>
        <w:spacing w:before="238"/>
        <w:jc w:val="left"/>
      </w:pPr>
      <w:r>
        <w:rPr/>
        <w:t>Cohen,</w:t>
      </w:r>
      <w:r>
        <w:rPr>
          <w:spacing w:val="47"/>
        </w:rPr>
        <w:t> </w:t>
      </w:r>
      <w:r>
        <w:rPr/>
        <w:t>D,</w:t>
      </w:r>
      <w:r>
        <w:rPr>
          <w:spacing w:val="47"/>
        </w:rPr>
        <w:t> </w:t>
      </w:r>
      <w:r>
        <w:rPr/>
        <w:t>Raudenbush,</w:t>
      </w:r>
      <w:r>
        <w:rPr>
          <w:spacing w:val="48"/>
        </w:rPr>
        <w:t> </w:t>
      </w:r>
      <w:r>
        <w:rPr/>
        <w:t>S.</w:t>
      </w:r>
      <w:r>
        <w:rPr>
          <w:spacing w:val="48"/>
        </w:rPr>
        <w:t> </w:t>
      </w:r>
      <w:r>
        <w:rPr/>
        <w:t>&amp;</w:t>
      </w:r>
      <w:r>
        <w:rPr>
          <w:spacing w:val="42"/>
        </w:rPr>
        <w:t> </w:t>
      </w:r>
      <w:r>
        <w:rPr/>
        <w:t>Ball,</w:t>
      </w:r>
      <w:r>
        <w:rPr>
          <w:spacing w:val="49"/>
        </w:rPr>
        <w:t> </w:t>
      </w:r>
      <w:r>
        <w:rPr/>
        <w:t>D.(2003).</w:t>
      </w:r>
      <w:r>
        <w:rPr>
          <w:spacing w:val="43"/>
        </w:rPr>
        <w:t> </w:t>
      </w:r>
      <w:r>
        <w:rPr/>
        <w:t>Resources,</w:t>
      </w:r>
      <w:r>
        <w:rPr>
          <w:spacing w:val="48"/>
        </w:rPr>
        <w:t> </w:t>
      </w:r>
      <w:r>
        <w:rPr/>
        <w:t>instruction</w:t>
      </w:r>
      <w:r>
        <w:rPr>
          <w:spacing w:val="41"/>
        </w:rPr>
        <w:t> </w:t>
      </w:r>
      <w:r>
        <w:rPr/>
        <w:t>and</w:t>
      </w:r>
      <w:r>
        <w:rPr>
          <w:spacing w:val="47"/>
        </w:rPr>
        <w:t> </w:t>
      </w:r>
      <w:r>
        <w:rPr>
          <w:spacing w:val="-2"/>
        </w:rPr>
        <w:t>research.</w:t>
      </w:r>
    </w:p>
    <w:p>
      <w:pPr>
        <w:spacing w:before="2"/>
        <w:ind w:left="1023" w:right="0" w:firstLine="0"/>
        <w:jc w:val="left"/>
        <w:rPr>
          <w:sz w:val="24"/>
        </w:rPr>
      </w:pPr>
      <w:r>
        <w:rPr>
          <w:i/>
          <w:sz w:val="24"/>
        </w:rPr>
        <w:t>Educational</w:t>
      </w:r>
      <w:r>
        <w:rPr>
          <w:i/>
          <w:spacing w:val="-5"/>
          <w:sz w:val="24"/>
        </w:rPr>
        <w:t> </w:t>
      </w:r>
      <w:r>
        <w:rPr>
          <w:i/>
          <w:sz w:val="24"/>
        </w:rPr>
        <w:t>Evaluation and</w:t>
      </w:r>
      <w:r>
        <w:rPr>
          <w:i/>
          <w:spacing w:val="-5"/>
          <w:sz w:val="24"/>
        </w:rPr>
        <w:t> </w:t>
      </w:r>
      <w:r>
        <w:rPr>
          <w:i/>
          <w:sz w:val="24"/>
        </w:rPr>
        <w:t>Policy</w:t>
      </w:r>
      <w:r>
        <w:rPr>
          <w:i/>
          <w:spacing w:val="-2"/>
          <w:sz w:val="24"/>
        </w:rPr>
        <w:t> </w:t>
      </w:r>
      <w:r>
        <w:rPr>
          <w:i/>
          <w:sz w:val="24"/>
        </w:rPr>
        <w:t>Analysis,</w:t>
      </w:r>
      <w:r>
        <w:rPr>
          <w:i/>
          <w:spacing w:val="7"/>
          <w:sz w:val="24"/>
        </w:rPr>
        <w:t> </w:t>
      </w:r>
      <w:r>
        <w:rPr>
          <w:sz w:val="24"/>
        </w:rPr>
        <w:t>25(2): 1-</w:t>
      </w:r>
      <w:r>
        <w:rPr>
          <w:spacing w:val="-5"/>
          <w:sz w:val="24"/>
        </w:rPr>
        <w:t>24.</w:t>
      </w:r>
    </w:p>
    <w:p>
      <w:pPr>
        <w:pStyle w:val="BodyText"/>
        <w:spacing w:line="242" w:lineRule="auto" w:before="238"/>
        <w:ind w:left="1023" w:right="1161" w:hanging="543"/>
      </w:pPr>
      <w:r>
        <w:rPr/>
        <w:t>Cohen, J. (1988). Statistical</w:t>
      </w:r>
      <w:r>
        <w:rPr>
          <w:spacing w:val="-7"/>
        </w:rPr>
        <w:t> </w:t>
      </w:r>
      <w:r>
        <w:rPr/>
        <w:t>Power</w:t>
      </w:r>
      <w:r>
        <w:rPr>
          <w:spacing w:val="-1"/>
        </w:rPr>
        <w:t> </w:t>
      </w:r>
      <w:r>
        <w:rPr/>
        <w:t>Analysis for</w:t>
      </w:r>
      <w:r>
        <w:rPr>
          <w:spacing w:val="-1"/>
        </w:rPr>
        <w:t> </w:t>
      </w:r>
      <w:r>
        <w:rPr/>
        <w:t>the</w:t>
      </w:r>
      <w:r>
        <w:rPr>
          <w:spacing w:val="-3"/>
        </w:rPr>
        <w:t> </w:t>
      </w:r>
      <w:r>
        <w:rPr/>
        <w:t>Behavioural</w:t>
      </w:r>
      <w:r>
        <w:rPr>
          <w:spacing w:val="-10"/>
        </w:rPr>
        <w:t> </w:t>
      </w:r>
      <w:r>
        <w:rPr/>
        <w:t>Sciences</w:t>
      </w:r>
      <w:r>
        <w:rPr>
          <w:spacing w:val="-4"/>
        </w:rPr>
        <w:t> </w:t>
      </w:r>
      <w:r>
        <w:rPr/>
        <w:t>(2</w:t>
      </w:r>
      <w:r>
        <w:rPr>
          <w:vertAlign w:val="superscript"/>
        </w:rPr>
        <w:t>nd</w:t>
      </w:r>
      <w:r>
        <w:rPr>
          <w:spacing w:val="-4"/>
          <w:vertAlign w:val="baseline"/>
        </w:rPr>
        <w:t> </w:t>
      </w:r>
      <w:r>
        <w:rPr>
          <w:vertAlign w:val="baseline"/>
        </w:rPr>
        <w:t>edition) Hillsdale, NJ. Erlbaum.</w:t>
      </w:r>
    </w:p>
    <w:p>
      <w:pPr>
        <w:pStyle w:val="BodyText"/>
        <w:spacing w:before="234"/>
        <w:ind w:left="1023" w:right="1151" w:hanging="543"/>
      </w:pPr>
      <w:r>
        <w:rPr/>
        <w:t>Colletti, L. M., Mulholland, M. W. &amp; Sonnads, S. S. (2000). Perceived Obstacles to Career Success for Women in Academic Surgery. </w:t>
      </w:r>
      <w:r>
        <w:rPr>
          <w:i/>
        </w:rPr>
        <w:t>Archives</w:t>
      </w:r>
      <w:r>
        <w:rPr>
          <w:i/>
          <w:spacing w:val="-1"/>
        </w:rPr>
        <w:t> </w:t>
      </w:r>
      <w:r>
        <w:rPr>
          <w:i/>
        </w:rPr>
        <w:t>of Surgery. </w:t>
      </w:r>
      <w:r>
        <w:rPr/>
        <w:t>135. (8), </w:t>
      </w:r>
      <w:r>
        <w:rPr>
          <w:spacing w:val="-2"/>
        </w:rPr>
        <w:t>972-7.</w:t>
      </w:r>
    </w:p>
    <w:p>
      <w:pPr>
        <w:spacing w:line="237" w:lineRule="auto" w:before="245"/>
        <w:ind w:left="1023" w:right="1160" w:hanging="543"/>
        <w:jc w:val="both"/>
        <w:rPr>
          <w:sz w:val="24"/>
        </w:rPr>
      </w:pPr>
      <w:r>
        <w:rPr>
          <w:sz w:val="24"/>
        </w:rPr>
        <w:t>Comber, T. (2006).</w:t>
      </w:r>
      <w:r>
        <w:rPr>
          <w:spacing w:val="-2"/>
          <w:sz w:val="24"/>
        </w:rPr>
        <w:t> </w:t>
      </w:r>
      <w:r>
        <w:rPr>
          <w:i/>
          <w:sz w:val="24"/>
        </w:rPr>
        <w:t>Addition</w:t>
      </w:r>
      <w:r>
        <w:rPr>
          <w:i/>
          <w:spacing w:val="-2"/>
          <w:sz w:val="24"/>
        </w:rPr>
        <w:t> </w:t>
      </w:r>
      <w:r>
        <w:rPr>
          <w:i/>
          <w:sz w:val="24"/>
        </w:rPr>
        <w:t>and</w:t>
      </w:r>
      <w:r>
        <w:rPr>
          <w:i/>
          <w:spacing w:val="-2"/>
          <w:sz w:val="24"/>
        </w:rPr>
        <w:t> </w:t>
      </w:r>
      <w:r>
        <w:rPr>
          <w:i/>
          <w:sz w:val="24"/>
        </w:rPr>
        <w:t>subtraction:</w:t>
      </w:r>
      <w:r>
        <w:rPr>
          <w:i/>
          <w:spacing w:val="-1"/>
          <w:sz w:val="24"/>
        </w:rPr>
        <w:t> </w:t>
      </w:r>
      <w:r>
        <w:rPr>
          <w:i/>
          <w:sz w:val="24"/>
        </w:rPr>
        <w:t>A cognitive</w:t>
      </w:r>
      <w:r>
        <w:rPr>
          <w:i/>
          <w:spacing w:val="-4"/>
          <w:sz w:val="24"/>
        </w:rPr>
        <w:t> </w:t>
      </w:r>
      <w:r>
        <w:rPr>
          <w:i/>
          <w:sz w:val="24"/>
        </w:rPr>
        <w:t>perspective</w:t>
      </w:r>
      <w:r>
        <w:rPr>
          <w:i/>
          <w:spacing w:val="-3"/>
          <w:sz w:val="24"/>
        </w:rPr>
        <w:t> </w:t>
      </w:r>
      <w:r>
        <w:rPr>
          <w:i/>
          <w:sz w:val="24"/>
        </w:rPr>
        <w:t>Hillsdale. </w:t>
      </w:r>
      <w:r>
        <w:rPr>
          <w:sz w:val="24"/>
        </w:rPr>
        <w:t>N.</w:t>
      </w:r>
      <w:r>
        <w:rPr>
          <w:spacing w:val="-1"/>
          <w:sz w:val="24"/>
        </w:rPr>
        <w:t> </w:t>
      </w:r>
      <w:r>
        <w:rPr>
          <w:sz w:val="24"/>
        </w:rPr>
        <w:t>J.: Lawrence Erlbaum Associates.</w:t>
      </w:r>
    </w:p>
    <w:p>
      <w:pPr>
        <w:spacing w:line="237" w:lineRule="auto" w:before="246"/>
        <w:ind w:left="1023" w:right="1160" w:hanging="543"/>
        <w:jc w:val="both"/>
        <w:rPr>
          <w:sz w:val="24"/>
        </w:rPr>
      </w:pPr>
      <w:r>
        <w:rPr>
          <w:sz w:val="24"/>
        </w:rPr>
        <w:t>Cosmides, L. et al. (2005). Detecting Cheaters. </w:t>
      </w:r>
      <w:r>
        <w:rPr>
          <w:i/>
          <w:sz w:val="24"/>
        </w:rPr>
        <w:t>Trends in Cognitive Sciences. </w:t>
      </w:r>
      <w:r>
        <w:rPr>
          <w:sz w:val="24"/>
        </w:rPr>
        <w:t>9,505- </w:t>
      </w:r>
      <w:r>
        <w:rPr>
          <w:spacing w:val="-4"/>
          <w:sz w:val="24"/>
        </w:rPr>
        <w:t>506.</w:t>
      </w:r>
    </w:p>
    <w:p>
      <w:pPr>
        <w:pStyle w:val="BodyText"/>
        <w:spacing w:line="237" w:lineRule="auto" w:before="246"/>
        <w:ind w:left="1023" w:right="1165" w:hanging="543"/>
      </w:pPr>
      <w:r>
        <w:rPr/>
        <w:t>Croskerry, P. (2002).</w:t>
      </w:r>
      <w:r>
        <w:rPr>
          <w:spacing w:val="40"/>
        </w:rPr>
        <w:t> </w:t>
      </w:r>
      <w:r>
        <w:rPr/>
        <w:t>Achieving Quality in Clinical Decision Making:</w:t>
      </w:r>
      <w:r>
        <w:rPr>
          <w:spacing w:val="40"/>
        </w:rPr>
        <w:t> </w:t>
      </w:r>
      <w:r>
        <w:rPr/>
        <w:t>Cognitive Strategies and Detection of Bias.</w:t>
      </w:r>
      <w:r>
        <w:rPr>
          <w:spacing w:val="40"/>
        </w:rPr>
        <w:t> </w:t>
      </w:r>
      <w:r>
        <w:rPr>
          <w:i/>
        </w:rPr>
        <w:t>Academic Emergency Medicine, </w:t>
      </w:r>
      <w:r>
        <w:rPr/>
        <w:t>9 (11).</w:t>
      </w:r>
    </w:p>
    <w:p>
      <w:pPr>
        <w:pStyle w:val="BodyText"/>
        <w:spacing w:before="244"/>
        <w:ind w:left="1023" w:right="1161" w:hanging="543"/>
      </w:pPr>
      <w:r>
        <w:rPr/>
        <w:t>Cumberbatch, G. (1993).</w:t>
      </w:r>
      <w:r>
        <w:rPr>
          <w:spacing w:val="40"/>
        </w:rPr>
        <w:t> </w:t>
      </w:r>
      <w:r>
        <w:rPr/>
        <w:t>An Investigation into the Effects of Gender and Teacher Perception on Pupils Performance in Mathematics in the Secondary Schools Entrance Examination in Barbados, Unpublished MA Thesis, University of</w:t>
      </w:r>
      <w:r>
        <w:rPr>
          <w:spacing w:val="40"/>
        </w:rPr>
        <w:t> </w:t>
      </w:r>
      <w:r>
        <w:rPr/>
        <w:t>West Indies, Cave Hill, Barbados.</w:t>
      </w:r>
    </w:p>
    <w:p>
      <w:pPr>
        <w:spacing w:line="240" w:lineRule="auto" w:before="240"/>
        <w:ind w:left="1023" w:right="1165" w:hanging="543"/>
        <w:jc w:val="both"/>
        <w:rPr>
          <w:sz w:val="24"/>
        </w:rPr>
      </w:pPr>
      <w:r>
        <w:rPr>
          <w:sz w:val="24"/>
        </w:rPr>
        <w:t>Dakers, J. R (2006a). Introduction: Defining Technological Literacy. In J. R. Dakers (Ed.), </w:t>
      </w:r>
      <w:r>
        <w:rPr>
          <w:i/>
          <w:sz w:val="24"/>
        </w:rPr>
        <w:t>Defining Technological Literacy: Towards an Epistemological Framework</w:t>
      </w:r>
      <w:r>
        <w:rPr>
          <w:sz w:val="24"/>
        </w:rPr>
        <w:t>, pp. 1-2. New York, NY: Palgrave Macmillan.</w:t>
      </w:r>
    </w:p>
    <w:p>
      <w:pPr>
        <w:spacing w:after="0" w:line="240" w:lineRule="auto"/>
        <w:jc w:val="both"/>
        <w:rPr>
          <w:sz w:val="24"/>
        </w:rPr>
        <w:sectPr>
          <w:pgSz w:w="11910" w:h="16840"/>
          <w:pgMar w:header="0" w:footer="1012" w:top="1340" w:bottom="1200" w:left="1680" w:right="280"/>
        </w:sectPr>
      </w:pPr>
    </w:p>
    <w:p>
      <w:pPr>
        <w:spacing w:line="240" w:lineRule="auto" w:before="74"/>
        <w:ind w:left="1023" w:right="1160" w:hanging="543"/>
        <w:jc w:val="both"/>
        <w:rPr>
          <w:sz w:val="24"/>
        </w:rPr>
      </w:pPr>
      <w:r>
        <w:rPr>
          <w:sz w:val="24"/>
        </w:rPr>
        <w:t>Dalgety, J., Coll, R. K., &amp; Jones, A. (2003) Development of</w:t>
      </w:r>
      <w:r>
        <w:rPr>
          <w:spacing w:val="-1"/>
          <w:sz w:val="24"/>
        </w:rPr>
        <w:t> </w:t>
      </w:r>
      <w:r>
        <w:rPr>
          <w:sz w:val="24"/>
        </w:rPr>
        <w:t>Chemistry Attitudes and Experiences Questionnaire (CAEQ). </w:t>
      </w:r>
      <w:r>
        <w:rPr>
          <w:i/>
          <w:sz w:val="24"/>
        </w:rPr>
        <w:t>Journal of Research in Science Teaching, </w:t>
      </w:r>
      <w:r>
        <w:rPr>
          <w:sz w:val="24"/>
        </w:rPr>
        <w:t>40, 649 – 668.</w:t>
      </w:r>
    </w:p>
    <w:p>
      <w:pPr>
        <w:pStyle w:val="BodyText"/>
        <w:spacing w:before="238"/>
        <w:ind w:left="1023" w:right="1157" w:hanging="543"/>
      </w:pPr>
      <w:r>
        <w:rPr/>
        <w:t>Debacker, T. K. &amp; Nelson, R. M. (2000). Motivation to Learn Science; Differences Related to Gender, Class type, and Ability. </w:t>
      </w:r>
      <w:r>
        <w:rPr>
          <w:i/>
        </w:rPr>
        <w:t>Journal of Educational Research. </w:t>
      </w:r>
      <w:r>
        <w:rPr/>
        <w:t>(93), 245-255.</w:t>
      </w:r>
    </w:p>
    <w:p>
      <w:pPr>
        <w:pStyle w:val="BodyText"/>
        <w:spacing w:before="242"/>
        <w:ind w:left="1023" w:right="1155" w:hanging="543"/>
      </w:pPr>
      <w:r>
        <w:rPr/>
        <w:t>Demetriou, A. (1998). </w:t>
      </w:r>
      <w:r>
        <w:rPr>
          <w:i/>
        </w:rPr>
        <w:t>Cognitive Development</w:t>
      </w:r>
      <w:r>
        <w:rPr/>
        <w:t>. In A. Demetriou, W. Doise, K. F. M. van Lieshout (Eds.), Life-span Development Psychology 179-269.London: </w:t>
      </w:r>
      <w:r>
        <w:rPr>
          <w:spacing w:val="-2"/>
        </w:rPr>
        <w:t>Wiley.</w:t>
      </w:r>
    </w:p>
    <w:p>
      <w:pPr>
        <w:pStyle w:val="BodyText"/>
        <w:spacing w:before="238"/>
        <w:ind w:left="1023" w:right="1150" w:hanging="543"/>
      </w:pPr>
      <w:r>
        <w:rPr/>
        <w:t>Demetriou, A., Mouyi, A., &amp; Spanoudis, G. (2010). The Development of Mental Processing. Nesselroade, J. R. (2010). Methods in the Study</w:t>
      </w:r>
      <w:r>
        <w:rPr>
          <w:spacing w:val="-5"/>
        </w:rPr>
        <w:t> </w:t>
      </w:r>
      <w:r>
        <w:rPr/>
        <w:t>of life-span Human Development: Issues and Answers. In W. F. Overton (Ed.), Biology, Cognition and Methods Across the life-span. Volume 1 of the Handbook of life-span Development (36-55), Editor-in-chief: R. M. Lerner. Hoboken, NJ: Wiley.</w:t>
      </w:r>
    </w:p>
    <w:p>
      <w:pPr>
        <w:spacing w:line="240" w:lineRule="auto" w:before="244"/>
        <w:ind w:left="1023" w:right="1153" w:hanging="543"/>
        <w:jc w:val="both"/>
        <w:rPr>
          <w:sz w:val="24"/>
        </w:rPr>
      </w:pPr>
      <w:r>
        <w:rPr>
          <w:sz w:val="24"/>
        </w:rPr>
        <w:t>DeRemer, M. (2005). Girls, </w:t>
      </w:r>
      <w:r>
        <w:rPr>
          <w:i/>
          <w:sz w:val="24"/>
        </w:rPr>
        <w:t>Science and Technology, The Problem our solution. </w:t>
      </w:r>
      <w:r>
        <w:rPr>
          <w:sz w:val="24"/>
        </w:rPr>
        <w:t>A Program</w:t>
      </w:r>
      <w:r>
        <w:rPr>
          <w:spacing w:val="-8"/>
          <w:sz w:val="24"/>
        </w:rPr>
        <w:t> </w:t>
      </w:r>
      <w:r>
        <w:rPr>
          <w:sz w:val="24"/>
        </w:rPr>
        <w:t>of</w:t>
      </w:r>
      <w:r>
        <w:rPr>
          <w:spacing w:val="-7"/>
          <w:sz w:val="24"/>
        </w:rPr>
        <w:t> </w:t>
      </w:r>
      <w:r>
        <w:rPr>
          <w:sz w:val="24"/>
        </w:rPr>
        <w:t>Douglass</w:t>
      </w:r>
      <w:r>
        <w:rPr>
          <w:spacing w:val="-2"/>
          <w:sz w:val="24"/>
        </w:rPr>
        <w:t> </w:t>
      </w:r>
      <w:r>
        <w:rPr>
          <w:sz w:val="24"/>
        </w:rPr>
        <w:t>College, the Undergraduate</w:t>
      </w:r>
      <w:r>
        <w:rPr>
          <w:spacing w:val="-5"/>
          <w:sz w:val="24"/>
        </w:rPr>
        <w:t> </w:t>
      </w:r>
      <w:r>
        <w:rPr>
          <w:sz w:val="24"/>
        </w:rPr>
        <w:t>Women‘s</w:t>
      </w:r>
      <w:r>
        <w:rPr>
          <w:spacing w:val="-2"/>
          <w:sz w:val="24"/>
        </w:rPr>
        <w:t> </w:t>
      </w:r>
      <w:r>
        <w:rPr>
          <w:sz w:val="24"/>
        </w:rPr>
        <w:t>of</w:t>
      </w:r>
      <w:r>
        <w:rPr>
          <w:spacing w:val="-7"/>
          <w:sz w:val="24"/>
        </w:rPr>
        <w:t> </w:t>
      </w:r>
      <w:r>
        <w:rPr>
          <w:sz w:val="24"/>
        </w:rPr>
        <w:t>Rutgers,</w:t>
      </w:r>
      <w:r>
        <w:rPr>
          <w:spacing w:val="-2"/>
          <w:sz w:val="24"/>
        </w:rPr>
        <w:t> </w:t>
      </w:r>
      <w:r>
        <w:rPr>
          <w:sz w:val="24"/>
        </w:rPr>
        <w:t>the State University of New Jersey.</w:t>
      </w:r>
    </w:p>
    <w:p>
      <w:pPr>
        <w:pStyle w:val="BodyText"/>
        <w:spacing w:before="238"/>
        <w:ind w:left="1023" w:right="1158" w:hanging="543"/>
      </w:pPr>
      <w:r>
        <w:rPr/>
        <w:t>Diane, L.W. (2003).</w:t>
      </w:r>
      <w:r>
        <w:rPr>
          <w:spacing w:val="40"/>
        </w:rPr>
        <w:t> </w:t>
      </w:r>
      <w:r>
        <w:rPr/>
        <w:t>Students‘ Self-efficacy in College Science:</w:t>
      </w:r>
      <w:r>
        <w:rPr>
          <w:spacing w:val="40"/>
        </w:rPr>
        <w:t> </w:t>
      </w:r>
      <w:r>
        <w:rPr/>
        <w:t>An Investigation of Gender, Age and Academic Achievement.</w:t>
      </w:r>
      <w:r>
        <w:rPr>
          <w:spacing w:val="40"/>
        </w:rPr>
        <w:t> </w:t>
      </w:r>
      <w:r>
        <w:rPr/>
        <w:t>Unpublished M.Sc.</w:t>
      </w:r>
      <w:r>
        <w:rPr>
          <w:spacing w:val="40"/>
        </w:rPr>
        <w:t> </w:t>
      </w:r>
      <w:r>
        <w:rPr/>
        <w:t>Ed.</w:t>
      </w:r>
      <w:r>
        <w:rPr>
          <w:spacing w:val="40"/>
        </w:rPr>
        <w:t> </w:t>
      </w:r>
      <w:r>
        <w:rPr/>
        <w:t>Thesis, University of Wisconsin-stout Menomonie, NI 54751.</w:t>
      </w:r>
    </w:p>
    <w:p>
      <w:pPr>
        <w:spacing w:line="237" w:lineRule="auto" w:before="244"/>
        <w:ind w:left="1023" w:right="1157" w:hanging="543"/>
        <w:jc w:val="both"/>
        <w:rPr>
          <w:sz w:val="24"/>
        </w:rPr>
      </w:pPr>
      <w:r>
        <w:rPr>
          <w:sz w:val="24"/>
        </w:rPr>
        <w:t>Djallo, A. B. (2004). Science Education in Danger: Education for today. </w:t>
      </w:r>
      <w:r>
        <w:rPr>
          <w:i/>
          <w:sz w:val="24"/>
        </w:rPr>
        <w:t>The Newsletter of UNESCO’s Education Sector, </w:t>
      </w:r>
      <w:r>
        <w:rPr>
          <w:sz w:val="24"/>
        </w:rPr>
        <w:t>11, 8 – 12.</w:t>
      </w:r>
    </w:p>
    <w:p>
      <w:pPr>
        <w:pStyle w:val="BodyText"/>
        <w:spacing w:line="237" w:lineRule="auto" w:before="246"/>
        <w:ind w:left="1023" w:right="1162" w:hanging="543"/>
      </w:pPr>
      <w:r>
        <w:rPr/>
        <w:t>Doerksen, S. &amp; Shimaura, A. (2001).</w:t>
      </w:r>
      <w:r>
        <w:rPr>
          <w:spacing w:val="40"/>
        </w:rPr>
        <w:t> </w:t>
      </w:r>
      <w:r>
        <w:rPr/>
        <w:t>Source Memory Enhancement for Emotional Words.</w:t>
      </w:r>
      <w:r>
        <w:rPr>
          <w:spacing w:val="40"/>
        </w:rPr>
        <w:t> </w:t>
      </w:r>
      <w:r>
        <w:rPr>
          <w:i/>
        </w:rPr>
        <w:t>Emotion, </w:t>
      </w:r>
      <w:r>
        <w:rPr/>
        <w:t>1 (1), 5 -11.</w:t>
      </w:r>
    </w:p>
    <w:p>
      <w:pPr>
        <w:pStyle w:val="BodyText"/>
        <w:spacing w:line="275" w:lineRule="exact" w:before="244"/>
        <w:jc w:val="left"/>
      </w:pPr>
      <w:r>
        <w:rPr/>
        <w:t>Dorman,</w:t>
      </w:r>
      <w:r>
        <w:rPr>
          <w:spacing w:val="58"/>
          <w:w w:val="150"/>
        </w:rPr>
        <w:t> </w:t>
      </w:r>
      <w:r>
        <w:rPr/>
        <w:t>W.</w:t>
      </w:r>
      <w:r>
        <w:rPr>
          <w:spacing w:val="60"/>
          <w:w w:val="150"/>
        </w:rPr>
        <w:t> </w:t>
      </w:r>
      <w:r>
        <w:rPr/>
        <w:t>S.</w:t>
      </w:r>
      <w:r>
        <w:rPr>
          <w:spacing w:val="61"/>
          <w:w w:val="150"/>
        </w:rPr>
        <w:t> </w:t>
      </w:r>
      <w:r>
        <w:rPr/>
        <w:t>(2004).</w:t>
      </w:r>
      <w:r>
        <w:rPr>
          <w:spacing w:val="55"/>
          <w:w w:val="150"/>
        </w:rPr>
        <w:t> </w:t>
      </w:r>
      <w:r>
        <w:rPr/>
        <w:t>Arithmetic</w:t>
      </w:r>
      <w:r>
        <w:rPr>
          <w:spacing w:val="58"/>
          <w:w w:val="150"/>
        </w:rPr>
        <w:t> </w:t>
      </w:r>
      <w:r>
        <w:rPr/>
        <w:t>Problem</w:t>
      </w:r>
      <w:r>
        <w:rPr>
          <w:spacing w:val="58"/>
          <w:w w:val="150"/>
        </w:rPr>
        <w:t> </w:t>
      </w:r>
      <w:r>
        <w:rPr/>
        <w:t>solving</w:t>
      </w:r>
      <w:r>
        <w:rPr>
          <w:spacing w:val="63"/>
          <w:w w:val="150"/>
        </w:rPr>
        <w:t> </w:t>
      </w:r>
      <w:r>
        <w:rPr/>
        <w:t>in</w:t>
      </w:r>
      <w:r>
        <w:rPr>
          <w:spacing w:val="54"/>
          <w:w w:val="150"/>
        </w:rPr>
        <w:t> </w:t>
      </w:r>
      <w:r>
        <w:rPr/>
        <w:t>Hispanic</w:t>
      </w:r>
      <w:r>
        <w:rPr>
          <w:spacing w:val="62"/>
          <w:w w:val="150"/>
        </w:rPr>
        <w:t> </w:t>
      </w:r>
      <w:r>
        <w:rPr/>
        <w:t>first</w:t>
      </w:r>
      <w:r>
        <w:rPr>
          <w:spacing w:val="64"/>
          <w:w w:val="150"/>
        </w:rPr>
        <w:t> </w:t>
      </w:r>
      <w:r>
        <w:rPr>
          <w:spacing w:val="-2"/>
        </w:rPr>
        <w:t>graders.</w:t>
      </w:r>
    </w:p>
    <w:p>
      <w:pPr>
        <w:spacing w:line="275" w:lineRule="exact" w:before="0"/>
        <w:ind w:left="1023" w:right="0" w:firstLine="0"/>
        <w:jc w:val="left"/>
        <w:rPr>
          <w:sz w:val="24"/>
        </w:rPr>
      </w:pPr>
      <w:r>
        <w:rPr>
          <w:i/>
          <w:sz w:val="24"/>
        </w:rPr>
        <w:t>Elementary</w:t>
      </w:r>
      <w:r>
        <w:rPr>
          <w:i/>
          <w:spacing w:val="-1"/>
          <w:sz w:val="24"/>
        </w:rPr>
        <w:t> </w:t>
      </w:r>
      <w:r>
        <w:rPr>
          <w:i/>
          <w:sz w:val="24"/>
        </w:rPr>
        <w:t>School Journal,</w:t>
      </w:r>
      <w:r>
        <w:rPr>
          <w:i/>
          <w:spacing w:val="3"/>
          <w:sz w:val="24"/>
        </w:rPr>
        <w:t> </w:t>
      </w:r>
      <w:r>
        <w:rPr>
          <w:sz w:val="24"/>
        </w:rPr>
        <w:t>52,</w:t>
      </w:r>
      <w:r>
        <w:rPr>
          <w:spacing w:val="2"/>
          <w:sz w:val="24"/>
        </w:rPr>
        <w:t> </w:t>
      </w:r>
      <w:r>
        <w:rPr>
          <w:sz w:val="24"/>
        </w:rPr>
        <w:t>306</w:t>
      </w:r>
      <w:r>
        <w:rPr>
          <w:spacing w:val="-3"/>
          <w:sz w:val="24"/>
        </w:rPr>
        <w:t> </w:t>
      </w:r>
      <w:r>
        <w:rPr>
          <w:sz w:val="24"/>
        </w:rPr>
        <w:t>– </w:t>
      </w:r>
      <w:r>
        <w:rPr>
          <w:spacing w:val="-4"/>
          <w:sz w:val="24"/>
        </w:rPr>
        <w:t>316.</w:t>
      </w:r>
    </w:p>
    <w:p>
      <w:pPr>
        <w:spacing w:line="240" w:lineRule="auto" w:before="243"/>
        <w:ind w:left="1023" w:right="1159" w:hanging="543"/>
        <w:jc w:val="both"/>
        <w:rPr>
          <w:sz w:val="24"/>
        </w:rPr>
      </w:pPr>
      <w:r>
        <w:rPr>
          <w:sz w:val="24"/>
        </w:rPr>
        <w:t>Dowrick, P. W. (1983). Self-modelling, In</w:t>
      </w:r>
      <w:r>
        <w:rPr>
          <w:spacing w:val="-2"/>
          <w:sz w:val="24"/>
        </w:rPr>
        <w:t> </w:t>
      </w:r>
      <w:r>
        <w:rPr>
          <w:sz w:val="24"/>
        </w:rPr>
        <w:t>P. W. Dowrick &amp;</w:t>
      </w:r>
      <w:r>
        <w:rPr>
          <w:spacing w:val="-2"/>
          <w:sz w:val="24"/>
        </w:rPr>
        <w:t> </w:t>
      </w:r>
      <w:r>
        <w:rPr>
          <w:sz w:val="24"/>
        </w:rPr>
        <w:t>S. J. Biggs (Eds.), </w:t>
      </w:r>
      <w:r>
        <w:rPr>
          <w:i/>
          <w:sz w:val="24"/>
        </w:rPr>
        <w:t>Using video: Psychological and social applications </w:t>
      </w:r>
      <w:r>
        <w:rPr>
          <w:sz w:val="24"/>
        </w:rPr>
        <w:t>(105-124). Chichester, England: </w:t>
      </w:r>
      <w:r>
        <w:rPr>
          <w:spacing w:val="-2"/>
          <w:sz w:val="24"/>
        </w:rPr>
        <w:t>Wiley.</w:t>
      </w:r>
    </w:p>
    <w:p>
      <w:pPr>
        <w:spacing w:line="240" w:lineRule="auto" w:before="237"/>
        <w:ind w:left="1023" w:right="1155" w:hanging="543"/>
        <w:jc w:val="both"/>
        <w:rPr>
          <w:sz w:val="24"/>
        </w:rPr>
      </w:pPr>
      <w:r>
        <w:rPr>
          <w:sz w:val="24"/>
        </w:rPr>
        <w:t>Dunn, B,, Dalgleish, T. &amp; Lawrence, A. (2006).</w:t>
      </w:r>
      <w:r>
        <w:rPr>
          <w:spacing w:val="80"/>
          <w:sz w:val="24"/>
        </w:rPr>
        <w:t> </w:t>
      </w:r>
      <w:r>
        <w:rPr>
          <w:sz w:val="24"/>
        </w:rPr>
        <w:t>The Somatic</w:t>
      </w:r>
      <w:r>
        <w:rPr>
          <w:spacing w:val="40"/>
          <w:sz w:val="24"/>
        </w:rPr>
        <w:t> </w:t>
      </w:r>
      <w:r>
        <w:rPr>
          <w:sz w:val="24"/>
        </w:rPr>
        <w:t>Marker Hypothesis: DA Critical Evaluation.</w:t>
      </w:r>
      <w:r>
        <w:rPr>
          <w:spacing w:val="40"/>
          <w:sz w:val="24"/>
        </w:rPr>
        <w:t> </w:t>
      </w:r>
      <w:r>
        <w:rPr>
          <w:i/>
          <w:sz w:val="24"/>
        </w:rPr>
        <w:t>Neuroscience &amp; Biobehavioral Reviews</w:t>
      </w:r>
      <w:r>
        <w:rPr>
          <w:sz w:val="24"/>
        </w:rPr>
        <w:t>, 30 (2), 239- </w:t>
      </w:r>
      <w:r>
        <w:rPr>
          <w:spacing w:val="-4"/>
          <w:sz w:val="24"/>
        </w:rPr>
        <w:t>271.</w:t>
      </w:r>
    </w:p>
    <w:p>
      <w:pPr>
        <w:spacing w:line="240" w:lineRule="auto" w:before="243"/>
        <w:ind w:left="1023" w:right="1147" w:hanging="543"/>
        <w:jc w:val="both"/>
        <w:rPr>
          <w:sz w:val="24"/>
        </w:rPr>
      </w:pPr>
      <w:r>
        <w:rPr>
          <w:sz w:val="24"/>
        </w:rPr>
        <w:t>Duyilemi, A. N. (2006). Empowering the Girl child/women in Science, Mathematics and</w:t>
      </w:r>
      <w:r>
        <w:rPr>
          <w:spacing w:val="-2"/>
          <w:sz w:val="24"/>
        </w:rPr>
        <w:t> </w:t>
      </w:r>
      <w:r>
        <w:rPr>
          <w:sz w:val="24"/>
        </w:rPr>
        <w:t>Technology</w:t>
      </w:r>
      <w:r>
        <w:rPr>
          <w:spacing w:val="-12"/>
          <w:sz w:val="24"/>
        </w:rPr>
        <w:t> </w:t>
      </w:r>
      <w:r>
        <w:rPr>
          <w:sz w:val="24"/>
        </w:rPr>
        <w:t>through</w:t>
      </w:r>
      <w:r>
        <w:rPr>
          <w:spacing w:val="-7"/>
          <w:sz w:val="24"/>
        </w:rPr>
        <w:t> </w:t>
      </w:r>
      <w:r>
        <w:rPr>
          <w:sz w:val="24"/>
        </w:rPr>
        <w:t>role modeling. A</w:t>
      </w:r>
      <w:r>
        <w:rPr>
          <w:spacing w:val="-3"/>
          <w:sz w:val="24"/>
        </w:rPr>
        <w:t> </w:t>
      </w:r>
      <w:r>
        <w:rPr>
          <w:sz w:val="24"/>
        </w:rPr>
        <w:t>Welcome Address</w:t>
      </w:r>
      <w:r>
        <w:rPr>
          <w:spacing w:val="-4"/>
          <w:sz w:val="24"/>
        </w:rPr>
        <w:t> </w:t>
      </w:r>
      <w:r>
        <w:rPr>
          <w:sz w:val="24"/>
        </w:rPr>
        <w:t>Presented </w:t>
      </w:r>
      <w:r>
        <w:rPr>
          <w:i/>
          <w:sz w:val="24"/>
        </w:rPr>
        <w:t>at</w:t>
      </w:r>
      <w:r>
        <w:rPr>
          <w:i/>
          <w:spacing w:val="-2"/>
          <w:sz w:val="24"/>
        </w:rPr>
        <w:t> </w:t>
      </w:r>
      <w:r>
        <w:rPr>
          <w:i/>
          <w:sz w:val="24"/>
        </w:rPr>
        <w:t>the</w:t>
      </w:r>
      <w:r>
        <w:rPr>
          <w:i/>
          <w:spacing w:val="-3"/>
          <w:sz w:val="24"/>
        </w:rPr>
        <w:t> </w:t>
      </w:r>
      <w:r>
        <w:rPr>
          <w:i/>
          <w:sz w:val="24"/>
        </w:rPr>
        <w:t>1</w:t>
      </w:r>
      <w:r>
        <w:rPr>
          <w:i/>
          <w:sz w:val="24"/>
          <w:vertAlign w:val="superscript"/>
        </w:rPr>
        <w:t>st</w:t>
      </w:r>
      <w:r>
        <w:rPr>
          <w:i/>
          <w:sz w:val="24"/>
          <w:vertAlign w:val="baseline"/>
        </w:rPr>
        <w:t> International Conferences by FAWE/AAU. </w:t>
      </w:r>
      <w:r>
        <w:rPr>
          <w:sz w:val="24"/>
          <w:vertAlign w:val="baseline"/>
        </w:rPr>
        <w:t>Adekunle Ajasin University, Akungba Akoko.</w:t>
      </w:r>
    </w:p>
    <w:p>
      <w:pPr>
        <w:pStyle w:val="BodyText"/>
        <w:spacing w:before="241"/>
        <w:ind w:left="1023" w:right="1158" w:hanging="543"/>
      </w:pPr>
      <w:r>
        <w:rPr/>
        <w:t>Egley, R. &amp; Jones, B. D. (2005). Principal‘s Inviting Leadership Behaviours in a</w:t>
      </w:r>
      <w:r>
        <w:rPr>
          <w:spacing w:val="80"/>
        </w:rPr>
        <w:t> </w:t>
      </w:r>
      <w:r>
        <w:rPr/>
        <w:t>Time of Test Based Accountability. Scholar-Practitioner Quarterly, 3(1), 13 – </w:t>
      </w:r>
      <w:r>
        <w:rPr>
          <w:spacing w:val="-4"/>
        </w:rPr>
        <w:t>24.</w:t>
      </w:r>
    </w:p>
    <w:p>
      <w:pPr>
        <w:spacing w:after="0"/>
        <w:sectPr>
          <w:pgSz w:w="11910" w:h="16840"/>
          <w:pgMar w:header="0" w:footer="1012" w:top="1340" w:bottom="1200" w:left="1680" w:right="280"/>
        </w:sectPr>
      </w:pPr>
    </w:p>
    <w:p>
      <w:pPr>
        <w:spacing w:line="237" w:lineRule="auto" w:before="76"/>
        <w:ind w:left="1023" w:right="1158" w:hanging="543"/>
        <w:jc w:val="both"/>
        <w:rPr>
          <w:sz w:val="24"/>
        </w:rPr>
      </w:pPr>
      <w:r>
        <w:rPr>
          <w:sz w:val="24"/>
        </w:rPr>
        <w:t>Ejidike I. P, and Oyalana A .A.(2015).</w:t>
      </w:r>
      <w:r>
        <w:rPr>
          <w:spacing w:val="80"/>
          <w:sz w:val="24"/>
        </w:rPr>
        <w:t> </w:t>
      </w:r>
      <w:r>
        <w:rPr>
          <w:sz w:val="24"/>
        </w:rPr>
        <w:t>Factors Influencing Effective Teaching of Chemistry:</w:t>
      </w:r>
      <w:r>
        <w:rPr>
          <w:spacing w:val="40"/>
          <w:sz w:val="24"/>
        </w:rPr>
        <w:t> </w:t>
      </w:r>
      <w:r>
        <w:rPr>
          <w:i/>
          <w:sz w:val="24"/>
        </w:rPr>
        <w:t>International Journal of Science Education</w:t>
      </w:r>
      <w:r>
        <w:rPr>
          <w:sz w:val="24"/>
        </w:rPr>
        <w:t>, 8 (3): 605-617.</w:t>
      </w:r>
    </w:p>
    <w:p>
      <w:pPr>
        <w:pStyle w:val="BodyText"/>
        <w:spacing w:before="243"/>
        <w:ind w:left="1023" w:right="1171" w:hanging="543"/>
      </w:pPr>
      <w:r>
        <w:rPr/>
        <w:t>Ekwueme, C.O. &amp; Umoinyang, I.E. (2005).</w:t>
      </w:r>
      <w:r>
        <w:rPr>
          <w:spacing w:val="40"/>
        </w:rPr>
        <w:t> </w:t>
      </w:r>
      <w:r>
        <w:rPr/>
        <w:t>Gender Differences in Mathematic: Factors among secondary school students in Calabar, Cross-River State.</w:t>
      </w:r>
    </w:p>
    <w:p>
      <w:pPr>
        <w:spacing w:line="240" w:lineRule="auto" w:before="241"/>
        <w:ind w:left="1023" w:right="1152" w:hanging="543"/>
        <w:jc w:val="both"/>
        <w:rPr>
          <w:sz w:val="24"/>
        </w:rPr>
      </w:pPr>
      <w:r>
        <w:rPr>
          <w:sz w:val="24"/>
        </w:rPr>
        <w:t>Erduran, S. &amp; Scerri, R. (2002). The Nature of Chemical Knowledge and Chemical.</w:t>
      </w:r>
      <w:r>
        <w:rPr>
          <w:spacing w:val="40"/>
          <w:sz w:val="24"/>
        </w:rPr>
        <w:t> </w:t>
      </w:r>
      <w:r>
        <w:rPr>
          <w:sz w:val="24"/>
        </w:rPr>
        <w:t>In J. K Gilbert, O. De Jong, R. Justi, D. F. Treagust, &amp; J. Van Driel (Eds.), </w:t>
      </w:r>
      <w:r>
        <w:rPr>
          <w:i/>
          <w:sz w:val="24"/>
        </w:rPr>
        <w:t>Chemical Education Towards Research-based Practice </w:t>
      </w:r>
      <w:r>
        <w:rPr>
          <w:sz w:val="24"/>
        </w:rPr>
        <w:t>(7 – 28). Dordrecht. </w:t>
      </w:r>
      <w:r>
        <w:rPr>
          <w:spacing w:val="-2"/>
          <w:sz w:val="24"/>
        </w:rPr>
        <w:t>Kluwer.</w:t>
      </w:r>
    </w:p>
    <w:p>
      <w:pPr>
        <w:pStyle w:val="BodyText"/>
        <w:spacing w:before="240"/>
        <w:ind w:left="1023" w:right="1164" w:hanging="543"/>
      </w:pPr>
      <w:r>
        <w:rPr/>
        <w:t>Ezeudu, F. O., &amp;</w:t>
      </w:r>
      <w:r>
        <w:rPr>
          <w:spacing w:val="-6"/>
        </w:rPr>
        <w:t> </w:t>
      </w:r>
      <w:r>
        <w:rPr/>
        <w:t>Obi-Theresa, N. (2013). Effect of</w:t>
      </w:r>
      <w:r>
        <w:rPr>
          <w:spacing w:val="-4"/>
        </w:rPr>
        <w:t> </w:t>
      </w:r>
      <w:r>
        <w:rPr/>
        <w:t>Gender and Location</w:t>
      </w:r>
      <w:r>
        <w:rPr>
          <w:spacing w:val="-6"/>
        </w:rPr>
        <w:t> </w:t>
      </w:r>
      <w:r>
        <w:rPr/>
        <w:t>on</w:t>
      </w:r>
      <w:r>
        <w:rPr>
          <w:spacing w:val="-1"/>
        </w:rPr>
        <w:t> </w:t>
      </w:r>
      <w:r>
        <w:rPr/>
        <w:t>Students‘ Achievement in Chemistry in Secondary Schools in Nsukka Local Government Area of Enugu State, Nigeria. </w:t>
      </w:r>
      <w:r>
        <w:rPr>
          <w:i/>
        </w:rPr>
        <w:t>Research on Humanities and Social Sciences, </w:t>
      </w:r>
      <w:r>
        <w:rPr/>
        <w:t>3(15), 50-55.</w:t>
      </w:r>
    </w:p>
    <w:p>
      <w:pPr>
        <w:pStyle w:val="BodyText"/>
        <w:spacing w:before="241"/>
        <w:ind w:left="1023" w:right="1173" w:hanging="543"/>
      </w:pPr>
      <w:r>
        <w:rPr/>
        <w:t>Farooq, A. (2003). Effect of Emotional Intelligence on Academic Performance, Unpublished Thesis, Institute of Clinical Psychology, University of Karachi, </w:t>
      </w:r>
      <w:r>
        <w:rPr>
          <w:spacing w:val="-2"/>
        </w:rPr>
        <w:t>Pakistan.</w:t>
      </w:r>
    </w:p>
    <w:p>
      <w:pPr>
        <w:spacing w:line="240" w:lineRule="auto" w:before="238"/>
        <w:ind w:left="1023" w:right="1163" w:hanging="543"/>
        <w:jc w:val="both"/>
        <w:rPr>
          <w:sz w:val="24"/>
        </w:rPr>
      </w:pPr>
      <w:r>
        <w:rPr>
          <w:sz w:val="24"/>
        </w:rPr>
        <w:t>Fayombo, G.A. (2012). "Emotional Intelligence and Gender as Predictors of Academic Achievement among Some University Students in Barbados." </w:t>
      </w:r>
      <w:r>
        <w:rPr>
          <w:i/>
          <w:sz w:val="24"/>
        </w:rPr>
        <w:t>International Journal of Higher Education </w:t>
      </w:r>
      <w:r>
        <w:rPr>
          <w:sz w:val="24"/>
        </w:rPr>
        <w:t>1(1): 102-111.</w:t>
      </w:r>
    </w:p>
    <w:p>
      <w:pPr>
        <w:pStyle w:val="BodyText"/>
        <w:spacing w:before="243"/>
        <w:ind w:left="1023" w:right="1159" w:hanging="543"/>
      </w:pPr>
      <w:r>
        <w:rPr/>
        <w:t>Forster, N. (2001). A Case Study of Women Academics‘ views on equal Opportunities, Hansard Society. 1990. Report of the Hansard Society Commission on Women at the top. London: Hansard Society for Parliamentary </w:t>
      </w:r>
      <w:r>
        <w:rPr>
          <w:spacing w:val="-2"/>
        </w:rPr>
        <w:t>Government.</w:t>
      </w:r>
    </w:p>
    <w:p>
      <w:pPr>
        <w:spacing w:line="240" w:lineRule="auto" w:before="240"/>
        <w:ind w:left="1023" w:right="1154" w:hanging="543"/>
        <w:jc w:val="both"/>
        <w:rPr>
          <w:sz w:val="24"/>
        </w:rPr>
      </w:pPr>
      <w:r>
        <w:rPr>
          <w:sz w:val="24"/>
        </w:rPr>
        <w:t>Furio, C., Ascona, R., Guaisasola, J. &amp; Ratcliffe, M. (2000).</w:t>
      </w:r>
      <w:r>
        <w:rPr>
          <w:spacing w:val="40"/>
          <w:sz w:val="24"/>
        </w:rPr>
        <w:t> </w:t>
      </w:r>
      <w:r>
        <w:rPr>
          <w:sz w:val="24"/>
        </w:rPr>
        <w:t>Difficulties in Teaching the concepts of Amount of Substance and Mole.</w:t>
      </w:r>
      <w:r>
        <w:rPr>
          <w:spacing w:val="40"/>
          <w:sz w:val="24"/>
        </w:rPr>
        <w:t> </w:t>
      </w:r>
      <w:r>
        <w:rPr>
          <w:i/>
          <w:sz w:val="24"/>
        </w:rPr>
        <w:t>International Journal of Science Education,</w:t>
      </w:r>
      <w:r>
        <w:rPr>
          <w:i/>
          <w:spacing w:val="80"/>
          <w:sz w:val="24"/>
        </w:rPr>
        <w:t> </w:t>
      </w:r>
      <w:r>
        <w:rPr>
          <w:sz w:val="24"/>
        </w:rPr>
        <w:t>22(12), 1285-1304.</w:t>
      </w:r>
    </w:p>
    <w:p>
      <w:pPr>
        <w:spacing w:line="240" w:lineRule="auto" w:before="238"/>
        <w:ind w:left="1023" w:right="1163" w:hanging="543"/>
        <w:jc w:val="both"/>
        <w:rPr>
          <w:sz w:val="24"/>
        </w:rPr>
      </w:pPr>
      <w:r>
        <w:rPr>
          <w:sz w:val="24"/>
        </w:rPr>
        <w:t>Gakhar, S.C., &amp; Aseema. (2014).</w:t>
      </w:r>
      <w:r>
        <w:rPr>
          <w:spacing w:val="40"/>
          <w:sz w:val="24"/>
        </w:rPr>
        <w:t> </w:t>
      </w:r>
      <w:r>
        <w:rPr>
          <w:sz w:val="24"/>
        </w:rPr>
        <w:t>Influence of Self-concept, Stress, locality and Gender on the Academic achievement and Reasoning ability of Adolescents, </w:t>
      </w:r>
      <w:r>
        <w:rPr>
          <w:i/>
          <w:sz w:val="24"/>
        </w:rPr>
        <w:t>Praachi Journal of Psycho-cultural dimensions, </w:t>
      </w:r>
      <w:r>
        <w:rPr>
          <w:sz w:val="24"/>
        </w:rPr>
        <w:t>20 (1), 25-28.</w:t>
      </w:r>
    </w:p>
    <w:p>
      <w:pPr>
        <w:spacing w:line="240" w:lineRule="auto" w:before="243"/>
        <w:ind w:left="1023" w:right="1156" w:hanging="543"/>
        <w:jc w:val="both"/>
        <w:rPr>
          <w:sz w:val="24"/>
        </w:rPr>
      </w:pPr>
      <w:r>
        <w:rPr>
          <w:sz w:val="24"/>
        </w:rPr>
        <w:t>Galotti, K. M., Baron, J., &amp; Sabini, J. P. (1986). Individual Differences in Syllogistic Reasoning: Deduction rules or mental models? </w:t>
      </w:r>
      <w:r>
        <w:rPr>
          <w:i/>
          <w:sz w:val="24"/>
        </w:rPr>
        <w:t>Journal of Experimental Psychology</w:t>
      </w:r>
      <w:r>
        <w:rPr>
          <w:sz w:val="24"/>
        </w:rPr>
        <w:t>: </w:t>
      </w:r>
      <w:r>
        <w:rPr>
          <w:i/>
          <w:sz w:val="24"/>
        </w:rPr>
        <w:t>General </w:t>
      </w:r>
      <w:r>
        <w:rPr>
          <w:sz w:val="24"/>
        </w:rPr>
        <w:t>115, 16-25.</w:t>
      </w:r>
    </w:p>
    <w:p>
      <w:pPr>
        <w:pStyle w:val="BodyText"/>
        <w:spacing w:before="238"/>
        <w:ind w:left="1023" w:right="1156" w:hanging="543"/>
      </w:pPr>
      <w:r>
        <w:rPr/>
        <w:t>Gang, C.&amp; Guiyang, X. (2000). Gender Differences in Academic Achievement and the Educational Implications. </w:t>
      </w:r>
      <w:r>
        <w:rPr>
          <w:i/>
        </w:rPr>
        <w:t>Chinese Education and Society </w:t>
      </w:r>
      <w:r>
        <w:rPr/>
        <w:t>33(2), 44 – 49. </w:t>
      </w:r>
      <w:hyperlink r:id="rId26">
        <w:r>
          <w:rPr/>
          <w:t>http://dx.doi.org./10.2753/CED1061 - 1932330244</w:t>
        </w:r>
      </w:hyperlink>
      <w:r>
        <w:rPr/>
        <w:t>.</w:t>
      </w:r>
    </w:p>
    <w:p>
      <w:pPr>
        <w:spacing w:line="240" w:lineRule="auto" w:before="242"/>
        <w:ind w:left="1023" w:right="1159" w:hanging="543"/>
        <w:jc w:val="both"/>
        <w:rPr>
          <w:sz w:val="24"/>
        </w:rPr>
      </w:pPr>
      <w:r>
        <w:rPr>
          <w:sz w:val="24"/>
        </w:rPr>
        <w:t>Garcia, T„ Yu, S. L„ &amp; Coppola, B. P. (1993). </w:t>
      </w:r>
      <w:r>
        <w:rPr>
          <w:i/>
          <w:sz w:val="24"/>
        </w:rPr>
        <w:t>Women and Minorities, in Science: Motivational and Cognitive Correlates of Achievement. </w:t>
      </w:r>
      <w:r>
        <w:rPr>
          <w:sz w:val="24"/>
        </w:rPr>
        <w:t>Ann Arbor, Michigan. (ERIC Document Reproduction Service No. ED359235).</w:t>
      </w:r>
    </w:p>
    <w:p>
      <w:pPr>
        <w:spacing w:line="240" w:lineRule="auto" w:before="239"/>
        <w:ind w:left="1023" w:right="1159" w:hanging="543"/>
        <w:jc w:val="both"/>
        <w:rPr>
          <w:sz w:val="24"/>
        </w:rPr>
      </w:pPr>
      <w:r>
        <w:rPr>
          <w:sz w:val="24"/>
        </w:rPr>
        <w:t>Gaver, D. &amp; Goliez, H. (1984). Academically Unpredictable School Children. Their Attributes Towards School Subjects. </w:t>
      </w:r>
      <w:r>
        <w:rPr>
          <w:i/>
          <w:sz w:val="24"/>
        </w:rPr>
        <w:t>Journal of Educational Research, </w:t>
      </w:r>
      <w:r>
        <w:rPr>
          <w:sz w:val="24"/>
        </w:rPr>
        <w:t>77, 273</w:t>
      </w:r>
      <w:r>
        <w:rPr>
          <w:spacing w:val="40"/>
          <w:sz w:val="24"/>
        </w:rPr>
        <w:t> </w:t>
      </w:r>
      <w:r>
        <w:rPr>
          <w:sz w:val="24"/>
        </w:rPr>
        <w:t>– 276.</w:t>
      </w:r>
    </w:p>
    <w:p>
      <w:pPr>
        <w:spacing w:after="0" w:line="240" w:lineRule="auto"/>
        <w:jc w:val="both"/>
        <w:rPr>
          <w:sz w:val="24"/>
        </w:rPr>
        <w:sectPr>
          <w:pgSz w:w="11910" w:h="16840"/>
          <w:pgMar w:header="0" w:footer="1012" w:top="1340" w:bottom="1200" w:left="1680" w:right="280"/>
        </w:sectPr>
      </w:pPr>
    </w:p>
    <w:p>
      <w:pPr>
        <w:spacing w:line="240" w:lineRule="auto" w:before="74"/>
        <w:ind w:left="1023" w:right="1160" w:hanging="543"/>
        <w:jc w:val="both"/>
        <w:rPr>
          <w:sz w:val="24"/>
        </w:rPr>
      </w:pPr>
      <w:r>
        <w:rPr>
          <w:sz w:val="24"/>
        </w:rPr>
        <w:t>George,</w:t>
      </w:r>
      <w:r>
        <w:rPr>
          <w:spacing w:val="-3"/>
          <w:sz w:val="24"/>
        </w:rPr>
        <w:t> </w:t>
      </w:r>
      <w:r>
        <w:rPr>
          <w:sz w:val="24"/>
        </w:rPr>
        <w:t>T. R., Feltz, D.</w:t>
      </w:r>
      <w:r>
        <w:rPr>
          <w:spacing w:val="-3"/>
          <w:sz w:val="24"/>
        </w:rPr>
        <w:t> </w:t>
      </w:r>
      <w:r>
        <w:rPr>
          <w:sz w:val="24"/>
        </w:rPr>
        <w:t>L. &amp;</w:t>
      </w:r>
      <w:r>
        <w:rPr>
          <w:spacing w:val="-5"/>
          <w:sz w:val="24"/>
        </w:rPr>
        <w:t> </w:t>
      </w:r>
      <w:r>
        <w:rPr>
          <w:sz w:val="24"/>
        </w:rPr>
        <w:t>Chase, M. A. (1992).</w:t>
      </w:r>
      <w:r>
        <w:rPr>
          <w:spacing w:val="-3"/>
          <w:sz w:val="24"/>
        </w:rPr>
        <w:t> </w:t>
      </w:r>
      <w:r>
        <w:rPr>
          <w:sz w:val="24"/>
        </w:rPr>
        <w:t>Effects</w:t>
      </w:r>
      <w:r>
        <w:rPr>
          <w:spacing w:val="-2"/>
          <w:sz w:val="24"/>
        </w:rPr>
        <w:t> </w:t>
      </w:r>
      <w:r>
        <w:rPr>
          <w:sz w:val="24"/>
        </w:rPr>
        <w:t>of</w:t>
      </w:r>
      <w:r>
        <w:rPr>
          <w:spacing w:val="-3"/>
          <w:sz w:val="24"/>
        </w:rPr>
        <w:t> </w:t>
      </w:r>
      <w:r>
        <w:rPr>
          <w:sz w:val="24"/>
        </w:rPr>
        <w:t>model</w:t>
      </w:r>
      <w:r>
        <w:rPr>
          <w:spacing w:val="-9"/>
          <w:sz w:val="24"/>
        </w:rPr>
        <w:t> </w:t>
      </w:r>
      <w:r>
        <w:rPr>
          <w:sz w:val="24"/>
        </w:rPr>
        <w:t>similarity</w:t>
      </w:r>
      <w:r>
        <w:rPr>
          <w:spacing w:val="-10"/>
          <w:sz w:val="24"/>
        </w:rPr>
        <w:t> </w:t>
      </w:r>
      <w:r>
        <w:rPr>
          <w:sz w:val="24"/>
        </w:rPr>
        <w:t>on</w:t>
      </w:r>
      <w:r>
        <w:rPr>
          <w:spacing w:val="-5"/>
          <w:sz w:val="24"/>
        </w:rPr>
        <w:t> </w:t>
      </w:r>
      <w:r>
        <w:rPr>
          <w:sz w:val="24"/>
        </w:rPr>
        <w:t>self- efficacy</w:t>
      </w:r>
      <w:r>
        <w:rPr>
          <w:spacing w:val="-3"/>
          <w:sz w:val="24"/>
        </w:rPr>
        <w:t> </w:t>
      </w:r>
      <w:r>
        <w:rPr>
          <w:sz w:val="24"/>
        </w:rPr>
        <w:t>and muscular endurance: A second look. </w:t>
      </w:r>
      <w:r>
        <w:rPr>
          <w:i/>
          <w:sz w:val="24"/>
        </w:rPr>
        <w:t>Journal of Sport and Exercise Psychology, 14, </w:t>
      </w:r>
      <w:r>
        <w:rPr>
          <w:sz w:val="24"/>
        </w:rPr>
        <w:t>237-248.</w:t>
      </w:r>
    </w:p>
    <w:p>
      <w:pPr>
        <w:pStyle w:val="BodyText"/>
        <w:spacing w:before="238"/>
        <w:ind w:left="1023" w:right="1160" w:hanging="543"/>
      </w:pPr>
      <w:r>
        <w:rPr/>
        <w:t>Gilhooly, K. J. (2004). Working Memory and Reasoning. In J. P. Leighton &amp; R. J. Sternberg (Eds.), </w:t>
      </w:r>
      <w:r>
        <w:rPr>
          <w:i/>
        </w:rPr>
        <w:t>The Nature of Reasoning (49-77). </w:t>
      </w:r>
      <w:r>
        <w:rPr/>
        <w:t>New York, NY: Cambridge University Press.</w:t>
      </w:r>
    </w:p>
    <w:p>
      <w:pPr>
        <w:spacing w:line="237" w:lineRule="auto" w:before="245"/>
        <w:ind w:left="1023" w:right="1165" w:hanging="543"/>
        <w:jc w:val="both"/>
        <w:rPr>
          <w:sz w:val="24"/>
        </w:rPr>
      </w:pPr>
      <w:r>
        <w:rPr>
          <w:sz w:val="24"/>
        </w:rPr>
        <w:t>Goleman, D. (1995).</w:t>
      </w:r>
      <w:r>
        <w:rPr>
          <w:spacing w:val="80"/>
          <w:sz w:val="24"/>
        </w:rPr>
        <w:t> </w:t>
      </w:r>
      <w:r>
        <w:rPr>
          <w:i/>
          <w:sz w:val="24"/>
        </w:rPr>
        <w:t>Emotional Intelligence:</w:t>
      </w:r>
      <w:r>
        <w:rPr>
          <w:i/>
          <w:spacing w:val="80"/>
          <w:sz w:val="24"/>
        </w:rPr>
        <w:t> </w:t>
      </w:r>
      <w:r>
        <w:rPr>
          <w:sz w:val="24"/>
        </w:rPr>
        <w:t>Why it</w:t>
      </w:r>
      <w:r>
        <w:rPr>
          <w:spacing w:val="40"/>
          <w:sz w:val="24"/>
        </w:rPr>
        <w:t> </w:t>
      </w:r>
      <w:r>
        <w:rPr>
          <w:sz w:val="24"/>
        </w:rPr>
        <w:t>can Matter More Than IQ. New York:</w:t>
      </w:r>
      <w:r>
        <w:rPr>
          <w:spacing w:val="40"/>
          <w:sz w:val="24"/>
        </w:rPr>
        <w:t> </w:t>
      </w:r>
      <w:r>
        <w:rPr>
          <w:sz w:val="24"/>
        </w:rPr>
        <w:t>Bantam Books.</w:t>
      </w:r>
    </w:p>
    <w:p>
      <w:pPr>
        <w:pStyle w:val="BodyText"/>
        <w:spacing w:line="237" w:lineRule="auto" w:before="246"/>
        <w:ind w:left="1023" w:right="1161" w:hanging="543"/>
      </w:pPr>
      <w:r>
        <w:rPr/>
        <w:t>Goleman, D. (1998). Working with Emotional Intelligence. New York: Bantam </w:t>
      </w:r>
      <w:r>
        <w:rPr>
          <w:spacing w:val="-2"/>
        </w:rPr>
        <w:t>Books.</w:t>
      </w:r>
    </w:p>
    <w:p>
      <w:pPr>
        <w:spacing w:line="240" w:lineRule="auto" w:before="243"/>
        <w:ind w:left="1023" w:right="1154" w:hanging="543"/>
        <w:jc w:val="both"/>
        <w:rPr>
          <w:sz w:val="24"/>
        </w:rPr>
      </w:pPr>
      <w:r>
        <w:rPr>
          <w:sz w:val="24"/>
        </w:rPr>
        <w:t>Goleman, D. (2001). </w:t>
      </w:r>
      <w:r>
        <w:rPr>
          <w:i/>
          <w:sz w:val="24"/>
        </w:rPr>
        <w:t>Emotional Intelligence: </w:t>
      </w:r>
      <w:r>
        <w:rPr>
          <w:sz w:val="24"/>
        </w:rPr>
        <w:t>Issues in Paradigm Building. In C. Cherniss and D. Goleman (Ed‘s), </w:t>
      </w:r>
      <w:r>
        <w:rPr>
          <w:i/>
          <w:sz w:val="24"/>
        </w:rPr>
        <w:t>The Emotionally Intelligence Workplace. </w:t>
      </w:r>
      <w:r>
        <w:rPr>
          <w:sz w:val="24"/>
        </w:rPr>
        <w:t>San Franisco: Joseey-Bass.</w:t>
      </w:r>
    </w:p>
    <w:p>
      <w:pPr>
        <w:pStyle w:val="BodyText"/>
        <w:spacing w:before="238"/>
      </w:pPr>
      <w:r>
        <w:rPr/>
        <w:t>Gorriz,</w:t>
      </w:r>
      <w:r>
        <w:rPr>
          <w:spacing w:val="4"/>
        </w:rPr>
        <w:t> </w:t>
      </w:r>
      <w:r>
        <w:rPr/>
        <w:t>J..,</w:t>
      </w:r>
      <w:r>
        <w:rPr>
          <w:spacing w:val="1"/>
        </w:rPr>
        <w:t> </w:t>
      </w:r>
      <w:r>
        <w:rPr/>
        <w:t>&amp;</w:t>
      </w:r>
      <w:r>
        <w:rPr>
          <w:spacing w:val="-5"/>
        </w:rPr>
        <w:t> </w:t>
      </w:r>
      <w:r>
        <w:rPr/>
        <w:t>Medina,</w:t>
      </w:r>
      <w:r>
        <w:rPr>
          <w:spacing w:val="1"/>
        </w:rPr>
        <w:t> </w:t>
      </w:r>
      <w:r>
        <w:rPr/>
        <w:t>E.</w:t>
      </w:r>
      <w:r>
        <w:rPr>
          <w:spacing w:val="1"/>
        </w:rPr>
        <w:t> </w:t>
      </w:r>
      <w:r>
        <w:rPr/>
        <w:t>(2007).</w:t>
      </w:r>
      <w:r>
        <w:rPr>
          <w:spacing w:val="2"/>
        </w:rPr>
        <w:t> </w:t>
      </w:r>
      <w:r>
        <w:rPr/>
        <w:t>Social</w:t>
      </w:r>
      <w:r>
        <w:rPr>
          <w:spacing w:val="-1"/>
        </w:rPr>
        <w:t> </w:t>
      </w:r>
      <w:r>
        <w:rPr/>
        <w:t>class,</w:t>
      </w:r>
      <w:r>
        <w:rPr>
          <w:spacing w:val="1"/>
        </w:rPr>
        <w:t> </w:t>
      </w:r>
      <w:r>
        <w:rPr/>
        <w:t>sex and</w:t>
      </w:r>
      <w:r>
        <w:rPr>
          <w:spacing w:val="3"/>
        </w:rPr>
        <w:t> </w:t>
      </w:r>
      <w:r>
        <w:rPr/>
        <w:t>fear of</w:t>
      </w:r>
      <w:r>
        <w:rPr>
          <w:spacing w:val="-3"/>
        </w:rPr>
        <w:t> </w:t>
      </w:r>
      <w:r>
        <w:rPr/>
        <w:t>success</w:t>
      </w:r>
      <w:r>
        <w:rPr>
          <w:spacing w:val="1"/>
        </w:rPr>
        <w:t> </w:t>
      </w:r>
      <w:r>
        <w:rPr/>
        <w:t>in</w:t>
      </w:r>
      <w:r>
        <w:rPr>
          <w:spacing w:val="4"/>
        </w:rPr>
        <w:t> </w:t>
      </w:r>
      <w:r>
        <w:rPr>
          <w:spacing w:val="-2"/>
        </w:rPr>
        <w:t>Mathematics.</w:t>
      </w:r>
    </w:p>
    <w:p>
      <w:pPr>
        <w:spacing w:before="3"/>
        <w:ind w:left="1023" w:right="0" w:firstLine="0"/>
        <w:jc w:val="both"/>
        <w:rPr>
          <w:sz w:val="24"/>
        </w:rPr>
      </w:pPr>
      <w:r>
        <w:rPr>
          <w:i/>
          <w:sz w:val="24"/>
        </w:rPr>
        <w:t>Journal</w:t>
      </w:r>
      <w:r>
        <w:rPr>
          <w:i/>
          <w:spacing w:val="-2"/>
          <w:sz w:val="24"/>
        </w:rPr>
        <w:t> </w:t>
      </w:r>
      <w:r>
        <w:rPr>
          <w:i/>
          <w:sz w:val="24"/>
        </w:rPr>
        <w:t>for</w:t>
      </w:r>
      <w:r>
        <w:rPr>
          <w:i/>
          <w:spacing w:val="-7"/>
          <w:sz w:val="24"/>
        </w:rPr>
        <w:t> </w:t>
      </w:r>
      <w:r>
        <w:rPr>
          <w:i/>
          <w:sz w:val="24"/>
        </w:rPr>
        <w:t>Research in Mathematics</w:t>
      </w:r>
      <w:r>
        <w:rPr>
          <w:i/>
          <w:spacing w:val="-1"/>
          <w:sz w:val="24"/>
        </w:rPr>
        <w:t> </w:t>
      </w:r>
      <w:r>
        <w:rPr>
          <w:i/>
          <w:sz w:val="24"/>
        </w:rPr>
        <w:t>Education.</w:t>
      </w:r>
      <w:r>
        <w:rPr>
          <w:i/>
          <w:spacing w:val="7"/>
          <w:sz w:val="24"/>
        </w:rPr>
        <w:t> </w:t>
      </w:r>
      <w:r>
        <w:rPr>
          <w:sz w:val="24"/>
        </w:rPr>
        <w:t>13(12),</w:t>
      </w:r>
      <w:r>
        <w:rPr>
          <w:spacing w:val="-3"/>
          <w:sz w:val="24"/>
        </w:rPr>
        <w:t> </w:t>
      </w:r>
      <w:r>
        <w:rPr>
          <w:sz w:val="24"/>
        </w:rPr>
        <w:t>124</w:t>
      </w:r>
      <w:r>
        <w:rPr>
          <w:spacing w:val="1"/>
          <w:sz w:val="24"/>
        </w:rPr>
        <w:t> </w:t>
      </w:r>
      <w:r>
        <w:rPr>
          <w:sz w:val="24"/>
        </w:rPr>
        <w:t>–</w:t>
      </w:r>
      <w:r>
        <w:rPr>
          <w:spacing w:val="-4"/>
          <w:sz w:val="24"/>
        </w:rPr>
        <w:t> 135.</w:t>
      </w:r>
    </w:p>
    <w:p>
      <w:pPr>
        <w:spacing w:line="242" w:lineRule="auto" w:before="237"/>
        <w:ind w:left="1023" w:right="1160" w:hanging="543"/>
        <w:jc w:val="both"/>
        <w:rPr>
          <w:sz w:val="24"/>
        </w:rPr>
      </w:pPr>
      <w:r>
        <w:rPr>
          <w:sz w:val="24"/>
        </w:rPr>
        <w:t>Gould, D. &amp;</w:t>
      </w:r>
      <w:r>
        <w:rPr>
          <w:spacing w:val="-5"/>
          <w:sz w:val="24"/>
        </w:rPr>
        <w:t> </w:t>
      </w:r>
      <w:r>
        <w:rPr>
          <w:sz w:val="24"/>
        </w:rPr>
        <w:t>Weiss, M. (1981).</w:t>
      </w:r>
      <w:r>
        <w:rPr>
          <w:spacing w:val="-3"/>
          <w:sz w:val="24"/>
        </w:rPr>
        <w:t> </w:t>
      </w:r>
      <w:r>
        <w:rPr>
          <w:sz w:val="24"/>
        </w:rPr>
        <w:t>The</w:t>
      </w:r>
      <w:r>
        <w:rPr>
          <w:spacing w:val="-1"/>
          <w:sz w:val="24"/>
        </w:rPr>
        <w:t> </w:t>
      </w:r>
      <w:r>
        <w:rPr>
          <w:sz w:val="24"/>
        </w:rPr>
        <w:t>effects</w:t>
      </w:r>
      <w:r>
        <w:rPr>
          <w:spacing w:val="-2"/>
          <w:sz w:val="24"/>
        </w:rPr>
        <w:t> </w:t>
      </w:r>
      <w:r>
        <w:rPr>
          <w:sz w:val="24"/>
        </w:rPr>
        <w:t>of</w:t>
      </w:r>
      <w:r>
        <w:rPr>
          <w:spacing w:val="-3"/>
          <w:sz w:val="24"/>
        </w:rPr>
        <w:t> </w:t>
      </w:r>
      <w:r>
        <w:rPr>
          <w:sz w:val="24"/>
        </w:rPr>
        <w:t>model</w:t>
      </w:r>
      <w:r>
        <w:rPr>
          <w:spacing w:val="-9"/>
          <w:sz w:val="24"/>
        </w:rPr>
        <w:t> </w:t>
      </w:r>
      <w:r>
        <w:rPr>
          <w:sz w:val="24"/>
        </w:rPr>
        <w:t>similarity</w:t>
      </w:r>
      <w:r>
        <w:rPr>
          <w:spacing w:val="-10"/>
          <w:sz w:val="24"/>
        </w:rPr>
        <w:t> </w:t>
      </w:r>
      <w:r>
        <w:rPr>
          <w:sz w:val="24"/>
        </w:rPr>
        <w:t>and model</w:t>
      </w:r>
      <w:r>
        <w:rPr>
          <w:spacing w:val="-9"/>
          <w:sz w:val="24"/>
        </w:rPr>
        <w:t> </w:t>
      </w:r>
      <w:r>
        <w:rPr>
          <w:sz w:val="24"/>
        </w:rPr>
        <w:t>talk</w:t>
      </w:r>
      <w:r>
        <w:rPr>
          <w:spacing w:val="-1"/>
          <w:sz w:val="24"/>
        </w:rPr>
        <w:t> </w:t>
      </w:r>
      <w:r>
        <w:rPr>
          <w:sz w:val="24"/>
        </w:rPr>
        <w:t>on</w:t>
      </w:r>
      <w:r>
        <w:rPr>
          <w:spacing w:val="-5"/>
          <w:sz w:val="24"/>
        </w:rPr>
        <w:t> </w:t>
      </w:r>
      <w:r>
        <w:rPr>
          <w:sz w:val="24"/>
        </w:rPr>
        <w:t>self- efficacy and muscular endurance. </w:t>
      </w:r>
      <w:r>
        <w:rPr>
          <w:i/>
          <w:sz w:val="24"/>
        </w:rPr>
        <w:t>Journal of Sport Psychology, 3, </w:t>
      </w:r>
      <w:r>
        <w:rPr>
          <w:sz w:val="24"/>
        </w:rPr>
        <w:t>17-29,</w:t>
      </w:r>
    </w:p>
    <w:p>
      <w:pPr>
        <w:spacing w:line="240" w:lineRule="auto" w:before="235"/>
        <w:ind w:left="1023" w:right="1157" w:hanging="543"/>
        <w:jc w:val="both"/>
        <w:rPr>
          <w:sz w:val="24"/>
        </w:rPr>
      </w:pPr>
      <w:r>
        <w:rPr>
          <w:sz w:val="24"/>
        </w:rPr>
        <w:t>Greenberg, M.T. &amp; Smell, J.L. (1997</w:t>
      </w:r>
      <w:r>
        <w:rPr>
          <w:i/>
          <w:sz w:val="24"/>
        </w:rPr>
        <w:t>). Brain Development and Emotional Development:</w:t>
      </w:r>
      <w:r>
        <w:rPr>
          <w:i/>
          <w:spacing w:val="40"/>
          <w:sz w:val="24"/>
        </w:rPr>
        <w:t> </w:t>
      </w:r>
      <w:r>
        <w:rPr>
          <w:i/>
          <w:sz w:val="24"/>
        </w:rPr>
        <w:t>The Role of Leaching Teaching in Organizing the Frontal Lobe</w:t>
      </w:r>
      <w:r>
        <w:rPr>
          <w:sz w:val="24"/>
        </w:rPr>
        <w:t>. In Salovey, P and Sloyter, FDJ (Eds) Emotional Development and Emotional- Intelligence:</w:t>
      </w:r>
      <w:r>
        <w:rPr>
          <w:spacing w:val="40"/>
          <w:sz w:val="24"/>
        </w:rPr>
        <w:t> </w:t>
      </w:r>
      <w:r>
        <w:rPr>
          <w:sz w:val="24"/>
        </w:rPr>
        <w:t>Emotional Implications and Development of Emotion Regulation </w:t>
      </w:r>
      <w:r>
        <w:rPr>
          <w:spacing w:val="-2"/>
          <w:sz w:val="24"/>
        </w:rPr>
        <w:t>(93-118).</w:t>
      </w:r>
    </w:p>
    <w:p>
      <w:pPr>
        <w:spacing w:line="240" w:lineRule="auto" w:before="243"/>
        <w:ind w:left="1023" w:right="1153" w:hanging="543"/>
        <w:jc w:val="both"/>
        <w:rPr>
          <w:sz w:val="24"/>
        </w:rPr>
      </w:pPr>
      <w:r>
        <w:rPr>
          <w:sz w:val="24"/>
        </w:rPr>
        <w:t>Greenockte, K.M. (2010).</w:t>
      </w:r>
      <w:r>
        <w:rPr>
          <w:spacing w:val="40"/>
          <w:sz w:val="24"/>
        </w:rPr>
        <w:t> </w:t>
      </w:r>
      <w:r>
        <w:rPr>
          <w:sz w:val="24"/>
        </w:rPr>
        <w:t>The New Face in Leadership:</w:t>
      </w:r>
      <w:r>
        <w:rPr>
          <w:spacing w:val="40"/>
          <w:sz w:val="24"/>
        </w:rPr>
        <w:t> </w:t>
      </w:r>
      <w:r>
        <w:rPr>
          <w:sz w:val="24"/>
        </w:rPr>
        <w:t>Emotional Intelligence. </w:t>
      </w:r>
      <w:r>
        <w:rPr>
          <w:i/>
          <w:sz w:val="24"/>
        </w:rPr>
        <w:t>National Association for Kinesiology and Physical Education in Higher Education, </w:t>
      </w:r>
      <w:r>
        <w:rPr>
          <w:sz w:val="24"/>
        </w:rPr>
        <w:t>62(3).</w:t>
      </w:r>
      <w:r>
        <w:rPr>
          <w:spacing w:val="40"/>
          <w:sz w:val="24"/>
        </w:rPr>
        <w:t> </w:t>
      </w:r>
      <w:r>
        <w:rPr>
          <w:sz w:val="24"/>
        </w:rPr>
        <w:t>EBSCO host.</w:t>
      </w:r>
    </w:p>
    <w:p>
      <w:pPr>
        <w:spacing w:line="240" w:lineRule="auto" w:before="238"/>
        <w:ind w:left="1023" w:right="1146" w:hanging="543"/>
        <w:jc w:val="both"/>
        <w:rPr>
          <w:sz w:val="24"/>
        </w:rPr>
      </w:pPr>
      <w:r>
        <w:rPr>
          <w:sz w:val="24"/>
        </w:rPr>
        <w:t>Gupta, R., Sharma, S., &amp; Gupta, M. (2012).</w:t>
      </w:r>
      <w:r>
        <w:rPr>
          <w:spacing w:val="40"/>
          <w:sz w:val="24"/>
        </w:rPr>
        <w:t> </w:t>
      </w:r>
      <w:r>
        <w:rPr>
          <w:sz w:val="24"/>
        </w:rPr>
        <w:t>A Study of Gender Difference on the Measure of Academic Achivement in Adolescent Students. </w:t>
      </w:r>
      <w:r>
        <w:rPr>
          <w:i/>
          <w:sz w:val="24"/>
        </w:rPr>
        <w:t>VSRD Technical &amp; non-Technical Journal </w:t>
      </w:r>
      <w:r>
        <w:rPr>
          <w:sz w:val="24"/>
        </w:rPr>
        <w:t>3 (1), 23 – 27.</w:t>
      </w:r>
    </w:p>
    <w:p>
      <w:pPr>
        <w:pStyle w:val="BodyText"/>
        <w:spacing w:line="275" w:lineRule="exact" w:before="243"/>
      </w:pPr>
      <w:r>
        <w:rPr/>
        <w:t>Habibah,</w:t>
      </w:r>
      <w:r>
        <w:rPr>
          <w:spacing w:val="23"/>
        </w:rPr>
        <w:t> </w:t>
      </w:r>
      <w:r>
        <w:rPr/>
        <w:t>E;</w:t>
      </w:r>
      <w:r>
        <w:rPr>
          <w:spacing w:val="21"/>
        </w:rPr>
        <w:t> </w:t>
      </w:r>
      <w:r>
        <w:rPr/>
        <w:t>Rahill,</w:t>
      </w:r>
      <w:r>
        <w:rPr>
          <w:spacing w:val="26"/>
        </w:rPr>
        <w:t> </w:t>
      </w:r>
      <w:r>
        <w:rPr/>
        <w:t>M:</w:t>
      </w:r>
      <w:r>
        <w:rPr>
          <w:spacing w:val="78"/>
          <w:w w:val="150"/>
        </w:rPr>
        <w:t> </w:t>
      </w:r>
      <w:r>
        <w:rPr/>
        <w:t>Maria,</w:t>
      </w:r>
      <w:r>
        <w:rPr>
          <w:spacing w:val="26"/>
        </w:rPr>
        <w:t> </w:t>
      </w:r>
      <w:r>
        <w:rPr/>
        <w:t>C.A:</w:t>
      </w:r>
      <w:r>
        <w:rPr>
          <w:spacing w:val="78"/>
          <w:w w:val="150"/>
        </w:rPr>
        <w:t> </w:t>
      </w:r>
      <w:r>
        <w:rPr/>
        <w:t>Samsilah,</w:t>
      </w:r>
      <w:r>
        <w:rPr>
          <w:spacing w:val="31"/>
        </w:rPr>
        <w:t> </w:t>
      </w:r>
      <w:r>
        <w:rPr/>
        <w:t>R;</w:t>
      </w:r>
      <w:r>
        <w:rPr>
          <w:spacing w:val="19"/>
        </w:rPr>
        <w:t> </w:t>
      </w:r>
      <w:r>
        <w:rPr/>
        <w:t>Nooreen</w:t>
      </w:r>
      <w:r>
        <w:rPr>
          <w:spacing w:val="19"/>
        </w:rPr>
        <w:t> </w:t>
      </w:r>
      <w:r>
        <w:rPr/>
        <w:t>N.</w:t>
      </w:r>
      <w:r>
        <w:rPr>
          <w:spacing w:val="25"/>
        </w:rPr>
        <w:t> </w:t>
      </w:r>
      <w:r>
        <w:rPr/>
        <w:t>&amp;</w:t>
      </w:r>
      <w:r>
        <w:rPr>
          <w:spacing w:val="19"/>
        </w:rPr>
        <w:t> </w:t>
      </w:r>
      <w:r>
        <w:rPr/>
        <w:t>Omar,</w:t>
      </w:r>
      <w:r>
        <w:rPr>
          <w:spacing w:val="26"/>
        </w:rPr>
        <w:t> </w:t>
      </w:r>
      <w:r>
        <w:rPr/>
        <w:t>F.</w:t>
      </w:r>
      <w:r>
        <w:rPr>
          <w:spacing w:val="26"/>
        </w:rPr>
        <w:t> </w:t>
      </w:r>
      <w:r>
        <w:rPr>
          <w:spacing w:val="-2"/>
        </w:rPr>
        <w:t>(2007).</w:t>
      </w:r>
    </w:p>
    <w:p>
      <w:pPr>
        <w:spacing w:line="240" w:lineRule="auto" w:before="0"/>
        <w:ind w:left="1023" w:right="1163" w:firstLine="0"/>
        <w:jc w:val="both"/>
        <w:rPr>
          <w:sz w:val="24"/>
        </w:rPr>
      </w:pPr>
      <w:r>
        <w:rPr>
          <w:sz w:val="24"/>
        </w:rPr>
        <w:t>―Emotional Intelligence of at risk students in Malaysian secondary schools‖. </w:t>
      </w:r>
      <w:r>
        <w:rPr>
          <w:i/>
          <w:sz w:val="24"/>
        </w:rPr>
        <w:t>The international journal of learning.</w:t>
      </w:r>
      <w:r>
        <w:rPr>
          <w:i/>
          <w:spacing w:val="40"/>
          <w:sz w:val="24"/>
        </w:rPr>
        <w:t> </w:t>
      </w:r>
      <w:r>
        <w:rPr>
          <w:sz w:val="24"/>
        </w:rPr>
        <w:t>14 (8). (Online).</w:t>
      </w:r>
      <w:r>
        <w:rPr>
          <w:spacing w:val="40"/>
          <w:sz w:val="24"/>
        </w:rPr>
        <w:t> </w:t>
      </w:r>
      <w:r>
        <w:rPr>
          <w:sz w:val="24"/>
        </w:rPr>
        <w:t>Available: ttp:/</w:t>
      </w:r>
      <w:hyperlink r:id="rId27">
        <w:r>
          <w:rPr>
            <w:sz w:val="24"/>
          </w:rPr>
          <w:t>/www</w:t>
        </w:r>
      </w:hyperlink>
      <w:r>
        <w:rPr>
          <w:sz w:val="24"/>
        </w:rPr>
        <w:t>.</w:t>
      </w:r>
      <w:hyperlink r:id="rId27">
        <w:r>
          <w:rPr>
            <w:sz w:val="24"/>
          </w:rPr>
          <w:t>learning-journal.com.</w:t>
        </w:r>
      </w:hyperlink>
      <w:r>
        <w:rPr>
          <w:sz w:val="24"/>
        </w:rPr>
        <w:t> (July 24, 2008).</w:t>
      </w:r>
    </w:p>
    <w:p>
      <w:pPr>
        <w:pStyle w:val="BodyText"/>
        <w:spacing w:line="510" w:lineRule="atLeast" w:before="7"/>
        <w:ind w:right="1168"/>
      </w:pPr>
      <w:r>
        <w:rPr/>
        <w:t>Herron (1975).</w:t>
      </w:r>
      <w:r>
        <w:rPr>
          <w:spacing w:val="40"/>
        </w:rPr>
        <w:t> </w:t>
      </w:r>
      <w:r>
        <w:rPr/>
        <w:t>Pagel for Chemist.</w:t>
      </w:r>
      <w:r>
        <w:rPr>
          <w:spacing w:val="40"/>
        </w:rPr>
        <w:t> </w:t>
      </w:r>
      <w:r>
        <w:rPr>
          <w:i/>
        </w:rPr>
        <w:t>Journal of Chemistry Education </w:t>
      </w:r>
      <w:r>
        <w:rPr/>
        <w:t>2 146-150. Hodson,</w:t>
      </w:r>
      <w:r>
        <w:rPr>
          <w:spacing w:val="36"/>
        </w:rPr>
        <w:t> </w:t>
      </w:r>
      <w:r>
        <w:rPr/>
        <w:t>D.</w:t>
      </w:r>
      <w:r>
        <w:rPr>
          <w:spacing w:val="33"/>
        </w:rPr>
        <w:t> </w:t>
      </w:r>
      <w:r>
        <w:rPr/>
        <w:t>(2003).</w:t>
      </w:r>
      <w:r>
        <w:rPr>
          <w:spacing w:val="38"/>
        </w:rPr>
        <w:t> </w:t>
      </w:r>
      <w:r>
        <w:rPr/>
        <w:t>Time</w:t>
      </w:r>
      <w:r>
        <w:rPr>
          <w:spacing w:val="41"/>
        </w:rPr>
        <w:t> </w:t>
      </w:r>
      <w:r>
        <w:rPr/>
        <w:t>for</w:t>
      </w:r>
      <w:r>
        <w:rPr>
          <w:spacing w:val="38"/>
        </w:rPr>
        <w:t> </w:t>
      </w:r>
      <w:r>
        <w:rPr/>
        <w:t>Action:</w:t>
      </w:r>
      <w:r>
        <w:rPr>
          <w:spacing w:val="41"/>
        </w:rPr>
        <w:t> </w:t>
      </w:r>
      <w:r>
        <w:rPr/>
        <w:t>science</w:t>
      </w:r>
      <w:r>
        <w:rPr>
          <w:spacing w:val="35"/>
        </w:rPr>
        <w:t> </w:t>
      </w:r>
      <w:r>
        <w:rPr/>
        <w:t>Education</w:t>
      </w:r>
      <w:r>
        <w:rPr>
          <w:spacing w:val="37"/>
        </w:rPr>
        <w:t> </w:t>
      </w:r>
      <w:r>
        <w:rPr/>
        <w:t>for</w:t>
      </w:r>
      <w:r>
        <w:rPr>
          <w:spacing w:val="38"/>
        </w:rPr>
        <w:t> </w:t>
      </w:r>
      <w:r>
        <w:rPr/>
        <w:t>an</w:t>
      </w:r>
      <w:r>
        <w:rPr>
          <w:spacing w:val="36"/>
        </w:rPr>
        <w:t> </w:t>
      </w:r>
      <w:r>
        <w:rPr/>
        <w:t>Alternative</w:t>
      </w:r>
      <w:r>
        <w:rPr>
          <w:spacing w:val="41"/>
        </w:rPr>
        <w:t> </w:t>
      </w:r>
      <w:r>
        <w:rPr>
          <w:spacing w:val="-2"/>
        </w:rPr>
        <w:t>Future.</w:t>
      </w:r>
    </w:p>
    <w:p>
      <w:pPr>
        <w:spacing w:before="6"/>
        <w:ind w:left="1023" w:right="0" w:firstLine="0"/>
        <w:jc w:val="both"/>
        <w:rPr>
          <w:sz w:val="24"/>
        </w:rPr>
      </w:pPr>
      <w:r>
        <w:rPr>
          <w:i/>
          <w:sz w:val="24"/>
        </w:rPr>
        <w:t>International</w:t>
      </w:r>
      <w:r>
        <w:rPr>
          <w:i/>
          <w:spacing w:val="-1"/>
          <w:sz w:val="24"/>
        </w:rPr>
        <w:t> </w:t>
      </w:r>
      <w:r>
        <w:rPr>
          <w:i/>
          <w:sz w:val="24"/>
        </w:rPr>
        <w:t>Journal of</w:t>
      </w:r>
      <w:r>
        <w:rPr>
          <w:i/>
          <w:spacing w:val="4"/>
          <w:sz w:val="24"/>
        </w:rPr>
        <w:t> </w:t>
      </w:r>
      <w:r>
        <w:rPr>
          <w:i/>
          <w:sz w:val="24"/>
        </w:rPr>
        <w:t>Science</w:t>
      </w:r>
      <w:r>
        <w:rPr>
          <w:i/>
          <w:spacing w:val="-6"/>
          <w:sz w:val="24"/>
        </w:rPr>
        <w:t> </w:t>
      </w:r>
      <w:r>
        <w:rPr>
          <w:i/>
          <w:sz w:val="24"/>
        </w:rPr>
        <w:t>Education,</w:t>
      </w:r>
      <w:r>
        <w:rPr>
          <w:i/>
          <w:spacing w:val="2"/>
          <w:sz w:val="24"/>
        </w:rPr>
        <w:t> </w:t>
      </w:r>
      <w:r>
        <w:rPr>
          <w:sz w:val="24"/>
        </w:rPr>
        <w:t>25,</w:t>
      </w:r>
      <w:r>
        <w:rPr>
          <w:spacing w:val="-4"/>
          <w:sz w:val="24"/>
        </w:rPr>
        <w:t> </w:t>
      </w:r>
      <w:r>
        <w:rPr>
          <w:sz w:val="24"/>
        </w:rPr>
        <w:t>645</w:t>
      </w:r>
      <w:r>
        <w:rPr>
          <w:spacing w:val="1"/>
          <w:sz w:val="24"/>
        </w:rPr>
        <w:t> </w:t>
      </w:r>
      <w:r>
        <w:rPr>
          <w:sz w:val="24"/>
        </w:rPr>
        <w:t>– </w:t>
      </w:r>
      <w:r>
        <w:rPr>
          <w:spacing w:val="-4"/>
          <w:sz w:val="24"/>
        </w:rPr>
        <w:t>670.</w:t>
      </w:r>
    </w:p>
    <w:p>
      <w:pPr>
        <w:spacing w:line="242" w:lineRule="auto" w:before="239"/>
        <w:ind w:left="1023" w:right="1161" w:hanging="543"/>
        <w:jc w:val="both"/>
        <w:rPr>
          <w:sz w:val="24"/>
        </w:rPr>
      </w:pPr>
      <w:r>
        <w:rPr>
          <w:sz w:val="24"/>
        </w:rPr>
        <w:t>Holyoak, K.J. &amp; Morrison, R.g. (Eds.). (2005).</w:t>
      </w:r>
      <w:r>
        <w:rPr>
          <w:spacing w:val="80"/>
          <w:sz w:val="24"/>
        </w:rPr>
        <w:t> </w:t>
      </w:r>
      <w:r>
        <w:rPr>
          <w:i/>
          <w:sz w:val="24"/>
        </w:rPr>
        <w:t>The Cambridge Handbook of Thinking and Reasoning.</w:t>
      </w:r>
      <w:r>
        <w:rPr>
          <w:i/>
          <w:spacing w:val="40"/>
          <w:sz w:val="24"/>
        </w:rPr>
        <w:t> </w:t>
      </w:r>
      <w:r>
        <w:rPr>
          <w:sz w:val="24"/>
        </w:rPr>
        <w:t>New York, NY:</w:t>
      </w:r>
      <w:r>
        <w:rPr>
          <w:spacing w:val="40"/>
          <w:sz w:val="24"/>
        </w:rPr>
        <w:t> </w:t>
      </w:r>
      <w:r>
        <w:rPr>
          <w:sz w:val="24"/>
        </w:rPr>
        <w:t>Cambridge University Press.</w:t>
      </w:r>
    </w:p>
    <w:p>
      <w:pPr>
        <w:spacing w:after="0" w:line="242" w:lineRule="auto"/>
        <w:jc w:val="both"/>
        <w:rPr>
          <w:sz w:val="24"/>
        </w:rPr>
        <w:sectPr>
          <w:pgSz w:w="11910" w:h="16840"/>
          <w:pgMar w:header="0" w:footer="1012" w:top="1340" w:bottom="1200" w:left="1680" w:right="280"/>
        </w:sectPr>
      </w:pPr>
    </w:p>
    <w:p>
      <w:pPr>
        <w:spacing w:line="237" w:lineRule="auto" w:before="76"/>
        <w:ind w:left="1023" w:right="1157" w:hanging="543"/>
        <w:jc w:val="both"/>
        <w:rPr>
          <w:sz w:val="24"/>
        </w:rPr>
      </w:pPr>
      <w:r>
        <w:rPr>
          <w:sz w:val="24"/>
        </w:rPr>
        <w:t>Hosford, R. E. (1981). Self-as-a-model: A cognitive social learning technique, </w:t>
      </w:r>
      <w:r>
        <w:rPr>
          <w:i/>
          <w:sz w:val="24"/>
        </w:rPr>
        <w:t>The Counseling Psychologist, </w:t>
      </w:r>
      <w:r>
        <w:rPr>
          <w:sz w:val="24"/>
        </w:rPr>
        <w:t>9(1), 45-62.</w:t>
      </w:r>
    </w:p>
    <w:p>
      <w:pPr>
        <w:pStyle w:val="BodyText"/>
        <w:spacing w:before="243"/>
        <w:ind w:left="1023" w:right="1159" w:hanging="543"/>
      </w:pPr>
      <w:r>
        <w:rPr/>
        <w:t>Ifeakor, A.c. (2005).</w:t>
      </w:r>
      <w:r>
        <w:rPr>
          <w:spacing w:val="40"/>
        </w:rPr>
        <w:t> </w:t>
      </w:r>
      <w:r>
        <w:rPr/>
        <w:t>Evaluation of Commercially produced Computer-Assisted Instraction</w:t>
      </w:r>
      <w:r>
        <w:rPr>
          <w:spacing w:val="-4"/>
        </w:rPr>
        <w:t> </w:t>
      </w:r>
      <w:r>
        <w:rPr/>
        <w:t>Package for Teaching Secondary</w:t>
      </w:r>
      <w:r>
        <w:rPr>
          <w:spacing w:val="-4"/>
        </w:rPr>
        <w:t> </w:t>
      </w:r>
      <w:r>
        <w:rPr/>
        <w:t>School</w:t>
      </w:r>
      <w:r>
        <w:rPr>
          <w:spacing w:val="-4"/>
        </w:rPr>
        <w:t> </w:t>
      </w:r>
      <w:r>
        <w:rPr/>
        <w:t>Chemistry.</w:t>
      </w:r>
      <w:r>
        <w:rPr>
          <w:spacing w:val="40"/>
        </w:rPr>
        <w:t> </w:t>
      </w:r>
      <w:r>
        <w:rPr/>
        <w:t>an</w:t>
      </w:r>
      <w:r>
        <w:rPr>
          <w:spacing w:val="-4"/>
        </w:rPr>
        <w:t> </w:t>
      </w:r>
      <w:r>
        <w:rPr/>
        <w:t>Unpublished Ph.D Thesis, Nsukka:</w:t>
      </w:r>
      <w:r>
        <w:rPr>
          <w:spacing w:val="40"/>
        </w:rPr>
        <w:t> </w:t>
      </w:r>
      <w:r>
        <w:rPr/>
        <w:t>University of Nigeria.</w:t>
      </w:r>
    </w:p>
    <w:p>
      <w:pPr>
        <w:spacing w:line="240" w:lineRule="auto" w:before="238"/>
        <w:ind w:left="1023" w:right="1154" w:hanging="543"/>
        <w:jc w:val="both"/>
        <w:rPr>
          <w:sz w:val="24"/>
        </w:rPr>
      </w:pPr>
      <w:r>
        <w:rPr>
          <w:sz w:val="24"/>
        </w:rPr>
        <w:t>James, A. (2002). Women and Stress. Englewood Cliffs, NJ: Prentice Hall, Luke, C. 2001. </w:t>
      </w:r>
      <w:r>
        <w:rPr>
          <w:i/>
          <w:sz w:val="24"/>
        </w:rPr>
        <w:t>Globalization and Women in Academia: North/West South/East. </w:t>
      </w:r>
      <w:r>
        <w:rPr>
          <w:sz w:val="24"/>
        </w:rPr>
        <w:t>Mahwah NY: Lawrence Erbaum Associates.</w:t>
      </w:r>
    </w:p>
    <w:p>
      <w:pPr>
        <w:spacing w:line="240" w:lineRule="auto" w:before="243"/>
        <w:ind w:left="1023" w:right="1303" w:hanging="543"/>
        <w:jc w:val="left"/>
        <w:rPr>
          <w:sz w:val="24"/>
        </w:rPr>
      </w:pPr>
      <w:r>
        <w:rPr>
          <w:sz w:val="24"/>
        </w:rPr>
        <w:t>Jeotee, K. (2012) </w:t>
      </w:r>
      <w:r>
        <w:rPr>
          <w:i/>
          <w:sz w:val="24"/>
        </w:rPr>
        <w:t>Reasoning skills, problem solving ability, and academic ability: implications for programme and career choice in the context of higher education</w:t>
      </w:r>
      <w:r>
        <w:rPr>
          <w:i/>
          <w:spacing w:val="-4"/>
          <w:sz w:val="24"/>
        </w:rPr>
        <w:t> </w:t>
      </w:r>
      <w:r>
        <w:rPr>
          <w:i/>
          <w:sz w:val="24"/>
        </w:rPr>
        <w:t>in</w:t>
      </w:r>
      <w:r>
        <w:rPr>
          <w:i/>
          <w:spacing w:val="-4"/>
          <w:sz w:val="24"/>
        </w:rPr>
        <w:t> </w:t>
      </w:r>
      <w:r>
        <w:rPr>
          <w:i/>
          <w:sz w:val="24"/>
        </w:rPr>
        <w:t>Thailand.</w:t>
      </w:r>
      <w:r>
        <w:rPr>
          <w:i/>
          <w:spacing w:val="40"/>
          <w:sz w:val="24"/>
        </w:rPr>
        <w:t> </w:t>
      </w:r>
      <w:r>
        <w:rPr>
          <w:sz w:val="24"/>
        </w:rPr>
        <w:t>Dotoral</w:t>
      </w:r>
      <w:r>
        <w:rPr>
          <w:spacing w:val="-12"/>
          <w:sz w:val="24"/>
        </w:rPr>
        <w:t> </w:t>
      </w:r>
      <w:r>
        <w:rPr>
          <w:sz w:val="24"/>
        </w:rPr>
        <w:t>dissertation,</w:t>
      </w:r>
      <w:r>
        <w:rPr>
          <w:spacing w:val="-2"/>
          <w:sz w:val="24"/>
        </w:rPr>
        <w:t> </w:t>
      </w:r>
      <w:r>
        <w:rPr>
          <w:sz w:val="24"/>
        </w:rPr>
        <w:t>the</w:t>
      </w:r>
      <w:r>
        <w:rPr>
          <w:spacing w:val="-5"/>
          <w:sz w:val="24"/>
        </w:rPr>
        <w:t> </w:t>
      </w:r>
      <w:r>
        <w:rPr>
          <w:sz w:val="24"/>
        </w:rPr>
        <w:t>Durham</w:t>
      </w:r>
      <w:r>
        <w:rPr>
          <w:spacing w:val="-12"/>
          <w:sz w:val="24"/>
        </w:rPr>
        <w:t> </w:t>
      </w:r>
      <w:r>
        <w:rPr>
          <w:sz w:val="24"/>
        </w:rPr>
        <w:t>University.</w:t>
      </w:r>
      <w:r>
        <w:rPr>
          <w:spacing w:val="-2"/>
          <w:sz w:val="24"/>
        </w:rPr>
        <w:t> </w:t>
      </w:r>
      <w:r>
        <w:rPr>
          <w:sz w:val="24"/>
        </w:rPr>
        <w:t>Retrieved on January 2013 from</w:t>
      </w:r>
    </w:p>
    <w:p>
      <w:pPr>
        <w:pStyle w:val="BodyText"/>
        <w:ind w:left="1023"/>
        <w:jc w:val="left"/>
      </w:pPr>
      <w:hyperlink r:id="rId28">
        <w:r>
          <w:rPr>
            <w:spacing w:val="-2"/>
          </w:rPr>
          <w:t>http://ethese.dur.ac.uk/3380/1/Kunchon‘s</w:t>
        </w:r>
      </w:hyperlink>
      <w:r>
        <w:rPr>
          <w:spacing w:val="-2"/>
        </w:rPr>
        <w:t>Thesis.pdf?DDD29+</w:t>
      </w:r>
    </w:p>
    <w:p>
      <w:pPr>
        <w:tabs>
          <w:tab w:pos="6568" w:val="left" w:leader="none"/>
          <w:tab w:pos="8434" w:val="left" w:leader="none"/>
        </w:tabs>
        <w:spacing w:line="240" w:lineRule="auto" w:before="239"/>
        <w:ind w:left="1023" w:right="1165" w:hanging="543"/>
        <w:jc w:val="both"/>
        <w:rPr>
          <w:sz w:val="24"/>
        </w:rPr>
      </w:pPr>
      <w:r>
        <w:rPr>
          <w:sz w:val="24"/>
        </w:rPr>
        <w:t>Johnson, B. (2007).</w:t>
      </w:r>
      <w:r>
        <w:rPr>
          <w:spacing w:val="80"/>
          <w:sz w:val="24"/>
        </w:rPr>
        <w:t> </w:t>
      </w:r>
      <w:r>
        <w:rPr>
          <w:i/>
          <w:sz w:val="24"/>
        </w:rPr>
        <w:t>Emotional Intelligence and Adolescents. </w:t>
      </w:r>
      <w:r>
        <w:rPr>
          <w:sz w:val="24"/>
        </w:rPr>
        <w:t>available at </w:t>
      </w:r>
      <w:r>
        <w:rPr>
          <w:spacing w:val="-2"/>
          <w:sz w:val="24"/>
        </w:rPr>
        <w:t>Mp:/</w:t>
      </w:r>
      <w:hyperlink r:id="rId29">
        <w:r>
          <w:rPr>
            <w:spacing w:val="-2"/>
            <w:sz w:val="24"/>
          </w:rPr>
          <w:t>/www</w:t>
        </w:r>
      </w:hyperlink>
      <w:r>
        <w:rPr>
          <w:spacing w:val="-2"/>
          <w:sz w:val="24"/>
        </w:rPr>
        <w:t>.</w:t>
      </w:r>
      <w:hyperlink r:id="rId29">
        <w:r>
          <w:rPr>
            <w:spacing w:val="-2"/>
            <w:sz w:val="24"/>
          </w:rPr>
          <w:t>beenajohnson.com/2009/02/emotional</w:t>
        </w:r>
      </w:hyperlink>
      <w:r>
        <w:rPr>
          <w:sz w:val="24"/>
        </w:rPr>
        <w:tab/>
      </w:r>
      <w:r>
        <w:rPr>
          <w:spacing w:val="-2"/>
          <w:sz w:val="24"/>
        </w:rPr>
        <w:t>intelligence</w:t>
      </w:r>
      <w:r>
        <w:rPr>
          <w:sz w:val="24"/>
        </w:rPr>
        <w:tab/>
      </w:r>
      <w:r>
        <w:rPr>
          <w:spacing w:val="-4"/>
          <w:sz w:val="24"/>
        </w:rPr>
        <w:t>and </w:t>
      </w:r>
      <w:r>
        <w:rPr>
          <w:sz w:val="24"/>
        </w:rPr>
        <w:t>adolescents.html. access on 3/4/2010</w:t>
      </w:r>
    </w:p>
    <w:p>
      <w:pPr>
        <w:pStyle w:val="BodyText"/>
        <w:spacing w:before="242"/>
        <w:ind w:left="1023" w:right="1170" w:hanging="543"/>
      </w:pPr>
      <w:r>
        <w:rPr/>
        <w:t>Johnson, M. A. &amp; Lawson, A. E (1998). What are the Relative Effects of Reasoning Ability and Prior Knowledge on Biology Achievement on Expository and Inquiry Classes? </w:t>
      </w:r>
      <w:r>
        <w:rPr>
          <w:i/>
        </w:rPr>
        <w:t>Journal of Research in Science Teaching </w:t>
      </w:r>
      <w:r>
        <w:rPr/>
        <w:t>(35) 89-103.</w:t>
      </w:r>
    </w:p>
    <w:p>
      <w:pPr>
        <w:pStyle w:val="BodyText"/>
        <w:tabs>
          <w:tab w:pos="5168" w:val="left" w:leader="none"/>
          <w:tab w:pos="6664" w:val="left" w:leader="none"/>
        </w:tabs>
        <w:spacing w:line="242" w:lineRule="auto" w:before="238"/>
        <w:ind w:left="1023" w:right="1170" w:hanging="543"/>
        <w:jc w:val="left"/>
      </w:pPr>
      <w:r>
        <w:rPr/>
        <w:t>Johnson-Laid,</w:t>
      </w:r>
      <w:r>
        <w:rPr>
          <w:spacing w:val="40"/>
        </w:rPr>
        <w:t> </w:t>
      </w:r>
      <w:r>
        <w:rPr/>
        <w:t>P.N.</w:t>
      </w:r>
      <w:r>
        <w:rPr>
          <w:spacing w:val="40"/>
        </w:rPr>
        <w:t> </w:t>
      </w:r>
      <w:r>
        <w:rPr/>
        <w:t>&amp;</w:t>
      </w:r>
      <w:r>
        <w:rPr>
          <w:spacing w:val="40"/>
        </w:rPr>
        <w:t> </w:t>
      </w:r>
      <w:r>
        <w:rPr/>
        <w:t>Byrne,</w:t>
      </w:r>
      <w:r>
        <w:rPr>
          <w:spacing w:val="40"/>
        </w:rPr>
        <w:t> </w:t>
      </w:r>
      <w:r>
        <w:rPr/>
        <w:t>R,M.J.</w:t>
      </w:r>
      <w:r>
        <w:rPr>
          <w:spacing w:val="40"/>
        </w:rPr>
        <w:t> </w:t>
      </w:r>
      <w:r>
        <w:rPr/>
        <w:t>(2002).</w:t>
        <w:tab/>
      </w:r>
      <w:r>
        <w:rPr>
          <w:spacing w:val="-2"/>
        </w:rPr>
        <w:t>Conditionals:</w:t>
      </w:r>
      <w:r>
        <w:rPr/>
        <w:tab/>
        <w:t>a</w:t>
      </w:r>
      <w:r>
        <w:rPr>
          <w:spacing w:val="33"/>
        </w:rPr>
        <w:t> </w:t>
      </w:r>
      <w:r>
        <w:rPr/>
        <w:t>theory</w:t>
      </w:r>
      <w:r>
        <w:rPr>
          <w:spacing w:val="25"/>
        </w:rPr>
        <w:t> </w:t>
      </w:r>
      <w:r>
        <w:rPr/>
        <w:t>of</w:t>
      </w:r>
      <w:r>
        <w:rPr>
          <w:spacing w:val="31"/>
        </w:rPr>
        <w:t> </w:t>
      </w:r>
      <w:r>
        <w:rPr/>
        <w:t>meaning, inference, and pragmatics. Psychol.</w:t>
      </w:r>
      <w:r>
        <w:rPr>
          <w:spacing w:val="40"/>
        </w:rPr>
        <w:t> </w:t>
      </w:r>
      <w:r>
        <w:rPr/>
        <w:t>Rev. 109, 646-678.</w:t>
      </w:r>
    </w:p>
    <w:p>
      <w:pPr>
        <w:pStyle w:val="BodyText"/>
        <w:spacing w:before="235"/>
        <w:ind w:left="1023" w:right="1150" w:hanging="543"/>
      </w:pPr>
      <w:r>
        <w:rPr/>
        <w:t>Johnson-Laird, P. N. (2004). Mental models and reasoning. In J. P. Leighton, &amp; R. J. Sternberg (Eds.), </w:t>
      </w:r>
      <w:r>
        <w:rPr>
          <w:i/>
        </w:rPr>
        <w:t>The nature of reasoning </w:t>
      </w:r>
      <w:r>
        <w:rPr/>
        <w:t>(169–204). New York, NY: Cambridge University Press.</w:t>
      </w:r>
    </w:p>
    <w:p>
      <w:pPr>
        <w:pStyle w:val="BodyText"/>
        <w:spacing w:line="237" w:lineRule="auto" w:before="245"/>
        <w:ind w:left="1023" w:right="1170" w:hanging="543"/>
        <w:jc w:val="left"/>
      </w:pPr>
      <w:r>
        <w:rPr/>
        <w:t>Johnson-Laird, P. N. and</w:t>
      </w:r>
      <w:r>
        <w:rPr>
          <w:spacing w:val="-1"/>
        </w:rPr>
        <w:t> </w:t>
      </w:r>
      <w:r>
        <w:rPr/>
        <w:t>Byrne, R. M. J. (2002).</w:t>
      </w:r>
      <w:r>
        <w:rPr>
          <w:spacing w:val="-4"/>
        </w:rPr>
        <w:t> </w:t>
      </w:r>
      <w:r>
        <w:rPr/>
        <w:t>Conditionals: A</w:t>
      </w:r>
      <w:r>
        <w:rPr>
          <w:spacing w:val="-2"/>
        </w:rPr>
        <w:t> </w:t>
      </w:r>
      <w:r>
        <w:rPr/>
        <w:t>Theory</w:t>
      </w:r>
      <w:r>
        <w:rPr>
          <w:spacing w:val="-11"/>
        </w:rPr>
        <w:t> </w:t>
      </w:r>
      <w:r>
        <w:rPr/>
        <w:t>of</w:t>
      </w:r>
      <w:r>
        <w:rPr>
          <w:spacing w:val="-9"/>
        </w:rPr>
        <w:t> </w:t>
      </w:r>
      <w:r>
        <w:rPr/>
        <w:t>Meaning: Inference, and Pragmatics. </w:t>
      </w:r>
      <w:r>
        <w:rPr>
          <w:i/>
        </w:rPr>
        <w:t>Psychol. Rev. </w:t>
      </w:r>
      <w:r>
        <w:rPr/>
        <w:t>109, 646 – 678.</w:t>
      </w:r>
    </w:p>
    <w:p>
      <w:pPr>
        <w:spacing w:line="240" w:lineRule="auto" w:before="244"/>
        <w:ind w:left="1023" w:right="1159" w:hanging="543"/>
        <w:jc w:val="both"/>
        <w:rPr>
          <w:sz w:val="24"/>
        </w:rPr>
      </w:pPr>
      <w:r>
        <w:rPr>
          <w:sz w:val="24"/>
        </w:rPr>
        <w:t>Jordan,</w:t>
      </w:r>
      <w:r>
        <w:rPr>
          <w:spacing w:val="80"/>
          <w:w w:val="150"/>
          <w:sz w:val="24"/>
        </w:rPr>
        <w:t> </w:t>
      </w:r>
      <w:r>
        <w:rPr>
          <w:sz w:val="24"/>
        </w:rPr>
        <w:t>J.A.,</w:t>
      </w:r>
      <w:r>
        <w:rPr>
          <w:spacing w:val="80"/>
          <w:w w:val="150"/>
          <w:sz w:val="24"/>
        </w:rPr>
        <w:t> </w:t>
      </w:r>
      <w:r>
        <w:rPr>
          <w:sz w:val="24"/>
        </w:rPr>
        <w:t>McRorie,</w:t>
      </w:r>
      <w:r>
        <w:rPr>
          <w:spacing w:val="80"/>
          <w:w w:val="150"/>
          <w:sz w:val="24"/>
        </w:rPr>
        <w:t> </w:t>
      </w:r>
      <w:r>
        <w:rPr>
          <w:sz w:val="24"/>
        </w:rPr>
        <w:t>M. &amp;</w:t>
      </w:r>
      <w:r>
        <w:rPr>
          <w:spacing w:val="40"/>
          <w:sz w:val="24"/>
        </w:rPr>
        <w:t> </w:t>
      </w:r>
      <w:r>
        <w:rPr>
          <w:sz w:val="24"/>
        </w:rPr>
        <w:t>Ewing,</w:t>
      </w:r>
      <w:r>
        <w:rPr>
          <w:spacing w:val="80"/>
          <w:w w:val="150"/>
          <w:sz w:val="24"/>
        </w:rPr>
        <w:t> </w:t>
      </w:r>
      <w:r>
        <w:rPr>
          <w:sz w:val="24"/>
        </w:rPr>
        <w:t>C.</w:t>
      </w:r>
      <w:r>
        <w:rPr>
          <w:spacing w:val="80"/>
          <w:w w:val="150"/>
          <w:sz w:val="24"/>
        </w:rPr>
        <w:t> </w:t>
      </w:r>
      <w:r>
        <w:rPr>
          <w:sz w:val="24"/>
        </w:rPr>
        <w:t>2010.</w:t>
      </w:r>
      <w:r>
        <w:rPr>
          <w:spacing w:val="80"/>
          <w:w w:val="150"/>
          <w:sz w:val="24"/>
        </w:rPr>
        <w:t> </w:t>
      </w:r>
      <w:r>
        <w:rPr>
          <w:sz w:val="24"/>
        </w:rPr>
        <w:t>"Gender differences in</w:t>
      </w:r>
      <w:r>
        <w:rPr>
          <w:spacing w:val="14"/>
          <w:sz w:val="24"/>
        </w:rPr>
        <w:t> </w:t>
      </w:r>
      <w:r>
        <w:rPr>
          <w:sz w:val="24"/>
        </w:rPr>
        <w:t>the</w:t>
      </w:r>
      <w:r>
        <w:rPr>
          <w:spacing w:val="-1"/>
          <w:sz w:val="24"/>
        </w:rPr>
        <w:t> </w:t>
      </w:r>
      <w:r>
        <w:rPr>
          <w:sz w:val="24"/>
        </w:rPr>
        <w:t>role of emotional intelligence during the primary—secondary</w:t>
      </w:r>
      <w:r>
        <w:rPr>
          <w:spacing w:val="40"/>
          <w:sz w:val="24"/>
        </w:rPr>
        <w:t> </w:t>
      </w:r>
      <w:r>
        <w:rPr>
          <w:sz w:val="24"/>
        </w:rPr>
        <w:t>school transition." </w:t>
      </w:r>
      <w:r>
        <w:rPr>
          <w:i/>
          <w:sz w:val="24"/>
        </w:rPr>
        <w:t>Emotional and</w:t>
      </w:r>
      <w:r>
        <w:rPr>
          <w:i/>
          <w:spacing w:val="40"/>
          <w:sz w:val="24"/>
        </w:rPr>
        <w:t>  </w:t>
      </w:r>
      <w:r>
        <w:rPr>
          <w:i/>
          <w:sz w:val="24"/>
        </w:rPr>
        <w:t>Behavioural</w:t>
      </w:r>
      <w:r>
        <w:rPr>
          <w:i/>
          <w:spacing w:val="40"/>
          <w:sz w:val="24"/>
        </w:rPr>
        <w:t>  </w:t>
      </w:r>
      <w:r>
        <w:rPr>
          <w:i/>
          <w:sz w:val="24"/>
        </w:rPr>
        <w:t>Difficulties</w:t>
      </w:r>
      <w:r>
        <w:rPr>
          <w:i/>
          <w:spacing w:val="80"/>
          <w:sz w:val="24"/>
        </w:rPr>
        <w:t>  </w:t>
      </w:r>
      <w:r>
        <w:rPr>
          <w:sz w:val="24"/>
        </w:rPr>
        <w:t>15(1):</w:t>
      </w:r>
      <w:r>
        <w:rPr>
          <w:spacing w:val="80"/>
          <w:sz w:val="24"/>
        </w:rPr>
        <w:t>  </w:t>
      </w:r>
      <w:r>
        <w:rPr>
          <w:sz w:val="24"/>
        </w:rPr>
        <w:t>37-47.</w:t>
      </w:r>
    </w:p>
    <w:p>
      <w:pPr>
        <w:spacing w:line="242" w:lineRule="auto" w:before="237"/>
        <w:ind w:left="1023" w:right="1170" w:hanging="543"/>
        <w:jc w:val="left"/>
        <w:rPr>
          <w:sz w:val="24"/>
        </w:rPr>
      </w:pPr>
      <w:r>
        <w:rPr>
          <w:sz w:val="24"/>
        </w:rPr>
        <w:t>Kanhai,</w:t>
      </w:r>
      <w:r>
        <w:rPr>
          <w:spacing w:val="80"/>
          <w:sz w:val="24"/>
        </w:rPr>
        <w:t> </w:t>
      </w:r>
      <w:r>
        <w:rPr>
          <w:sz w:val="24"/>
        </w:rPr>
        <w:t>A.</w:t>
      </w:r>
      <w:r>
        <w:rPr>
          <w:spacing w:val="80"/>
          <w:sz w:val="24"/>
        </w:rPr>
        <w:t> </w:t>
      </w:r>
      <w:r>
        <w:rPr>
          <w:sz w:val="24"/>
        </w:rPr>
        <w:t>(2014).Emotional</w:t>
      </w:r>
      <w:r>
        <w:rPr>
          <w:spacing w:val="80"/>
          <w:sz w:val="24"/>
        </w:rPr>
        <w:t> </w:t>
      </w:r>
      <w:r>
        <w:rPr>
          <w:sz w:val="24"/>
        </w:rPr>
        <w:t>Intelligence:</w:t>
      </w:r>
      <w:r>
        <w:rPr>
          <w:spacing w:val="80"/>
          <w:sz w:val="24"/>
        </w:rPr>
        <w:t> </w:t>
      </w:r>
      <w:r>
        <w:rPr>
          <w:sz w:val="24"/>
        </w:rPr>
        <w:t>A</w:t>
      </w:r>
      <w:r>
        <w:rPr>
          <w:spacing w:val="80"/>
          <w:sz w:val="24"/>
        </w:rPr>
        <w:t> </w:t>
      </w:r>
      <w:r>
        <w:rPr>
          <w:sz w:val="24"/>
        </w:rPr>
        <w:t>Review</w:t>
      </w:r>
      <w:r>
        <w:rPr>
          <w:spacing w:val="80"/>
          <w:sz w:val="24"/>
        </w:rPr>
        <w:t> </w:t>
      </w:r>
      <w:r>
        <w:rPr>
          <w:sz w:val="24"/>
        </w:rPr>
        <w:t>of</w:t>
      </w:r>
      <w:r>
        <w:rPr>
          <w:spacing w:val="80"/>
          <w:sz w:val="24"/>
        </w:rPr>
        <w:t> </w:t>
      </w:r>
      <w:r>
        <w:rPr>
          <w:sz w:val="24"/>
        </w:rPr>
        <w:t>Researches.</w:t>
      </w:r>
      <w:r>
        <w:rPr>
          <w:spacing w:val="80"/>
          <w:sz w:val="24"/>
        </w:rPr>
        <w:t> </w:t>
      </w:r>
      <w:r>
        <w:rPr>
          <w:i/>
          <w:sz w:val="24"/>
        </w:rPr>
        <w:t>European Academic Research</w:t>
      </w:r>
      <w:r>
        <w:rPr>
          <w:sz w:val="24"/>
        </w:rPr>
        <w:t>.11, 1.</w:t>
      </w:r>
    </w:p>
    <w:p>
      <w:pPr>
        <w:spacing w:line="240" w:lineRule="auto" w:before="235"/>
        <w:ind w:left="1023" w:right="1157" w:hanging="543"/>
        <w:jc w:val="both"/>
        <w:rPr>
          <w:sz w:val="24"/>
        </w:rPr>
      </w:pPr>
      <w:r>
        <w:rPr>
          <w:sz w:val="24"/>
        </w:rPr>
        <w:t>Kiran, D. and Sungur, S. (2011). Middle School Students‘ Science Self-Efficacy and Its Sources: Examination of Gender Difference. </w:t>
      </w:r>
      <w:r>
        <w:rPr>
          <w:i/>
          <w:sz w:val="24"/>
        </w:rPr>
        <w:t>Journal of Science Education Technology</w:t>
      </w:r>
      <w:r>
        <w:rPr>
          <w:sz w:val="24"/>
        </w:rPr>
        <w:t>, 23(3) 51 – 59.</w:t>
      </w:r>
    </w:p>
    <w:p>
      <w:pPr>
        <w:pStyle w:val="BodyText"/>
        <w:spacing w:before="243"/>
        <w:ind w:left="1023" w:right="1162" w:hanging="543"/>
      </w:pPr>
      <w:r>
        <w:rPr/>
        <w:t>Kuhn, T., &amp; Holling, H. (2009). Gender, reasoning ability, and scholastic achievement: A multilevel mediation analysis. </w:t>
      </w:r>
      <w:r>
        <w:rPr>
          <w:i/>
        </w:rPr>
        <w:t>Learning and Individual Differences, </w:t>
      </w:r>
      <w:r>
        <w:rPr/>
        <w:t>19, 229-233. Retrieved on 22/2/2013 from Elsevier database.</w:t>
      </w:r>
    </w:p>
    <w:p>
      <w:pPr>
        <w:spacing w:line="242" w:lineRule="auto" w:before="238"/>
        <w:ind w:left="1023" w:right="1170" w:hanging="543"/>
        <w:jc w:val="left"/>
        <w:rPr>
          <w:sz w:val="24"/>
        </w:rPr>
      </w:pPr>
      <w:r>
        <w:rPr>
          <w:sz w:val="24"/>
        </w:rPr>
        <w:t>Laszlo, P. (2006), On the self-image of Chemists, 1950 – 2000. HYLE: </w:t>
      </w:r>
      <w:r>
        <w:rPr>
          <w:i/>
          <w:sz w:val="24"/>
        </w:rPr>
        <w:t>International Journal for Philosophy of Chemistry, </w:t>
      </w:r>
      <w:r>
        <w:rPr>
          <w:sz w:val="24"/>
        </w:rPr>
        <w:t>12, 99 – 130.</w:t>
      </w:r>
    </w:p>
    <w:p>
      <w:pPr>
        <w:spacing w:after="0" w:line="242" w:lineRule="auto"/>
        <w:jc w:val="left"/>
        <w:rPr>
          <w:sz w:val="24"/>
        </w:rPr>
        <w:sectPr>
          <w:pgSz w:w="11910" w:h="16840"/>
          <w:pgMar w:header="0" w:footer="1012" w:top="1340" w:bottom="1200" w:left="1680" w:right="280"/>
        </w:sectPr>
      </w:pPr>
    </w:p>
    <w:p>
      <w:pPr>
        <w:spacing w:before="74"/>
        <w:ind w:left="480" w:right="0" w:firstLine="0"/>
        <w:jc w:val="left"/>
        <w:rPr>
          <w:i/>
          <w:sz w:val="24"/>
        </w:rPr>
      </w:pPr>
      <w:r>
        <w:rPr>
          <w:sz w:val="24"/>
        </w:rPr>
        <w:t>Lavins,</w:t>
      </w:r>
      <w:r>
        <w:rPr>
          <w:spacing w:val="1"/>
          <w:sz w:val="24"/>
        </w:rPr>
        <w:t> </w:t>
      </w:r>
      <w:r>
        <w:rPr>
          <w:sz w:val="24"/>
        </w:rPr>
        <w:t>B.</w:t>
      </w:r>
      <w:r>
        <w:rPr>
          <w:spacing w:val="2"/>
          <w:sz w:val="24"/>
        </w:rPr>
        <w:t> </w:t>
      </w:r>
      <w:r>
        <w:rPr>
          <w:sz w:val="24"/>
        </w:rPr>
        <w:t>(2011).</w:t>
      </w:r>
      <w:r>
        <w:rPr>
          <w:spacing w:val="56"/>
          <w:sz w:val="24"/>
        </w:rPr>
        <w:t> </w:t>
      </w:r>
      <w:r>
        <w:rPr>
          <w:i/>
          <w:sz w:val="24"/>
        </w:rPr>
        <w:t>Emotion’s</w:t>
      </w:r>
      <w:r>
        <w:rPr>
          <w:i/>
          <w:spacing w:val="-4"/>
          <w:sz w:val="24"/>
        </w:rPr>
        <w:t> </w:t>
      </w:r>
      <w:r>
        <w:rPr>
          <w:i/>
          <w:sz w:val="24"/>
        </w:rPr>
        <w:t>Effect</w:t>
      </w:r>
      <w:r>
        <w:rPr>
          <w:i/>
          <w:spacing w:val="-6"/>
          <w:sz w:val="24"/>
        </w:rPr>
        <w:t> </w:t>
      </w:r>
      <w:r>
        <w:rPr>
          <w:i/>
          <w:sz w:val="24"/>
        </w:rPr>
        <w:t>on</w:t>
      </w:r>
      <w:r>
        <w:rPr>
          <w:i/>
          <w:spacing w:val="-6"/>
          <w:sz w:val="24"/>
        </w:rPr>
        <w:t> </w:t>
      </w:r>
      <w:r>
        <w:rPr>
          <w:i/>
          <w:sz w:val="24"/>
        </w:rPr>
        <w:t>Reasoning</w:t>
      </w:r>
      <w:r>
        <w:rPr>
          <w:i/>
          <w:spacing w:val="-4"/>
          <w:sz w:val="24"/>
        </w:rPr>
        <w:t> </w:t>
      </w:r>
      <w:r>
        <w:rPr>
          <w:i/>
          <w:sz w:val="24"/>
        </w:rPr>
        <w:t>with</w:t>
      </w:r>
      <w:r>
        <w:rPr>
          <w:i/>
          <w:spacing w:val="-1"/>
          <w:sz w:val="24"/>
        </w:rPr>
        <w:t> </w:t>
      </w:r>
      <w:r>
        <w:rPr>
          <w:i/>
          <w:spacing w:val="-2"/>
          <w:sz w:val="24"/>
        </w:rPr>
        <w:t>Quantifiers.</w:t>
      </w:r>
    </w:p>
    <w:p>
      <w:pPr>
        <w:spacing w:line="240" w:lineRule="auto" w:before="237"/>
        <w:ind w:left="1023" w:right="1156" w:hanging="543"/>
        <w:jc w:val="both"/>
        <w:rPr>
          <w:sz w:val="24"/>
        </w:rPr>
      </w:pPr>
      <w:r>
        <w:rPr>
          <w:sz w:val="24"/>
        </w:rPr>
        <w:t>Lawson, A.E. (2004).</w:t>
      </w:r>
      <w:r>
        <w:rPr>
          <w:spacing w:val="40"/>
          <w:sz w:val="24"/>
        </w:rPr>
        <w:t> </w:t>
      </w:r>
      <w:r>
        <w:rPr>
          <w:sz w:val="24"/>
        </w:rPr>
        <w:t>The Nature and Development of Scientific Reasoning; A synthetic View.</w:t>
      </w:r>
      <w:r>
        <w:rPr>
          <w:spacing w:val="80"/>
          <w:sz w:val="24"/>
        </w:rPr>
        <w:t> </w:t>
      </w:r>
      <w:r>
        <w:rPr>
          <w:i/>
          <w:sz w:val="24"/>
        </w:rPr>
        <w:t>International Journal of Science and Mathematics Education</w:t>
      </w:r>
      <w:r>
        <w:rPr>
          <w:sz w:val="24"/>
        </w:rPr>
        <w:t>, 2, 307-338.</w:t>
      </w:r>
    </w:p>
    <w:p>
      <w:pPr>
        <w:spacing w:line="240" w:lineRule="auto" w:before="243"/>
        <w:ind w:left="1023" w:right="1163" w:hanging="543"/>
        <w:jc w:val="both"/>
        <w:rPr>
          <w:sz w:val="24"/>
        </w:rPr>
      </w:pPr>
      <w:r>
        <w:rPr>
          <w:sz w:val="24"/>
        </w:rPr>
        <w:t>Lawson,</w:t>
      </w:r>
      <w:r>
        <w:rPr>
          <w:spacing w:val="-1"/>
          <w:sz w:val="24"/>
        </w:rPr>
        <w:t> </w:t>
      </w:r>
      <w:r>
        <w:rPr>
          <w:sz w:val="24"/>
        </w:rPr>
        <w:t>A.E.,</w:t>
      </w:r>
      <w:r>
        <w:rPr>
          <w:spacing w:val="-1"/>
          <w:sz w:val="24"/>
        </w:rPr>
        <w:t> </w:t>
      </w:r>
      <w:r>
        <w:rPr>
          <w:sz w:val="24"/>
        </w:rPr>
        <w:t>Debra,</w:t>
      </w:r>
      <w:r>
        <w:rPr>
          <w:spacing w:val="-1"/>
          <w:sz w:val="24"/>
        </w:rPr>
        <w:t> </w:t>
      </w:r>
      <w:r>
        <w:rPr>
          <w:sz w:val="24"/>
        </w:rPr>
        <w:t>L.B</w:t>
      </w:r>
      <w:r>
        <w:rPr>
          <w:spacing w:val="-5"/>
          <w:sz w:val="24"/>
        </w:rPr>
        <w:t> </w:t>
      </w:r>
      <w:r>
        <w:rPr>
          <w:sz w:val="24"/>
        </w:rPr>
        <w:t>&amp;</w:t>
      </w:r>
      <w:r>
        <w:rPr>
          <w:spacing w:val="-8"/>
          <w:sz w:val="24"/>
        </w:rPr>
        <w:t> </w:t>
      </w:r>
      <w:r>
        <w:rPr>
          <w:sz w:val="24"/>
        </w:rPr>
        <w:t>marshal,</w:t>
      </w:r>
      <w:r>
        <w:rPr>
          <w:spacing w:val="-1"/>
          <w:sz w:val="24"/>
        </w:rPr>
        <w:t> </w:t>
      </w:r>
      <w:r>
        <w:rPr>
          <w:sz w:val="24"/>
        </w:rPr>
        <w:t>L.</w:t>
      </w:r>
      <w:r>
        <w:rPr>
          <w:spacing w:val="-1"/>
          <w:sz w:val="24"/>
        </w:rPr>
        <w:t> </w:t>
      </w:r>
      <w:r>
        <w:rPr>
          <w:sz w:val="24"/>
        </w:rPr>
        <w:t>(2007).</w:t>
      </w:r>
      <w:r>
        <w:rPr>
          <w:spacing w:val="40"/>
          <w:sz w:val="24"/>
        </w:rPr>
        <w:t> </w:t>
      </w:r>
      <w:r>
        <w:rPr>
          <w:sz w:val="24"/>
        </w:rPr>
        <w:t>Self-efficacy,</w:t>
      </w:r>
      <w:r>
        <w:rPr>
          <w:spacing w:val="-1"/>
          <w:sz w:val="24"/>
        </w:rPr>
        <w:t> </w:t>
      </w:r>
      <w:r>
        <w:rPr>
          <w:sz w:val="24"/>
        </w:rPr>
        <w:t>Reasoning Ability</w:t>
      </w:r>
      <w:r>
        <w:rPr>
          <w:spacing w:val="-12"/>
          <w:sz w:val="24"/>
        </w:rPr>
        <w:t> </w:t>
      </w:r>
      <w:r>
        <w:rPr>
          <w:sz w:val="24"/>
        </w:rPr>
        <w:t>and Achievement in College Biology.</w:t>
      </w:r>
      <w:r>
        <w:rPr>
          <w:spacing w:val="40"/>
          <w:sz w:val="24"/>
        </w:rPr>
        <w:t> </w:t>
      </w:r>
      <w:r>
        <w:rPr>
          <w:i/>
          <w:sz w:val="24"/>
        </w:rPr>
        <w:t>Journal of Research in Science Teaching </w:t>
      </w:r>
      <w:r>
        <w:rPr>
          <w:sz w:val="24"/>
        </w:rPr>
        <w:t>445(5), 706-724.</w:t>
      </w:r>
    </w:p>
    <w:p>
      <w:pPr>
        <w:pStyle w:val="BodyText"/>
        <w:spacing w:before="238"/>
        <w:ind w:left="1023" w:right="1155" w:hanging="543"/>
      </w:pPr>
      <w:r>
        <w:rPr/>
        <w:t>Lederman, N. G. (2004). Syntax of Nature of Science wihin Inquiry and Science Instruction. In L. B. Flick &amp; N. N. G. Lederman (Eds.), </w:t>
      </w:r>
      <w:r>
        <w:rPr>
          <w:i/>
        </w:rPr>
        <w:t>Scientific Inquiry and Nature of Science </w:t>
      </w:r>
      <w:r>
        <w:rPr/>
        <w:t>(301 – 317). Dordrecht: Kluwer.</w:t>
      </w:r>
    </w:p>
    <w:p>
      <w:pPr>
        <w:pStyle w:val="BodyText"/>
        <w:spacing w:before="243"/>
        <w:ind w:left="1023" w:right="1152" w:hanging="543"/>
      </w:pPr>
      <w:r>
        <w:rPr/>
        <w:t>Lederman, N. G., Abd-El-Khalick, F., Bell, R. L., &amp; Schwartz, R. (2002). Views of Nature of Science Questionnaire: Toward valid and Meaningful Assessment of Learners‘ Conceptions of Nature of Science. </w:t>
      </w:r>
      <w:r>
        <w:rPr>
          <w:i/>
        </w:rPr>
        <w:t>Journal of Research in Science Teaching</w:t>
      </w:r>
      <w:r>
        <w:rPr/>
        <w:t>, 39, 497 – 521.</w:t>
      </w:r>
    </w:p>
    <w:p>
      <w:pPr>
        <w:spacing w:line="237" w:lineRule="auto" w:before="243"/>
        <w:ind w:left="1023" w:right="1157" w:hanging="543"/>
        <w:jc w:val="both"/>
        <w:rPr>
          <w:sz w:val="24"/>
        </w:rPr>
      </w:pPr>
      <w:r>
        <w:rPr>
          <w:sz w:val="24"/>
        </w:rPr>
        <w:t>Leighton, J. P., &amp;</w:t>
      </w:r>
      <w:r>
        <w:rPr>
          <w:spacing w:val="-6"/>
          <w:sz w:val="24"/>
        </w:rPr>
        <w:t> </w:t>
      </w:r>
      <w:r>
        <w:rPr>
          <w:sz w:val="24"/>
        </w:rPr>
        <w:t>Sternberg, R. J. (Eds.). (2004). </w:t>
      </w:r>
      <w:r>
        <w:rPr>
          <w:i/>
          <w:sz w:val="24"/>
        </w:rPr>
        <w:t>The</w:t>
      </w:r>
      <w:r>
        <w:rPr>
          <w:i/>
          <w:spacing w:val="-2"/>
          <w:sz w:val="24"/>
        </w:rPr>
        <w:t> </w:t>
      </w:r>
      <w:r>
        <w:rPr>
          <w:i/>
          <w:sz w:val="24"/>
        </w:rPr>
        <w:t>nature</w:t>
      </w:r>
      <w:r>
        <w:rPr>
          <w:i/>
          <w:spacing w:val="-2"/>
          <w:sz w:val="24"/>
        </w:rPr>
        <w:t> </w:t>
      </w:r>
      <w:r>
        <w:rPr>
          <w:i/>
          <w:sz w:val="24"/>
        </w:rPr>
        <w:t>of reasoning. </w:t>
      </w:r>
      <w:r>
        <w:rPr>
          <w:sz w:val="24"/>
        </w:rPr>
        <w:t>New</w:t>
      </w:r>
      <w:r>
        <w:rPr>
          <w:spacing w:val="-2"/>
          <w:sz w:val="24"/>
        </w:rPr>
        <w:t> </w:t>
      </w:r>
      <w:r>
        <w:rPr>
          <w:sz w:val="24"/>
        </w:rPr>
        <w:t>York, NY: Cambridge University Press.</w:t>
      </w:r>
    </w:p>
    <w:p>
      <w:pPr>
        <w:spacing w:line="237" w:lineRule="auto" w:before="246"/>
        <w:ind w:left="1023" w:right="1163" w:hanging="543"/>
        <w:jc w:val="both"/>
        <w:rPr>
          <w:sz w:val="24"/>
        </w:rPr>
      </w:pPr>
      <w:r>
        <w:rPr>
          <w:sz w:val="24"/>
        </w:rPr>
        <w:t>Lewkowicz, A.B. (1999).</w:t>
      </w:r>
      <w:r>
        <w:rPr>
          <w:spacing w:val="40"/>
          <w:sz w:val="24"/>
        </w:rPr>
        <w:t> </w:t>
      </w:r>
      <w:r>
        <w:rPr>
          <w:i/>
          <w:sz w:val="24"/>
        </w:rPr>
        <w:t>Teaching Emotional Intelligence Making Informed</w:t>
      </w:r>
      <w:r>
        <w:rPr>
          <w:i/>
          <w:spacing w:val="40"/>
          <w:sz w:val="24"/>
        </w:rPr>
        <w:t> </w:t>
      </w:r>
      <w:r>
        <w:rPr>
          <w:i/>
          <w:sz w:val="24"/>
        </w:rPr>
        <w:t>Choices.</w:t>
      </w:r>
      <w:r>
        <w:rPr>
          <w:i/>
          <w:spacing w:val="40"/>
          <w:sz w:val="24"/>
        </w:rPr>
        <w:t> </w:t>
      </w:r>
      <w:r>
        <w:rPr>
          <w:sz w:val="24"/>
        </w:rPr>
        <w:t>Arlington Heights:</w:t>
      </w:r>
      <w:r>
        <w:rPr>
          <w:spacing w:val="40"/>
          <w:sz w:val="24"/>
        </w:rPr>
        <w:t> </w:t>
      </w:r>
      <w:r>
        <w:rPr>
          <w:sz w:val="24"/>
        </w:rPr>
        <w:t>Skylight Training and Publishing Inc.</w:t>
      </w:r>
    </w:p>
    <w:p>
      <w:pPr>
        <w:spacing w:line="240" w:lineRule="auto" w:before="243"/>
        <w:ind w:left="1023" w:right="1157" w:hanging="543"/>
        <w:jc w:val="both"/>
        <w:rPr>
          <w:sz w:val="24"/>
        </w:rPr>
      </w:pPr>
      <w:r>
        <w:rPr>
          <w:sz w:val="24"/>
        </w:rPr>
        <w:t>Lirgg, C. D. &amp; Feltz, D. L. (1991). Teacher versus peer models revisited: Effects on motor performance and self-efficacy. </w:t>
      </w:r>
      <w:r>
        <w:rPr>
          <w:i/>
          <w:sz w:val="24"/>
        </w:rPr>
        <w:t>Research Quarterly for Exercise and Sport, 62, </w:t>
      </w:r>
      <w:r>
        <w:rPr>
          <w:sz w:val="24"/>
        </w:rPr>
        <w:t>217- 224.</w:t>
      </w:r>
    </w:p>
    <w:p>
      <w:pPr>
        <w:spacing w:line="240" w:lineRule="auto" w:before="238"/>
        <w:ind w:left="1023" w:right="1154" w:hanging="543"/>
        <w:jc w:val="both"/>
        <w:rPr>
          <w:i/>
          <w:sz w:val="24"/>
        </w:rPr>
      </w:pPr>
      <w:r>
        <w:rPr>
          <w:sz w:val="24"/>
        </w:rPr>
        <w:t>Lodewyk, K. R. &amp; Winne, P. H. (2005). Relations among the structure of learning tasks, achievement and changes in self-efficacy in secondary students. </w:t>
      </w:r>
      <w:r>
        <w:rPr>
          <w:i/>
          <w:sz w:val="24"/>
        </w:rPr>
        <w:t>Journal</w:t>
      </w:r>
      <w:r>
        <w:rPr>
          <w:i/>
          <w:spacing w:val="40"/>
          <w:sz w:val="24"/>
        </w:rPr>
        <w:t> </w:t>
      </w:r>
      <w:r>
        <w:rPr>
          <w:i/>
          <w:sz w:val="24"/>
        </w:rPr>
        <w:t>of educational psychology, 97, 3-12.</w:t>
      </w:r>
    </w:p>
    <w:p>
      <w:pPr>
        <w:pStyle w:val="BodyText"/>
        <w:spacing w:before="243"/>
        <w:ind w:left="1023" w:right="1161" w:hanging="543"/>
      </w:pPr>
      <w:r>
        <w:rPr/>
        <w:t>Lohman, D.F. &amp; Lakin, J. M. (2009). Reasoning and Intelligence. R. J. Sterberg Kaufan (eds), </w:t>
      </w:r>
      <w:r>
        <w:rPr>
          <w:i/>
        </w:rPr>
        <w:t>Handbook of Intelligence </w:t>
      </w:r>
      <w:r>
        <w:rPr/>
        <w:t>(2</w:t>
      </w:r>
      <w:r>
        <w:rPr>
          <w:vertAlign w:val="superscript"/>
        </w:rPr>
        <w:t>nd</w:t>
      </w:r>
      <w:r>
        <w:rPr>
          <w:vertAlign w:val="baseline"/>
        </w:rPr>
        <w:t> ed). New York. Cambridge University Press.</w:t>
      </w:r>
    </w:p>
    <w:p>
      <w:pPr>
        <w:pStyle w:val="BodyText"/>
        <w:spacing w:line="242" w:lineRule="auto" w:before="238"/>
        <w:ind w:left="1023" w:right="1165" w:hanging="543"/>
      </w:pPr>
      <w:r>
        <w:rPr/>
        <w:t>Louis, K. S. &amp; Wahlstrom, K. (2012). Principals as</w:t>
      </w:r>
      <w:r>
        <w:rPr>
          <w:spacing w:val="-4"/>
        </w:rPr>
        <w:t> </w:t>
      </w:r>
      <w:r>
        <w:rPr/>
        <w:t>Cultural</w:t>
      </w:r>
      <w:r>
        <w:rPr>
          <w:spacing w:val="-7"/>
        </w:rPr>
        <w:t> </w:t>
      </w:r>
      <w:r>
        <w:rPr/>
        <w:t>Leaders. Kappan</w:t>
      </w:r>
      <w:r>
        <w:rPr>
          <w:spacing w:val="-7"/>
        </w:rPr>
        <w:t> </w:t>
      </w:r>
      <w:r>
        <w:rPr/>
        <w:t>9(5), 52 – 56.</w:t>
      </w:r>
    </w:p>
    <w:p>
      <w:pPr>
        <w:pStyle w:val="BodyText"/>
        <w:spacing w:before="234"/>
        <w:ind w:left="1023" w:right="1151" w:hanging="543"/>
      </w:pPr>
      <w:r>
        <w:rPr/>
        <w:t>Low, G. &amp; Nelson, D. (2005). Emotional Intelligence: The role of Transformative Learning in Academic Excellence. Texas Study</w:t>
      </w:r>
      <w:r>
        <w:rPr>
          <w:spacing w:val="-6"/>
        </w:rPr>
        <w:t> </w:t>
      </w:r>
      <w:r>
        <w:rPr/>
        <w:t>of Secondary</w:t>
      </w:r>
      <w:r>
        <w:rPr>
          <w:spacing w:val="-6"/>
        </w:rPr>
        <w:t> </w:t>
      </w:r>
      <w:r>
        <w:rPr/>
        <w:t>Education, 14 (2), 41 – 44.</w:t>
      </w:r>
    </w:p>
    <w:p>
      <w:pPr>
        <w:pStyle w:val="BodyText"/>
        <w:spacing w:before="243"/>
        <w:ind w:left="1023" w:right="1165" w:hanging="543"/>
      </w:pPr>
      <w:r>
        <w:rPr/>
        <w:t>Low,</w:t>
      </w:r>
      <w:r>
        <w:rPr>
          <w:spacing w:val="-11"/>
        </w:rPr>
        <w:t> </w:t>
      </w:r>
      <w:r>
        <w:rPr/>
        <w:t>G.</w:t>
      </w:r>
      <w:r>
        <w:rPr>
          <w:spacing w:val="-11"/>
        </w:rPr>
        <w:t> </w:t>
      </w:r>
      <w:r>
        <w:rPr/>
        <w:t>R.,</w:t>
      </w:r>
      <w:r>
        <w:rPr>
          <w:spacing w:val="-9"/>
        </w:rPr>
        <w:t> </w:t>
      </w:r>
      <w:r>
        <w:rPr/>
        <w:t>Lomax,</w:t>
      </w:r>
      <w:r>
        <w:rPr>
          <w:spacing w:val="-6"/>
        </w:rPr>
        <w:t> </w:t>
      </w:r>
      <w:r>
        <w:rPr/>
        <w:t>A.</w:t>
      </w:r>
      <w:r>
        <w:rPr>
          <w:spacing w:val="-6"/>
        </w:rPr>
        <w:t> </w:t>
      </w:r>
      <w:r>
        <w:rPr/>
        <w:t>Jackson,</w:t>
      </w:r>
      <w:r>
        <w:rPr>
          <w:spacing w:val="-6"/>
        </w:rPr>
        <w:t> </w:t>
      </w:r>
      <w:r>
        <w:rPr/>
        <w:t>M.</w:t>
      </w:r>
      <w:r>
        <w:rPr>
          <w:spacing w:val="-4"/>
        </w:rPr>
        <w:t> </w:t>
      </w:r>
      <w:r>
        <w:rPr/>
        <w:t>&amp;</w:t>
      </w:r>
      <w:r>
        <w:rPr>
          <w:spacing w:val="-15"/>
        </w:rPr>
        <w:t> </w:t>
      </w:r>
      <w:r>
        <w:rPr/>
        <w:t>Nelson,</w:t>
      </w:r>
      <w:r>
        <w:rPr>
          <w:spacing w:val="-10"/>
        </w:rPr>
        <w:t> </w:t>
      </w:r>
      <w:r>
        <w:rPr/>
        <w:t>D.</w:t>
      </w:r>
      <w:r>
        <w:rPr>
          <w:spacing w:val="-7"/>
        </w:rPr>
        <w:t> </w:t>
      </w:r>
      <w:r>
        <w:rPr/>
        <w:t>B.</w:t>
      </w:r>
      <w:r>
        <w:rPr>
          <w:spacing w:val="-10"/>
        </w:rPr>
        <w:t> </w:t>
      </w:r>
      <w:r>
        <w:rPr/>
        <w:t>(2004).</w:t>
      </w:r>
      <w:r>
        <w:rPr>
          <w:spacing w:val="-10"/>
        </w:rPr>
        <w:t> </w:t>
      </w:r>
      <w:r>
        <w:rPr/>
        <w:t>―Emotional</w:t>
      </w:r>
      <w:r>
        <w:rPr>
          <w:spacing w:val="-15"/>
        </w:rPr>
        <w:t> </w:t>
      </w:r>
      <w:r>
        <w:rPr/>
        <w:t>Intelligence: A New Student Development Model. National Conference of the American College Personnel Association. Pennsylvania.</w:t>
      </w:r>
    </w:p>
    <w:p>
      <w:pPr>
        <w:tabs>
          <w:tab w:pos="2382" w:val="left" w:leader="none"/>
          <w:tab w:pos="6584" w:val="left" w:leader="none"/>
        </w:tabs>
        <w:spacing w:before="239"/>
        <w:ind w:left="480" w:right="0" w:firstLine="0"/>
        <w:jc w:val="left"/>
        <w:rPr>
          <w:i/>
          <w:sz w:val="24"/>
        </w:rPr>
      </w:pPr>
      <w:r>
        <w:rPr>
          <w:sz w:val="24"/>
        </w:rPr>
        <w:t>Luke,</w:t>
      </w:r>
      <w:r>
        <w:rPr>
          <w:spacing w:val="44"/>
          <w:sz w:val="24"/>
        </w:rPr>
        <w:t> </w:t>
      </w:r>
      <w:r>
        <w:rPr>
          <w:sz w:val="24"/>
        </w:rPr>
        <w:t>C.</w:t>
      </w:r>
      <w:r>
        <w:rPr>
          <w:spacing w:val="44"/>
          <w:sz w:val="24"/>
        </w:rPr>
        <w:t> </w:t>
      </w:r>
      <w:r>
        <w:rPr>
          <w:spacing w:val="-2"/>
          <w:sz w:val="24"/>
        </w:rPr>
        <w:t>(2001).</w:t>
      </w:r>
      <w:r>
        <w:rPr>
          <w:sz w:val="24"/>
        </w:rPr>
        <w:tab/>
      </w:r>
      <w:r>
        <w:rPr>
          <w:i/>
          <w:sz w:val="24"/>
        </w:rPr>
        <w:t>Globalization</w:t>
      </w:r>
      <w:r>
        <w:rPr>
          <w:i/>
          <w:spacing w:val="42"/>
          <w:sz w:val="24"/>
        </w:rPr>
        <w:t> </w:t>
      </w:r>
      <w:r>
        <w:rPr>
          <w:i/>
          <w:sz w:val="24"/>
        </w:rPr>
        <w:t>and</w:t>
      </w:r>
      <w:r>
        <w:rPr>
          <w:i/>
          <w:spacing w:val="51"/>
          <w:sz w:val="24"/>
        </w:rPr>
        <w:t> </w:t>
      </w:r>
      <w:r>
        <w:rPr>
          <w:i/>
          <w:sz w:val="24"/>
        </w:rPr>
        <w:t>women</w:t>
      </w:r>
      <w:r>
        <w:rPr>
          <w:i/>
          <w:spacing w:val="46"/>
          <w:sz w:val="24"/>
        </w:rPr>
        <w:t> </w:t>
      </w:r>
      <w:r>
        <w:rPr>
          <w:i/>
          <w:sz w:val="24"/>
        </w:rPr>
        <w:t>in</w:t>
      </w:r>
      <w:r>
        <w:rPr>
          <w:i/>
          <w:spacing w:val="47"/>
          <w:sz w:val="24"/>
        </w:rPr>
        <w:t> </w:t>
      </w:r>
      <w:r>
        <w:rPr>
          <w:i/>
          <w:spacing w:val="-2"/>
          <w:sz w:val="24"/>
        </w:rPr>
        <w:t>academia:</w:t>
      </w:r>
      <w:r>
        <w:rPr>
          <w:i/>
          <w:sz w:val="24"/>
        </w:rPr>
        <w:tab/>
        <w:t>North/west</w:t>
      </w:r>
      <w:r>
        <w:rPr>
          <w:i/>
          <w:spacing w:val="40"/>
          <w:sz w:val="24"/>
        </w:rPr>
        <w:t> </w:t>
      </w:r>
      <w:r>
        <w:rPr>
          <w:i/>
          <w:spacing w:val="-2"/>
          <w:sz w:val="24"/>
        </w:rPr>
        <w:t>south/east.</w:t>
      </w:r>
    </w:p>
    <w:p>
      <w:pPr>
        <w:pStyle w:val="BodyText"/>
        <w:spacing w:before="2"/>
        <w:ind w:left="1023"/>
        <w:jc w:val="left"/>
      </w:pPr>
      <w:r>
        <w:rPr/>
        <w:t>Mahwah</w:t>
      </w:r>
      <w:r>
        <w:rPr>
          <w:spacing w:val="-6"/>
        </w:rPr>
        <w:t> </w:t>
      </w:r>
      <w:r>
        <w:rPr/>
        <w:t>NY:</w:t>
      </w:r>
      <w:r>
        <w:rPr>
          <w:spacing w:val="58"/>
        </w:rPr>
        <w:t> </w:t>
      </w:r>
      <w:r>
        <w:rPr/>
        <w:t>Lawrence</w:t>
      </w:r>
      <w:r>
        <w:rPr>
          <w:spacing w:val="-2"/>
        </w:rPr>
        <w:t> </w:t>
      </w:r>
      <w:r>
        <w:rPr/>
        <w:t>Eribaum</w:t>
      </w:r>
      <w:r>
        <w:rPr>
          <w:spacing w:val="-1"/>
        </w:rPr>
        <w:t> </w:t>
      </w:r>
      <w:r>
        <w:rPr>
          <w:spacing w:val="-2"/>
        </w:rPr>
        <w:t>Associates.</w:t>
      </w:r>
    </w:p>
    <w:p>
      <w:pPr>
        <w:spacing w:after="0"/>
        <w:jc w:val="left"/>
        <w:sectPr>
          <w:pgSz w:w="11910" w:h="16840"/>
          <w:pgMar w:header="0" w:footer="1012" w:top="1340" w:bottom="1200" w:left="1680" w:right="280"/>
        </w:sectPr>
      </w:pPr>
    </w:p>
    <w:p>
      <w:pPr>
        <w:pStyle w:val="BodyText"/>
        <w:spacing w:line="275" w:lineRule="exact" w:before="74"/>
        <w:jc w:val="left"/>
      </w:pPr>
      <w:r>
        <w:rPr/>
        <w:t>Luszczuska,</w:t>
      </w:r>
      <w:r>
        <w:rPr>
          <w:spacing w:val="19"/>
        </w:rPr>
        <w:t> </w:t>
      </w:r>
      <w:r>
        <w:rPr/>
        <w:t>A.,</w:t>
      </w:r>
      <w:r>
        <w:rPr>
          <w:spacing w:val="15"/>
        </w:rPr>
        <w:t> </w:t>
      </w:r>
      <w:r>
        <w:rPr/>
        <w:t>&amp;</w:t>
      </w:r>
      <w:r>
        <w:rPr>
          <w:spacing w:val="9"/>
        </w:rPr>
        <w:t> </w:t>
      </w:r>
      <w:r>
        <w:rPr/>
        <w:t>Schwarzer,</w:t>
      </w:r>
      <w:r>
        <w:rPr>
          <w:spacing w:val="15"/>
        </w:rPr>
        <w:t> </w:t>
      </w:r>
      <w:r>
        <w:rPr/>
        <w:t>R.</w:t>
      </w:r>
      <w:r>
        <w:rPr>
          <w:spacing w:val="14"/>
        </w:rPr>
        <w:t> </w:t>
      </w:r>
      <w:r>
        <w:rPr/>
        <w:t>(2005).</w:t>
      </w:r>
      <w:r>
        <w:rPr>
          <w:spacing w:val="59"/>
          <w:w w:val="150"/>
        </w:rPr>
        <w:t> </w:t>
      </w:r>
      <w:r>
        <w:rPr/>
        <w:t>Social</w:t>
      </w:r>
      <w:r>
        <w:rPr>
          <w:spacing w:val="14"/>
        </w:rPr>
        <w:t> </w:t>
      </w:r>
      <w:r>
        <w:rPr/>
        <w:t>Cognitive</w:t>
      </w:r>
      <w:r>
        <w:rPr>
          <w:spacing w:val="12"/>
        </w:rPr>
        <w:t> </w:t>
      </w:r>
      <w:r>
        <w:rPr/>
        <w:t>theory.</w:t>
      </w:r>
      <w:r>
        <w:rPr>
          <w:spacing w:val="58"/>
          <w:w w:val="150"/>
        </w:rPr>
        <w:t> </w:t>
      </w:r>
      <w:r>
        <w:rPr/>
        <w:t>In</w:t>
      </w:r>
      <w:r>
        <w:rPr>
          <w:spacing w:val="8"/>
        </w:rPr>
        <w:t> </w:t>
      </w:r>
      <w:r>
        <w:rPr/>
        <w:t>M.</w:t>
      </w:r>
      <w:r>
        <w:rPr>
          <w:spacing w:val="15"/>
        </w:rPr>
        <w:t> </w:t>
      </w:r>
      <w:r>
        <w:rPr/>
        <w:t>Conner</w:t>
      </w:r>
      <w:r>
        <w:rPr>
          <w:spacing w:val="19"/>
        </w:rPr>
        <w:t> </w:t>
      </w:r>
      <w:r>
        <w:rPr>
          <w:spacing w:val="-10"/>
        </w:rPr>
        <w:t>&amp;</w:t>
      </w:r>
    </w:p>
    <w:p>
      <w:pPr>
        <w:pStyle w:val="BodyText"/>
        <w:spacing w:line="242" w:lineRule="auto"/>
        <w:ind w:left="1023" w:right="1170"/>
        <w:jc w:val="left"/>
      </w:pPr>
      <w:r>
        <w:rPr/>
        <w:t>P.</w:t>
      </w:r>
      <w:r>
        <w:rPr>
          <w:spacing w:val="80"/>
          <w:w w:val="150"/>
        </w:rPr>
        <w:t> </w:t>
      </w:r>
      <w:r>
        <w:rPr/>
        <w:t>Norman</w:t>
      </w:r>
      <w:r>
        <w:rPr>
          <w:spacing w:val="80"/>
        </w:rPr>
        <w:t> </w:t>
      </w:r>
      <w:r>
        <w:rPr/>
        <w:t>(Eds),</w:t>
      </w:r>
      <w:r>
        <w:rPr>
          <w:spacing w:val="80"/>
          <w:w w:val="150"/>
        </w:rPr>
        <w:t> </w:t>
      </w:r>
      <w:r>
        <w:rPr/>
        <w:t>Predicting</w:t>
      </w:r>
      <w:r>
        <w:rPr>
          <w:spacing w:val="80"/>
          <w:w w:val="150"/>
        </w:rPr>
        <w:t> </w:t>
      </w:r>
      <w:r>
        <w:rPr/>
        <w:t>Health</w:t>
      </w:r>
      <w:r>
        <w:rPr>
          <w:spacing w:val="80"/>
        </w:rPr>
        <w:t> </w:t>
      </w:r>
      <w:r>
        <w:rPr/>
        <w:t>Behaviour</w:t>
      </w:r>
      <w:r>
        <w:rPr>
          <w:spacing w:val="80"/>
          <w:w w:val="150"/>
        </w:rPr>
        <w:t> </w:t>
      </w:r>
      <w:r>
        <w:rPr/>
        <w:t>2</w:t>
      </w:r>
      <w:r>
        <w:rPr>
          <w:vertAlign w:val="superscript"/>
        </w:rPr>
        <w:t>nd</w:t>
      </w:r>
      <w:r>
        <w:rPr>
          <w:spacing w:val="80"/>
          <w:w w:val="150"/>
          <w:vertAlign w:val="baseline"/>
        </w:rPr>
        <w:t> </w:t>
      </w:r>
      <w:r>
        <w:rPr>
          <w:vertAlign w:val="baseline"/>
        </w:rPr>
        <w:t>ed.</w:t>
      </w:r>
      <w:r>
        <w:rPr>
          <w:spacing w:val="80"/>
          <w:w w:val="150"/>
          <w:vertAlign w:val="baseline"/>
        </w:rPr>
        <w:t> </w:t>
      </w:r>
      <w:r>
        <w:rPr>
          <w:vertAlign w:val="baseline"/>
        </w:rPr>
        <w:t>Rev.</w:t>
      </w:r>
      <w:r>
        <w:rPr>
          <w:spacing w:val="80"/>
          <w:w w:val="150"/>
          <w:vertAlign w:val="baseline"/>
        </w:rPr>
        <w:t> </w:t>
      </w:r>
      <w:r>
        <w:rPr>
          <w:vertAlign w:val="baseline"/>
        </w:rPr>
        <w:t>127-167). Buckingham, England: Open University Press.</w:t>
      </w:r>
    </w:p>
    <w:p>
      <w:pPr>
        <w:pStyle w:val="BodyText"/>
        <w:spacing w:before="234"/>
        <w:ind w:left="1023" w:right="1158" w:hanging="543"/>
      </w:pPr>
      <w:r>
        <w:rPr/>
        <w:t>Mandell, B. &amp;</w:t>
      </w:r>
      <w:r>
        <w:rPr>
          <w:spacing w:val="-1"/>
        </w:rPr>
        <w:t> </w:t>
      </w:r>
      <w:r>
        <w:rPr/>
        <w:t>Pherwani, S. (2003). Relationship between</w:t>
      </w:r>
      <w:r>
        <w:rPr>
          <w:spacing w:val="-1"/>
        </w:rPr>
        <w:t> </w:t>
      </w:r>
      <w:r>
        <w:rPr/>
        <w:t>Emotional</w:t>
      </w:r>
      <w:r>
        <w:rPr>
          <w:spacing w:val="-1"/>
        </w:rPr>
        <w:t> </w:t>
      </w:r>
      <w:r>
        <w:rPr/>
        <w:t>Intelligence and Transformational Leadership Style: A Gender Comparison. </w:t>
      </w:r>
      <w:r>
        <w:rPr>
          <w:i/>
        </w:rPr>
        <w:t>Journal of Business and Psychology</w:t>
      </w:r>
      <w:r>
        <w:rPr/>
        <w:t>, 17(3), 387 – 404.</w:t>
      </w:r>
    </w:p>
    <w:p>
      <w:pPr>
        <w:pStyle w:val="BodyText"/>
        <w:spacing w:before="242"/>
        <w:ind w:left="1023" w:right="1159" w:hanging="543"/>
      </w:pPr>
      <w:r>
        <w:rPr/>
        <w:t>Mari, J.S. (2001).</w:t>
      </w:r>
      <w:r>
        <w:rPr>
          <w:spacing w:val="40"/>
        </w:rPr>
        <w:t> </w:t>
      </w:r>
      <w:r>
        <w:rPr/>
        <w:t>The Effects of Process Skills Instruction on formal Reasoning Ability Among Senior Secondary School Students in Kaduna State.</w:t>
      </w:r>
      <w:r>
        <w:rPr>
          <w:spacing w:val="40"/>
        </w:rPr>
        <w:t> </w:t>
      </w:r>
      <w:r>
        <w:rPr/>
        <w:t>Unpublished Ph.D. Thesis, Faculty of Education, A.B.U., Zaria.</w:t>
      </w:r>
    </w:p>
    <w:p>
      <w:pPr>
        <w:spacing w:line="240" w:lineRule="auto" w:before="238"/>
        <w:ind w:left="1023" w:right="1159" w:hanging="543"/>
        <w:jc w:val="both"/>
        <w:rPr>
          <w:sz w:val="24"/>
        </w:rPr>
      </w:pPr>
      <w:r>
        <w:rPr>
          <w:sz w:val="24"/>
        </w:rPr>
        <w:t>Mari, J.S. (2012).</w:t>
      </w:r>
      <w:r>
        <w:rPr>
          <w:spacing w:val="40"/>
          <w:sz w:val="24"/>
        </w:rPr>
        <w:t> </w:t>
      </w:r>
      <w:r>
        <w:rPr>
          <w:sz w:val="24"/>
        </w:rPr>
        <w:t>Gender Related Differences in Acquisition of Formal Reasoning Schemata:</w:t>
      </w:r>
      <w:r>
        <w:rPr>
          <w:spacing w:val="40"/>
          <w:sz w:val="24"/>
        </w:rPr>
        <w:t> </w:t>
      </w:r>
      <w:r>
        <w:rPr>
          <w:sz w:val="24"/>
        </w:rPr>
        <w:t>Pedagogic Implication of Teaching Chemistry using Process-Based Approaches.</w:t>
      </w:r>
      <w:r>
        <w:rPr>
          <w:spacing w:val="40"/>
          <w:sz w:val="24"/>
        </w:rPr>
        <w:t> </w:t>
      </w:r>
      <w:r>
        <w:rPr>
          <w:i/>
          <w:sz w:val="24"/>
        </w:rPr>
        <w:t>International Journal for Cross-Disciplinary Subjects in Education. (IJCDSE), </w:t>
      </w:r>
      <w:r>
        <w:rPr>
          <w:sz w:val="24"/>
        </w:rPr>
        <w:t>Special Issue 2. (2).</w:t>
      </w:r>
    </w:p>
    <w:p>
      <w:pPr>
        <w:pStyle w:val="BodyText"/>
        <w:spacing w:before="241"/>
        <w:ind w:left="1023" w:right="1160" w:hanging="543"/>
      </w:pPr>
      <w:r>
        <w:rPr/>
        <w:t>Maulding, W.S., Townsend, A., Leonard, E., Sparkman, L., Styron, J. &amp; Styron, R. (2010). The Relationship between emotional intelligence of Principals and Student performance in Mississippi Public Schools. </w:t>
      </w:r>
      <w:r>
        <w:rPr>
          <w:i/>
        </w:rPr>
        <w:t>Academic leadership Journal</w:t>
      </w:r>
      <w:r>
        <w:rPr/>
        <w:t>, 8 (4).</w:t>
      </w:r>
      <w:r>
        <w:rPr>
          <w:spacing w:val="40"/>
        </w:rPr>
        <w:t> </w:t>
      </w:r>
      <w:r>
        <w:rPr/>
        <w:t>Retrieved from EBSCO Host.</w:t>
      </w:r>
    </w:p>
    <w:p>
      <w:pPr>
        <w:pStyle w:val="BodyText"/>
        <w:spacing w:line="242" w:lineRule="auto" w:before="240"/>
        <w:ind w:left="1023" w:right="1168" w:hanging="543"/>
      </w:pPr>
      <w:r>
        <w:rPr/>
        <w:t>Mayer</w:t>
      </w:r>
      <w:r>
        <w:rPr>
          <w:spacing w:val="-2"/>
        </w:rPr>
        <w:t> </w:t>
      </w:r>
      <w:r>
        <w:rPr/>
        <w:t>J.D.,</w:t>
      </w:r>
      <w:r>
        <w:rPr>
          <w:spacing w:val="-1"/>
        </w:rPr>
        <w:t> </w:t>
      </w:r>
      <w:r>
        <w:rPr/>
        <w:t>Salovey,</w:t>
      </w:r>
      <w:r>
        <w:rPr>
          <w:spacing w:val="-1"/>
        </w:rPr>
        <w:t> </w:t>
      </w:r>
      <w:r>
        <w:rPr/>
        <w:t>P.,</w:t>
      </w:r>
      <w:r>
        <w:rPr>
          <w:spacing w:val="-1"/>
        </w:rPr>
        <w:t> </w:t>
      </w:r>
      <w:r>
        <w:rPr/>
        <w:t>&amp;</w:t>
      </w:r>
      <w:r>
        <w:rPr>
          <w:spacing w:val="-7"/>
        </w:rPr>
        <w:t> </w:t>
      </w:r>
      <w:r>
        <w:rPr/>
        <w:t>Caruso,</w:t>
      </w:r>
      <w:r>
        <w:rPr>
          <w:spacing w:val="-1"/>
        </w:rPr>
        <w:t> </w:t>
      </w:r>
      <w:r>
        <w:rPr/>
        <w:t>D.,</w:t>
      </w:r>
      <w:r>
        <w:rPr>
          <w:spacing w:val="-1"/>
        </w:rPr>
        <w:t> </w:t>
      </w:r>
      <w:r>
        <w:rPr/>
        <w:t>&amp;</w:t>
      </w:r>
      <w:r>
        <w:rPr>
          <w:spacing w:val="-7"/>
        </w:rPr>
        <w:t> </w:t>
      </w:r>
      <w:r>
        <w:rPr/>
        <w:t>Sitarenios,</w:t>
      </w:r>
      <w:r>
        <w:rPr>
          <w:spacing w:val="-1"/>
        </w:rPr>
        <w:t> </w:t>
      </w:r>
      <w:r>
        <w:rPr/>
        <w:t>G.</w:t>
      </w:r>
      <w:r>
        <w:rPr>
          <w:spacing w:val="-1"/>
        </w:rPr>
        <w:t> </w:t>
      </w:r>
      <w:r>
        <w:rPr/>
        <w:t>(2003).</w:t>
      </w:r>
      <w:r>
        <w:rPr>
          <w:spacing w:val="40"/>
        </w:rPr>
        <w:t> </w:t>
      </w:r>
      <w:r>
        <w:rPr/>
        <w:t>Measuring</w:t>
      </w:r>
      <w:r>
        <w:rPr>
          <w:spacing w:val="-3"/>
        </w:rPr>
        <w:t> </w:t>
      </w:r>
      <w:r>
        <w:rPr/>
        <w:t>emotional intelligence with the MSCEITV20. </w:t>
      </w:r>
      <w:r>
        <w:rPr>
          <w:i/>
        </w:rPr>
        <w:t>Emotion 3, </w:t>
      </w:r>
      <w:r>
        <w:rPr/>
        <w:t>97-105.</w:t>
      </w:r>
    </w:p>
    <w:p>
      <w:pPr>
        <w:pStyle w:val="BodyText"/>
        <w:spacing w:line="242" w:lineRule="auto" w:before="235"/>
        <w:ind w:left="1023" w:right="1162" w:hanging="543"/>
      </w:pPr>
      <w:r>
        <w:rPr/>
        <w:t>Mayer, J. D. &amp; Geher, G. (1996). Emotional Intelligence and the Identification of Emotion. </w:t>
      </w:r>
      <w:r>
        <w:rPr>
          <w:i/>
        </w:rPr>
        <w:t>Intelligence</w:t>
      </w:r>
      <w:r>
        <w:rPr/>
        <w:t>, 22, 89 – 113.</w:t>
      </w:r>
    </w:p>
    <w:p>
      <w:pPr>
        <w:pStyle w:val="BodyText"/>
        <w:spacing w:line="242" w:lineRule="auto" w:before="234"/>
        <w:ind w:left="1023" w:right="1164" w:hanging="543"/>
      </w:pPr>
      <w:r>
        <w:rPr/>
        <w:t>Mayer, J. D., Caruso, D. R. &amp; Salovey, P. (1999). Emotional Intelligence meets Standards for Traditional Intelligence. Intelligence, 27, 267 – 298.</w:t>
      </w:r>
    </w:p>
    <w:p>
      <w:pPr>
        <w:pStyle w:val="BodyText"/>
        <w:spacing w:before="235"/>
        <w:jc w:val="left"/>
      </w:pPr>
      <w:r>
        <w:rPr/>
        <w:t>Mayer,</w:t>
      </w:r>
      <w:r>
        <w:rPr>
          <w:spacing w:val="8"/>
        </w:rPr>
        <w:t> </w:t>
      </w:r>
      <w:r>
        <w:rPr/>
        <w:t>J.</w:t>
      </w:r>
      <w:r>
        <w:rPr>
          <w:spacing w:val="11"/>
        </w:rPr>
        <w:t> </w:t>
      </w:r>
      <w:r>
        <w:rPr/>
        <w:t>D.,</w:t>
      </w:r>
      <w:r>
        <w:rPr>
          <w:spacing w:val="11"/>
        </w:rPr>
        <w:t> </w:t>
      </w:r>
      <w:r>
        <w:rPr/>
        <w:t>Salovey,</w:t>
      </w:r>
      <w:r>
        <w:rPr>
          <w:spacing w:val="11"/>
        </w:rPr>
        <w:t> </w:t>
      </w:r>
      <w:r>
        <w:rPr/>
        <w:t>P.,</w:t>
      </w:r>
      <w:r>
        <w:rPr>
          <w:spacing w:val="11"/>
        </w:rPr>
        <w:t> </w:t>
      </w:r>
      <w:r>
        <w:rPr/>
        <w:t>&amp;</w:t>
      </w:r>
      <w:r>
        <w:rPr>
          <w:spacing w:val="5"/>
        </w:rPr>
        <w:t> </w:t>
      </w:r>
      <w:r>
        <w:rPr/>
        <w:t>Caruso,</w:t>
      </w:r>
      <w:r>
        <w:rPr>
          <w:spacing w:val="11"/>
        </w:rPr>
        <w:t> </w:t>
      </w:r>
      <w:r>
        <w:rPr/>
        <w:t>D.</w:t>
      </w:r>
      <w:r>
        <w:rPr>
          <w:spacing w:val="6"/>
        </w:rPr>
        <w:t> </w:t>
      </w:r>
      <w:r>
        <w:rPr/>
        <w:t>(2000).</w:t>
      </w:r>
      <w:r>
        <w:rPr>
          <w:spacing w:val="7"/>
        </w:rPr>
        <w:t> </w:t>
      </w:r>
      <w:r>
        <w:rPr/>
        <w:t>Models</w:t>
      </w:r>
      <w:r>
        <w:rPr>
          <w:spacing w:val="7"/>
        </w:rPr>
        <w:t> </w:t>
      </w:r>
      <w:r>
        <w:rPr/>
        <w:t>of</w:t>
      </w:r>
      <w:r>
        <w:rPr>
          <w:spacing w:val="1"/>
        </w:rPr>
        <w:t> </w:t>
      </w:r>
      <w:r>
        <w:rPr/>
        <w:t>Emotional</w:t>
      </w:r>
      <w:r>
        <w:rPr>
          <w:spacing w:val="5"/>
        </w:rPr>
        <w:t> </w:t>
      </w:r>
      <w:r>
        <w:rPr/>
        <w:t>Intelligence.</w:t>
      </w:r>
      <w:r>
        <w:rPr>
          <w:spacing w:val="11"/>
        </w:rPr>
        <w:t> </w:t>
      </w:r>
      <w:r>
        <w:rPr>
          <w:spacing w:val="-5"/>
        </w:rPr>
        <w:t>In</w:t>
      </w:r>
    </w:p>
    <w:p>
      <w:pPr>
        <w:spacing w:line="237" w:lineRule="auto" w:before="5"/>
        <w:ind w:left="1023" w:right="163" w:firstLine="0"/>
        <w:jc w:val="left"/>
        <w:rPr>
          <w:sz w:val="24"/>
        </w:rPr>
      </w:pPr>
      <w:r>
        <w:rPr>
          <w:sz w:val="24"/>
        </w:rPr>
        <w:t>J.</w:t>
      </w:r>
      <w:r>
        <w:rPr>
          <w:spacing w:val="31"/>
          <w:sz w:val="24"/>
        </w:rPr>
        <w:t> </w:t>
      </w:r>
      <w:r>
        <w:rPr>
          <w:sz w:val="24"/>
        </w:rPr>
        <w:t>R.</w:t>
      </w:r>
      <w:r>
        <w:rPr>
          <w:spacing w:val="31"/>
          <w:sz w:val="24"/>
        </w:rPr>
        <w:t> </w:t>
      </w:r>
      <w:r>
        <w:rPr>
          <w:sz w:val="24"/>
        </w:rPr>
        <w:t>Sternberg</w:t>
      </w:r>
      <w:r>
        <w:rPr>
          <w:spacing w:val="30"/>
          <w:sz w:val="24"/>
        </w:rPr>
        <w:t> </w:t>
      </w:r>
      <w:r>
        <w:rPr>
          <w:sz w:val="24"/>
        </w:rPr>
        <w:t>(Ed.),</w:t>
      </w:r>
      <w:r>
        <w:rPr>
          <w:spacing w:val="31"/>
          <w:sz w:val="24"/>
        </w:rPr>
        <w:t> </w:t>
      </w:r>
      <w:r>
        <w:rPr>
          <w:i/>
          <w:sz w:val="24"/>
        </w:rPr>
        <w:t>handbook</w:t>
      </w:r>
      <w:r>
        <w:rPr>
          <w:i/>
          <w:spacing w:val="29"/>
          <w:sz w:val="24"/>
        </w:rPr>
        <w:t> </w:t>
      </w:r>
      <w:r>
        <w:rPr>
          <w:i/>
          <w:sz w:val="24"/>
        </w:rPr>
        <w:t>of</w:t>
      </w:r>
      <w:r>
        <w:rPr>
          <w:i/>
          <w:spacing w:val="34"/>
          <w:sz w:val="24"/>
        </w:rPr>
        <w:t> </w:t>
      </w:r>
      <w:r>
        <w:rPr>
          <w:i/>
          <w:sz w:val="24"/>
        </w:rPr>
        <w:t>Intelligence</w:t>
      </w:r>
      <w:r>
        <w:rPr>
          <w:i/>
          <w:spacing w:val="31"/>
          <w:sz w:val="24"/>
        </w:rPr>
        <w:t> </w:t>
      </w:r>
      <w:r>
        <w:rPr>
          <w:sz w:val="24"/>
        </w:rPr>
        <w:t>(396</w:t>
      </w:r>
      <w:r>
        <w:rPr>
          <w:spacing w:val="30"/>
          <w:sz w:val="24"/>
        </w:rPr>
        <w:t> </w:t>
      </w:r>
      <w:r>
        <w:rPr>
          <w:sz w:val="24"/>
        </w:rPr>
        <w:t>–</w:t>
      </w:r>
      <w:r>
        <w:rPr>
          <w:spacing w:val="30"/>
          <w:sz w:val="24"/>
        </w:rPr>
        <w:t> </w:t>
      </w:r>
      <w:r>
        <w:rPr>
          <w:sz w:val="24"/>
        </w:rPr>
        <w:t>420).</w:t>
      </w:r>
      <w:r>
        <w:rPr>
          <w:spacing w:val="31"/>
          <w:sz w:val="24"/>
        </w:rPr>
        <w:t> </w:t>
      </w:r>
      <w:r>
        <w:rPr>
          <w:sz w:val="24"/>
        </w:rPr>
        <w:t>Cambridge,</w:t>
      </w:r>
      <w:r>
        <w:rPr>
          <w:spacing w:val="31"/>
          <w:sz w:val="24"/>
        </w:rPr>
        <w:t> </w:t>
      </w:r>
      <w:r>
        <w:rPr>
          <w:sz w:val="24"/>
        </w:rPr>
        <w:t>UK: Cambridge University Press.</w:t>
      </w:r>
    </w:p>
    <w:p>
      <w:pPr>
        <w:spacing w:line="240" w:lineRule="auto" w:before="244"/>
        <w:ind w:left="1023" w:right="1154" w:hanging="543"/>
        <w:jc w:val="both"/>
        <w:rPr>
          <w:sz w:val="24"/>
        </w:rPr>
      </w:pPr>
      <w:r>
        <w:rPr>
          <w:sz w:val="24"/>
        </w:rPr>
        <w:t>Mayer, J.D. &amp; Salovey, P. (1997). What is Emotional Intelligensalovey, P and Slughter, C. </w:t>
      </w:r>
      <w:r>
        <w:rPr>
          <w:i/>
          <w:sz w:val="24"/>
        </w:rPr>
        <w:t>Emotional Development and Emotional Intelligence:</w:t>
      </w:r>
      <w:r>
        <w:rPr>
          <w:i/>
          <w:spacing w:val="40"/>
          <w:sz w:val="24"/>
        </w:rPr>
        <w:t> </w:t>
      </w:r>
      <w:r>
        <w:rPr>
          <w:sz w:val="24"/>
        </w:rPr>
        <w:t>Implication for Educator. New York:</w:t>
      </w:r>
      <w:r>
        <w:rPr>
          <w:spacing w:val="40"/>
          <w:sz w:val="24"/>
        </w:rPr>
        <w:t> </w:t>
      </w:r>
      <w:r>
        <w:rPr>
          <w:sz w:val="24"/>
        </w:rPr>
        <w:t>Basic.</w:t>
      </w:r>
    </w:p>
    <w:p>
      <w:pPr>
        <w:spacing w:line="240" w:lineRule="auto" w:before="238"/>
        <w:ind w:left="1023" w:right="1157" w:hanging="543"/>
        <w:jc w:val="both"/>
        <w:rPr>
          <w:sz w:val="24"/>
        </w:rPr>
      </w:pPr>
      <w:r>
        <w:rPr>
          <w:sz w:val="24"/>
        </w:rPr>
        <w:t>Mayer, J.D. (2001).</w:t>
      </w:r>
      <w:r>
        <w:rPr>
          <w:spacing w:val="80"/>
          <w:sz w:val="24"/>
        </w:rPr>
        <w:t> </w:t>
      </w:r>
      <w:r>
        <w:rPr>
          <w:i/>
          <w:sz w:val="24"/>
        </w:rPr>
        <w:t>Emotion, Intelligence, and Emotional Intelligence.</w:t>
      </w:r>
      <w:r>
        <w:rPr>
          <w:i/>
          <w:spacing w:val="80"/>
          <w:sz w:val="24"/>
        </w:rPr>
        <w:t> </w:t>
      </w:r>
      <w:r>
        <w:rPr>
          <w:sz w:val="24"/>
        </w:rPr>
        <w:t>In J.P. Dalam, Handbook of Affect and Social Cognition.</w:t>
      </w:r>
      <w:r>
        <w:rPr>
          <w:spacing w:val="40"/>
          <w:sz w:val="24"/>
        </w:rPr>
        <w:t> </w:t>
      </w:r>
      <w:r>
        <w:rPr>
          <w:sz w:val="24"/>
        </w:rPr>
        <w:t>(410-431).</w:t>
      </w:r>
      <w:r>
        <w:rPr>
          <w:spacing w:val="40"/>
          <w:sz w:val="24"/>
        </w:rPr>
        <w:t> </w:t>
      </w:r>
      <w:r>
        <w:rPr>
          <w:sz w:val="24"/>
        </w:rPr>
        <w:t>New Jersey: Lawrence Erlbaum Associates, Publishers.</w:t>
      </w:r>
    </w:p>
    <w:p>
      <w:pPr>
        <w:pStyle w:val="BodyText"/>
        <w:spacing w:line="237" w:lineRule="auto" w:before="245"/>
        <w:ind w:left="1023" w:right="1166" w:hanging="543"/>
      </w:pPr>
      <w:r>
        <w:rPr/>
        <w:t>Mayer, J.D., Salovey, P. &amp; Caruso, D.R. (2008).</w:t>
      </w:r>
      <w:r>
        <w:rPr>
          <w:spacing w:val="80"/>
        </w:rPr>
        <w:t> </w:t>
      </w:r>
      <w:r>
        <w:rPr/>
        <w:t>Emotional Intelligence:</w:t>
      </w:r>
      <w:r>
        <w:rPr>
          <w:spacing w:val="80"/>
        </w:rPr>
        <w:t> </w:t>
      </w:r>
      <w:r>
        <w:rPr/>
        <w:t>New Ability or Selectic Thaits?</w:t>
      </w:r>
      <w:r>
        <w:rPr>
          <w:spacing w:val="40"/>
        </w:rPr>
        <w:t> </w:t>
      </w:r>
      <w:r>
        <w:rPr>
          <w:i/>
        </w:rPr>
        <w:t>American Psychologist, </w:t>
      </w:r>
      <w:r>
        <w:rPr/>
        <w:t>63, (6) 503-517.</w:t>
      </w:r>
    </w:p>
    <w:p>
      <w:pPr>
        <w:pStyle w:val="BodyText"/>
        <w:spacing w:line="275" w:lineRule="exact" w:before="243"/>
        <w:jc w:val="left"/>
      </w:pPr>
      <w:r>
        <w:rPr/>
        <w:t>Mayer,</w:t>
      </w:r>
      <w:r>
        <w:rPr>
          <w:spacing w:val="4"/>
        </w:rPr>
        <w:t> </w:t>
      </w:r>
      <w:r>
        <w:rPr/>
        <w:t>J.D.,</w:t>
      </w:r>
      <w:r>
        <w:rPr>
          <w:spacing w:val="7"/>
        </w:rPr>
        <w:t> </w:t>
      </w:r>
      <w:r>
        <w:rPr/>
        <w:t>Salovey,</w:t>
      </w:r>
      <w:r>
        <w:rPr>
          <w:spacing w:val="11"/>
        </w:rPr>
        <w:t> </w:t>
      </w:r>
      <w:r>
        <w:rPr/>
        <w:t>P.,</w:t>
      </w:r>
      <w:r>
        <w:rPr>
          <w:spacing w:val="6"/>
        </w:rPr>
        <w:t> </w:t>
      </w:r>
      <w:r>
        <w:rPr/>
        <w:t>&amp;</w:t>
      </w:r>
      <w:r>
        <w:rPr>
          <w:spacing w:val="5"/>
        </w:rPr>
        <w:t> </w:t>
      </w:r>
      <w:r>
        <w:rPr/>
        <w:t>Caruso,</w:t>
      </w:r>
      <w:r>
        <w:rPr>
          <w:spacing w:val="7"/>
        </w:rPr>
        <w:t> </w:t>
      </w:r>
      <w:r>
        <w:rPr/>
        <w:t>D.</w:t>
      </w:r>
      <w:r>
        <w:rPr>
          <w:spacing w:val="6"/>
        </w:rPr>
        <w:t> </w:t>
      </w:r>
      <w:r>
        <w:rPr/>
        <w:t>(2000).</w:t>
      </w:r>
      <w:r>
        <w:rPr>
          <w:spacing w:val="66"/>
        </w:rPr>
        <w:t> </w:t>
      </w:r>
      <w:r>
        <w:rPr/>
        <w:t>Models</w:t>
      </w:r>
      <w:r>
        <w:rPr>
          <w:spacing w:val="2"/>
        </w:rPr>
        <w:t> </w:t>
      </w:r>
      <w:r>
        <w:rPr/>
        <w:t>of</w:t>
      </w:r>
      <w:r>
        <w:rPr>
          <w:spacing w:val="1"/>
        </w:rPr>
        <w:t> </w:t>
      </w:r>
      <w:r>
        <w:rPr/>
        <w:t>emotional</w:t>
      </w:r>
      <w:r>
        <w:rPr>
          <w:spacing w:val="10"/>
        </w:rPr>
        <w:t> </w:t>
      </w:r>
      <w:r>
        <w:rPr/>
        <w:t>intelligence.</w:t>
      </w:r>
      <w:r>
        <w:rPr>
          <w:spacing w:val="72"/>
        </w:rPr>
        <w:t> </w:t>
      </w:r>
      <w:r>
        <w:rPr>
          <w:spacing w:val="-5"/>
        </w:rPr>
        <w:t>In</w:t>
      </w:r>
    </w:p>
    <w:p>
      <w:pPr>
        <w:spacing w:line="242" w:lineRule="auto" w:before="0"/>
        <w:ind w:left="1023" w:right="1303" w:firstLine="0"/>
        <w:jc w:val="left"/>
        <w:rPr>
          <w:sz w:val="24"/>
        </w:rPr>
      </w:pPr>
      <w:r>
        <w:rPr>
          <w:sz w:val="24"/>
        </w:rPr>
        <w:t>J.R. Stermburg (Ed.), </w:t>
      </w:r>
      <w:r>
        <w:rPr>
          <w:i/>
          <w:sz w:val="24"/>
        </w:rPr>
        <w:t>handbook of Intelligence</w:t>
      </w:r>
      <w:r>
        <w:rPr>
          <w:i/>
          <w:spacing w:val="80"/>
          <w:sz w:val="24"/>
        </w:rPr>
        <w:t> </w:t>
      </w:r>
      <w:r>
        <w:rPr>
          <w:sz w:val="24"/>
        </w:rPr>
        <w:t>(396-420).</w:t>
      </w:r>
      <w:r>
        <w:rPr>
          <w:spacing w:val="80"/>
          <w:sz w:val="24"/>
        </w:rPr>
        <w:t> </w:t>
      </w:r>
      <w:r>
        <w:rPr>
          <w:sz w:val="24"/>
        </w:rPr>
        <w:t>Cambridge, UKL: Cambridge University Press.</w:t>
      </w:r>
    </w:p>
    <w:p>
      <w:pPr>
        <w:spacing w:after="0" w:line="242" w:lineRule="auto"/>
        <w:jc w:val="left"/>
        <w:rPr>
          <w:sz w:val="24"/>
        </w:rPr>
        <w:sectPr>
          <w:pgSz w:w="11910" w:h="16840"/>
          <w:pgMar w:header="0" w:footer="1012" w:top="1340" w:bottom="1200" w:left="1680" w:right="280"/>
        </w:sectPr>
      </w:pPr>
    </w:p>
    <w:p>
      <w:pPr>
        <w:pStyle w:val="BodyText"/>
        <w:spacing w:before="74"/>
        <w:ind w:left="1023" w:right="1160" w:hanging="543"/>
      </w:pPr>
      <w:r>
        <w:rPr/>
        <w:t>Mayer. J.D.:</w:t>
      </w:r>
      <w:r>
        <w:rPr>
          <w:spacing w:val="40"/>
        </w:rPr>
        <w:t> </w:t>
      </w:r>
      <w:r>
        <w:rPr/>
        <w:t>Salovey, P.; Caruso, D.R., &amp; Sitarenios, G. (2003).</w:t>
      </w:r>
      <w:r>
        <w:rPr>
          <w:spacing w:val="40"/>
        </w:rPr>
        <w:t> </w:t>
      </w:r>
      <w:r>
        <w:rPr/>
        <w:t>Measuring emotional intelligence with the MSCEIT V2.0.</w:t>
      </w:r>
      <w:r>
        <w:rPr>
          <w:spacing w:val="40"/>
        </w:rPr>
        <w:t> </w:t>
      </w:r>
      <w:r>
        <w:rPr/>
        <w:t>emotion 3: 97-105.</w:t>
      </w:r>
      <w:r>
        <w:rPr>
          <w:spacing w:val="40"/>
        </w:rPr>
        <w:t> </w:t>
      </w:r>
      <w:r>
        <w:rPr/>
        <w:t>Doi: 10 </w:t>
      </w:r>
      <w:r>
        <w:rPr>
          <w:spacing w:val="-2"/>
        </w:rPr>
        <w:t>1037/1528-3542.3.97.</w:t>
      </w:r>
    </w:p>
    <w:p>
      <w:pPr>
        <w:spacing w:line="240" w:lineRule="auto" w:before="238"/>
        <w:ind w:left="1023" w:right="1150" w:hanging="543"/>
        <w:jc w:val="both"/>
        <w:rPr>
          <w:sz w:val="24"/>
        </w:rPr>
      </w:pPr>
      <w:r>
        <w:rPr>
          <w:sz w:val="24"/>
        </w:rPr>
        <w:t>McComas, W. F. &amp; Olson, J. K. (1998). The Nature of Science in International Science Education</w:t>
      </w:r>
      <w:r>
        <w:rPr>
          <w:spacing w:val="-2"/>
          <w:sz w:val="24"/>
        </w:rPr>
        <w:t> </w:t>
      </w:r>
      <w:r>
        <w:rPr>
          <w:sz w:val="24"/>
        </w:rPr>
        <w:t>Documents. In W. F. McComas (Ed.), </w:t>
      </w:r>
      <w:r>
        <w:rPr>
          <w:i/>
          <w:sz w:val="24"/>
        </w:rPr>
        <w:t>The Nature of Science in Science Education:Rationales and Strategies </w:t>
      </w:r>
      <w:r>
        <w:rPr>
          <w:sz w:val="24"/>
        </w:rPr>
        <w:t>(41 – 52). Dordrecht: Kluwer.</w:t>
      </w:r>
    </w:p>
    <w:p>
      <w:pPr>
        <w:spacing w:line="237" w:lineRule="auto" w:before="245"/>
        <w:ind w:left="1023" w:right="1164" w:hanging="543"/>
        <w:jc w:val="both"/>
        <w:rPr>
          <w:sz w:val="24"/>
        </w:rPr>
      </w:pPr>
      <w:r>
        <w:rPr>
          <w:sz w:val="24"/>
        </w:rPr>
        <w:t>McCullagh, P. (1987). Model similarity effects on motor performance. </w:t>
      </w:r>
      <w:r>
        <w:rPr>
          <w:i/>
          <w:sz w:val="24"/>
        </w:rPr>
        <w:t>Journal of Sport Psychology, 9, </w:t>
      </w:r>
      <w:r>
        <w:rPr>
          <w:sz w:val="24"/>
        </w:rPr>
        <w:t>249-260.</w:t>
      </w:r>
    </w:p>
    <w:p>
      <w:pPr>
        <w:pStyle w:val="BodyText"/>
        <w:spacing w:before="243"/>
        <w:ind w:left="1023" w:right="1158" w:hanging="543"/>
        <w:rPr>
          <w:i/>
        </w:rPr>
      </w:pPr>
      <w:r>
        <w:rPr/>
        <w:t>Miller, R. B., Greene, B. A., Montalvo, G. P.,</w:t>
      </w:r>
      <w:r>
        <w:rPr>
          <w:spacing w:val="-1"/>
        </w:rPr>
        <w:t> </w:t>
      </w:r>
      <w:r>
        <w:rPr/>
        <w:t>Ravindran, B., &amp;</w:t>
      </w:r>
      <w:r>
        <w:rPr>
          <w:spacing w:val="-3"/>
        </w:rPr>
        <w:t> </w:t>
      </w:r>
      <w:r>
        <w:rPr/>
        <w:t>Nichols, J. D.</w:t>
      </w:r>
      <w:r>
        <w:rPr>
          <w:spacing w:val="-2"/>
        </w:rPr>
        <w:t> </w:t>
      </w:r>
      <w:r>
        <w:rPr/>
        <w:t>(1996). Engagement in Academic Work: The role of Learning Goals, Future Consequences, Pleasing Others and Perceived Ability. </w:t>
      </w:r>
      <w:r>
        <w:rPr>
          <w:i/>
        </w:rPr>
        <w:t>Contemporary Educational Psychology, 21,388-422.</w:t>
      </w:r>
    </w:p>
    <w:p>
      <w:pPr>
        <w:pStyle w:val="BodyText"/>
        <w:spacing w:before="241"/>
        <w:ind w:left="1023" w:right="1154" w:hanging="543"/>
      </w:pPr>
      <w:r>
        <w:rPr/>
        <w:t>Mischel, W.&amp; Shoda, Y. (1995). ―A cognitive-Affective System Theory of Personality; Reconceptualizing Situations, Dispositions, Dynamics, and Invariance in personality Structure‖ psychological Review 102: 246-268.</w:t>
      </w:r>
    </w:p>
    <w:p>
      <w:pPr>
        <w:pStyle w:val="BodyText"/>
        <w:spacing w:before="238"/>
        <w:ind w:left="1023" w:right="1152" w:hanging="543"/>
      </w:pPr>
      <w:r>
        <w:rPr/>
        <w:t>Moore, B. (2009).</w:t>
      </w:r>
      <w:r>
        <w:rPr>
          <w:spacing w:val="40"/>
        </w:rPr>
        <w:t> </w:t>
      </w:r>
      <w:r>
        <w:rPr/>
        <w:t>Emotional Intelligence for School Administrators.</w:t>
      </w:r>
      <w:r>
        <w:rPr>
          <w:spacing w:val="40"/>
        </w:rPr>
        <w:t> </w:t>
      </w:r>
      <w:r>
        <w:rPr/>
        <w:t>A Priority for School</w:t>
      </w:r>
      <w:r>
        <w:rPr>
          <w:spacing w:val="-10"/>
        </w:rPr>
        <w:t> </w:t>
      </w:r>
      <w:r>
        <w:rPr/>
        <w:t>Reform?</w:t>
      </w:r>
      <w:r>
        <w:rPr>
          <w:spacing w:val="40"/>
        </w:rPr>
        <w:t> </w:t>
      </w:r>
      <w:r>
        <w:rPr/>
        <w:t>American</w:t>
      </w:r>
      <w:r>
        <w:rPr>
          <w:spacing w:val="-6"/>
        </w:rPr>
        <w:t> </w:t>
      </w:r>
      <w:r>
        <w:rPr/>
        <w:t>Secondary</w:t>
      </w:r>
      <w:r>
        <w:rPr>
          <w:spacing w:val="-11"/>
        </w:rPr>
        <w:t> </w:t>
      </w:r>
      <w:r>
        <w:rPr/>
        <w:t>Education, 37</w:t>
      </w:r>
      <w:r>
        <w:rPr>
          <w:spacing w:val="-1"/>
        </w:rPr>
        <w:t> </w:t>
      </w:r>
      <w:r>
        <w:rPr/>
        <w:t>(3), 20-29.</w:t>
      </w:r>
      <w:r>
        <w:rPr>
          <w:spacing w:val="40"/>
        </w:rPr>
        <w:t> </w:t>
      </w:r>
      <w:r>
        <w:rPr/>
        <w:t>Retrieved from EBSCO hart.</w:t>
      </w:r>
    </w:p>
    <w:p>
      <w:pPr>
        <w:pStyle w:val="BodyText"/>
        <w:spacing w:before="243"/>
        <w:ind w:left="1023" w:right="1160" w:hanging="543"/>
      </w:pPr>
      <w:r>
        <w:rPr/>
        <w:t>Multon, K. D., Brown S. D. &amp; Lent R. W. (1991). Relation of Self-efficacy to Academic Outcomes. A Meta-analytical Investigation. </w:t>
      </w:r>
      <w:r>
        <w:rPr>
          <w:i/>
        </w:rPr>
        <w:t>Journal of Counselling Psychology </w:t>
      </w:r>
      <w:r>
        <w:rPr/>
        <w:t>(44) 30-38.</w:t>
      </w:r>
    </w:p>
    <w:p>
      <w:pPr>
        <w:tabs>
          <w:tab w:pos="6123" w:val="left" w:leader="none"/>
          <w:tab w:pos="7787" w:val="left" w:leader="none"/>
        </w:tabs>
        <w:spacing w:line="240" w:lineRule="auto" w:before="237"/>
        <w:ind w:left="1023" w:right="1160" w:hanging="543"/>
        <w:jc w:val="both"/>
        <w:rPr>
          <w:sz w:val="24"/>
        </w:rPr>
      </w:pPr>
      <w:r>
        <w:rPr>
          <w:sz w:val="24"/>
        </w:rPr>
        <w:t>Nada, A. (2000).</w:t>
      </w:r>
      <w:r>
        <w:rPr>
          <w:spacing w:val="40"/>
          <w:sz w:val="24"/>
        </w:rPr>
        <w:t> </w:t>
      </w:r>
      <w:r>
        <w:rPr>
          <w:i/>
          <w:sz w:val="24"/>
        </w:rPr>
        <w:t>The Relationship between emotional Intelligence and Academic Achievement</w:t>
      </w:r>
      <w:r>
        <w:rPr>
          <w:i/>
          <w:spacing w:val="80"/>
          <w:sz w:val="24"/>
        </w:rPr>
        <w:t>  </w:t>
      </w:r>
      <w:r>
        <w:rPr>
          <w:i/>
          <w:sz w:val="24"/>
        </w:rPr>
        <w:t>of</w:t>
      </w:r>
      <w:r>
        <w:rPr>
          <w:i/>
          <w:spacing w:val="80"/>
          <w:sz w:val="24"/>
        </w:rPr>
        <w:t>  </w:t>
      </w:r>
      <w:r>
        <w:rPr>
          <w:i/>
          <w:sz w:val="24"/>
        </w:rPr>
        <w:t>Eleventh</w:t>
      </w:r>
      <w:r>
        <w:rPr>
          <w:i/>
          <w:spacing w:val="80"/>
          <w:sz w:val="24"/>
        </w:rPr>
        <w:t>  </w:t>
      </w:r>
      <w:r>
        <w:rPr>
          <w:i/>
          <w:sz w:val="24"/>
        </w:rPr>
        <w:t>Graders.</w:t>
        <w:tab/>
      </w:r>
      <w:r>
        <w:rPr>
          <w:spacing w:val="-2"/>
          <w:sz w:val="24"/>
        </w:rPr>
        <w:t>(Online).</w:t>
      </w:r>
      <w:r>
        <w:rPr>
          <w:sz w:val="24"/>
        </w:rPr>
        <w:tab/>
      </w:r>
      <w:r>
        <w:rPr>
          <w:spacing w:val="-2"/>
          <w:sz w:val="24"/>
        </w:rPr>
        <w:t>Available: </w:t>
      </w:r>
      <w:hyperlink r:id="rId30">
        <w:r>
          <w:rPr>
            <w:sz w:val="24"/>
          </w:rPr>
          <w:t>http:inadabs.tripod.com/on</w:t>
        </w:r>
      </w:hyperlink>
      <w:r>
        <w:rPr>
          <w:sz w:val="24"/>
        </w:rPr>
        <w:t> Linematerials.htm. (June 28, 2008).</w:t>
      </w:r>
    </w:p>
    <w:p>
      <w:pPr>
        <w:pStyle w:val="BodyText"/>
        <w:spacing w:before="243"/>
        <w:ind w:left="1023" w:right="1161" w:hanging="543"/>
      </w:pPr>
      <w:r>
        <w:rPr/>
        <w:t>Nasir, M. &amp; Masrur, R. (2010). An Exploration of Emotional Intelligence of the Student</w:t>
      </w:r>
      <w:r>
        <w:rPr>
          <w:spacing w:val="40"/>
        </w:rPr>
        <w:t> </w:t>
      </w:r>
      <w:r>
        <w:rPr/>
        <w:t>of IIUI in Relation to Gender, Age and Academic Achievement. </w:t>
      </w:r>
      <w:r>
        <w:rPr>
          <w:i/>
        </w:rPr>
        <w:t>Bulletin of Educational Research. </w:t>
      </w:r>
      <w:r>
        <w:rPr/>
        <w:t>32, (1), 37-51. (online) Available: </w:t>
      </w:r>
      <w:hyperlink r:id="rId31">
        <w:r>
          <w:rPr>
            <w:spacing w:val="-2"/>
          </w:rPr>
          <w:t>http://pu.edu.pk/image/journal/ier/PDF-FILES/3-Revised_Article.pdf.</w:t>
        </w:r>
      </w:hyperlink>
    </w:p>
    <w:p>
      <w:pPr>
        <w:pStyle w:val="BodyText"/>
        <w:spacing w:before="241"/>
        <w:ind w:left="1023" w:right="1149" w:hanging="543"/>
      </w:pPr>
      <w:r>
        <w:rPr/>
        <w:t>National Council of Teachers of Mathematics (NCTM). (2000). Principles </w:t>
      </w:r>
      <w:r>
        <w:rPr>
          <w:i/>
        </w:rPr>
        <w:t>and Standards for School Mathematics. </w:t>
      </w:r>
      <w:r>
        <w:rPr/>
        <w:t>Retrieved on 23 November from </w:t>
      </w:r>
      <w:hyperlink r:id="rId32">
        <w:r>
          <w:rPr/>
          <w:t>http://www.nctm.org/uploadedFiles/Math_Sta5/</w:t>
        </w:r>
      </w:hyperlink>
      <w:r>
        <w:rPr/>
        <w:t> 12752_exec_pssm.P df</w:t>
      </w:r>
    </w:p>
    <w:p>
      <w:pPr>
        <w:pStyle w:val="BodyText"/>
        <w:spacing w:before="238"/>
        <w:ind w:left="1023" w:right="1160" w:hanging="543"/>
      </w:pPr>
      <w:r>
        <w:rPr/>
        <w:t>Nelson, D., Low, G., &amp; Vela, R. (2004). Emotional Skills Assessment Process Intervention and Interpretation</w:t>
      </w:r>
      <w:r>
        <w:rPr>
          <w:spacing w:val="-2"/>
        </w:rPr>
        <w:t> </w:t>
      </w:r>
      <w:r>
        <w:rPr/>
        <w:t>Guide. Kingsville, TX. Texas A &amp;M University- </w:t>
      </w:r>
      <w:r>
        <w:rPr>
          <w:spacing w:val="-2"/>
        </w:rPr>
        <w:t>Kingsville.</w:t>
      </w:r>
    </w:p>
    <w:p>
      <w:pPr>
        <w:spacing w:line="240" w:lineRule="auto" w:before="242"/>
        <w:ind w:left="1023" w:right="1153" w:hanging="543"/>
        <w:jc w:val="both"/>
        <w:rPr>
          <w:sz w:val="24"/>
        </w:rPr>
      </w:pPr>
      <w:r>
        <w:rPr>
          <w:sz w:val="24"/>
        </w:rPr>
        <w:t>Newsome, S., Day, A. L. &amp; Catano, V. M. (2000). Assessing the Predictive Validity of Emotional Intelligence. </w:t>
      </w:r>
      <w:r>
        <w:rPr>
          <w:i/>
          <w:sz w:val="24"/>
        </w:rPr>
        <w:t>Personality and Individual Differences</w:t>
      </w:r>
      <w:r>
        <w:rPr>
          <w:sz w:val="24"/>
        </w:rPr>
        <w:t>, 29, 1005 – </w:t>
      </w:r>
      <w:r>
        <w:rPr>
          <w:spacing w:val="-2"/>
          <w:sz w:val="24"/>
        </w:rPr>
        <w:t>1016.</w:t>
      </w:r>
    </w:p>
    <w:p>
      <w:pPr>
        <w:spacing w:line="240" w:lineRule="auto" w:before="239"/>
        <w:ind w:left="1023" w:right="1163" w:hanging="543"/>
        <w:jc w:val="both"/>
        <w:rPr>
          <w:sz w:val="24"/>
        </w:rPr>
      </w:pPr>
      <w:r>
        <w:rPr>
          <w:sz w:val="24"/>
        </w:rPr>
        <w:t>Nnorom, N. R. (2013). The Effect of Reasoning Skills on Students Achievement in Biology in Anambra State. </w:t>
      </w:r>
      <w:r>
        <w:rPr>
          <w:i/>
          <w:sz w:val="24"/>
        </w:rPr>
        <w:t>International Journal of Scientific &amp; Engineering Research, </w:t>
      </w:r>
      <w:r>
        <w:rPr>
          <w:sz w:val="24"/>
        </w:rPr>
        <w:t>4(12), 2102-2104</w:t>
      </w:r>
    </w:p>
    <w:p>
      <w:pPr>
        <w:spacing w:after="0" w:line="240" w:lineRule="auto"/>
        <w:jc w:val="both"/>
        <w:rPr>
          <w:sz w:val="24"/>
        </w:rPr>
        <w:sectPr>
          <w:pgSz w:w="11910" w:h="16840"/>
          <w:pgMar w:header="0" w:footer="1012" w:top="1340" w:bottom="1200" w:left="1680" w:right="280"/>
        </w:sectPr>
      </w:pPr>
    </w:p>
    <w:p>
      <w:pPr>
        <w:spacing w:line="240" w:lineRule="auto" w:before="74"/>
        <w:ind w:left="1023" w:right="1163" w:hanging="543"/>
        <w:jc w:val="both"/>
        <w:rPr>
          <w:sz w:val="24"/>
        </w:rPr>
      </w:pPr>
      <w:r>
        <w:rPr>
          <w:sz w:val="24"/>
        </w:rPr>
        <w:t>Nwagbo, C.R. &amp; Chukelu, U.C. (2011).</w:t>
      </w:r>
      <w:r>
        <w:rPr>
          <w:spacing w:val="40"/>
          <w:sz w:val="24"/>
        </w:rPr>
        <w:t> </w:t>
      </w:r>
      <w:r>
        <w:rPr>
          <w:sz w:val="24"/>
        </w:rPr>
        <w:t>Effects of Biology Practical Activities on Students‘ Process Skills Acquisition.</w:t>
      </w:r>
      <w:r>
        <w:rPr>
          <w:spacing w:val="40"/>
          <w:sz w:val="24"/>
        </w:rPr>
        <w:t> </w:t>
      </w:r>
      <w:r>
        <w:rPr>
          <w:i/>
          <w:sz w:val="24"/>
        </w:rPr>
        <w:t>Journal of Science Teachers’ Association of Nigeria. </w:t>
      </w:r>
      <w:r>
        <w:rPr>
          <w:sz w:val="24"/>
        </w:rPr>
        <w:t>46, (1), 58-70.</w:t>
      </w:r>
    </w:p>
    <w:p>
      <w:pPr>
        <w:spacing w:line="240" w:lineRule="auto" w:before="238"/>
        <w:ind w:left="1023" w:right="1162" w:hanging="543"/>
        <w:jc w:val="both"/>
        <w:rPr>
          <w:sz w:val="24"/>
        </w:rPr>
      </w:pPr>
      <w:r>
        <w:rPr>
          <w:sz w:val="24"/>
        </w:rPr>
        <w:t>Nwagbo, C.R. &amp;</w:t>
      </w:r>
      <w:r>
        <w:rPr>
          <w:spacing w:val="-5"/>
          <w:sz w:val="24"/>
        </w:rPr>
        <w:t> </w:t>
      </w:r>
      <w:r>
        <w:rPr>
          <w:sz w:val="24"/>
        </w:rPr>
        <w:t>Okoro, A.U. (2012).</w:t>
      </w:r>
      <w:r>
        <w:rPr>
          <w:spacing w:val="40"/>
          <w:sz w:val="24"/>
        </w:rPr>
        <w:t> </w:t>
      </w:r>
      <w:r>
        <w:rPr>
          <w:sz w:val="24"/>
        </w:rPr>
        <w:t>Effect of</w:t>
      </w:r>
      <w:r>
        <w:rPr>
          <w:spacing w:val="-8"/>
          <w:sz w:val="24"/>
        </w:rPr>
        <w:t> </w:t>
      </w:r>
      <w:r>
        <w:rPr>
          <w:sz w:val="24"/>
        </w:rPr>
        <w:t>International</w:t>
      </w:r>
      <w:r>
        <w:rPr>
          <w:spacing w:val="-5"/>
          <w:sz w:val="24"/>
        </w:rPr>
        <w:t> </w:t>
      </w:r>
      <w:r>
        <w:rPr>
          <w:sz w:val="24"/>
        </w:rPr>
        <w:t>Pattern</w:t>
      </w:r>
      <w:r>
        <w:rPr>
          <w:spacing w:val="-5"/>
          <w:sz w:val="24"/>
        </w:rPr>
        <w:t> </w:t>
      </w:r>
      <w:r>
        <w:rPr>
          <w:sz w:val="24"/>
        </w:rPr>
        <w:t>on Achievement in Biology Among Secondary School Students. .</w:t>
      </w:r>
      <w:r>
        <w:rPr>
          <w:spacing w:val="40"/>
          <w:sz w:val="24"/>
        </w:rPr>
        <w:t> </w:t>
      </w:r>
      <w:r>
        <w:rPr>
          <w:i/>
          <w:sz w:val="24"/>
        </w:rPr>
        <w:t>Journal of Science Teachers’ Association of Nigeria</w:t>
      </w:r>
      <w:r>
        <w:rPr>
          <w:sz w:val="24"/>
        </w:rPr>
        <w:t>, 47 (1) 22-32.</w:t>
      </w:r>
    </w:p>
    <w:p>
      <w:pPr>
        <w:pStyle w:val="BodyText"/>
        <w:spacing w:line="275" w:lineRule="exact" w:before="242"/>
        <w:jc w:val="left"/>
      </w:pPr>
      <w:r>
        <w:rPr/>
        <w:t>O‘Brien,</w:t>
      </w:r>
      <w:r>
        <w:rPr>
          <w:spacing w:val="23"/>
        </w:rPr>
        <w:t> </w:t>
      </w:r>
      <w:r>
        <w:rPr/>
        <w:t>D.</w:t>
      </w:r>
      <w:r>
        <w:rPr>
          <w:spacing w:val="24"/>
        </w:rPr>
        <w:t> </w:t>
      </w:r>
      <w:r>
        <w:rPr/>
        <w:t>(2009).</w:t>
      </w:r>
      <w:r>
        <w:rPr>
          <w:spacing w:val="79"/>
          <w:w w:val="150"/>
        </w:rPr>
        <w:t> </w:t>
      </w:r>
      <w:r>
        <w:rPr/>
        <w:t>Human</w:t>
      </w:r>
      <w:r>
        <w:rPr>
          <w:spacing w:val="18"/>
        </w:rPr>
        <w:t> </w:t>
      </w:r>
      <w:r>
        <w:rPr/>
        <w:t>reasoning</w:t>
      </w:r>
      <w:r>
        <w:rPr>
          <w:spacing w:val="24"/>
        </w:rPr>
        <w:t> </w:t>
      </w:r>
      <w:r>
        <w:rPr/>
        <w:t>requires</w:t>
      </w:r>
      <w:r>
        <w:rPr>
          <w:spacing w:val="25"/>
        </w:rPr>
        <w:t> </w:t>
      </w:r>
      <w:r>
        <w:rPr/>
        <w:t>a</w:t>
      </w:r>
      <w:r>
        <w:rPr>
          <w:spacing w:val="38"/>
        </w:rPr>
        <w:t> </w:t>
      </w:r>
      <w:r>
        <w:rPr/>
        <w:t>mental</w:t>
      </w:r>
      <w:r>
        <w:rPr>
          <w:spacing w:val="18"/>
        </w:rPr>
        <w:t> </w:t>
      </w:r>
      <w:r>
        <w:rPr/>
        <w:t>logic.</w:t>
      </w:r>
      <w:r>
        <w:rPr>
          <w:spacing w:val="27"/>
        </w:rPr>
        <w:t>  </w:t>
      </w:r>
      <w:r>
        <w:rPr/>
        <w:t>Behave.</w:t>
      </w:r>
      <w:r>
        <w:rPr>
          <w:spacing w:val="25"/>
        </w:rPr>
        <w:t> </w:t>
      </w:r>
      <w:r>
        <w:rPr/>
        <w:t>Brain</w:t>
      </w:r>
      <w:r>
        <w:rPr>
          <w:spacing w:val="24"/>
        </w:rPr>
        <w:t> </w:t>
      </w:r>
      <w:r>
        <w:rPr>
          <w:spacing w:val="-4"/>
        </w:rPr>
        <w:t>Sci.</w:t>
      </w:r>
    </w:p>
    <w:p>
      <w:pPr>
        <w:pStyle w:val="BodyText"/>
        <w:spacing w:line="275" w:lineRule="exact"/>
        <w:ind w:left="1023"/>
        <w:jc w:val="left"/>
      </w:pPr>
      <w:r>
        <w:rPr/>
        <w:t>32,</w:t>
      </w:r>
      <w:r>
        <w:rPr>
          <w:spacing w:val="5"/>
        </w:rPr>
        <w:t> </w:t>
      </w:r>
      <w:r>
        <w:rPr/>
        <w:t>96-</w:t>
      </w:r>
      <w:r>
        <w:rPr>
          <w:spacing w:val="-5"/>
        </w:rPr>
        <w:t>97.</w:t>
      </w:r>
    </w:p>
    <w:p>
      <w:pPr>
        <w:spacing w:line="240" w:lineRule="auto" w:before="243"/>
        <w:ind w:left="1023" w:right="1160" w:hanging="543"/>
        <w:jc w:val="both"/>
        <w:rPr>
          <w:sz w:val="24"/>
        </w:rPr>
      </w:pPr>
      <w:r>
        <w:rPr>
          <w:sz w:val="24"/>
        </w:rPr>
        <w:t>O‘Connor, R.M. &amp; Little, I.S. (2003).</w:t>
      </w:r>
      <w:r>
        <w:rPr>
          <w:spacing w:val="40"/>
          <w:sz w:val="24"/>
        </w:rPr>
        <w:t> </w:t>
      </w:r>
      <w:r>
        <w:rPr>
          <w:sz w:val="24"/>
        </w:rPr>
        <w:t>Revisiting the predictive validity of emotional intelligence:</w:t>
      </w:r>
      <w:r>
        <w:rPr>
          <w:spacing w:val="40"/>
          <w:sz w:val="24"/>
        </w:rPr>
        <w:t> </w:t>
      </w:r>
      <w:r>
        <w:rPr>
          <w:sz w:val="24"/>
        </w:rPr>
        <w:t>Self-report versus ability-based measures.</w:t>
      </w:r>
      <w:r>
        <w:rPr>
          <w:spacing w:val="40"/>
          <w:sz w:val="24"/>
        </w:rPr>
        <w:t> </w:t>
      </w:r>
      <w:r>
        <w:rPr>
          <w:i/>
          <w:sz w:val="24"/>
        </w:rPr>
        <w:t>Personality and Individual Differences, </w:t>
      </w:r>
      <w:r>
        <w:rPr>
          <w:sz w:val="24"/>
        </w:rPr>
        <w:t>35, 1893-1902.</w:t>
      </w:r>
    </w:p>
    <w:p>
      <w:pPr>
        <w:pStyle w:val="BodyText"/>
        <w:spacing w:before="238"/>
        <w:jc w:val="left"/>
      </w:pPr>
      <w:r>
        <w:rPr/>
        <w:t>Oaksford,</w:t>
      </w:r>
      <w:r>
        <w:rPr>
          <w:spacing w:val="1"/>
        </w:rPr>
        <w:t> </w:t>
      </w:r>
      <w:r>
        <w:rPr/>
        <w:t>M.</w:t>
      </w:r>
      <w:r>
        <w:rPr>
          <w:spacing w:val="-5"/>
        </w:rPr>
        <w:t> </w:t>
      </w:r>
      <w:r>
        <w:rPr/>
        <w:t>&amp;</w:t>
      </w:r>
      <w:r>
        <w:rPr>
          <w:spacing w:val="-6"/>
        </w:rPr>
        <w:t> </w:t>
      </w:r>
      <w:r>
        <w:rPr/>
        <w:t>Chater, N.</w:t>
      </w:r>
      <w:r>
        <w:rPr>
          <w:spacing w:val="-4"/>
        </w:rPr>
        <w:t> </w:t>
      </w:r>
      <w:r>
        <w:rPr/>
        <w:t>(2007).</w:t>
      </w:r>
      <w:r>
        <w:rPr>
          <w:spacing w:val="53"/>
        </w:rPr>
        <w:t> </w:t>
      </w:r>
      <w:r>
        <w:rPr/>
        <w:t>Bayesian</w:t>
      </w:r>
      <w:r>
        <w:rPr>
          <w:spacing w:val="-6"/>
        </w:rPr>
        <w:t> </w:t>
      </w:r>
      <w:r>
        <w:rPr/>
        <w:t>Rationality.</w:t>
      </w:r>
      <w:r>
        <w:rPr>
          <w:spacing w:val="59"/>
        </w:rPr>
        <w:t> </w:t>
      </w:r>
      <w:r>
        <w:rPr/>
        <w:t>Oxford</w:t>
      </w:r>
      <w:r>
        <w:rPr>
          <w:spacing w:val="-2"/>
        </w:rPr>
        <w:t> </w:t>
      </w:r>
      <w:r>
        <w:rPr/>
        <w:t>university</w:t>
      </w:r>
      <w:r>
        <w:rPr>
          <w:spacing w:val="-6"/>
        </w:rPr>
        <w:t> </w:t>
      </w:r>
      <w:r>
        <w:rPr>
          <w:spacing w:val="-2"/>
        </w:rPr>
        <w:t>Press.</w:t>
      </w:r>
    </w:p>
    <w:p>
      <w:pPr>
        <w:pStyle w:val="BodyText"/>
        <w:spacing w:line="237" w:lineRule="auto" w:before="245"/>
        <w:ind w:left="1023" w:right="1169" w:hanging="543"/>
      </w:pPr>
      <w:r>
        <w:rPr/>
        <w:t>Obeka, T. (2007).</w:t>
      </w:r>
      <w:r>
        <w:rPr>
          <w:spacing w:val="80"/>
        </w:rPr>
        <w:t> </w:t>
      </w:r>
      <w:r>
        <w:rPr/>
        <w:t>Comparative Effect of Epodewald and Power Simulation Games on Geography.</w:t>
      </w:r>
      <w:r>
        <w:rPr>
          <w:spacing w:val="40"/>
        </w:rPr>
        <w:t> </w:t>
      </w:r>
      <w:r>
        <w:rPr/>
        <w:t>Unpublished Ph.D. Thesis., Nsukka:</w:t>
      </w:r>
      <w:r>
        <w:rPr>
          <w:spacing w:val="40"/>
        </w:rPr>
        <w:t> </w:t>
      </w:r>
      <w:r>
        <w:rPr/>
        <w:t>university of Nigeria.</w:t>
      </w:r>
    </w:p>
    <w:p>
      <w:pPr>
        <w:pStyle w:val="BodyText"/>
        <w:spacing w:before="243"/>
        <w:ind w:left="1023" w:right="1188" w:hanging="543"/>
        <w:jc w:val="left"/>
      </w:pPr>
      <w:r>
        <w:rPr/>
        <w:t>Obrentz, S. B. (2012). Predictors of Science Success: The Impact of Motivation and Learning Strategies on College Chemistry Performance. </w:t>
      </w:r>
      <w:r>
        <w:rPr>
          <w:i/>
        </w:rPr>
        <w:t>Educational Psychology</w:t>
      </w:r>
      <w:r>
        <w:rPr>
          <w:i/>
          <w:spacing w:val="-7"/>
        </w:rPr>
        <w:t> </w:t>
      </w:r>
      <w:r>
        <w:rPr>
          <w:i/>
        </w:rPr>
        <w:t>and</w:t>
      </w:r>
      <w:r>
        <w:rPr>
          <w:i/>
          <w:spacing w:val="-6"/>
        </w:rPr>
        <w:t> </w:t>
      </w:r>
      <w:r>
        <w:rPr>
          <w:i/>
        </w:rPr>
        <w:t>Special</w:t>
      </w:r>
      <w:r>
        <w:rPr>
          <w:i/>
          <w:spacing w:val="-6"/>
        </w:rPr>
        <w:t> </w:t>
      </w:r>
      <w:r>
        <w:rPr>
          <w:i/>
        </w:rPr>
        <w:t>Education</w:t>
      </w:r>
      <w:r>
        <w:rPr>
          <w:i/>
          <w:spacing w:val="-6"/>
        </w:rPr>
        <w:t> </w:t>
      </w:r>
      <w:r>
        <w:rPr>
          <w:i/>
        </w:rPr>
        <w:t>Dissertations.</w:t>
      </w:r>
      <w:r>
        <w:rPr>
          <w:i/>
          <w:spacing w:val="-1"/>
        </w:rPr>
        <w:t> </w:t>
      </w:r>
      <w:r>
        <w:rPr/>
        <w:t>Paper</w:t>
      </w:r>
      <w:r>
        <w:rPr>
          <w:spacing w:val="-5"/>
        </w:rPr>
        <w:t> </w:t>
      </w:r>
      <w:r>
        <w:rPr/>
        <w:t>77.</w:t>
      </w:r>
      <w:r>
        <w:rPr>
          <w:spacing w:val="-9"/>
        </w:rPr>
        <w:t> </w:t>
      </w:r>
      <w:r>
        <w:rPr/>
        <w:t>Retrieved</w:t>
      </w:r>
      <w:r>
        <w:rPr>
          <w:spacing w:val="-6"/>
        </w:rPr>
        <w:t> </w:t>
      </w:r>
      <w:r>
        <w:rPr/>
        <w:t>December 5, 2013, from </w:t>
      </w:r>
      <w:hyperlink r:id="rId33">
        <w:r>
          <w:rPr>
            <w:spacing w:val="-2"/>
          </w:rPr>
          <w:t>http://scholarworks.gsu.edu/cgi/viewcontent.cgi?artcile=1078&amp;content=epse_di</w:t>
        </w:r>
      </w:hyperlink>
      <w:r>
        <w:rPr>
          <w:spacing w:val="-2"/>
        </w:rPr>
        <w:t> </w:t>
      </w:r>
      <w:hyperlink r:id="rId33">
        <w:r>
          <w:rPr>
            <w:spacing w:val="-4"/>
          </w:rPr>
          <w:t>ss.</w:t>
        </w:r>
      </w:hyperlink>
    </w:p>
    <w:p>
      <w:pPr>
        <w:pStyle w:val="BodyText"/>
        <w:spacing w:before="241"/>
        <w:ind w:left="1023" w:right="1155" w:hanging="543"/>
      </w:pPr>
      <w:r>
        <w:rPr/>
        <w:t>Odedele, A. R. (2000). Test Anxiety and self-efficacy as correlates of academic Performance among Secondary School Students, Unpublished M.Ed Dissertations, University of Ibadan, Ibadan.</w:t>
      </w:r>
    </w:p>
    <w:p>
      <w:pPr>
        <w:spacing w:line="240" w:lineRule="auto" w:before="238"/>
        <w:ind w:left="1023" w:right="1156" w:hanging="543"/>
        <w:jc w:val="both"/>
        <w:rPr>
          <w:sz w:val="24"/>
        </w:rPr>
      </w:pPr>
      <w:r>
        <w:rPr>
          <w:sz w:val="24"/>
        </w:rPr>
        <w:t>Okeke, A.K.G &amp; Ezekannagba, G.N. (2000).</w:t>
      </w:r>
      <w:r>
        <w:rPr>
          <w:spacing w:val="40"/>
          <w:sz w:val="24"/>
        </w:rPr>
        <w:t> </w:t>
      </w:r>
      <w:r>
        <w:rPr>
          <w:i/>
          <w:sz w:val="24"/>
        </w:rPr>
        <w:t>Basic Chemistry for Non-Science Students</w:t>
      </w:r>
      <w:r>
        <w:rPr>
          <w:i/>
          <w:spacing w:val="-4"/>
          <w:sz w:val="24"/>
        </w:rPr>
        <w:t> </w:t>
      </w:r>
      <w:r>
        <w:rPr>
          <w:i/>
          <w:sz w:val="24"/>
        </w:rPr>
        <w:t>in</w:t>
      </w:r>
      <w:r>
        <w:rPr>
          <w:i/>
          <w:spacing w:val="-2"/>
          <w:sz w:val="24"/>
        </w:rPr>
        <w:t> </w:t>
      </w:r>
      <w:r>
        <w:rPr>
          <w:i/>
          <w:sz w:val="24"/>
        </w:rPr>
        <w:t>Polytechnics</w:t>
      </w:r>
      <w:r>
        <w:rPr>
          <w:i/>
          <w:spacing w:val="-4"/>
          <w:sz w:val="24"/>
        </w:rPr>
        <w:t> </w:t>
      </w:r>
      <w:r>
        <w:rPr>
          <w:i/>
          <w:sz w:val="24"/>
        </w:rPr>
        <w:t>and Colleges</w:t>
      </w:r>
      <w:r>
        <w:rPr>
          <w:i/>
          <w:spacing w:val="-4"/>
          <w:sz w:val="24"/>
        </w:rPr>
        <w:t> </w:t>
      </w:r>
      <w:r>
        <w:rPr>
          <w:i/>
          <w:sz w:val="24"/>
        </w:rPr>
        <w:t>of Education.</w:t>
      </w:r>
      <w:r>
        <w:rPr>
          <w:i/>
          <w:spacing w:val="40"/>
          <w:sz w:val="24"/>
        </w:rPr>
        <w:t> </w:t>
      </w:r>
      <w:r>
        <w:rPr>
          <w:sz w:val="24"/>
        </w:rPr>
        <w:t>Onitsha:</w:t>
      </w:r>
      <w:r>
        <w:rPr>
          <w:spacing w:val="40"/>
          <w:sz w:val="24"/>
        </w:rPr>
        <w:t> </w:t>
      </w:r>
      <w:r>
        <w:rPr>
          <w:sz w:val="24"/>
        </w:rPr>
        <w:t>Adson</w:t>
      </w:r>
      <w:r>
        <w:rPr>
          <w:spacing w:val="-7"/>
          <w:sz w:val="24"/>
        </w:rPr>
        <w:t> </w:t>
      </w:r>
      <w:r>
        <w:rPr>
          <w:sz w:val="24"/>
        </w:rPr>
        <w:t>Education </w:t>
      </w:r>
      <w:r>
        <w:rPr>
          <w:spacing w:val="-2"/>
          <w:sz w:val="24"/>
        </w:rPr>
        <w:t>Publishers.</w:t>
      </w:r>
    </w:p>
    <w:p>
      <w:pPr>
        <w:pStyle w:val="BodyText"/>
        <w:spacing w:before="243"/>
        <w:ind w:left="1023" w:right="1154" w:hanging="543"/>
      </w:pPr>
      <w:r>
        <w:rPr/>
        <w:t>Okonkwo EN. (2010). Child. Family school, society and government as predictors</w:t>
      </w:r>
      <w:r>
        <w:rPr>
          <w:spacing w:val="20"/>
        </w:rPr>
        <w:t> </w:t>
      </w:r>
      <w:r>
        <w:rPr>
          <w:i/>
        </w:rPr>
        <w:t>cf</w:t>
      </w:r>
      <w:r>
        <w:rPr>
          <w:i/>
          <w:spacing w:val="40"/>
        </w:rPr>
        <w:t> </w:t>
      </w:r>
      <w:r>
        <w:rPr/>
        <w:t>a child's academic performance of some secondary school students. </w:t>
      </w:r>
      <w:r>
        <w:rPr>
          <w:i/>
        </w:rPr>
        <w:t>Contemporary Humanities.</w:t>
      </w:r>
      <w:r>
        <w:rPr>
          <w:i/>
          <w:spacing w:val="40"/>
        </w:rPr>
        <w:t> </w:t>
      </w:r>
      <w:r>
        <w:rPr/>
        <w:t>4. (1 and 2): 54-63.</w:t>
      </w:r>
    </w:p>
    <w:p>
      <w:pPr>
        <w:pStyle w:val="BodyText"/>
        <w:spacing w:before="238"/>
        <w:ind w:left="1023" w:right="1161" w:hanging="543"/>
      </w:pPr>
      <w:r>
        <w:rPr/>
        <w:t>Okonweze, N. V. (2005). The Role of</w:t>
      </w:r>
      <w:r>
        <w:rPr>
          <w:spacing w:val="-4"/>
        </w:rPr>
        <w:t> </w:t>
      </w:r>
      <w:r>
        <w:rPr/>
        <w:t>Cultural</w:t>
      </w:r>
      <w:r>
        <w:rPr>
          <w:spacing w:val="-6"/>
        </w:rPr>
        <w:t> </w:t>
      </w:r>
      <w:r>
        <w:rPr/>
        <w:t>Practice on Work-Family</w:t>
      </w:r>
      <w:r>
        <w:rPr>
          <w:spacing w:val="-1"/>
        </w:rPr>
        <w:t> </w:t>
      </w:r>
      <w:r>
        <w:rPr/>
        <w:t>Conflict and Psychological well-being among bank workers. Unpublished MMP Thesis. Department of Psychology, University of Ibadan, Ibadan, Nigeria. 68p.</w:t>
      </w:r>
    </w:p>
    <w:p>
      <w:pPr>
        <w:spacing w:line="240" w:lineRule="auto" w:before="243"/>
        <w:ind w:left="1023" w:right="1154" w:hanging="543"/>
        <w:jc w:val="both"/>
        <w:rPr>
          <w:sz w:val="24"/>
        </w:rPr>
      </w:pPr>
      <w:r>
        <w:rPr>
          <w:sz w:val="24"/>
        </w:rPr>
        <w:t>Olayemi, O. O. (2009). Students‘ Correlates and Achievement as Predictors of Performance in Physical Chemistry. ABACUS: </w:t>
      </w:r>
      <w:r>
        <w:rPr>
          <w:i/>
          <w:sz w:val="24"/>
        </w:rPr>
        <w:t>The Journal of Mathematics Association of Nigeria </w:t>
      </w:r>
      <w:r>
        <w:rPr>
          <w:sz w:val="24"/>
        </w:rPr>
        <w:t>34(1), 99 – 105.</w:t>
      </w:r>
    </w:p>
    <w:p>
      <w:pPr>
        <w:spacing w:line="240" w:lineRule="auto" w:before="238"/>
        <w:ind w:left="1023" w:right="1155" w:hanging="543"/>
        <w:jc w:val="both"/>
        <w:rPr>
          <w:sz w:val="24"/>
        </w:rPr>
      </w:pPr>
      <w:r>
        <w:rPr>
          <w:sz w:val="24"/>
        </w:rPr>
        <w:t>Oloyede, O. I. (2012). The Relationship between Acquisitions of Science Process Skills, Formal Reasoning Ability and Chemistry Achievement. </w:t>
      </w:r>
      <w:r>
        <w:rPr>
          <w:i/>
          <w:sz w:val="24"/>
        </w:rPr>
        <w:t>International Journal of African and African American Studies, </w:t>
      </w:r>
      <w:r>
        <w:rPr>
          <w:sz w:val="24"/>
        </w:rPr>
        <w:t>8(l), 1-4</w:t>
      </w:r>
    </w:p>
    <w:p>
      <w:pPr>
        <w:spacing w:after="0" w:line="240" w:lineRule="auto"/>
        <w:jc w:val="both"/>
        <w:rPr>
          <w:sz w:val="24"/>
        </w:rPr>
        <w:sectPr>
          <w:pgSz w:w="11910" w:h="16840"/>
          <w:pgMar w:header="0" w:footer="1012" w:top="1340" w:bottom="1200" w:left="1680" w:right="280"/>
        </w:sectPr>
      </w:pPr>
    </w:p>
    <w:p>
      <w:pPr>
        <w:spacing w:line="240" w:lineRule="auto" w:before="74"/>
        <w:ind w:left="1023" w:right="1158" w:hanging="543"/>
        <w:jc w:val="both"/>
        <w:rPr>
          <w:sz w:val="24"/>
        </w:rPr>
      </w:pPr>
      <w:r>
        <w:rPr>
          <w:sz w:val="24"/>
        </w:rPr>
        <w:t>Oludipe, D. I. (2012). Gender Difference in Nigerian Junior Secondary Students‘ Academic Achievement in Basic Science. </w:t>
      </w:r>
      <w:r>
        <w:rPr>
          <w:i/>
          <w:sz w:val="24"/>
        </w:rPr>
        <w:t>Journal of Educational and Social Research, </w:t>
      </w:r>
      <w:r>
        <w:rPr>
          <w:sz w:val="24"/>
        </w:rPr>
        <w:t>2(1), 93-99.</w:t>
      </w:r>
    </w:p>
    <w:p>
      <w:pPr>
        <w:pStyle w:val="BodyText"/>
        <w:spacing w:before="238"/>
        <w:ind w:left="1023" w:right="1157" w:hanging="543"/>
      </w:pPr>
      <w:r>
        <w:rPr/>
        <w:t>Oluwole, D. A., Hammed, A. T. &amp; Awaebe, J. I. (2010). Patterns of stress, Social Support, and Mental Health among Nigeria Women. Retrieved September 10, 2010 from </w:t>
      </w:r>
      <w:hyperlink r:id="rId34">
        <w:r>
          <w:rPr/>
          <w:t>http://www.advancingwomen.co/awl/awl_wordpress/patterns-of-</w:t>
        </w:r>
      </w:hyperlink>
      <w:r>
        <w:rPr/>
        <w:t> </w:t>
      </w:r>
      <w:hyperlink r:id="rId34">
        <w:r>
          <w:rPr>
            <w:spacing w:val="-2"/>
          </w:rPr>
          <w:t>stress.social-support-and-mental-among-nigeria-women/.</w:t>
        </w:r>
      </w:hyperlink>
    </w:p>
    <w:p>
      <w:pPr>
        <w:pStyle w:val="BodyText"/>
        <w:spacing w:before="240"/>
        <w:ind w:left="1023" w:right="1152" w:hanging="543"/>
      </w:pPr>
      <w:r>
        <w:rPr/>
        <w:t>Omoniyi, 0. A. (2006). The Effects of Constructivist based Teaching Strategy on Gender-related Differences on Students' Misconceptions in Chemistry. Ministry of Education Akure. Nigeria.</w:t>
      </w:r>
    </w:p>
    <w:p>
      <w:pPr>
        <w:pStyle w:val="BodyText"/>
        <w:spacing w:before="243"/>
        <w:ind w:left="1023" w:right="1159" w:hanging="543"/>
      </w:pPr>
      <w:r>
        <w:rPr/>
        <w:t>Omoniyi. M. B. I. &amp; Oloruntegbe, K. O. (2012) Psycho-social Issues in Females</w:t>
      </w:r>
      <w:r>
        <w:rPr>
          <w:spacing w:val="40"/>
        </w:rPr>
        <w:t> </w:t>
      </w:r>
      <w:r>
        <w:rPr/>
        <w:t>Study of Science and Technology. Adekunle Ajasin University, Akungba- Akoko, Nigeria. US China Education Review A4(2012) 473-841.</w:t>
      </w:r>
    </w:p>
    <w:p>
      <w:pPr>
        <w:spacing w:line="240" w:lineRule="auto" w:before="238"/>
        <w:ind w:left="1023" w:right="1162" w:hanging="543"/>
        <w:jc w:val="both"/>
        <w:rPr>
          <w:sz w:val="24"/>
        </w:rPr>
      </w:pPr>
      <w:r>
        <w:rPr>
          <w:sz w:val="24"/>
        </w:rPr>
        <w:t>Opera, M.F. (2002).</w:t>
      </w:r>
      <w:r>
        <w:rPr>
          <w:spacing w:val="40"/>
          <w:sz w:val="24"/>
        </w:rPr>
        <w:t> </w:t>
      </w:r>
      <w:r>
        <w:rPr>
          <w:sz w:val="24"/>
        </w:rPr>
        <w:t>Can Self-regulation Process Promote Sustainable Development Through Enhancement of Students‘ </w:t>
      </w:r>
      <w:r>
        <w:rPr>
          <w:i/>
          <w:sz w:val="24"/>
        </w:rPr>
        <w:t>Achievement and Interest in Quantitative Chemical Analysis. </w:t>
      </w:r>
      <w:r>
        <w:rPr>
          <w:sz w:val="24"/>
        </w:rPr>
        <w:t>43</w:t>
      </w:r>
      <w:r>
        <w:rPr>
          <w:sz w:val="24"/>
          <w:vertAlign w:val="superscript"/>
        </w:rPr>
        <w:t>rd</w:t>
      </w:r>
      <w:r>
        <w:rPr>
          <w:sz w:val="24"/>
          <w:vertAlign w:val="baseline"/>
        </w:rPr>
        <w:t> Annual Conference Proceedings of Science Teachers Association of Nigeria.</w:t>
      </w:r>
      <w:r>
        <w:rPr>
          <w:spacing w:val="40"/>
          <w:sz w:val="24"/>
          <w:vertAlign w:val="baseline"/>
        </w:rPr>
        <w:t> </w:t>
      </w:r>
      <w:r>
        <w:rPr>
          <w:sz w:val="24"/>
          <w:vertAlign w:val="baseline"/>
        </w:rPr>
        <w:t>(STAN).</w:t>
      </w:r>
      <w:r>
        <w:rPr>
          <w:spacing w:val="40"/>
          <w:sz w:val="24"/>
          <w:vertAlign w:val="baseline"/>
        </w:rPr>
        <w:t> </w:t>
      </w:r>
      <w:r>
        <w:rPr>
          <w:sz w:val="24"/>
          <w:vertAlign w:val="baseline"/>
        </w:rPr>
        <w:t>218-221.</w:t>
      </w:r>
    </w:p>
    <w:p>
      <w:pPr>
        <w:pStyle w:val="BodyText"/>
        <w:spacing w:before="241"/>
        <w:ind w:left="1023" w:right="1156" w:hanging="543"/>
      </w:pPr>
      <w:r>
        <w:rPr/>
        <w:t>Osborne, J., Collins, S., Millar, R. &amp; Duschl, R. (2003). What ‗Ideas-about-Science‘ Should be Taught in</w:t>
      </w:r>
      <w:r>
        <w:rPr>
          <w:spacing w:val="-4"/>
        </w:rPr>
        <w:t> </w:t>
      </w:r>
      <w:r>
        <w:rPr/>
        <w:t>School</w:t>
      </w:r>
      <w:r>
        <w:rPr>
          <w:spacing w:val="-8"/>
        </w:rPr>
        <w:t> </w:t>
      </w:r>
      <w:r>
        <w:rPr/>
        <w:t>Science? A</w:t>
      </w:r>
      <w:r>
        <w:rPr>
          <w:spacing w:val="-5"/>
        </w:rPr>
        <w:t> </w:t>
      </w:r>
      <w:r>
        <w:rPr/>
        <w:t>Delphi</w:t>
      </w:r>
      <w:r>
        <w:rPr>
          <w:spacing w:val="-4"/>
        </w:rPr>
        <w:t> </w:t>
      </w:r>
      <w:r>
        <w:rPr/>
        <w:t>Study</w:t>
      </w:r>
      <w:r>
        <w:rPr>
          <w:spacing w:val="-9"/>
        </w:rPr>
        <w:t> </w:t>
      </w:r>
      <w:r>
        <w:rPr/>
        <w:t>of</w:t>
      </w:r>
      <w:r>
        <w:rPr>
          <w:spacing w:val="-7"/>
        </w:rPr>
        <w:t> </w:t>
      </w:r>
      <w:r>
        <w:rPr/>
        <w:t>the Expert Community. </w:t>
      </w:r>
      <w:r>
        <w:rPr>
          <w:i/>
        </w:rPr>
        <w:t>Journal of Research in Science Education, </w:t>
      </w:r>
      <w:r>
        <w:rPr/>
        <w:t>40, 692 – 720.</w:t>
      </w:r>
    </w:p>
    <w:p>
      <w:pPr>
        <w:pStyle w:val="BodyText"/>
        <w:spacing w:before="242"/>
        <w:ind w:left="1023" w:right="1153" w:hanging="543"/>
      </w:pPr>
      <w:r>
        <w:rPr/>
        <w:t>Oti, A. O. &amp; Oyelude, A. (2006). Beyond the glass ceiling. Work/home Conflict, Networking and Monitoring as Determinants of Females‘ Career path to Academic Leadership in Nigerian Universities. Being paper Delivered at the Women‘s Executive Development Conference. Change in Climate? Prospects for Gender Equity</w:t>
      </w:r>
      <w:r>
        <w:rPr>
          <w:spacing w:val="-6"/>
        </w:rPr>
        <w:t> </w:t>
      </w:r>
      <w:r>
        <w:rPr/>
        <w:t>in Universities. Stamford</w:t>
      </w:r>
      <w:r>
        <w:rPr>
          <w:spacing w:val="-1"/>
        </w:rPr>
        <w:t> </w:t>
      </w:r>
      <w:r>
        <w:rPr/>
        <w:t>Plaza Adelaide, South</w:t>
      </w:r>
      <w:r>
        <w:rPr>
          <w:spacing w:val="-6"/>
        </w:rPr>
        <w:t> </w:t>
      </w:r>
      <w:r>
        <w:rPr/>
        <w:t>Australia 11- 13 April 2006. Retrieved February 6, 2007 from.</w:t>
      </w:r>
    </w:p>
    <w:p>
      <w:pPr>
        <w:pStyle w:val="BodyText"/>
        <w:spacing w:before="241"/>
        <w:ind w:left="1023" w:right="1159" w:hanging="543"/>
      </w:pPr>
      <w:r>
        <w:rPr/>
        <w:t>Oyenuga A.O. &amp; Lopez Z.O. (2012).</w:t>
      </w:r>
      <w:r>
        <w:rPr>
          <w:spacing w:val="40"/>
        </w:rPr>
        <w:t> </w:t>
      </w:r>
      <w:r>
        <w:rPr/>
        <w:t>Psycho-Social Factors Affecting the Teaching and Learning of introductory</w:t>
      </w:r>
      <w:r>
        <w:rPr>
          <w:spacing w:val="-6"/>
        </w:rPr>
        <w:t> </w:t>
      </w:r>
      <w:r>
        <w:rPr/>
        <w:t>Technology</w:t>
      </w:r>
      <w:r>
        <w:rPr>
          <w:spacing w:val="-1"/>
        </w:rPr>
        <w:t> </w:t>
      </w:r>
      <w:r>
        <w:rPr/>
        <w:t>in</w:t>
      </w:r>
      <w:r>
        <w:rPr>
          <w:spacing w:val="-1"/>
        </w:rPr>
        <w:t> </w:t>
      </w:r>
      <w:r>
        <w:rPr/>
        <w:t>Junior Secondary</w:t>
      </w:r>
      <w:r>
        <w:rPr>
          <w:spacing w:val="-6"/>
        </w:rPr>
        <w:t> </w:t>
      </w:r>
      <w:r>
        <w:rPr/>
        <w:t>Schools.</w:t>
      </w:r>
      <w:r>
        <w:rPr>
          <w:spacing w:val="40"/>
        </w:rPr>
        <w:t> </w:t>
      </w:r>
      <w:r>
        <w:rPr>
          <w:i/>
        </w:rPr>
        <w:t>Journal of Psychology, </w:t>
      </w:r>
      <w:r>
        <w:rPr/>
        <w:t>3 (2): 113-120.</w:t>
      </w:r>
    </w:p>
    <w:p>
      <w:pPr>
        <w:spacing w:line="240" w:lineRule="auto" w:before="238"/>
        <w:ind w:left="1023" w:right="1157" w:hanging="543"/>
        <w:jc w:val="both"/>
        <w:rPr>
          <w:sz w:val="24"/>
        </w:rPr>
      </w:pPr>
      <w:r>
        <w:rPr>
          <w:sz w:val="24"/>
        </w:rPr>
        <w:t>Oyenuga, A. O. (2007). Factors Affecting Academic Performance of Secondary School Students. </w:t>
      </w:r>
      <w:r>
        <w:rPr>
          <w:i/>
          <w:sz w:val="24"/>
        </w:rPr>
        <w:t>Paper Presented in a Seminar Organized by the Student Vocational and technical Education, Tai Solarin University of Education, Ijagun, Ogun State, </w:t>
      </w:r>
      <w:r>
        <w:rPr>
          <w:sz w:val="24"/>
        </w:rPr>
        <w:t>Nigeria.</w:t>
      </w:r>
    </w:p>
    <w:p>
      <w:pPr>
        <w:spacing w:line="240" w:lineRule="auto" w:before="240"/>
        <w:ind w:left="1023" w:right="1161" w:hanging="543"/>
        <w:jc w:val="both"/>
        <w:rPr>
          <w:sz w:val="24"/>
        </w:rPr>
      </w:pPr>
      <w:r>
        <w:rPr>
          <w:sz w:val="24"/>
        </w:rPr>
        <w:t>Oyenuga, A. O.(2010). </w:t>
      </w:r>
      <w:r>
        <w:rPr>
          <w:i/>
          <w:sz w:val="24"/>
        </w:rPr>
        <w:t>Effect of Models on Interest and Academic achievement of Technical College Auto-Mechanics Students in Lagos Stale. </w:t>
      </w:r>
      <w:r>
        <w:rPr>
          <w:sz w:val="24"/>
        </w:rPr>
        <w:t>PhD Thesis, Unpublished. Department of Vocational Teacher Education, University of Nigeria, Nsukka.</w:t>
      </w:r>
    </w:p>
    <w:p>
      <w:pPr>
        <w:pStyle w:val="BodyText"/>
        <w:spacing w:before="241"/>
        <w:ind w:left="1023" w:right="1153" w:hanging="543"/>
      </w:pPr>
      <w:r>
        <w:rPr/>
        <w:t>Pajares, F &amp; Miller, M.D. (1994). The Role of Self-efficacy and Self-Concept Belief in Mathematical Problem-solving. A Path Analysis. </w:t>
      </w:r>
      <w:r>
        <w:rPr>
          <w:i/>
        </w:rPr>
        <w:t>Journal of Educational Psychology. </w:t>
      </w:r>
      <w:r>
        <w:rPr/>
        <w:t>(86), 193-203.</w:t>
      </w:r>
    </w:p>
    <w:p>
      <w:pPr>
        <w:spacing w:after="0"/>
        <w:sectPr>
          <w:pgSz w:w="11910" w:h="16840"/>
          <w:pgMar w:header="0" w:footer="1012" w:top="1340" w:bottom="1200" w:left="1680" w:right="280"/>
        </w:sectPr>
      </w:pPr>
    </w:p>
    <w:p>
      <w:pPr>
        <w:pStyle w:val="BodyText"/>
        <w:spacing w:before="74"/>
        <w:ind w:left="1023" w:right="1160" w:hanging="543"/>
        <w:rPr>
          <w:i/>
        </w:rPr>
      </w:pPr>
      <w:r>
        <w:rPr/>
        <w:t>Pajares, F</w:t>
      </w:r>
      <w:r>
        <w:rPr>
          <w:spacing w:val="-1"/>
        </w:rPr>
        <w:t> </w:t>
      </w:r>
      <w:r>
        <w:rPr/>
        <w:t>&amp;</w:t>
      </w:r>
      <w:r>
        <w:rPr>
          <w:spacing w:val="-7"/>
        </w:rPr>
        <w:t> </w:t>
      </w:r>
      <w:r>
        <w:rPr/>
        <w:t>Schunk, D.</w:t>
      </w:r>
      <w:r>
        <w:rPr>
          <w:spacing w:val="-1"/>
        </w:rPr>
        <w:t> </w:t>
      </w:r>
      <w:r>
        <w:rPr/>
        <w:t>H.</w:t>
      </w:r>
      <w:r>
        <w:rPr>
          <w:spacing w:val="-1"/>
        </w:rPr>
        <w:t> </w:t>
      </w:r>
      <w:r>
        <w:rPr/>
        <w:t>(2001).</w:t>
      </w:r>
      <w:r>
        <w:rPr>
          <w:spacing w:val="-5"/>
        </w:rPr>
        <w:t> </w:t>
      </w:r>
      <w:r>
        <w:rPr/>
        <w:t>Self-beliefs</w:t>
      </w:r>
      <w:r>
        <w:rPr>
          <w:spacing w:val="-4"/>
        </w:rPr>
        <w:t> </w:t>
      </w:r>
      <w:r>
        <w:rPr/>
        <w:t>and</w:t>
      </w:r>
      <w:r>
        <w:rPr>
          <w:spacing w:val="-2"/>
        </w:rPr>
        <w:t> </w:t>
      </w:r>
      <w:r>
        <w:rPr/>
        <w:t>school</w:t>
      </w:r>
      <w:r>
        <w:rPr>
          <w:spacing w:val="-7"/>
        </w:rPr>
        <w:t> </w:t>
      </w:r>
      <w:r>
        <w:rPr/>
        <w:t>success:</w:t>
      </w:r>
      <w:r>
        <w:rPr>
          <w:spacing w:val="-2"/>
        </w:rPr>
        <w:t> </w:t>
      </w:r>
      <w:r>
        <w:rPr/>
        <w:t>self-efficacy, self- concept and school achievement. London: Ablex publishing. </w:t>
      </w:r>
      <w:hyperlink r:id="rId35">
        <w:r>
          <w:rPr>
            <w:i/>
            <w:spacing w:val="-2"/>
          </w:rPr>
          <w:t>www.uky.edu/eushe2/pajares/eff.html.</w:t>
        </w:r>
      </w:hyperlink>
    </w:p>
    <w:p>
      <w:pPr>
        <w:spacing w:line="240" w:lineRule="auto" w:before="238"/>
        <w:ind w:left="1023" w:right="1154" w:hanging="543"/>
        <w:jc w:val="both"/>
        <w:rPr>
          <w:sz w:val="24"/>
        </w:rPr>
      </w:pPr>
      <w:r>
        <w:rPr>
          <w:sz w:val="24"/>
        </w:rPr>
        <w:t>Pajares, F &amp; Schunk, D. H. (2001). </w:t>
      </w:r>
      <w:r>
        <w:rPr>
          <w:i/>
          <w:sz w:val="24"/>
        </w:rPr>
        <w:t>Self-beliefs and School Success: Self-efficacy and Self -concepts in Academic Settings. </w:t>
      </w:r>
      <w:r>
        <w:rPr>
          <w:sz w:val="24"/>
        </w:rPr>
        <w:t>Riding, R and</w:t>
      </w:r>
      <w:r>
        <w:rPr>
          <w:spacing w:val="40"/>
          <w:sz w:val="24"/>
        </w:rPr>
        <w:t> </w:t>
      </w:r>
      <w:r>
        <w:rPr>
          <w:sz w:val="24"/>
        </w:rPr>
        <w:t>Rayner. S. (Eds), Self- perception (239-266) London: Ablex Publishing.</w:t>
      </w:r>
    </w:p>
    <w:p>
      <w:pPr>
        <w:pStyle w:val="BodyText"/>
        <w:spacing w:before="242"/>
        <w:ind w:left="1023" w:right="1152" w:hanging="543"/>
      </w:pPr>
      <w:r>
        <w:rPr/>
        <w:t>Pajares, F. &amp; Schunk, D. H. (2005). Self-Efficacy and Self-Concepts Beliefs: Jointly Contributing to the Quality of Human Life. In Marsh, R. Craven &amp; D. McInerney (Eds), </w:t>
      </w:r>
      <w:r>
        <w:rPr>
          <w:i/>
        </w:rPr>
        <w:t>International Advances in Self Research </w:t>
      </w:r>
      <w:r>
        <w:rPr/>
        <w:t>(2, 95 – 121) Greenwich, CT: Information Age Publishing.</w:t>
      </w:r>
    </w:p>
    <w:p>
      <w:pPr>
        <w:spacing w:line="237" w:lineRule="auto" w:before="243"/>
        <w:ind w:left="1023" w:right="1152" w:hanging="543"/>
        <w:jc w:val="both"/>
        <w:rPr>
          <w:i/>
          <w:sz w:val="24"/>
        </w:rPr>
      </w:pPr>
      <w:r>
        <w:rPr>
          <w:sz w:val="24"/>
        </w:rPr>
        <w:t>Pajares, F. (1996). Self-efficacy Beliefs in academic settings. </w:t>
      </w:r>
      <w:r>
        <w:rPr>
          <w:i/>
          <w:sz w:val="24"/>
        </w:rPr>
        <w:t>Review of Educational Research, 66(4), 543-578.</w:t>
      </w:r>
    </w:p>
    <w:p>
      <w:pPr>
        <w:spacing w:line="237" w:lineRule="auto" w:before="246"/>
        <w:ind w:left="1023" w:right="1158" w:hanging="543"/>
        <w:jc w:val="both"/>
        <w:rPr>
          <w:sz w:val="24"/>
        </w:rPr>
      </w:pPr>
      <w:r>
        <w:rPr>
          <w:sz w:val="24"/>
        </w:rPr>
        <w:t>Pajares, F. (2009). </w:t>
      </w:r>
      <w:r>
        <w:rPr>
          <w:i/>
          <w:sz w:val="24"/>
        </w:rPr>
        <w:t>Self-Efficacy Beliefs in Academic Contexts</w:t>
      </w:r>
      <w:r>
        <w:rPr>
          <w:sz w:val="24"/>
        </w:rPr>
        <w:t>. An Outline. Retrieved November 12, 2009.</w:t>
      </w:r>
    </w:p>
    <w:p>
      <w:pPr>
        <w:pStyle w:val="BodyText"/>
        <w:spacing w:before="244"/>
        <w:ind w:left="1023" w:right="1151" w:hanging="543"/>
      </w:pPr>
      <w:r>
        <w:rPr/>
        <w:t>Pajares, F., &amp; Miller, M.D. (1994).</w:t>
      </w:r>
      <w:r>
        <w:rPr>
          <w:spacing w:val="40"/>
        </w:rPr>
        <w:t> </w:t>
      </w:r>
      <w:r>
        <w:rPr/>
        <w:t>Role of self-efficacy and self-concept beliefs in mathematical problem solving:</w:t>
      </w:r>
      <w:r>
        <w:rPr>
          <w:spacing w:val="40"/>
        </w:rPr>
        <w:t> </w:t>
      </w:r>
      <w:r>
        <w:rPr/>
        <w:t>A path analysis.</w:t>
      </w:r>
      <w:r>
        <w:rPr>
          <w:spacing w:val="40"/>
        </w:rPr>
        <w:t> </w:t>
      </w:r>
      <w:r>
        <w:rPr>
          <w:i/>
        </w:rPr>
        <w:t>Journal of Educational Psychology, </w:t>
      </w:r>
      <w:r>
        <w:rPr/>
        <w:t>86, 193-203.</w:t>
      </w:r>
      <w:r>
        <w:rPr>
          <w:spacing w:val="40"/>
        </w:rPr>
        <w:t> </w:t>
      </w:r>
      <w:r>
        <w:rPr/>
        <w:t>Doi: 10. 1037//0022-0663.86.2.193</w:t>
      </w:r>
    </w:p>
    <w:p>
      <w:pPr>
        <w:spacing w:line="240" w:lineRule="auto" w:before="238"/>
        <w:ind w:left="1023" w:right="1155" w:hanging="543"/>
        <w:jc w:val="both"/>
        <w:rPr>
          <w:sz w:val="24"/>
        </w:rPr>
      </w:pPr>
      <w:r>
        <w:rPr>
          <w:sz w:val="24"/>
        </w:rPr>
        <w:t>Parker, J.D.A. Summerfeldt, L.J., Hogan, M.J &amp; Majeski, S. (2004).</w:t>
      </w:r>
      <w:r>
        <w:rPr>
          <w:spacing w:val="40"/>
          <w:sz w:val="24"/>
        </w:rPr>
        <w:t> </w:t>
      </w:r>
      <w:r>
        <w:rPr>
          <w:i/>
          <w:sz w:val="24"/>
        </w:rPr>
        <w:t>Emotional Intelligence and Academic Success:</w:t>
      </w:r>
      <w:r>
        <w:rPr>
          <w:i/>
          <w:spacing w:val="80"/>
          <w:sz w:val="24"/>
        </w:rPr>
        <w:t> </w:t>
      </w:r>
      <w:r>
        <w:rPr>
          <w:sz w:val="24"/>
        </w:rPr>
        <w:t>Examining the Transition from High School to University.</w:t>
      </w:r>
      <w:r>
        <w:rPr>
          <w:spacing w:val="40"/>
          <w:sz w:val="24"/>
        </w:rPr>
        <w:t> </w:t>
      </w:r>
      <w:r>
        <w:rPr>
          <w:sz w:val="24"/>
        </w:rPr>
        <w:t>Personality and Individual Differences, 36, 163-172.</w:t>
      </w:r>
    </w:p>
    <w:p>
      <w:pPr>
        <w:spacing w:line="240" w:lineRule="auto" w:before="242"/>
        <w:ind w:left="1023" w:right="1157" w:hanging="543"/>
        <w:jc w:val="both"/>
        <w:rPr>
          <w:sz w:val="24"/>
        </w:rPr>
      </w:pPr>
      <w:r>
        <w:rPr>
          <w:sz w:val="24"/>
        </w:rPr>
        <w:t>Petrides, K.V, Frederickson, N, &amp; Furuham, A. (2004).</w:t>
      </w:r>
      <w:r>
        <w:rPr>
          <w:spacing w:val="40"/>
          <w:sz w:val="24"/>
        </w:rPr>
        <w:t> </w:t>
      </w:r>
      <w:r>
        <w:rPr>
          <w:i/>
          <w:sz w:val="24"/>
        </w:rPr>
        <w:t>The role of Trait Emotional Intelligence in Academic Performance and Deviant Behavior at School. ersonality and Individual Differences</w:t>
      </w:r>
      <w:r>
        <w:rPr>
          <w:sz w:val="24"/>
        </w:rPr>
        <w:t>, 36, 277-293.</w:t>
      </w:r>
    </w:p>
    <w:p>
      <w:pPr>
        <w:pStyle w:val="BodyText"/>
        <w:spacing w:line="242" w:lineRule="auto" w:before="238"/>
        <w:ind w:left="1023" w:right="1168" w:hanging="543"/>
      </w:pPr>
      <w:r>
        <w:rPr/>
        <w:t>Piaget, J. (1972).</w:t>
      </w:r>
      <w:r>
        <w:rPr>
          <w:spacing w:val="40"/>
        </w:rPr>
        <w:t> </w:t>
      </w:r>
      <w:r>
        <w:rPr/>
        <w:t>Intellectual Evolution from Adolescence to Adulthood.</w:t>
      </w:r>
      <w:r>
        <w:rPr>
          <w:spacing w:val="40"/>
        </w:rPr>
        <w:t> </w:t>
      </w:r>
      <w:r>
        <w:rPr/>
        <w:t>Human Development, 15, 1-12.</w:t>
      </w:r>
    </w:p>
    <w:p>
      <w:pPr>
        <w:pStyle w:val="BodyText"/>
        <w:spacing w:before="235"/>
        <w:ind w:left="1023" w:right="1152" w:hanging="543"/>
      </w:pPr>
      <w:r>
        <w:rPr/>
        <w:t>Rahil, M; Maria, C.A; Samsilah, R; Habibah, E. &amp; Tajularipin. S. (2007).</w:t>
      </w:r>
      <w:r>
        <w:rPr>
          <w:spacing w:val="40"/>
        </w:rPr>
        <w:t> </w:t>
      </w:r>
      <w:r>
        <w:rPr/>
        <w:t>The Relationship between emotion quotient and the acquisition of basic skill among primary school children‖.</w:t>
      </w:r>
      <w:r>
        <w:rPr>
          <w:spacing w:val="40"/>
        </w:rPr>
        <w:t> </w:t>
      </w:r>
      <w:r>
        <w:rPr>
          <w:i/>
        </w:rPr>
        <w:t>The International Journal of Learning, </w:t>
      </w:r>
      <w:r>
        <w:rPr/>
        <w:t>14 (7). (Online).</w:t>
      </w:r>
      <w:r>
        <w:rPr>
          <w:spacing w:val="40"/>
        </w:rPr>
        <w:t> </w:t>
      </w:r>
      <w:r>
        <w:rPr/>
        <w:t>Available:</w:t>
      </w:r>
      <w:r>
        <w:rPr>
          <w:spacing w:val="40"/>
        </w:rPr>
        <w:t> </w:t>
      </w:r>
      <w:r>
        <w:rPr/>
        <w:t>http.</w:t>
      </w:r>
      <w:hyperlink r:id="rId27">
        <w:r>
          <w:rPr/>
          <w:t>www.learning-journal.com</w:t>
        </w:r>
      </w:hyperlink>
      <w:r>
        <w:rPr/>
        <w:t> (July 24, 2008).</w:t>
      </w:r>
    </w:p>
    <w:p>
      <w:pPr>
        <w:pStyle w:val="BodyText"/>
        <w:spacing w:before="240"/>
        <w:ind w:left="1023" w:right="1164" w:hanging="543"/>
      </w:pPr>
      <w:r>
        <w:rPr/>
        <w:t>Relich, J. D., Debus, R. L.&amp; Walker, R. (1986). The mediating role of</w:t>
      </w:r>
      <w:r>
        <w:rPr>
          <w:spacing w:val="-4"/>
        </w:rPr>
        <w:t> </w:t>
      </w:r>
      <w:r>
        <w:rPr/>
        <w:t>attribution and self-efficacy variables for treatment effects on achievement outcomes. </w:t>
      </w:r>
      <w:r>
        <w:rPr>
          <w:i/>
        </w:rPr>
        <w:t>Contemporary Educational Psychology, 11, </w:t>
      </w:r>
      <w:r>
        <w:rPr/>
        <w:t>195-216.</w:t>
      </w:r>
    </w:p>
    <w:p>
      <w:pPr>
        <w:pStyle w:val="BodyText"/>
        <w:spacing w:before="243"/>
        <w:ind w:left="1023" w:right="1151" w:hanging="543"/>
      </w:pPr>
      <w:r>
        <w:rPr/>
        <w:t>Rode, J; Mooney, C., Arthaud – Day, M., Near, J., Baldwin, T., Rubin, R., &amp; Bommer, W. (2007).</w:t>
      </w:r>
      <w:r>
        <w:rPr>
          <w:spacing w:val="40"/>
        </w:rPr>
        <w:t> </w:t>
      </w:r>
      <w:r>
        <w:rPr/>
        <w:t>Emotional Intelligence and Individual Performance: Evidence</w:t>
      </w:r>
      <w:r>
        <w:rPr>
          <w:spacing w:val="-2"/>
        </w:rPr>
        <w:t> </w:t>
      </w:r>
      <w:r>
        <w:rPr/>
        <w:t>of</w:t>
      </w:r>
      <w:r>
        <w:rPr>
          <w:spacing w:val="-9"/>
        </w:rPr>
        <w:t> </w:t>
      </w:r>
      <w:r>
        <w:rPr/>
        <w:t>Direct</w:t>
      </w:r>
      <w:r>
        <w:rPr>
          <w:spacing w:val="4"/>
        </w:rPr>
        <w:t> </w:t>
      </w:r>
      <w:r>
        <w:rPr/>
        <w:t>and</w:t>
      </w:r>
      <w:r>
        <w:rPr>
          <w:spacing w:val="-1"/>
        </w:rPr>
        <w:t> </w:t>
      </w:r>
      <w:r>
        <w:rPr/>
        <w:t>Moderated</w:t>
      </w:r>
      <w:r>
        <w:rPr>
          <w:spacing w:val="-5"/>
        </w:rPr>
        <w:t> </w:t>
      </w:r>
      <w:r>
        <w:rPr/>
        <w:t>Effects.</w:t>
      </w:r>
      <w:r>
        <w:rPr>
          <w:spacing w:val="66"/>
        </w:rPr>
        <w:t> </w:t>
      </w:r>
      <w:r>
        <w:rPr>
          <w:i/>
        </w:rPr>
        <w:t>Journal</w:t>
      </w:r>
      <w:r>
        <w:rPr>
          <w:i/>
          <w:spacing w:val="-1"/>
        </w:rPr>
        <w:t> </w:t>
      </w:r>
      <w:r>
        <w:rPr>
          <w:i/>
        </w:rPr>
        <w:t>of</w:t>
      </w:r>
      <w:r>
        <w:rPr>
          <w:i/>
          <w:spacing w:val="4"/>
        </w:rPr>
        <w:t> </w:t>
      </w:r>
      <w:r>
        <w:rPr>
          <w:i/>
        </w:rPr>
        <w:t>Organizational </w:t>
      </w:r>
      <w:r>
        <w:rPr>
          <w:i/>
          <w:spacing w:val="-2"/>
        </w:rPr>
        <w:t>Behavior</w:t>
      </w:r>
      <w:r>
        <w:rPr>
          <w:spacing w:val="-2"/>
        </w:rPr>
        <w:t>,</w:t>
      </w:r>
    </w:p>
    <w:p>
      <w:pPr>
        <w:pStyle w:val="BodyText"/>
        <w:spacing w:line="274" w:lineRule="exact"/>
        <w:ind w:left="1023"/>
      </w:pPr>
      <w:r>
        <w:rPr/>
        <w:t>78. P.</w:t>
      </w:r>
      <w:r>
        <w:rPr>
          <w:spacing w:val="1"/>
        </w:rPr>
        <w:t> </w:t>
      </w:r>
      <w:r>
        <w:rPr/>
        <w:t>399-</w:t>
      </w:r>
      <w:r>
        <w:rPr>
          <w:spacing w:val="-4"/>
        </w:rPr>
        <w:t>421.</w:t>
      </w:r>
    </w:p>
    <w:p>
      <w:pPr>
        <w:pStyle w:val="BodyText"/>
        <w:spacing w:line="237" w:lineRule="auto" w:before="246"/>
        <w:ind w:left="1023" w:right="1158" w:hanging="543"/>
      </w:pPr>
      <w:r>
        <w:rPr/>
        <w:t>Roediger, H. L., &amp; Rushton. J. P. (1987). </w:t>
      </w:r>
      <w:r>
        <w:rPr>
          <w:i/>
        </w:rPr>
        <w:t>Psychology </w:t>
      </w:r>
      <w:r>
        <w:rPr/>
        <w:t>(2nded.). Boston: Little Brown &amp; Company.</w:t>
      </w:r>
    </w:p>
    <w:p>
      <w:pPr>
        <w:spacing w:after="0" w:line="237" w:lineRule="auto"/>
        <w:sectPr>
          <w:pgSz w:w="11910" w:h="16840"/>
          <w:pgMar w:header="0" w:footer="1012" w:top="1340" w:bottom="1200" w:left="1680" w:right="280"/>
        </w:sectPr>
      </w:pPr>
    </w:p>
    <w:p>
      <w:pPr>
        <w:pStyle w:val="BodyText"/>
        <w:spacing w:before="74"/>
        <w:ind w:left="1023" w:right="1156" w:hanging="543"/>
      </w:pPr>
      <w:r>
        <w:rPr/>
        <w:t>Rozell, E. J., Pettijohn, C. E. &amp; Parker, R. S. (2002). An Empirical Evaluation of Emotional: The Impact on Management Development. </w:t>
      </w:r>
      <w:r>
        <w:rPr>
          <w:i/>
        </w:rPr>
        <w:t>Journal of Management Development, </w:t>
      </w:r>
      <w:r>
        <w:rPr/>
        <w:t>(21)4, 272 – 289 </w:t>
      </w:r>
      <w:hyperlink r:id="rId36">
        <w:r>
          <w:rPr/>
          <w:t>http://dx.doi.org/10.1108/02621710210430272</w:t>
        </w:r>
      </w:hyperlink>
      <w:r>
        <w:rPr/>
        <w:t>.</w:t>
      </w:r>
    </w:p>
    <w:p>
      <w:pPr>
        <w:spacing w:line="240" w:lineRule="auto" w:before="238"/>
        <w:ind w:left="1023" w:right="1150" w:hanging="543"/>
        <w:jc w:val="both"/>
        <w:rPr>
          <w:sz w:val="24"/>
        </w:rPr>
      </w:pPr>
      <w:r>
        <w:rPr>
          <w:sz w:val="24"/>
        </w:rPr>
        <w:t>Rushi, P.J. (2007).</w:t>
      </w:r>
      <w:r>
        <w:rPr>
          <w:spacing w:val="80"/>
          <w:sz w:val="24"/>
        </w:rPr>
        <w:t> </w:t>
      </w:r>
      <w:r>
        <w:rPr>
          <w:sz w:val="24"/>
        </w:rPr>
        <w:t>Questioning the ability of Self-Efficacy measurement</w:t>
      </w:r>
      <w:r>
        <w:rPr>
          <w:spacing w:val="40"/>
          <w:sz w:val="24"/>
        </w:rPr>
        <w:t> </w:t>
      </w:r>
      <w:r>
        <w:rPr>
          <w:sz w:val="24"/>
        </w:rPr>
        <w:t>for</w:t>
      </w:r>
      <w:r>
        <w:rPr>
          <w:spacing w:val="40"/>
          <w:sz w:val="24"/>
        </w:rPr>
        <w:t> </w:t>
      </w:r>
      <w:r>
        <w:rPr>
          <w:sz w:val="24"/>
        </w:rPr>
        <w:t>Indians‖.</w:t>
      </w:r>
      <w:r>
        <w:rPr>
          <w:spacing w:val="40"/>
          <w:sz w:val="24"/>
        </w:rPr>
        <w:t> </w:t>
      </w:r>
      <w:r>
        <w:rPr>
          <w:i/>
          <w:sz w:val="24"/>
        </w:rPr>
        <w:t>International Journal of Research method in Education </w:t>
      </w:r>
      <w:r>
        <w:rPr>
          <w:sz w:val="24"/>
        </w:rPr>
        <w:t>30 (2): 193- </w:t>
      </w:r>
      <w:r>
        <w:rPr>
          <w:spacing w:val="-4"/>
          <w:sz w:val="24"/>
        </w:rPr>
        <w:t>206.</w:t>
      </w:r>
    </w:p>
    <w:p>
      <w:pPr>
        <w:pStyle w:val="BodyText"/>
        <w:ind w:left="0"/>
        <w:jc w:val="left"/>
      </w:pPr>
    </w:p>
    <w:p>
      <w:pPr>
        <w:pStyle w:val="BodyText"/>
        <w:spacing w:line="242" w:lineRule="auto"/>
        <w:ind w:left="1201" w:right="1170" w:hanging="720"/>
        <w:jc w:val="left"/>
      </w:pPr>
      <w:r>
        <w:rPr/>
        <w:t>Ryan C. C. (2012). Defining Chemistry in Twenty-First Century. Organic Chemistry Curriculum Resources. </w:t>
      </w:r>
      <w:r>
        <w:rPr>
          <w:i/>
        </w:rPr>
        <w:t>OCCR An Open Access Journal</w:t>
      </w:r>
      <w:r>
        <w:rPr/>
        <w:t>. 1(2). 1 – 2.</w:t>
      </w:r>
    </w:p>
    <w:p>
      <w:pPr>
        <w:pStyle w:val="BodyText"/>
        <w:spacing w:before="235"/>
        <w:jc w:val="left"/>
      </w:pPr>
      <w:r>
        <w:rPr/>
        <w:t>Sadker,</w:t>
      </w:r>
      <w:r>
        <w:rPr>
          <w:spacing w:val="6"/>
        </w:rPr>
        <w:t> </w:t>
      </w:r>
      <w:r>
        <w:rPr/>
        <w:t>M.</w:t>
      </w:r>
      <w:r>
        <w:rPr>
          <w:spacing w:val="9"/>
        </w:rPr>
        <w:t> </w:t>
      </w:r>
      <w:r>
        <w:rPr/>
        <w:t>&amp;</w:t>
      </w:r>
      <w:r>
        <w:rPr>
          <w:spacing w:val="5"/>
        </w:rPr>
        <w:t> </w:t>
      </w:r>
      <w:r>
        <w:rPr/>
        <w:t>Sadker,</w:t>
      </w:r>
      <w:r>
        <w:rPr>
          <w:spacing w:val="9"/>
        </w:rPr>
        <w:t> </w:t>
      </w:r>
      <w:r>
        <w:rPr/>
        <w:t>D.</w:t>
      </w:r>
      <w:r>
        <w:rPr>
          <w:spacing w:val="9"/>
        </w:rPr>
        <w:t> </w:t>
      </w:r>
      <w:r>
        <w:rPr/>
        <w:t>(1995).</w:t>
      </w:r>
      <w:r>
        <w:rPr>
          <w:spacing w:val="5"/>
        </w:rPr>
        <w:t> </w:t>
      </w:r>
      <w:r>
        <w:rPr/>
        <w:t>Failing</w:t>
      </w:r>
      <w:r>
        <w:rPr>
          <w:spacing w:val="7"/>
        </w:rPr>
        <w:t> </w:t>
      </w:r>
      <w:r>
        <w:rPr/>
        <w:t>and</w:t>
      </w:r>
      <w:r>
        <w:rPr>
          <w:spacing w:val="12"/>
        </w:rPr>
        <w:t> </w:t>
      </w:r>
      <w:r>
        <w:rPr/>
        <w:t>Fairness:</w:t>
      </w:r>
      <w:r>
        <w:rPr>
          <w:spacing w:val="8"/>
        </w:rPr>
        <w:t> </w:t>
      </w:r>
      <w:r>
        <w:rPr/>
        <w:t>How</w:t>
      </w:r>
      <w:r>
        <w:rPr>
          <w:spacing w:val="7"/>
        </w:rPr>
        <w:t> </w:t>
      </w:r>
      <w:r>
        <w:rPr/>
        <w:t>our</w:t>
      </w:r>
      <w:r>
        <w:rPr>
          <w:spacing w:val="9"/>
        </w:rPr>
        <w:t> </w:t>
      </w:r>
      <w:r>
        <w:rPr/>
        <w:t>Schools</w:t>
      </w:r>
      <w:r>
        <w:rPr>
          <w:spacing w:val="10"/>
        </w:rPr>
        <w:t> </w:t>
      </w:r>
      <w:r>
        <w:rPr/>
        <w:t>Cheat</w:t>
      </w:r>
      <w:r>
        <w:rPr>
          <w:spacing w:val="12"/>
        </w:rPr>
        <w:t> </w:t>
      </w:r>
      <w:r>
        <w:rPr>
          <w:spacing w:val="-2"/>
        </w:rPr>
        <w:t>Girls.</w:t>
      </w:r>
    </w:p>
    <w:p>
      <w:pPr>
        <w:pStyle w:val="BodyText"/>
        <w:spacing w:before="2"/>
        <w:ind w:left="1023"/>
        <w:jc w:val="left"/>
      </w:pPr>
      <w:r>
        <w:rPr/>
        <w:t>New</w:t>
      </w:r>
      <w:r>
        <w:rPr>
          <w:spacing w:val="-2"/>
        </w:rPr>
        <w:t> </w:t>
      </w:r>
      <w:r>
        <w:rPr/>
        <w:t>York:</w:t>
      </w:r>
      <w:r>
        <w:rPr>
          <w:spacing w:val="-4"/>
        </w:rPr>
        <w:t> </w:t>
      </w:r>
      <w:r>
        <w:rPr/>
        <w:t>Touchstoner</w:t>
      </w:r>
      <w:r>
        <w:rPr>
          <w:spacing w:val="1"/>
        </w:rPr>
        <w:t> </w:t>
      </w:r>
      <w:r>
        <w:rPr>
          <w:spacing w:val="-2"/>
        </w:rPr>
        <w:t>Press.</w:t>
      </w:r>
    </w:p>
    <w:p>
      <w:pPr>
        <w:spacing w:line="242" w:lineRule="auto" w:before="238"/>
        <w:ind w:left="1023" w:right="1158" w:hanging="543"/>
        <w:jc w:val="both"/>
        <w:rPr>
          <w:sz w:val="24"/>
        </w:rPr>
      </w:pPr>
      <w:r>
        <w:rPr>
          <w:sz w:val="24"/>
        </w:rPr>
        <w:t>Salovey, P. &amp; Mayer, J. D. (1990). Emotional Intelligence. </w:t>
      </w:r>
      <w:r>
        <w:rPr>
          <w:i/>
          <w:sz w:val="24"/>
        </w:rPr>
        <w:t>Imagination, Cognition, Personality, </w:t>
      </w:r>
      <w:r>
        <w:rPr>
          <w:sz w:val="24"/>
        </w:rPr>
        <w:t>9, 185 -211.</w:t>
      </w:r>
    </w:p>
    <w:p>
      <w:pPr>
        <w:pStyle w:val="BodyText"/>
        <w:spacing w:line="242" w:lineRule="auto" w:before="235"/>
        <w:ind w:left="1023" w:right="1153" w:hanging="543"/>
      </w:pPr>
      <w:r>
        <w:rPr/>
        <w:t>SamarapUngavan, A. (2009). Reasoning. Retrieved on 15th August, 2014, from </w:t>
      </w:r>
      <w:hyperlink r:id="rId37">
        <w:r>
          <w:rPr/>
          <w:t>http://www.education.com/</w:t>
        </w:r>
      </w:hyperlink>
      <w:r>
        <w:rPr/>
        <w:t> reference! article! reasoning!</w:t>
      </w:r>
    </w:p>
    <w:p>
      <w:pPr>
        <w:spacing w:line="242" w:lineRule="auto" w:before="235"/>
        <w:ind w:left="1023" w:right="1159" w:hanging="543"/>
        <w:jc w:val="both"/>
        <w:rPr>
          <w:sz w:val="24"/>
        </w:rPr>
      </w:pPr>
      <w:r>
        <w:rPr>
          <w:sz w:val="24"/>
        </w:rPr>
        <w:t>Schunk, D. H. &amp; Hanson, A, R. (1989b). Self-modeling and children's cognitive skill learning. </w:t>
      </w:r>
      <w:r>
        <w:rPr>
          <w:i/>
          <w:sz w:val="24"/>
        </w:rPr>
        <w:t>Journal of Educational Psychology, 81, </w:t>
      </w:r>
      <w:r>
        <w:rPr>
          <w:sz w:val="24"/>
        </w:rPr>
        <w:t>155-163.</w:t>
      </w:r>
    </w:p>
    <w:p>
      <w:pPr>
        <w:spacing w:line="242" w:lineRule="auto" w:before="235"/>
        <w:ind w:left="1023" w:right="1164" w:hanging="543"/>
        <w:jc w:val="both"/>
        <w:rPr>
          <w:sz w:val="24"/>
        </w:rPr>
      </w:pPr>
      <w:r>
        <w:rPr>
          <w:sz w:val="24"/>
        </w:rPr>
        <w:t>Schunk, D. H. &amp; Hanson, A. R. (1985). Peer models: Influence on children's self- efficacy and achievement. </w:t>
      </w:r>
      <w:r>
        <w:rPr>
          <w:i/>
          <w:sz w:val="24"/>
        </w:rPr>
        <w:t>Journal of Educational Psychology, </w:t>
      </w:r>
      <w:r>
        <w:rPr>
          <w:sz w:val="24"/>
        </w:rPr>
        <w:t>77,313-322.</w:t>
      </w:r>
    </w:p>
    <w:p>
      <w:pPr>
        <w:spacing w:line="242" w:lineRule="auto" w:before="234"/>
        <w:ind w:left="1023" w:right="1156" w:hanging="543"/>
        <w:jc w:val="both"/>
        <w:rPr>
          <w:sz w:val="24"/>
        </w:rPr>
      </w:pPr>
      <w:r>
        <w:rPr>
          <w:sz w:val="24"/>
        </w:rPr>
        <w:t>Schunk, D. H. &amp; Hanson, A. R. (1989a). Influence of peer-model attributes on children's beliefs</w:t>
      </w:r>
      <w:r>
        <w:rPr>
          <w:spacing w:val="-4"/>
          <w:sz w:val="24"/>
        </w:rPr>
        <w:t> </w:t>
      </w:r>
      <w:r>
        <w:rPr>
          <w:sz w:val="24"/>
        </w:rPr>
        <w:t>and learning. </w:t>
      </w:r>
      <w:r>
        <w:rPr>
          <w:i/>
          <w:sz w:val="24"/>
        </w:rPr>
        <w:t>Journal</w:t>
      </w:r>
      <w:r>
        <w:rPr>
          <w:i/>
          <w:spacing w:val="-1"/>
          <w:sz w:val="24"/>
        </w:rPr>
        <w:t> </w:t>
      </w:r>
      <w:r>
        <w:rPr>
          <w:i/>
          <w:sz w:val="24"/>
        </w:rPr>
        <w:t>of</w:t>
      </w:r>
      <w:r>
        <w:rPr>
          <w:i/>
          <w:spacing w:val="-2"/>
          <w:sz w:val="24"/>
        </w:rPr>
        <w:t> </w:t>
      </w:r>
      <w:r>
        <w:rPr>
          <w:i/>
          <w:sz w:val="24"/>
        </w:rPr>
        <w:t>Educational</w:t>
      </w:r>
      <w:r>
        <w:rPr>
          <w:i/>
          <w:spacing w:val="-2"/>
          <w:sz w:val="24"/>
        </w:rPr>
        <w:t> </w:t>
      </w:r>
      <w:r>
        <w:rPr>
          <w:i/>
          <w:sz w:val="24"/>
        </w:rPr>
        <w:t>Psychology,</w:t>
      </w:r>
      <w:r>
        <w:rPr>
          <w:i/>
          <w:spacing w:val="-1"/>
          <w:sz w:val="24"/>
        </w:rPr>
        <w:t> </w:t>
      </w:r>
      <w:r>
        <w:rPr>
          <w:i/>
          <w:sz w:val="24"/>
        </w:rPr>
        <w:t>81, </w:t>
      </w:r>
      <w:r>
        <w:rPr>
          <w:sz w:val="24"/>
        </w:rPr>
        <w:t>431-434.</w:t>
      </w:r>
    </w:p>
    <w:p>
      <w:pPr>
        <w:spacing w:line="242" w:lineRule="auto" w:before="235"/>
        <w:ind w:left="1023" w:right="1167" w:hanging="543"/>
        <w:jc w:val="both"/>
        <w:rPr>
          <w:sz w:val="24"/>
        </w:rPr>
      </w:pPr>
      <w:r>
        <w:rPr>
          <w:sz w:val="24"/>
        </w:rPr>
        <w:t>Schunk, D. H. (1981). Modeling and attributional effects on children's achievement;</w:t>
      </w:r>
      <w:r>
        <w:rPr>
          <w:spacing w:val="40"/>
          <w:sz w:val="24"/>
        </w:rPr>
        <w:t> </w:t>
      </w:r>
      <w:r>
        <w:rPr>
          <w:sz w:val="24"/>
        </w:rPr>
        <w:t>A self-efficacy analysis. </w:t>
      </w:r>
      <w:r>
        <w:rPr>
          <w:i/>
          <w:sz w:val="24"/>
        </w:rPr>
        <w:t>Journal of Educational Psychology, </w:t>
      </w:r>
      <w:r>
        <w:rPr>
          <w:sz w:val="24"/>
        </w:rPr>
        <w:t>73,93-105,</w:t>
      </w:r>
    </w:p>
    <w:p>
      <w:pPr>
        <w:spacing w:line="242" w:lineRule="auto" w:before="235"/>
        <w:ind w:left="1023" w:right="1165" w:hanging="543"/>
        <w:jc w:val="both"/>
        <w:rPr>
          <w:sz w:val="24"/>
        </w:rPr>
      </w:pPr>
      <w:r>
        <w:rPr>
          <w:sz w:val="24"/>
        </w:rPr>
        <w:t>Schunk, D. H. (1987). Peer models and children's behavioral change. </w:t>
      </w:r>
      <w:r>
        <w:rPr>
          <w:i/>
          <w:sz w:val="24"/>
        </w:rPr>
        <w:t>Review of Educational Research, 57, </w:t>
      </w:r>
      <w:r>
        <w:rPr>
          <w:sz w:val="24"/>
        </w:rPr>
        <w:t>149-174.</w:t>
      </w:r>
    </w:p>
    <w:p>
      <w:pPr>
        <w:spacing w:line="242" w:lineRule="auto" w:before="235"/>
        <w:ind w:left="1023" w:right="1160" w:hanging="543"/>
        <w:jc w:val="both"/>
        <w:rPr>
          <w:sz w:val="24"/>
        </w:rPr>
      </w:pPr>
      <w:r>
        <w:rPr>
          <w:sz w:val="24"/>
        </w:rPr>
        <w:t>Schunk, D. H. (1989). Self-efficacy and achievement behaviors. </w:t>
      </w:r>
      <w:r>
        <w:rPr>
          <w:i/>
          <w:sz w:val="24"/>
        </w:rPr>
        <w:t>Educational Psychology Review, 1, </w:t>
      </w:r>
      <w:r>
        <w:rPr>
          <w:sz w:val="24"/>
        </w:rPr>
        <w:t>173-208.</w:t>
      </w:r>
    </w:p>
    <w:p>
      <w:pPr>
        <w:spacing w:line="240" w:lineRule="auto" w:before="234"/>
        <w:ind w:left="1023" w:right="1155" w:hanging="543"/>
        <w:jc w:val="both"/>
        <w:rPr>
          <w:sz w:val="24"/>
        </w:rPr>
      </w:pPr>
      <w:r>
        <w:rPr>
          <w:sz w:val="24"/>
        </w:rPr>
        <w:t>Schunk, D. H., Hanson, A. R. &amp; Cox, P. D. (1987). Peer-model attributes and children's achievement behaviors. </w:t>
      </w:r>
      <w:r>
        <w:rPr>
          <w:i/>
          <w:sz w:val="24"/>
        </w:rPr>
        <w:t>Journal of Educational Psychology, 79, </w:t>
      </w:r>
      <w:r>
        <w:rPr>
          <w:sz w:val="24"/>
        </w:rPr>
        <w:t>54- </w:t>
      </w:r>
      <w:r>
        <w:rPr>
          <w:spacing w:val="-4"/>
          <w:sz w:val="24"/>
        </w:rPr>
        <w:t>61.</w:t>
      </w:r>
    </w:p>
    <w:p>
      <w:pPr>
        <w:pStyle w:val="BodyText"/>
        <w:spacing w:before="243"/>
        <w:ind w:left="1023" w:right="1157" w:hanging="543"/>
      </w:pPr>
      <w:r>
        <w:rPr/>
        <w:t>Schunk, D.H. &amp; Miller, S.D. (2002).</w:t>
      </w:r>
      <w:r>
        <w:rPr>
          <w:spacing w:val="40"/>
        </w:rPr>
        <w:t> </w:t>
      </w:r>
      <w:r>
        <w:rPr/>
        <w:t>Self-Efficacy and Adolescent Motivation.</w:t>
      </w:r>
      <w:r>
        <w:rPr>
          <w:spacing w:val="40"/>
        </w:rPr>
        <w:t> </w:t>
      </w:r>
      <w:r>
        <w:rPr/>
        <w:t>In: Pajares, F &amp; Urdan, T. (Eds).</w:t>
      </w:r>
      <w:r>
        <w:rPr>
          <w:spacing w:val="40"/>
        </w:rPr>
        <w:t> </w:t>
      </w:r>
      <w:r>
        <w:rPr>
          <w:i/>
        </w:rPr>
        <w:t>Academic Motivation of Adolescent </w:t>
      </w:r>
      <w:r>
        <w:rPr/>
        <w:t>(29-52). Greenwith, C.T; Information Age.</w:t>
      </w:r>
    </w:p>
    <w:p>
      <w:pPr>
        <w:spacing w:line="242" w:lineRule="auto" w:before="238"/>
        <w:ind w:left="1023" w:right="1161" w:hanging="543"/>
        <w:jc w:val="both"/>
        <w:rPr>
          <w:sz w:val="24"/>
        </w:rPr>
      </w:pPr>
      <w:r>
        <w:rPr>
          <w:sz w:val="24"/>
        </w:rPr>
        <w:t>Sheila, T. (2004). </w:t>
      </w:r>
      <w:r>
        <w:rPr>
          <w:i/>
          <w:sz w:val="24"/>
        </w:rPr>
        <w:t>Gender Equity for Science and Mathematics. </w:t>
      </w:r>
      <w:r>
        <w:rPr>
          <w:sz w:val="24"/>
        </w:rPr>
        <w:t>Notes on Invited Faculty Presentations. CN 5281, Princeton NJ08543 – 5281.</w:t>
      </w:r>
    </w:p>
    <w:p>
      <w:pPr>
        <w:spacing w:line="240" w:lineRule="auto" w:before="235"/>
        <w:ind w:left="1023" w:right="1160" w:hanging="543"/>
        <w:jc w:val="both"/>
        <w:rPr>
          <w:sz w:val="24"/>
        </w:rPr>
      </w:pPr>
      <w:r>
        <w:rPr>
          <w:sz w:val="24"/>
        </w:rPr>
        <w:t>Shipley, N. L., Jackson, M. J. &amp; Segrest, S. L. (2012). The Effects of Emotional Intelligence, Age, Work Experience, and Academic Performance. </w:t>
      </w:r>
      <w:r>
        <w:rPr>
          <w:i/>
          <w:sz w:val="24"/>
        </w:rPr>
        <w:t>Research in Higher Educational Journal</w:t>
      </w:r>
      <w:r>
        <w:rPr>
          <w:sz w:val="24"/>
        </w:rPr>
        <w:t>.</w:t>
      </w:r>
    </w:p>
    <w:p>
      <w:pPr>
        <w:spacing w:after="0" w:line="240" w:lineRule="auto"/>
        <w:jc w:val="both"/>
        <w:rPr>
          <w:sz w:val="24"/>
        </w:rPr>
        <w:sectPr>
          <w:pgSz w:w="11910" w:h="16840"/>
          <w:pgMar w:header="0" w:footer="1012" w:top="1340" w:bottom="1200" w:left="1680" w:right="280"/>
        </w:sectPr>
      </w:pPr>
    </w:p>
    <w:p>
      <w:pPr>
        <w:pStyle w:val="BodyText"/>
        <w:spacing w:line="237" w:lineRule="auto" w:before="76"/>
        <w:ind w:left="1023" w:right="1155" w:hanging="543"/>
      </w:pPr>
      <w:r>
        <w:rPr/>
        <w:t>Simpson, D. (29 June 2005).</w:t>
      </w:r>
      <w:r>
        <w:rPr>
          <w:spacing w:val="40"/>
        </w:rPr>
        <w:t> </w:t>
      </w:r>
      <w:r>
        <w:rPr/>
        <w:t>―Lucretius (c. 99 – c.</w:t>
      </w:r>
      <w:r>
        <w:rPr>
          <w:spacing w:val="40"/>
        </w:rPr>
        <w:t> </w:t>
      </w:r>
      <w:r>
        <w:rPr/>
        <w:t>54 BCE)‖.</w:t>
      </w:r>
      <w:r>
        <w:rPr>
          <w:spacing w:val="40"/>
        </w:rPr>
        <w:t> </w:t>
      </w:r>
      <w:r>
        <w:rPr/>
        <w:t>The Internet History of Philosophy.</w:t>
      </w:r>
      <w:r>
        <w:rPr>
          <w:spacing w:val="40"/>
        </w:rPr>
        <w:t> </w:t>
      </w:r>
      <w:r>
        <w:rPr/>
        <w:t>Retrieved 2007-01-09.</w:t>
      </w:r>
    </w:p>
    <w:p>
      <w:pPr>
        <w:spacing w:line="240" w:lineRule="auto" w:before="243"/>
        <w:ind w:left="1023" w:right="1154" w:hanging="543"/>
        <w:jc w:val="both"/>
        <w:rPr>
          <w:sz w:val="24"/>
        </w:rPr>
      </w:pPr>
      <w:r>
        <w:rPr>
          <w:sz w:val="24"/>
        </w:rPr>
        <w:t>Sirajo A., Mari, J.S. &amp; Olorukooba S.B. (2013).</w:t>
      </w:r>
      <w:r>
        <w:rPr>
          <w:spacing w:val="80"/>
          <w:sz w:val="24"/>
        </w:rPr>
        <w:t> </w:t>
      </w:r>
      <w:r>
        <w:rPr>
          <w:sz w:val="24"/>
        </w:rPr>
        <w:t>The Relationship Between Reasoning Ability, Self-Efficacy and Academic Achievement in Chemistry Among Pre-Degree Chemistry Students in North-West Zone, Nigeria.</w:t>
      </w:r>
      <w:r>
        <w:rPr>
          <w:spacing w:val="40"/>
          <w:sz w:val="24"/>
        </w:rPr>
        <w:t> </w:t>
      </w:r>
      <w:r>
        <w:rPr>
          <w:i/>
          <w:sz w:val="24"/>
        </w:rPr>
        <w:t>Journal</w:t>
      </w:r>
      <w:r>
        <w:rPr>
          <w:i/>
          <w:spacing w:val="40"/>
          <w:sz w:val="24"/>
        </w:rPr>
        <w:t> </w:t>
      </w:r>
      <w:r>
        <w:rPr>
          <w:i/>
          <w:sz w:val="24"/>
        </w:rPr>
        <w:t>of Studies in Science and Mathematics Education.</w:t>
      </w:r>
      <w:r>
        <w:rPr>
          <w:i/>
          <w:spacing w:val="40"/>
          <w:sz w:val="24"/>
        </w:rPr>
        <w:t> </w:t>
      </w:r>
      <w:r>
        <w:rPr>
          <w:sz w:val="24"/>
        </w:rPr>
        <w:t>3; 80-85.</w:t>
      </w:r>
    </w:p>
    <w:p>
      <w:pPr>
        <w:spacing w:line="237" w:lineRule="auto" w:before="243"/>
        <w:ind w:left="1023" w:right="1160" w:hanging="543"/>
        <w:jc w:val="both"/>
        <w:rPr>
          <w:sz w:val="24"/>
        </w:rPr>
      </w:pPr>
      <w:r>
        <w:rPr>
          <w:sz w:val="24"/>
        </w:rPr>
        <w:t>Sjostrom, J. (2007). The Discourse of Chemistry</w:t>
      </w:r>
      <w:r>
        <w:rPr>
          <w:spacing w:val="-1"/>
          <w:sz w:val="24"/>
        </w:rPr>
        <w:t> </w:t>
      </w:r>
      <w:r>
        <w:rPr>
          <w:sz w:val="24"/>
        </w:rPr>
        <w:t>(and Beyond). HYLE: </w:t>
      </w:r>
      <w:r>
        <w:rPr>
          <w:i/>
          <w:sz w:val="24"/>
        </w:rPr>
        <w:t>International Journal for Philosophy of Chemistry, </w:t>
      </w:r>
      <w:r>
        <w:rPr>
          <w:sz w:val="24"/>
        </w:rPr>
        <w:t>13, 83 – 97</w:t>
      </w:r>
    </w:p>
    <w:p>
      <w:pPr>
        <w:pStyle w:val="BodyText"/>
        <w:spacing w:line="237" w:lineRule="auto" w:before="246"/>
        <w:ind w:left="1023" w:right="1162" w:hanging="543"/>
      </w:pPr>
      <w:r>
        <w:rPr/>
        <w:t>Smist, J. M. &amp;</w:t>
      </w:r>
      <w:r>
        <w:rPr>
          <w:spacing w:val="-1"/>
        </w:rPr>
        <w:t> </w:t>
      </w:r>
      <w:r>
        <w:rPr/>
        <w:t>Owen</w:t>
      </w:r>
      <w:r>
        <w:rPr>
          <w:spacing w:val="-1"/>
        </w:rPr>
        <w:t> </w:t>
      </w:r>
      <w:r>
        <w:rPr/>
        <w:t>S. V. (1994). Explaining Science Self-efficacy, Paper Presented at the Annual Meeting of</w:t>
      </w:r>
      <w:r>
        <w:rPr>
          <w:spacing w:val="-2"/>
        </w:rPr>
        <w:t> </w:t>
      </w:r>
      <w:r>
        <w:rPr/>
        <w:t>the American Educational Research Association. New</w:t>
      </w:r>
    </w:p>
    <w:p>
      <w:pPr>
        <w:pStyle w:val="BodyText"/>
        <w:spacing w:line="275" w:lineRule="exact" w:before="243"/>
        <w:jc w:val="left"/>
      </w:pPr>
      <w:r>
        <w:rPr/>
        <w:t>Smist,</w:t>
      </w:r>
      <w:r>
        <w:rPr>
          <w:spacing w:val="30"/>
        </w:rPr>
        <w:t> </w:t>
      </w:r>
      <w:r>
        <w:rPr/>
        <w:t>J.M.,</w:t>
      </w:r>
      <w:r>
        <w:rPr>
          <w:spacing w:val="27"/>
        </w:rPr>
        <w:t> </w:t>
      </w:r>
      <w:r>
        <w:rPr/>
        <w:t>(1993).</w:t>
      </w:r>
      <w:r>
        <w:rPr>
          <w:spacing w:val="29"/>
        </w:rPr>
        <w:t>  </w:t>
      </w:r>
      <w:r>
        <w:rPr/>
        <w:t>General</w:t>
      </w:r>
      <w:r>
        <w:rPr>
          <w:spacing w:val="25"/>
        </w:rPr>
        <w:t> </w:t>
      </w:r>
      <w:r>
        <w:rPr/>
        <w:t>Chemistry</w:t>
      </w:r>
      <w:r>
        <w:rPr>
          <w:spacing w:val="20"/>
        </w:rPr>
        <w:t> </w:t>
      </w:r>
      <w:r>
        <w:rPr/>
        <w:t>and</w:t>
      </w:r>
      <w:r>
        <w:rPr>
          <w:spacing w:val="30"/>
        </w:rPr>
        <w:t> </w:t>
      </w:r>
      <w:r>
        <w:rPr/>
        <w:t>Self-efficacy.</w:t>
      </w:r>
      <w:r>
        <w:rPr>
          <w:spacing w:val="31"/>
        </w:rPr>
        <w:t>  </w:t>
      </w:r>
      <w:r>
        <w:rPr/>
        <w:t>(Report</w:t>
      </w:r>
      <w:r>
        <w:rPr>
          <w:spacing w:val="35"/>
        </w:rPr>
        <w:t> </w:t>
      </w:r>
      <w:r>
        <w:rPr/>
        <w:t>No.</w:t>
      </w:r>
      <w:r>
        <w:rPr>
          <w:spacing w:val="33"/>
        </w:rPr>
        <w:t> </w:t>
      </w:r>
      <w:r>
        <w:rPr>
          <w:spacing w:val="-2"/>
        </w:rPr>
        <w:t>SE05247).</w:t>
      </w:r>
    </w:p>
    <w:p>
      <w:pPr>
        <w:pStyle w:val="BodyText"/>
        <w:spacing w:line="275" w:lineRule="exact"/>
        <w:ind w:left="1023"/>
        <w:jc w:val="left"/>
      </w:pPr>
      <w:r>
        <w:rPr/>
        <w:t>Massachussets.</w:t>
      </w:r>
      <w:r>
        <w:rPr>
          <w:spacing w:val="-1"/>
        </w:rPr>
        <w:t> </w:t>
      </w:r>
      <w:r>
        <w:rPr/>
        <w:t>(ERIC</w:t>
      </w:r>
      <w:r>
        <w:rPr>
          <w:spacing w:val="-8"/>
        </w:rPr>
        <w:t> </w:t>
      </w:r>
      <w:r>
        <w:rPr/>
        <w:t>Documentation</w:t>
      </w:r>
      <w:r>
        <w:rPr>
          <w:spacing w:val="-5"/>
        </w:rPr>
        <w:t> </w:t>
      </w:r>
      <w:r>
        <w:rPr/>
        <w:t>Service</w:t>
      </w:r>
      <w:r>
        <w:rPr>
          <w:spacing w:val="-2"/>
        </w:rPr>
        <w:t> </w:t>
      </w:r>
      <w:r>
        <w:rPr/>
        <w:t>No.</w:t>
      </w:r>
      <w:r>
        <w:rPr>
          <w:spacing w:val="-4"/>
        </w:rPr>
        <w:t> </w:t>
      </w:r>
      <w:r>
        <w:rPr/>
        <w:t>ED</w:t>
      </w:r>
      <w:r>
        <w:rPr>
          <w:spacing w:val="-1"/>
        </w:rPr>
        <w:t> </w:t>
      </w:r>
      <w:r>
        <w:rPr>
          <w:spacing w:val="-2"/>
        </w:rPr>
        <w:t>368558).</w:t>
      </w:r>
    </w:p>
    <w:p>
      <w:pPr>
        <w:pStyle w:val="BodyText"/>
        <w:spacing w:before="243"/>
        <w:ind w:left="1023" w:right="1162" w:hanging="543"/>
      </w:pPr>
      <w:r>
        <w:rPr/>
        <w:t>Soffa, J. S. (2006).</w:t>
      </w:r>
      <w:r>
        <w:rPr>
          <w:spacing w:val="40"/>
        </w:rPr>
        <w:t> </w:t>
      </w:r>
      <w:r>
        <w:rPr/>
        <w:t>Inspiring Academic Confidence in the classroom:</w:t>
      </w:r>
      <w:r>
        <w:rPr>
          <w:spacing w:val="40"/>
        </w:rPr>
        <w:t> </w:t>
      </w:r>
      <w:r>
        <w:rPr/>
        <w:t>An (Investigation of Features of the classroom Experience that contribute to the Academic</w:t>
      </w:r>
      <w:r>
        <w:rPr>
          <w:spacing w:val="-1"/>
        </w:rPr>
        <w:t> </w:t>
      </w:r>
      <w:r>
        <w:rPr/>
        <w:t>Self-Efficacy</w:t>
      </w:r>
      <w:r>
        <w:rPr>
          <w:spacing w:val="-4"/>
        </w:rPr>
        <w:t> </w:t>
      </w:r>
      <w:r>
        <w:rPr/>
        <w:t>at undergraduate</w:t>
      </w:r>
      <w:r>
        <w:rPr>
          <w:spacing w:val="-5"/>
        </w:rPr>
        <w:t> </w:t>
      </w:r>
      <w:r>
        <w:rPr/>
        <w:t>Women Enrolled in Gateway</w:t>
      </w:r>
      <w:r>
        <w:rPr>
          <w:spacing w:val="-8"/>
        </w:rPr>
        <w:t> </w:t>
      </w:r>
      <w:r>
        <w:rPr/>
        <w:t>Courses. Dissertation Completed at the University of Wisconsui-Madison.</w:t>
      </w:r>
    </w:p>
    <w:p>
      <w:pPr>
        <w:spacing w:line="240" w:lineRule="auto" w:before="241"/>
        <w:ind w:left="1023" w:right="1150" w:hanging="543"/>
        <w:jc w:val="both"/>
        <w:rPr>
          <w:sz w:val="24"/>
        </w:rPr>
      </w:pPr>
      <w:r>
        <w:rPr>
          <w:sz w:val="24"/>
        </w:rPr>
        <w:t>Sokan, B.O (1998). The Role of Operational Thinking in some Nigerian Children's Comprehension of Humour. </w:t>
      </w:r>
      <w:r>
        <w:rPr>
          <w:i/>
          <w:sz w:val="24"/>
        </w:rPr>
        <w:t>Nigerian Journal of Applied Psychology </w:t>
      </w:r>
      <w:r>
        <w:rPr>
          <w:sz w:val="24"/>
        </w:rPr>
        <w:t>4(1), 72- </w:t>
      </w:r>
      <w:r>
        <w:rPr>
          <w:spacing w:val="-4"/>
          <w:sz w:val="24"/>
        </w:rPr>
        <w:t>77.</w:t>
      </w:r>
    </w:p>
    <w:p>
      <w:pPr>
        <w:pStyle w:val="BodyText"/>
        <w:spacing w:before="238"/>
        <w:ind w:left="1023" w:right="1148" w:hanging="543"/>
      </w:pPr>
      <w:r>
        <w:rPr/>
        <w:t>Stanovich, K. E., Sa, W. C., &amp;</w:t>
      </w:r>
      <w:r>
        <w:rPr>
          <w:spacing w:val="-1"/>
        </w:rPr>
        <w:t> </w:t>
      </w:r>
      <w:r>
        <w:rPr/>
        <w:t>West, R. F. (2004). Individual</w:t>
      </w:r>
      <w:r>
        <w:rPr>
          <w:spacing w:val="-1"/>
        </w:rPr>
        <w:t> </w:t>
      </w:r>
      <w:r>
        <w:rPr/>
        <w:t>Differences in</w:t>
      </w:r>
      <w:r>
        <w:rPr>
          <w:spacing w:val="-1"/>
        </w:rPr>
        <w:t> </w:t>
      </w:r>
      <w:r>
        <w:rPr/>
        <w:t>thinking, reasoning, and decision making. In J. P. Leighton &amp; R. J. Sternberg (Eds.), </w:t>
      </w:r>
      <w:r>
        <w:rPr>
          <w:i/>
        </w:rPr>
        <w:t>The Nature of reasoning </w:t>
      </w:r>
      <w:r>
        <w:rPr/>
        <w:t>(375-409). New York, NY: Cambridge University Press.</w:t>
      </w:r>
    </w:p>
    <w:p>
      <w:pPr>
        <w:pStyle w:val="BodyText"/>
        <w:spacing w:before="242"/>
        <w:ind w:left="1023" w:right="1162" w:hanging="543"/>
      </w:pPr>
      <w:r>
        <w:rPr/>
        <w:t>Stys Y. &amp; Shelley L. B. (2004). A Review of the Emotional Intelligence Literature</w:t>
      </w:r>
      <w:r>
        <w:rPr>
          <w:spacing w:val="40"/>
        </w:rPr>
        <w:t> </w:t>
      </w:r>
      <w:r>
        <w:rPr/>
        <w:t>and Implications for Corrections. Research Branch Correctional Service of </w:t>
      </w:r>
      <w:r>
        <w:rPr>
          <w:spacing w:val="-2"/>
        </w:rPr>
        <w:t>Canada.</w:t>
      </w:r>
    </w:p>
    <w:p>
      <w:pPr>
        <w:spacing w:line="240" w:lineRule="auto" w:before="238"/>
        <w:ind w:left="1023" w:right="1155" w:hanging="543"/>
        <w:jc w:val="both"/>
        <w:rPr>
          <w:sz w:val="24"/>
        </w:rPr>
      </w:pPr>
      <w:r>
        <w:rPr>
          <w:sz w:val="24"/>
        </w:rPr>
        <w:t>Sunbul, A. M. &amp; Aslan, Y. (2008). The Relationship between Emotional Intelligence and Achievement among 1</w:t>
      </w:r>
      <w:r>
        <w:rPr>
          <w:sz w:val="24"/>
          <w:vertAlign w:val="superscript"/>
        </w:rPr>
        <w:t>st</w:t>
      </w:r>
      <w:r>
        <w:rPr>
          <w:sz w:val="24"/>
          <w:vertAlign w:val="baseline"/>
        </w:rPr>
        <w:t> and 4</w:t>
      </w:r>
      <w:r>
        <w:rPr>
          <w:sz w:val="24"/>
          <w:vertAlign w:val="superscript"/>
        </w:rPr>
        <w:t>th</w:t>
      </w:r>
      <w:r>
        <w:rPr>
          <w:sz w:val="24"/>
          <w:vertAlign w:val="baseline"/>
        </w:rPr>
        <w:t> grade Faculty Students. </w:t>
      </w:r>
      <w:r>
        <w:rPr>
          <w:i/>
          <w:sz w:val="24"/>
          <w:vertAlign w:val="baseline"/>
        </w:rPr>
        <w:t>Scientific Bulletin- Education Science Series, </w:t>
      </w:r>
      <w:r>
        <w:rPr>
          <w:sz w:val="24"/>
          <w:vertAlign w:val="baseline"/>
        </w:rPr>
        <w:t>2, 27-42.</w:t>
      </w:r>
    </w:p>
    <w:p>
      <w:pPr>
        <w:spacing w:line="240" w:lineRule="auto" w:before="243"/>
        <w:ind w:left="1023" w:right="1150" w:hanging="543"/>
        <w:jc w:val="both"/>
        <w:rPr>
          <w:sz w:val="24"/>
        </w:rPr>
      </w:pPr>
      <w:r>
        <w:rPr>
          <w:sz w:val="24"/>
        </w:rPr>
        <w:t>Sungur, S., Tekkay, C. &amp; Geban, 0. (2001).The Effect of Gender Differences and Reasoning Ability on the Learning of Human Circulatory System Concepts. </w:t>
      </w:r>
      <w:r>
        <w:rPr>
          <w:i/>
          <w:sz w:val="24"/>
        </w:rPr>
        <w:t>1- lacettepe Universitesi Eitim Fakültesi Dergisi, </w:t>
      </w:r>
      <w:r>
        <w:rPr>
          <w:sz w:val="24"/>
        </w:rPr>
        <w:t>20, 126 — 130</w:t>
      </w:r>
    </w:p>
    <w:p>
      <w:pPr>
        <w:spacing w:line="242" w:lineRule="auto" w:before="238"/>
        <w:ind w:left="1023" w:right="1162" w:hanging="543"/>
        <w:jc w:val="both"/>
        <w:rPr>
          <w:sz w:val="24"/>
        </w:rPr>
      </w:pPr>
      <w:r>
        <w:rPr>
          <w:sz w:val="24"/>
        </w:rPr>
        <w:t>Svetlana, H. (2007).</w:t>
      </w:r>
      <w:r>
        <w:rPr>
          <w:spacing w:val="40"/>
          <w:sz w:val="24"/>
        </w:rPr>
        <w:t> </w:t>
      </w:r>
      <w:r>
        <w:rPr>
          <w:i/>
          <w:sz w:val="24"/>
        </w:rPr>
        <w:t>Emotional Intelligence and Academic Achievement in Higher Education.</w:t>
      </w:r>
      <w:r>
        <w:rPr>
          <w:i/>
          <w:spacing w:val="40"/>
          <w:sz w:val="24"/>
        </w:rPr>
        <w:t> </w:t>
      </w:r>
      <w:r>
        <w:rPr>
          <w:sz w:val="24"/>
        </w:rPr>
        <w:t>Pepperdine University.</w:t>
      </w:r>
    </w:p>
    <w:p>
      <w:pPr>
        <w:pStyle w:val="BodyText"/>
        <w:spacing w:line="242" w:lineRule="auto" w:before="235"/>
        <w:ind w:left="1023" w:right="1157" w:hanging="543"/>
      </w:pPr>
      <w:r>
        <w:rPr/>
        <w:t>Tekkaya, C., &amp; Yenilmez, A. (2006). Relationships among measures of Learning Orientation,</w:t>
      </w:r>
      <w:r>
        <w:rPr>
          <w:spacing w:val="70"/>
          <w:w w:val="150"/>
        </w:rPr>
        <w:t> </w:t>
      </w:r>
      <w:r>
        <w:rPr/>
        <w:t>Reasoning</w:t>
      </w:r>
      <w:r>
        <w:rPr>
          <w:spacing w:val="75"/>
          <w:w w:val="150"/>
        </w:rPr>
        <w:t> </w:t>
      </w:r>
      <w:r>
        <w:rPr/>
        <w:t>Ability,</w:t>
      </w:r>
      <w:r>
        <w:rPr>
          <w:spacing w:val="77"/>
          <w:w w:val="150"/>
        </w:rPr>
        <w:t> </w:t>
      </w:r>
      <w:r>
        <w:rPr/>
        <w:t>and</w:t>
      </w:r>
      <w:r>
        <w:rPr>
          <w:spacing w:val="70"/>
          <w:w w:val="150"/>
        </w:rPr>
        <w:t> </w:t>
      </w:r>
      <w:r>
        <w:rPr/>
        <w:t>Conceptual</w:t>
      </w:r>
      <w:r>
        <w:rPr>
          <w:spacing w:val="66"/>
          <w:w w:val="150"/>
        </w:rPr>
        <w:t> </w:t>
      </w:r>
      <w:r>
        <w:rPr/>
        <w:t>Understanding</w:t>
      </w:r>
      <w:r>
        <w:rPr>
          <w:spacing w:val="70"/>
          <w:w w:val="150"/>
        </w:rPr>
        <w:t> </w:t>
      </w:r>
      <w:r>
        <w:rPr/>
        <w:t>of</w:t>
      </w:r>
      <w:r>
        <w:rPr>
          <w:spacing w:val="64"/>
          <w:w w:val="150"/>
        </w:rPr>
        <w:t> </w:t>
      </w:r>
      <w:r>
        <w:rPr>
          <w:spacing w:val="-2"/>
        </w:rPr>
        <w:t>Photos</w:t>
      </w:r>
    </w:p>
    <w:p>
      <w:pPr>
        <w:spacing w:line="242" w:lineRule="auto" w:before="0"/>
        <w:ind w:left="1023" w:right="1303" w:firstLine="0"/>
        <w:jc w:val="left"/>
        <w:rPr>
          <w:sz w:val="24"/>
        </w:rPr>
      </w:pPr>
      <w:r>
        <w:rPr>
          <w:sz w:val="24"/>
        </w:rPr>
        <w:t>‗nthesis and Respiration in Plants for grade 8th Males and Females. </w:t>
      </w:r>
      <w:r>
        <w:rPr>
          <w:i/>
          <w:sz w:val="24"/>
        </w:rPr>
        <w:t>Journal of Elementary Science Education, </w:t>
      </w:r>
      <w:r>
        <w:rPr>
          <w:sz w:val="24"/>
        </w:rPr>
        <w:t>18(1), 1-14</w:t>
      </w:r>
    </w:p>
    <w:p>
      <w:pPr>
        <w:spacing w:after="0" w:line="242" w:lineRule="auto"/>
        <w:jc w:val="left"/>
        <w:rPr>
          <w:sz w:val="24"/>
        </w:rPr>
        <w:sectPr>
          <w:pgSz w:w="11910" w:h="16840"/>
          <w:pgMar w:header="0" w:footer="1012" w:top="1340" w:bottom="1200" w:left="1680" w:right="280"/>
        </w:sectPr>
      </w:pPr>
    </w:p>
    <w:p>
      <w:pPr>
        <w:pStyle w:val="BodyText"/>
        <w:spacing w:before="4"/>
        <w:ind w:left="0"/>
        <w:jc w:val="left"/>
        <w:rPr>
          <w:sz w:val="17"/>
        </w:rPr>
      </w:pPr>
    </w:p>
    <w:p>
      <w:pPr>
        <w:spacing w:after="0"/>
        <w:jc w:val="left"/>
        <w:rPr>
          <w:sz w:val="17"/>
        </w:rPr>
        <w:sectPr>
          <w:footerReference w:type="default" r:id="rId38"/>
          <w:pgSz w:w="11910" w:h="16840"/>
          <w:pgMar w:header="0" w:footer="0" w:top="1920" w:bottom="280" w:left="1680" w:right="280"/>
        </w:sectPr>
      </w:pPr>
    </w:p>
    <w:p>
      <w:pPr>
        <w:pStyle w:val="Heading2"/>
        <w:ind w:left="506" w:right="1187"/>
      </w:pPr>
      <w:r>
        <w:rPr/>
        <w:t>APPENDIX</w:t>
      </w:r>
      <w:r>
        <w:rPr>
          <w:spacing w:val="-8"/>
        </w:rPr>
        <w:t> </w:t>
      </w:r>
      <w:r>
        <w:rPr>
          <w:spacing w:val="-10"/>
        </w:rPr>
        <w:t>B</w:t>
      </w:r>
    </w:p>
    <w:p>
      <w:pPr>
        <w:pStyle w:val="BodyText"/>
        <w:ind w:left="0"/>
        <w:jc w:val="left"/>
        <w:rPr>
          <w:b/>
        </w:rPr>
      </w:pPr>
    </w:p>
    <w:p>
      <w:pPr>
        <w:spacing w:before="0"/>
        <w:ind w:left="423" w:right="1102" w:firstLine="0"/>
        <w:jc w:val="center"/>
        <w:rPr>
          <w:b/>
          <w:sz w:val="24"/>
        </w:rPr>
      </w:pPr>
      <w:r>
        <w:rPr>
          <w:b/>
          <w:sz w:val="24"/>
        </w:rPr>
        <w:t>GROUP</w:t>
      </w:r>
      <w:r>
        <w:rPr>
          <w:b/>
          <w:spacing w:val="-3"/>
          <w:sz w:val="24"/>
        </w:rPr>
        <w:t> </w:t>
      </w:r>
      <w:r>
        <w:rPr>
          <w:b/>
          <w:sz w:val="24"/>
        </w:rPr>
        <w:t>ASSESSMENT</w:t>
      </w:r>
      <w:r>
        <w:rPr>
          <w:b/>
          <w:spacing w:val="-2"/>
          <w:sz w:val="24"/>
        </w:rPr>
        <w:t> </w:t>
      </w:r>
      <w:r>
        <w:rPr>
          <w:b/>
          <w:sz w:val="24"/>
        </w:rPr>
        <w:t>OF</w:t>
      </w:r>
      <w:r>
        <w:rPr>
          <w:b/>
          <w:spacing w:val="-2"/>
          <w:sz w:val="24"/>
        </w:rPr>
        <w:t> </w:t>
      </w:r>
      <w:r>
        <w:rPr>
          <w:b/>
          <w:sz w:val="24"/>
        </w:rPr>
        <w:t>LOGICAL</w:t>
      </w:r>
      <w:r>
        <w:rPr>
          <w:b/>
          <w:spacing w:val="-2"/>
          <w:sz w:val="24"/>
        </w:rPr>
        <w:t> </w:t>
      </w:r>
      <w:r>
        <w:rPr>
          <w:b/>
          <w:sz w:val="24"/>
        </w:rPr>
        <w:t>THINKING</w:t>
      </w:r>
      <w:r>
        <w:rPr>
          <w:b/>
          <w:spacing w:val="-4"/>
          <w:sz w:val="24"/>
        </w:rPr>
        <w:t> </w:t>
      </w:r>
      <w:r>
        <w:rPr>
          <w:b/>
          <w:spacing w:val="-2"/>
          <w:sz w:val="24"/>
        </w:rPr>
        <w:t>(GALT)</w:t>
      </w:r>
    </w:p>
    <w:p>
      <w:pPr>
        <w:pStyle w:val="BodyText"/>
        <w:spacing w:before="272"/>
        <w:jc w:val="left"/>
      </w:pPr>
      <w:r>
        <w:rPr>
          <w:color w:val="121312"/>
          <w:spacing w:val="-2"/>
        </w:rPr>
        <w:t>School:</w:t>
      </w:r>
    </w:p>
    <w:p>
      <w:pPr>
        <w:pStyle w:val="BodyText"/>
        <w:tabs>
          <w:tab w:pos="4802" w:val="left" w:leader="none"/>
        </w:tabs>
        <w:spacing w:line="360" w:lineRule="auto" w:before="137"/>
        <w:ind w:right="1544"/>
        <w:jc w:val="left"/>
      </w:pPr>
      <w:r>
        <w:rPr>
          <w:color w:val="121312"/>
          <w:spacing w:val="-2"/>
        </w:rPr>
        <w:t>……………………………………………………………………………………… </w:t>
      </w:r>
      <w:r>
        <w:rPr>
          <w:color w:val="121312"/>
        </w:rPr>
        <w:t>Sex: Male: ……………………………..</w:t>
        <w:tab/>
        <w:t>Female: …………………….</w:t>
      </w:r>
    </w:p>
    <w:p>
      <w:pPr>
        <w:pStyle w:val="BodyText"/>
        <w:tabs>
          <w:tab w:pos="2401" w:val="left" w:leader="none"/>
          <w:tab w:pos="8204" w:val="left" w:leader="none"/>
        </w:tabs>
        <w:spacing w:before="3"/>
        <w:jc w:val="left"/>
      </w:pPr>
      <w:r>
        <w:rPr>
          <w:color w:val="121312"/>
          <w:spacing w:val="-4"/>
        </w:rPr>
        <w:t>Age:</w:t>
      </w:r>
      <w:r>
        <w:rPr>
          <w:color w:val="121312"/>
        </w:rPr>
        <w:tab/>
      </w:r>
      <w:r>
        <w:rPr>
          <w:color w:val="121312"/>
          <w:spacing w:val="-2"/>
        </w:rPr>
        <w:t>………………………………</w:t>
      </w:r>
      <w:r>
        <w:rPr>
          <w:color w:val="121312"/>
        </w:rPr>
        <w:tab/>
      </w:r>
      <w:r>
        <w:rPr>
          <w:color w:val="121312"/>
          <w:spacing w:val="-2"/>
        </w:rPr>
        <w:t>Class:</w:t>
      </w:r>
    </w:p>
    <w:p>
      <w:pPr>
        <w:spacing w:before="137"/>
        <w:ind w:left="480" w:right="0" w:firstLine="0"/>
        <w:jc w:val="left"/>
        <w:rPr>
          <w:sz w:val="24"/>
        </w:rPr>
      </w:pPr>
      <w:r>
        <w:rPr>
          <w:color w:val="121312"/>
          <w:spacing w:val="-2"/>
          <w:sz w:val="24"/>
        </w:rPr>
        <w:t>…………………………………………………</w:t>
      </w:r>
    </w:p>
    <w:p>
      <w:pPr>
        <w:spacing w:before="141"/>
        <w:ind w:left="480" w:right="0" w:firstLine="0"/>
        <w:jc w:val="left"/>
        <w:rPr>
          <w:b/>
          <w:sz w:val="24"/>
        </w:rPr>
      </w:pPr>
      <w:r>
        <w:rPr>
          <w:b/>
          <w:spacing w:val="-2"/>
          <w:sz w:val="24"/>
          <w:u w:val="single"/>
        </w:rPr>
        <w:t>Directions</w:t>
      </w:r>
    </w:p>
    <w:p>
      <w:pPr>
        <w:pStyle w:val="BodyText"/>
        <w:spacing w:before="18"/>
        <w:ind w:left="0"/>
        <w:jc w:val="left"/>
        <w:rPr>
          <w:b/>
          <w:sz w:val="22"/>
        </w:rPr>
      </w:pPr>
    </w:p>
    <w:p>
      <w:pPr>
        <w:spacing w:line="240" w:lineRule="auto" w:before="0"/>
        <w:ind w:left="480" w:right="1159" w:firstLine="0"/>
        <w:jc w:val="both"/>
        <w:rPr>
          <w:sz w:val="24"/>
        </w:rPr>
      </w:pPr>
      <w:r>
        <w:rPr>
          <w:sz w:val="22"/>
        </w:rPr>
        <w:t>The purpose of the questions in this booklet is to find out how logically you think. Your reason for choosing an answer is as important as the answer itself. </w:t>
      </w:r>
      <w:r>
        <w:rPr>
          <w:sz w:val="24"/>
        </w:rPr>
        <w:t>The examination has nothing to do with your result. All information you will provide will be regarded as highly confidential and will be treated as such.</w:t>
      </w:r>
    </w:p>
    <w:p>
      <w:pPr>
        <w:spacing w:before="207"/>
        <w:ind w:left="480" w:right="0" w:firstLine="0"/>
        <w:jc w:val="both"/>
        <w:rPr>
          <w:b/>
          <w:sz w:val="24"/>
        </w:rPr>
      </w:pPr>
      <w:r>
        <w:rPr>
          <w:b/>
          <w:sz w:val="24"/>
          <w:u w:val="single"/>
        </w:rPr>
        <w:t>Answer</w:t>
      </w:r>
      <w:r>
        <w:rPr>
          <w:b/>
          <w:spacing w:val="-6"/>
          <w:sz w:val="24"/>
          <w:u w:val="single"/>
        </w:rPr>
        <w:t> </w:t>
      </w:r>
      <w:r>
        <w:rPr>
          <w:b/>
          <w:sz w:val="24"/>
          <w:u w:val="single"/>
        </w:rPr>
        <w:t>every</w:t>
      </w:r>
      <w:r>
        <w:rPr>
          <w:b/>
          <w:spacing w:val="1"/>
          <w:sz w:val="24"/>
          <w:u w:val="single"/>
        </w:rPr>
        <w:t> </w:t>
      </w:r>
      <w:r>
        <w:rPr>
          <w:b/>
          <w:spacing w:val="-2"/>
          <w:sz w:val="24"/>
          <w:u w:val="single"/>
        </w:rPr>
        <w:t>Question</w:t>
      </w:r>
    </w:p>
    <w:p>
      <w:pPr>
        <w:pStyle w:val="BodyText"/>
        <w:spacing w:before="271"/>
        <w:ind w:left="1201"/>
        <w:jc w:val="left"/>
      </w:pPr>
      <w:r>
        <w:rPr/>
        <w:t>In</w:t>
      </w:r>
      <w:r>
        <w:rPr>
          <w:spacing w:val="-7"/>
        </w:rPr>
        <w:t> </w:t>
      </w:r>
      <w:r>
        <w:rPr/>
        <w:t>answering each</w:t>
      </w:r>
      <w:r>
        <w:rPr>
          <w:spacing w:val="-5"/>
        </w:rPr>
        <w:t> </w:t>
      </w:r>
      <w:r>
        <w:rPr/>
        <w:t>question,</w:t>
      </w:r>
      <w:r>
        <w:rPr>
          <w:spacing w:val="2"/>
        </w:rPr>
        <w:t> </w:t>
      </w:r>
      <w:r>
        <w:rPr/>
        <w:t>go</w:t>
      </w:r>
      <w:r>
        <w:rPr>
          <w:spacing w:val="-5"/>
        </w:rPr>
        <w:t> </w:t>
      </w:r>
      <w:r>
        <w:rPr/>
        <w:t>through</w:t>
      </w:r>
      <w:r>
        <w:rPr>
          <w:spacing w:val="-9"/>
        </w:rPr>
        <w:t> </w:t>
      </w:r>
      <w:r>
        <w:rPr/>
        <w:t>the</w:t>
      </w:r>
      <w:r>
        <w:rPr>
          <w:spacing w:val="-1"/>
        </w:rPr>
        <w:t> </w:t>
      </w:r>
      <w:r>
        <w:rPr/>
        <w:t>following</w:t>
      </w:r>
      <w:r>
        <w:rPr>
          <w:spacing w:val="7"/>
        </w:rPr>
        <w:t> </w:t>
      </w:r>
      <w:r>
        <w:rPr>
          <w:spacing w:val="-2"/>
        </w:rPr>
        <w:t>steps:</w:t>
      </w:r>
    </w:p>
    <w:p>
      <w:pPr>
        <w:pStyle w:val="BodyText"/>
        <w:ind w:left="0"/>
        <w:jc w:val="left"/>
      </w:pPr>
    </w:p>
    <w:p>
      <w:pPr>
        <w:pStyle w:val="ListParagraph"/>
        <w:numPr>
          <w:ilvl w:val="0"/>
          <w:numId w:val="24"/>
        </w:numPr>
        <w:tabs>
          <w:tab w:pos="1201" w:val="left" w:leader="none"/>
        </w:tabs>
        <w:spacing w:line="240" w:lineRule="auto" w:before="0" w:after="0"/>
        <w:ind w:left="1201" w:right="0" w:hanging="360"/>
        <w:jc w:val="left"/>
        <w:rPr>
          <w:sz w:val="24"/>
        </w:rPr>
      </w:pPr>
      <w:r>
        <w:rPr>
          <w:sz w:val="24"/>
        </w:rPr>
        <w:t>Read</w:t>
      </w:r>
      <w:r>
        <w:rPr>
          <w:spacing w:val="-2"/>
          <w:sz w:val="24"/>
        </w:rPr>
        <w:t> </w:t>
      </w:r>
      <w:r>
        <w:rPr>
          <w:sz w:val="24"/>
        </w:rPr>
        <w:t>the</w:t>
      </w:r>
      <w:r>
        <w:rPr>
          <w:spacing w:val="-2"/>
          <w:sz w:val="24"/>
        </w:rPr>
        <w:t> </w:t>
      </w:r>
      <w:r>
        <w:rPr>
          <w:sz w:val="24"/>
        </w:rPr>
        <w:t>questions</w:t>
      </w:r>
      <w:r>
        <w:rPr>
          <w:spacing w:val="-2"/>
          <w:sz w:val="24"/>
        </w:rPr>
        <w:t> carefully</w:t>
      </w:r>
    </w:p>
    <w:p>
      <w:pPr>
        <w:pStyle w:val="BodyText"/>
        <w:ind w:left="0"/>
        <w:jc w:val="left"/>
      </w:pPr>
    </w:p>
    <w:p>
      <w:pPr>
        <w:pStyle w:val="ListParagraph"/>
        <w:numPr>
          <w:ilvl w:val="0"/>
          <w:numId w:val="24"/>
        </w:numPr>
        <w:tabs>
          <w:tab w:pos="1201" w:val="left" w:leader="none"/>
        </w:tabs>
        <w:spacing w:line="240" w:lineRule="auto" w:before="1" w:after="0"/>
        <w:ind w:left="1201" w:right="0" w:hanging="360"/>
        <w:jc w:val="left"/>
        <w:rPr>
          <w:sz w:val="24"/>
        </w:rPr>
      </w:pPr>
      <w:r>
        <w:rPr>
          <w:sz w:val="24"/>
        </w:rPr>
        <w:t>Record</w:t>
      </w:r>
      <w:r>
        <w:rPr>
          <w:spacing w:val="-4"/>
          <w:sz w:val="24"/>
        </w:rPr>
        <w:t> </w:t>
      </w:r>
      <w:r>
        <w:rPr>
          <w:sz w:val="24"/>
        </w:rPr>
        <w:t>your answer</w:t>
      </w:r>
      <w:r>
        <w:rPr>
          <w:spacing w:val="4"/>
          <w:sz w:val="24"/>
        </w:rPr>
        <w:t> </w:t>
      </w:r>
      <w:r>
        <w:rPr>
          <w:sz w:val="24"/>
        </w:rPr>
        <w:t>in</w:t>
      </w:r>
      <w:r>
        <w:rPr>
          <w:spacing w:val="-6"/>
          <w:sz w:val="24"/>
        </w:rPr>
        <w:t> </w:t>
      </w:r>
      <w:r>
        <w:rPr>
          <w:sz w:val="24"/>
        </w:rPr>
        <w:t>the</w:t>
      </w:r>
      <w:r>
        <w:rPr>
          <w:spacing w:val="-3"/>
          <w:sz w:val="24"/>
        </w:rPr>
        <w:t> </w:t>
      </w:r>
      <w:r>
        <w:rPr>
          <w:sz w:val="24"/>
        </w:rPr>
        <w:t>space</w:t>
      </w:r>
      <w:r>
        <w:rPr>
          <w:spacing w:val="-2"/>
          <w:sz w:val="24"/>
        </w:rPr>
        <w:t> </w:t>
      </w:r>
      <w:r>
        <w:rPr>
          <w:sz w:val="24"/>
        </w:rPr>
        <w:t>provided</w:t>
      </w:r>
      <w:r>
        <w:rPr>
          <w:spacing w:val="-1"/>
          <w:sz w:val="24"/>
        </w:rPr>
        <w:t> </w:t>
      </w:r>
      <w:r>
        <w:rPr>
          <w:sz w:val="24"/>
        </w:rPr>
        <w:t>on</w:t>
      </w:r>
      <w:r>
        <w:rPr>
          <w:spacing w:val="-7"/>
          <w:sz w:val="24"/>
        </w:rPr>
        <w:t> </w:t>
      </w:r>
      <w:r>
        <w:rPr>
          <w:sz w:val="24"/>
        </w:rPr>
        <w:t>the</w:t>
      </w:r>
      <w:r>
        <w:rPr>
          <w:spacing w:val="-2"/>
          <w:sz w:val="24"/>
        </w:rPr>
        <w:t> </w:t>
      </w:r>
      <w:r>
        <w:rPr>
          <w:sz w:val="24"/>
        </w:rPr>
        <w:t>answer </w:t>
      </w:r>
      <w:r>
        <w:rPr>
          <w:spacing w:val="-2"/>
          <w:sz w:val="24"/>
        </w:rPr>
        <w:t>sheet.</w:t>
      </w:r>
    </w:p>
    <w:p>
      <w:pPr>
        <w:pStyle w:val="ListParagraph"/>
        <w:numPr>
          <w:ilvl w:val="0"/>
          <w:numId w:val="24"/>
        </w:numPr>
        <w:tabs>
          <w:tab w:pos="1201" w:val="left" w:leader="none"/>
        </w:tabs>
        <w:spacing w:line="480" w:lineRule="auto" w:before="276" w:after="0"/>
        <w:ind w:left="1201" w:right="1175" w:hanging="360"/>
        <w:jc w:val="left"/>
        <w:rPr>
          <w:sz w:val="24"/>
        </w:rPr>
      </w:pPr>
      <w:r>
        <w:rPr>
          <w:sz w:val="24"/>
        </w:rPr>
        <w:t>Read</w:t>
      </w:r>
      <w:r>
        <w:rPr>
          <w:spacing w:val="36"/>
          <w:sz w:val="24"/>
        </w:rPr>
        <w:t> </w:t>
      </w:r>
      <w:r>
        <w:rPr>
          <w:sz w:val="24"/>
        </w:rPr>
        <w:t>the</w:t>
      </w:r>
      <w:r>
        <w:rPr>
          <w:spacing w:val="35"/>
          <w:sz w:val="24"/>
        </w:rPr>
        <w:t> </w:t>
      </w:r>
      <w:r>
        <w:rPr>
          <w:sz w:val="24"/>
        </w:rPr>
        <w:t>set</w:t>
      </w:r>
      <w:r>
        <w:rPr>
          <w:spacing w:val="36"/>
          <w:sz w:val="24"/>
        </w:rPr>
        <w:t> </w:t>
      </w:r>
      <w:r>
        <w:rPr>
          <w:sz w:val="24"/>
        </w:rPr>
        <w:t>of</w:t>
      </w:r>
      <w:r>
        <w:rPr>
          <w:spacing w:val="28"/>
          <w:sz w:val="24"/>
        </w:rPr>
        <w:t> </w:t>
      </w:r>
      <w:r>
        <w:rPr>
          <w:sz w:val="24"/>
        </w:rPr>
        <w:t>possible</w:t>
      </w:r>
      <w:r>
        <w:rPr>
          <w:spacing w:val="35"/>
          <w:sz w:val="24"/>
        </w:rPr>
        <w:t> </w:t>
      </w:r>
      <w:r>
        <w:rPr>
          <w:sz w:val="24"/>
        </w:rPr>
        <w:t>reasons</w:t>
      </w:r>
      <w:r>
        <w:rPr>
          <w:spacing w:val="34"/>
          <w:sz w:val="24"/>
        </w:rPr>
        <w:t> </w:t>
      </w:r>
      <w:r>
        <w:rPr>
          <w:sz w:val="24"/>
        </w:rPr>
        <w:t>and</w:t>
      </w:r>
      <w:r>
        <w:rPr>
          <w:spacing w:val="36"/>
          <w:sz w:val="24"/>
        </w:rPr>
        <w:t> </w:t>
      </w:r>
      <w:r>
        <w:rPr>
          <w:sz w:val="24"/>
        </w:rPr>
        <w:t>carefully</w:t>
      </w:r>
      <w:r>
        <w:rPr>
          <w:spacing w:val="31"/>
          <w:sz w:val="24"/>
        </w:rPr>
        <w:t> </w:t>
      </w:r>
      <w:r>
        <w:rPr>
          <w:sz w:val="24"/>
        </w:rPr>
        <w:t>select</w:t>
      </w:r>
      <w:r>
        <w:rPr>
          <w:spacing w:val="40"/>
          <w:sz w:val="24"/>
        </w:rPr>
        <w:t> </w:t>
      </w:r>
      <w:r>
        <w:rPr>
          <w:sz w:val="24"/>
        </w:rPr>
        <w:t>the</w:t>
      </w:r>
      <w:r>
        <w:rPr>
          <w:spacing w:val="35"/>
          <w:sz w:val="24"/>
        </w:rPr>
        <w:t> </w:t>
      </w:r>
      <w:r>
        <w:rPr>
          <w:sz w:val="24"/>
        </w:rPr>
        <w:t>reason</w:t>
      </w:r>
      <w:r>
        <w:rPr>
          <w:spacing w:val="31"/>
          <w:sz w:val="24"/>
        </w:rPr>
        <w:t> </w:t>
      </w:r>
      <w:r>
        <w:rPr>
          <w:sz w:val="24"/>
        </w:rPr>
        <w:t>which</w:t>
      </w:r>
      <w:r>
        <w:rPr>
          <w:spacing w:val="36"/>
          <w:sz w:val="24"/>
        </w:rPr>
        <w:t> </w:t>
      </w:r>
      <w:r>
        <w:rPr>
          <w:sz w:val="24"/>
        </w:rPr>
        <w:t>best matches your thinking.</w:t>
      </w:r>
    </w:p>
    <w:p>
      <w:pPr>
        <w:pStyle w:val="ListParagraph"/>
        <w:numPr>
          <w:ilvl w:val="0"/>
          <w:numId w:val="24"/>
        </w:numPr>
        <w:tabs>
          <w:tab w:pos="1201" w:val="left" w:leader="none"/>
        </w:tabs>
        <w:spacing w:line="240" w:lineRule="auto" w:before="0" w:after="0"/>
        <w:ind w:left="1201" w:right="0" w:hanging="360"/>
        <w:jc w:val="left"/>
        <w:rPr>
          <w:sz w:val="24"/>
        </w:rPr>
      </w:pPr>
      <w:r>
        <w:rPr>
          <w:sz w:val="24"/>
        </w:rPr>
        <w:t>Record</w:t>
      </w:r>
      <w:r>
        <w:rPr>
          <w:spacing w:val="-3"/>
          <w:sz w:val="24"/>
        </w:rPr>
        <w:t> </w:t>
      </w:r>
      <w:r>
        <w:rPr>
          <w:sz w:val="24"/>
        </w:rPr>
        <w:t>your reason</w:t>
      </w:r>
      <w:r>
        <w:rPr>
          <w:spacing w:val="-1"/>
          <w:sz w:val="24"/>
        </w:rPr>
        <w:t> </w:t>
      </w:r>
      <w:r>
        <w:rPr>
          <w:sz w:val="24"/>
        </w:rPr>
        <w:t>in</w:t>
      </w:r>
      <w:r>
        <w:rPr>
          <w:spacing w:val="-5"/>
          <w:sz w:val="24"/>
        </w:rPr>
        <w:t> </w:t>
      </w:r>
      <w:r>
        <w:rPr>
          <w:sz w:val="24"/>
        </w:rPr>
        <w:t>the</w:t>
      </w:r>
      <w:r>
        <w:rPr>
          <w:spacing w:val="-2"/>
          <w:sz w:val="24"/>
        </w:rPr>
        <w:t> </w:t>
      </w:r>
      <w:r>
        <w:rPr>
          <w:sz w:val="24"/>
        </w:rPr>
        <w:t>space</w:t>
      </w:r>
      <w:r>
        <w:rPr>
          <w:spacing w:val="-2"/>
          <w:sz w:val="24"/>
        </w:rPr>
        <w:t> </w:t>
      </w:r>
      <w:r>
        <w:rPr>
          <w:sz w:val="24"/>
        </w:rPr>
        <w:t>provided on</w:t>
      </w:r>
      <w:r>
        <w:rPr>
          <w:spacing w:val="-6"/>
          <w:sz w:val="24"/>
        </w:rPr>
        <w:t> </w:t>
      </w:r>
      <w:r>
        <w:rPr>
          <w:sz w:val="24"/>
        </w:rPr>
        <w:t>the</w:t>
      </w:r>
      <w:r>
        <w:rPr>
          <w:spacing w:val="-1"/>
          <w:sz w:val="24"/>
        </w:rPr>
        <w:t> </w:t>
      </w:r>
      <w:r>
        <w:rPr>
          <w:sz w:val="24"/>
        </w:rPr>
        <w:t>answer</w:t>
      </w:r>
      <w:r>
        <w:rPr>
          <w:spacing w:val="8"/>
          <w:sz w:val="24"/>
        </w:rPr>
        <w:t> </w:t>
      </w:r>
      <w:r>
        <w:rPr>
          <w:spacing w:val="-2"/>
          <w:sz w:val="24"/>
        </w:rPr>
        <w:t>sheet.</w:t>
      </w:r>
    </w:p>
    <w:p>
      <w:pPr>
        <w:spacing w:after="0" w:line="240" w:lineRule="auto"/>
        <w:jc w:val="left"/>
        <w:rPr>
          <w:sz w:val="24"/>
        </w:rPr>
        <w:sectPr>
          <w:footerReference w:type="default" r:id="rId39"/>
          <w:pgSz w:w="11910" w:h="16840"/>
          <w:pgMar w:header="0" w:footer="1012" w:top="1340" w:bottom="1200" w:left="1680" w:right="280"/>
          <w:pgNumType w:start="135"/>
        </w:sectPr>
      </w:pPr>
    </w:p>
    <w:p>
      <w:pPr>
        <w:pStyle w:val="Heading2"/>
        <w:ind w:left="1479"/>
        <w:jc w:val="left"/>
      </w:pPr>
      <w:r>
        <w:rPr/>
        <w:t>GROUP</w:t>
      </w:r>
      <w:r>
        <w:rPr>
          <w:spacing w:val="-3"/>
        </w:rPr>
        <w:t> </w:t>
      </w:r>
      <w:r>
        <w:rPr/>
        <w:t>ASSESSMENT</w:t>
      </w:r>
      <w:r>
        <w:rPr>
          <w:spacing w:val="-2"/>
        </w:rPr>
        <w:t> </w:t>
      </w:r>
      <w:r>
        <w:rPr/>
        <w:t>OF</w:t>
      </w:r>
      <w:r>
        <w:rPr>
          <w:spacing w:val="-2"/>
        </w:rPr>
        <w:t> </w:t>
      </w:r>
      <w:r>
        <w:rPr/>
        <w:t>LOGICAL</w:t>
      </w:r>
      <w:r>
        <w:rPr>
          <w:spacing w:val="-2"/>
        </w:rPr>
        <w:t> </w:t>
      </w:r>
      <w:r>
        <w:rPr/>
        <w:t>THINKING</w:t>
      </w:r>
      <w:r>
        <w:rPr>
          <w:spacing w:val="-4"/>
        </w:rPr>
        <w:t> </w:t>
      </w:r>
      <w:r>
        <w:rPr>
          <w:spacing w:val="-2"/>
        </w:rPr>
        <w:t>(GALT)</w:t>
      </w:r>
    </w:p>
    <w:p>
      <w:pPr>
        <w:pStyle w:val="BodyText"/>
        <w:spacing w:before="272"/>
        <w:jc w:val="left"/>
      </w:pPr>
      <w:r>
        <w:rPr/>
        <w:t>Answer</w:t>
      </w:r>
      <w:r>
        <w:rPr>
          <w:spacing w:val="-2"/>
        </w:rPr>
        <w:t> Sheet</w:t>
      </w:r>
    </w:p>
    <w:p>
      <w:pPr>
        <w:pStyle w:val="BodyText"/>
        <w:ind w:left="0"/>
        <w:jc w:val="left"/>
      </w:pPr>
    </w:p>
    <w:p>
      <w:pPr>
        <w:pStyle w:val="BodyText"/>
        <w:tabs>
          <w:tab w:pos="7955" w:val="left" w:leader="none"/>
        </w:tabs>
        <w:jc w:val="left"/>
      </w:pPr>
      <w:r>
        <w:rPr/>
        <w:t>Name: </w:t>
      </w:r>
      <w:r>
        <w:rPr>
          <w:u w:val="single"/>
        </w:rPr>
        <w:tab/>
      </w:r>
    </w:p>
    <w:p>
      <w:pPr>
        <w:pStyle w:val="BodyText"/>
        <w:ind w:left="0"/>
        <w:jc w:val="left"/>
      </w:pPr>
    </w:p>
    <w:p>
      <w:pPr>
        <w:pStyle w:val="BodyText"/>
        <w:tabs>
          <w:tab w:pos="7689" w:val="left" w:leader="none"/>
        </w:tabs>
        <w:jc w:val="left"/>
      </w:pPr>
      <w:r>
        <w:rPr/>
        <w:t>Date of Birth: </w:t>
      </w:r>
      <w:r>
        <w:rPr>
          <w:u w:val="single"/>
        </w:rPr>
        <w:tab/>
      </w:r>
    </w:p>
    <w:p>
      <w:pPr>
        <w:pStyle w:val="BodyText"/>
        <w:ind w:left="0"/>
        <w:jc w:val="left"/>
      </w:pPr>
    </w:p>
    <w:p>
      <w:pPr>
        <w:pStyle w:val="BodyText"/>
        <w:tabs>
          <w:tab w:pos="3361" w:val="left" w:leader="none"/>
          <w:tab w:pos="4802" w:val="left" w:leader="none"/>
        </w:tabs>
        <w:ind w:left="1921"/>
        <w:jc w:val="left"/>
      </w:pPr>
      <w:r>
        <w:rPr>
          <w:spacing w:val="-2"/>
        </w:rPr>
        <w:t>Month</w:t>
      </w:r>
      <w:r>
        <w:rPr/>
        <w:tab/>
      </w:r>
      <w:r>
        <w:rPr>
          <w:spacing w:val="-5"/>
        </w:rPr>
        <w:t>Day</w:t>
      </w:r>
      <w:r>
        <w:rPr/>
        <w:tab/>
      </w:r>
      <w:r>
        <w:rPr>
          <w:spacing w:val="-4"/>
        </w:rPr>
        <w:t>Year</w:t>
      </w:r>
    </w:p>
    <w:p>
      <w:pPr>
        <w:pStyle w:val="BodyText"/>
        <w:spacing w:before="1"/>
        <w:ind w:left="0"/>
        <w:jc w:val="left"/>
      </w:pPr>
    </w:p>
    <w:p>
      <w:pPr>
        <w:pStyle w:val="BodyText"/>
        <w:tabs>
          <w:tab w:pos="7860" w:val="left" w:leader="none"/>
        </w:tabs>
        <w:jc w:val="left"/>
      </w:pPr>
      <w:r>
        <w:rPr/>
        <w:t>Sex: </w:t>
      </w:r>
      <w:r>
        <w:rPr>
          <w:u w:val="single"/>
        </w:rPr>
        <w:tab/>
      </w:r>
    </w:p>
    <w:p>
      <w:pPr>
        <w:pStyle w:val="BodyText"/>
        <w:ind w:left="0"/>
        <w:jc w:val="left"/>
      </w:pPr>
    </w:p>
    <w:p>
      <w:pPr>
        <w:pStyle w:val="BodyText"/>
        <w:tabs>
          <w:tab w:pos="7926" w:val="left" w:leader="none"/>
        </w:tabs>
        <w:jc w:val="left"/>
      </w:pPr>
      <w:r>
        <w:rPr/>
        <w:t>School: </w:t>
      </w:r>
      <w:r>
        <w:rPr>
          <w:u w:val="single"/>
        </w:rPr>
        <w:tab/>
      </w:r>
    </w:p>
    <w:p>
      <w:pPr>
        <w:pStyle w:val="BodyText"/>
        <w:spacing w:before="5"/>
        <w:ind w:left="0"/>
        <w:jc w:val="left"/>
      </w:pPr>
    </w:p>
    <w:p>
      <w:pPr>
        <w:pStyle w:val="Heading3"/>
        <w:ind w:left="480" w:firstLine="0"/>
        <w:jc w:val="left"/>
      </w:pPr>
      <w:r>
        <w:rPr>
          <w:spacing w:val="-2"/>
        </w:rPr>
        <w:t>Directions</w:t>
      </w:r>
    </w:p>
    <w:p>
      <w:pPr>
        <w:pStyle w:val="BodyText"/>
        <w:spacing w:line="480" w:lineRule="auto" w:before="272" w:after="15"/>
        <w:ind w:right="1164"/>
      </w:pPr>
      <w:r>
        <w:rPr/>
        <w:t>For each item you are to choose the </w:t>
      </w:r>
      <w:r>
        <w:rPr>
          <w:u w:val="single"/>
        </w:rPr>
        <w:t>best answer</w:t>
      </w:r>
      <w:r>
        <w:rPr/>
        <w:t> and </w:t>
      </w:r>
      <w:r>
        <w:rPr>
          <w:u w:val="single"/>
        </w:rPr>
        <w:t>reason</w:t>
      </w:r>
      <w:r>
        <w:rPr/>
        <w:t> for selecting that answer. Record your answer in the space provided according to the test item from the test </w:t>
      </w:r>
      <w:r>
        <w:rPr>
          <w:spacing w:val="-2"/>
        </w:rPr>
        <w:t>booklet.</w:t>
      </w: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
        <w:gridCol w:w="2845"/>
        <w:gridCol w:w="2714"/>
        <w:gridCol w:w="2436"/>
      </w:tblGrid>
      <w:tr>
        <w:trPr>
          <w:trHeight w:val="406" w:hRule="atLeast"/>
        </w:trPr>
        <w:tc>
          <w:tcPr>
            <w:tcW w:w="478" w:type="dxa"/>
          </w:tcPr>
          <w:p>
            <w:pPr>
              <w:pStyle w:val="TableParagraph"/>
              <w:rPr>
                <w:sz w:val="24"/>
              </w:rPr>
            </w:pPr>
          </w:p>
        </w:tc>
        <w:tc>
          <w:tcPr>
            <w:tcW w:w="2845" w:type="dxa"/>
          </w:tcPr>
          <w:p>
            <w:pPr>
              <w:pStyle w:val="TableParagraph"/>
              <w:spacing w:line="266" w:lineRule="exact"/>
              <w:ind w:left="128"/>
              <w:rPr>
                <w:b/>
                <w:sz w:val="24"/>
              </w:rPr>
            </w:pPr>
            <w:r>
              <w:rPr>
                <w:b/>
                <w:spacing w:val="-4"/>
                <w:sz w:val="24"/>
                <w:u w:val="single"/>
              </w:rPr>
              <w:t>Item</w:t>
            </w:r>
          </w:p>
        </w:tc>
        <w:tc>
          <w:tcPr>
            <w:tcW w:w="2714" w:type="dxa"/>
          </w:tcPr>
          <w:p>
            <w:pPr>
              <w:pStyle w:val="TableParagraph"/>
              <w:spacing w:line="266" w:lineRule="exact"/>
              <w:ind w:left="880"/>
              <w:rPr>
                <w:b/>
                <w:sz w:val="24"/>
              </w:rPr>
            </w:pPr>
            <w:r>
              <w:rPr>
                <w:b/>
                <w:sz w:val="24"/>
                <w:u w:val="single"/>
              </w:rPr>
              <w:t>Best</w:t>
            </w:r>
            <w:r>
              <w:rPr>
                <w:b/>
                <w:spacing w:val="-1"/>
                <w:sz w:val="24"/>
                <w:u w:val="single"/>
              </w:rPr>
              <w:t> </w:t>
            </w:r>
            <w:r>
              <w:rPr>
                <w:b/>
                <w:spacing w:val="-2"/>
                <w:sz w:val="24"/>
                <w:u w:val="single"/>
              </w:rPr>
              <w:t>Answer</w:t>
            </w:r>
          </w:p>
        </w:tc>
        <w:tc>
          <w:tcPr>
            <w:tcW w:w="2436" w:type="dxa"/>
          </w:tcPr>
          <w:p>
            <w:pPr>
              <w:pStyle w:val="TableParagraph"/>
              <w:spacing w:line="266" w:lineRule="exact"/>
              <w:ind w:left="1091"/>
              <w:rPr>
                <w:b/>
                <w:sz w:val="24"/>
              </w:rPr>
            </w:pPr>
            <w:r>
              <w:rPr>
                <w:b/>
                <w:spacing w:val="-2"/>
                <w:sz w:val="24"/>
                <w:u w:val="single"/>
              </w:rPr>
              <w:t>Reason</w:t>
            </w:r>
          </w:p>
        </w:tc>
      </w:tr>
      <w:tr>
        <w:trPr>
          <w:trHeight w:val="549" w:hRule="atLeast"/>
        </w:trPr>
        <w:tc>
          <w:tcPr>
            <w:tcW w:w="478" w:type="dxa"/>
          </w:tcPr>
          <w:p>
            <w:pPr>
              <w:pStyle w:val="TableParagraph"/>
              <w:spacing w:before="130"/>
              <w:ind w:right="197"/>
              <w:jc w:val="center"/>
              <w:rPr>
                <w:sz w:val="24"/>
              </w:rPr>
            </w:pPr>
            <w:r>
              <w:rPr>
                <w:spacing w:val="-5"/>
                <w:sz w:val="24"/>
              </w:rPr>
              <w:t>1.</w:t>
            </w:r>
          </w:p>
        </w:tc>
        <w:tc>
          <w:tcPr>
            <w:tcW w:w="2845" w:type="dxa"/>
          </w:tcPr>
          <w:p>
            <w:pPr>
              <w:pStyle w:val="TableParagraph"/>
              <w:spacing w:before="130"/>
              <w:ind w:left="128"/>
              <w:rPr>
                <w:sz w:val="24"/>
              </w:rPr>
            </w:pPr>
            <w:r>
              <w:rPr>
                <w:sz w:val="24"/>
              </w:rPr>
              <w:t>Piece</w:t>
            </w:r>
            <w:r>
              <w:rPr>
                <w:spacing w:val="-3"/>
                <w:sz w:val="24"/>
              </w:rPr>
              <w:t> </w:t>
            </w:r>
            <w:r>
              <w:rPr>
                <w:sz w:val="24"/>
              </w:rPr>
              <w:t>of</w:t>
            </w:r>
            <w:r>
              <w:rPr>
                <w:spacing w:val="-7"/>
                <w:sz w:val="24"/>
              </w:rPr>
              <w:t> </w:t>
            </w:r>
            <w:r>
              <w:rPr>
                <w:spacing w:val="-4"/>
                <w:sz w:val="24"/>
              </w:rPr>
              <w:t>clay</w:t>
            </w:r>
          </w:p>
        </w:tc>
        <w:tc>
          <w:tcPr>
            <w:tcW w:w="2714" w:type="dxa"/>
          </w:tcPr>
          <w:p>
            <w:pPr>
              <w:pStyle w:val="TableParagraph"/>
              <w:tabs>
                <w:tab w:pos="2214" w:val="left" w:leader="none"/>
              </w:tabs>
              <w:spacing w:before="130"/>
              <w:ind w:right="168"/>
              <w:jc w:val="right"/>
              <w:rPr>
                <w:sz w:val="24"/>
              </w:rPr>
            </w:pPr>
            <w:r>
              <w:rPr>
                <w:sz w:val="24"/>
                <w:u w:val="single"/>
              </w:rPr>
              <w:t> </w:t>
              <w:tab/>
            </w:r>
          </w:p>
        </w:tc>
        <w:tc>
          <w:tcPr>
            <w:tcW w:w="2436" w:type="dxa"/>
          </w:tcPr>
          <w:p>
            <w:pPr>
              <w:pStyle w:val="TableParagraph"/>
              <w:tabs>
                <w:tab w:pos="2214" w:val="left" w:leader="none"/>
              </w:tabs>
              <w:spacing w:before="130"/>
              <w:ind w:right="-15"/>
              <w:jc w:val="right"/>
              <w:rPr>
                <w:sz w:val="24"/>
              </w:rPr>
            </w:pPr>
            <w:r>
              <w:rPr>
                <w:sz w:val="24"/>
                <w:u w:val="single"/>
              </w:rPr>
              <w:t> </w:t>
              <w:tab/>
            </w:r>
          </w:p>
        </w:tc>
      </w:tr>
      <w:tr>
        <w:trPr>
          <w:trHeight w:val="552" w:hRule="atLeast"/>
        </w:trPr>
        <w:tc>
          <w:tcPr>
            <w:tcW w:w="478" w:type="dxa"/>
          </w:tcPr>
          <w:p>
            <w:pPr>
              <w:pStyle w:val="TableParagraph"/>
              <w:spacing w:before="133"/>
              <w:ind w:right="197"/>
              <w:jc w:val="center"/>
              <w:rPr>
                <w:sz w:val="24"/>
              </w:rPr>
            </w:pPr>
            <w:r>
              <w:rPr>
                <w:spacing w:val="-5"/>
                <w:sz w:val="24"/>
              </w:rPr>
              <w:t>2.</w:t>
            </w:r>
          </w:p>
        </w:tc>
        <w:tc>
          <w:tcPr>
            <w:tcW w:w="2845" w:type="dxa"/>
          </w:tcPr>
          <w:p>
            <w:pPr>
              <w:pStyle w:val="TableParagraph"/>
              <w:spacing w:before="133"/>
              <w:ind w:left="128"/>
              <w:rPr>
                <w:sz w:val="24"/>
              </w:rPr>
            </w:pPr>
            <w:r>
              <w:rPr>
                <w:sz w:val="24"/>
              </w:rPr>
              <w:t>Metal</w:t>
            </w:r>
            <w:r>
              <w:rPr>
                <w:spacing w:val="-3"/>
                <w:sz w:val="24"/>
              </w:rPr>
              <w:t> </w:t>
            </w:r>
            <w:r>
              <w:rPr>
                <w:spacing w:val="-2"/>
                <w:sz w:val="24"/>
              </w:rPr>
              <w:t>weights</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552" w:hRule="atLeast"/>
        </w:trPr>
        <w:tc>
          <w:tcPr>
            <w:tcW w:w="478" w:type="dxa"/>
          </w:tcPr>
          <w:p>
            <w:pPr>
              <w:pStyle w:val="TableParagraph"/>
              <w:spacing w:before="133"/>
              <w:ind w:right="197"/>
              <w:jc w:val="center"/>
              <w:rPr>
                <w:sz w:val="24"/>
              </w:rPr>
            </w:pPr>
            <w:r>
              <w:rPr>
                <w:spacing w:val="-5"/>
                <w:sz w:val="24"/>
              </w:rPr>
              <w:t>3.</w:t>
            </w:r>
          </w:p>
        </w:tc>
        <w:tc>
          <w:tcPr>
            <w:tcW w:w="2845" w:type="dxa"/>
          </w:tcPr>
          <w:p>
            <w:pPr>
              <w:pStyle w:val="TableParagraph"/>
              <w:spacing w:before="133"/>
              <w:ind w:left="128"/>
              <w:rPr>
                <w:sz w:val="24"/>
              </w:rPr>
            </w:pPr>
            <w:r>
              <w:rPr>
                <w:sz w:val="24"/>
              </w:rPr>
              <w:t>Glass</w:t>
            </w:r>
            <w:r>
              <w:rPr>
                <w:spacing w:val="-8"/>
                <w:sz w:val="24"/>
              </w:rPr>
              <w:t> </w:t>
            </w:r>
            <w:r>
              <w:rPr>
                <w:spacing w:val="-4"/>
                <w:sz w:val="24"/>
              </w:rPr>
              <w:t>size</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551" w:hRule="atLeast"/>
        </w:trPr>
        <w:tc>
          <w:tcPr>
            <w:tcW w:w="478" w:type="dxa"/>
          </w:tcPr>
          <w:p>
            <w:pPr>
              <w:pStyle w:val="TableParagraph"/>
              <w:spacing w:before="133"/>
              <w:ind w:right="197"/>
              <w:jc w:val="center"/>
              <w:rPr>
                <w:sz w:val="24"/>
              </w:rPr>
            </w:pPr>
            <w:r>
              <w:rPr>
                <w:spacing w:val="-5"/>
                <w:sz w:val="24"/>
              </w:rPr>
              <w:t>4.</w:t>
            </w:r>
          </w:p>
        </w:tc>
        <w:tc>
          <w:tcPr>
            <w:tcW w:w="2845" w:type="dxa"/>
          </w:tcPr>
          <w:p>
            <w:pPr>
              <w:pStyle w:val="TableParagraph"/>
              <w:spacing w:before="133"/>
              <w:ind w:left="128"/>
              <w:rPr>
                <w:sz w:val="24"/>
              </w:rPr>
            </w:pPr>
            <w:r>
              <w:rPr>
                <w:spacing w:val="-2"/>
                <w:sz w:val="24"/>
              </w:rPr>
              <w:t>Scale</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552" w:hRule="atLeast"/>
        </w:trPr>
        <w:tc>
          <w:tcPr>
            <w:tcW w:w="478" w:type="dxa"/>
          </w:tcPr>
          <w:p>
            <w:pPr>
              <w:pStyle w:val="TableParagraph"/>
              <w:spacing w:before="133"/>
              <w:ind w:right="197"/>
              <w:jc w:val="center"/>
              <w:rPr>
                <w:sz w:val="24"/>
              </w:rPr>
            </w:pPr>
            <w:r>
              <w:rPr>
                <w:spacing w:val="-5"/>
                <w:sz w:val="24"/>
              </w:rPr>
              <w:t>5.</w:t>
            </w:r>
          </w:p>
        </w:tc>
        <w:tc>
          <w:tcPr>
            <w:tcW w:w="2845" w:type="dxa"/>
          </w:tcPr>
          <w:p>
            <w:pPr>
              <w:pStyle w:val="TableParagraph"/>
              <w:spacing w:before="133"/>
              <w:ind w:left="128"/>
              <w:rPr>
                <w:sz w:val="24"/>
              </w:rPr>
            </w:pPr>
            <w:r>
              <w:rPr>
                <w:sz w:val="24"/>
              </w:rPr>
              <w:t>Pendulum</w:t>
            </w:r>
            <w:r>
              <w:rPr>
                <w:spacing w:val="-6"/>
                <w:sz w:val="24"/>
              </w:rPr>
              <w:t> </w:t>
            </w:r>
            <w:r>
              <w:rPr>
                <w:spacing w:val="-2"/>
                <w:sz w:val="24"/>
              </w:rPr>
              <w:t>length</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552" w:hRule="atLeast"/>
        </w:trPr>
        <w:tc>
          <w:tcPr>
            <w:tcW w:w="478" w:type="dxa"/>
          </w:tcPr>
          <w:p>
            <w:pPr>
              <w:pStyle w:val="TableParagraph"/>
              <w:spacing w:before="133"/>
              <w:ind w:right="197"/>
              <w:jc w:val="center"/>
              <w:rPr>
                <w:sz w:val="24"/>
              </w:rPr>
            </w:pPr>
            <w:r>
              <w:rPr>
                <w:spacing w:val="-5"/>
                <w:sz w:val="24"/>
              </w:rPr>
              <w:t>6.</w:t>
            </w:r>
          </w:p>
        </w:tc>
        <w:tc>
          <w:tcPr>
            <w:tcW w:w="2845" w:type="dxa"/>
          </w:tcPr>
          <w:p>
            <w:pPr>
              <w:pStyle w:val="TableParagraph"/>
              <w:spacing w:before="133"/>
              <w:ind w:left="128"/>
              <w:rPr>
                <w:sz w:val="24"/>
              </w:rPr>
            </w:pPr>
            <w:r>
              <w:rPr>
                <w:spacing w:val="-4"/>
                <w:sz w:val="24"/>
              </w:rPr>
              <w:t>Ball</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551" w:hRule="atLeast"/>
        </w:trPr>
        <w:tc>
          <w:tcPr>
            <w:tcW w:w="478" w:type="dxa"/>
          </w:tcPr>
          <w:p>
            <w:pPr>
              <w:pStyle w:val="TableParagraph"/>
              <w:spacing w:before="133"/>
              <w:ind w:right="197"/>
              <w:jc w:val="center"/>
              <w:rPr>
                <w:sz w:val="24"/>
              </w:rPr>
            </w:pPr>
            <w:r>
              <w:rPr>
                <w:spacing w:val="-5"/>
                <w:sz w:val="24"/>
              </w:rPr>
              <w:t>7.</w:t>
            </w:r>
          </w:p>
        </w:tc>
        <w:tc>
          <w:tcPr>
            <w:tcW w:w="2845" w:type="dxa"/>
          </w:tcPr>
          <w:p>
            <w:pPr>
              <w:pStyle w:val="TableParagraph"/>
              <w:spacing w:before="133"/>
              <w:ind w:left="128"/>
              <w:rPr>
                <w:sz w:val="24"/>
              </w:rPr>
            </w:pPr>
            <w:r>
              <w:rPr>
                <w:sz w:val="24"/>
              </w:rPr>
              <w:t>Squares</w:t>
            </w:r>
            <w:r>
              <w:rPr>
                <w:spacing w:val="-4"/>
                <w:sz w:val="24"/>
              </w:rPr>
              <w:t> </w:t>
            </w:r>
            <w:r>
              <w:rPr>
                <w:sz w:val="24"/>
              </w:rPr>
              <w:t>and</w:t>
            </w:r>
            <w:r>
              <w:rPr>
                <w:spacing w:val="-2"/>
                <w:sz w:val="24"/>
              </w:rPr>
              <w:t> </w:t>
            </w:r>
            <w:r>
              <w:rPr>
                <w:sz w:val="24"/>
              </w:rPr>
              <w:t>Diamonds</w:t>
            </w:r>
            <w:r>
              <w:rPr>
                <w:spacing w:val="-3"/>
                <w:sz w:val="24"/>
              </w:rPr>
              <w:t> </w:t>
            </w:r>
            <w:r>
              <w:rPr>
                <w:spacing w:val="-12"/>
                <w:sz w:val="24"/>
              </w:rPr>
              <w:t>1</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552" w:hRule="atLeast"/>
        </w:trPr>
        <w:tc>
          <w:tcPr>
            <w:tcW w:w="478" w:type="dxa"/>
          </w:tcPr>
          <w:p>
            <w:pPr>
              <w:pStyle w:val="TableParagraph"/>
              <w:spacing w:before="133"/>
              <w:ind w:right="197"/>
              <w:jc w:val="center"/>
              <w:rPr>
                <w:sz w:val="24"/>
              </w:rPr>
            </w:pPr>
            <w:r>
              <w:rPr>
                <w:spacing w:val="-5"/>
                <w:sz w:val="24"/>
              </w:rPr>
              <w:t>8.</w:t>
            </w:r>
          </w:p>
        </w:tc>
        <w:tc>
          <w:tcPr>
            <w:tcW w:w="2845" w:type="dxa"/>
          </w:tcPr>
          <w:p>
            <w:pPr>
              <w:pStyle w:val="TableParagraph"/>
              <w:spacing w:before="133"/>
              <w:ind w:left="128"/>
              <w:rPr>
                <w:sz w:val="24"/>
              </w:rPr>
            </w:pPr>
            <w:r>
              <w:rPr>
                <w:sz w:val="24"/>
              </w:rPr>
              <w:t>Squares</w:t>
            </w:r>
            <w:r>
              <w:rPr>
                <w:spacing w:val="-4"/>
                <w:sz w:val="24"/>
              </w:rPr>
              <w:t> </w:t>
            </w:r>
            <w:r>
              <w:rPr>
                <w:sz w:val="24"/>
              </w:rPr>
              <w:t>and</w:t>
            </w:r>
            <w:r>
              <w:rPr>
                <w:spacing w:val="-2"/>
                <w:sz w:val="24"/>
              </w:rPr>
              <w:t> </w:t>
            </w:r>
            <w:r>
              <w:rPr>
                <w:sz w:val="24"/>
              </w:rPr>
              <w:t>Diamonds</w:t>
            </w:r>
            <w:r>
              <w:rPr>
                <w:spacing w:val="-3"/>
                <w:sz w:val="24"/>
              </w:rPr>
              <w:t> </w:t>
            </w:r>
            <w:r>
              <w:rPr>
                <w:spacing w:val="-12"/>
                <w:sz w:val="24"/>
              </w:rPr>
              <w:t>2</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552" w:hRule="atLeast"/>
        </w:trPr>
        <w:tc>
          <w:tcPr>
            <w:tcW w:w="478" w:type="dxa"/>
          </w:tcPr>
          <w:p>
            <w:pPr>
              <w:pStyle w:val="TableParagraph"/>
              <w:spacing w:before="133"/>
              <w:ind w:right="197"/>
              <w:jc w:val="center"/>
              <w:rPr>
                <w:sz w:val="24"/>
              </w:rPr>
            </w:pPr>
            <w:r>
              <w:rPr>
                <w:spacing w:val="-5"/>
                <w:sz w:val="24"/>
              </w:rPr>
              <w:t>9.</w:t>
            </w:r>
          </w:p>
        </w:tc>
        <w:tc>
          <w:tcPr>
            <w:tcW w:w="2845" w:type="dxa"/>
          </w:tcPr>
          <w:p>
            <w:pPr>
              <w:pStyle w:val="TableParagraph"/>
              <w:spacing w:before="133"/>
              <w:ind w:left="128"/>
              <w:rPr>
                <w:sz w:val="24"/>
              </w:rPr>
            </w:pPr>
            <w:r>
              <w:rPr>
                <w:sz w:val="24"/>
              </w:rPr>
              <w:t>The</w:t>
            </w:r>
            <w:r>
              <w:rPr>
                <w:spacing w:val="-5"/>
                <w:sz w:val="24"/>
              </w:rPr>
              <w:t> </w:t>
            </w:r>
            <w:r>
              <w:rPr>
                <w:spacing w:val="-4"/>
                <w:sz w:val="24"/>
              </w:rPr>
              <w:t>Mice</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551" w:hRule="atLeast"/>
        </w:trPr>
        <w:tc>
          <w:tcPr>
            <w:tcW w:w="478" w:type="dxa"/>
          </w:tcPr>
          <w:p>
            <w:pPr>
              <w:pStyle w:val="TableParagraph"/>
              <w:spacing w:before="133"/>
              <w:ind w:left="1" w:right="78"/>
              <w:jc w:val="center"/>
              <w:rPr>
                <w:sz w:val="24"/>
              </w:rPr>
            </w:pPr>
            <w:r>
              <w:rPr>
                <w:spacing w:val="-5"/>
                <w:sz w:val="24"/>
              </w:rPr>
              <w:t>10.</w:t>
            </w:r>
          </w:p>
        </w:tc>
        <w:tc>
          <w:tcPr>
            <w:tcW w:w="2845" w:type="dxa"/>
          </w:tcPr>
          <w:p>
            <w:pPr>
              <w:pStyle w:val="TableParagraph"/>
              <w:spacing w:before="133"/>
              <w:ind w:left="128"/>
              <w:rPr>
                <w:sz w:val="24"/>
              </w:rPr>
            </w:pPr>
            <w:r>
              <w:rPr>
                <w:sz w:val="24"/>
              </w:rPr>
              <w:t>The</w:t>
            </w:r>
            <w:r>
              <w:rPr>
                <w:spacing w:val="-3"/>
                <w:sz w:val="24"/>
              </w:rPr>
              <w:t> </w:t>
            </w:r>
            <w:r>
              <w:rPr>
                <w:spacing w:val="-4"/>
                <w:sz w:val="24"/>
              </w:rPr>
              <w:t>Fish</w:t>
            </w:r>
          </w:p>
        </w:tc>
        <w:tc>
          <w:tcPr>
            <w:tcW w:w="2714" w:type="dxa"/>
          </w:tcPr>
          <w:p>
            <w:pPr>
              <w:pStyle w:val="TableParagraph"/>
              <w:tabs>
                <w:tab w:pos="2214" w:val="left" w:leader="none"/>
              </w:tabs>
              <w:spacing w:before="133"/>
              <w:ind w:right="168"/>
              <w:jc w:val="right"/>
              <w:rPr>
                <w:sz w:val="24"/>
              </w:rPr>
            </w:pPr>
            <w:r>
              <w:rPr>
                <w:sz w:val="24"/>
                <w:u w:val="single"/>
              </w:rPr>
              <w:t> </w:t>
              <w:tab/>
            </w:r>
          </w:p>
        </w:tc>
        <w:tc>
          <w:tcPr>
            <w:tcW w:w="2436" w:type="dxa"/>
          </w:tcPr>
          <w:p>
            <w:pPr>
              <w:pStyle w:val="TableParagraph"/>
              <w:tabs>
                <w:tab w:pos="2214" w:val="left" w:leader="none"/>
              </w:tabs>
              <w:spacing w:before="133"/>
              <w:ind w:right="-15"/>
              <w:jc w:val="right"/>
              <w:rPr>
                <w:sz w:val="24"/>
              </w:rPr>
            </w:pPr>
            <w:r>
              <w:rPr>
                <w:sz w:val="24"/>
                <w:u w:val="single"/>
              </w:rPr>
              <w:t> </w:t>
              <w:tab/>
            </w:r>
          </w:p>
        </w:tc>
      </w:tr>
      <w:tr>
        <w:trPr>
          <w:trHeight w:val="408" w:hRule="atLeast"/>
        </w:trPr>
        <w:tc>
          <w:tcPr>
            <w:tcW w:w="478" w:type="dxa"/>
          </w:tcPr>
          <w:p>
            <w:pPr>
              <w:pStyle w:val="TableParagraph"/>
              <w:spacing w:line="256" w:lineRule="exact" w:before="133"/>
              <w:ind w:left="1" w:right="78"/>
              <w:jc w:val="center"/>
              <w:rPr>
                <w:sz w:val="24"/>
              </w:rPr>
            </w:pPr>
            <w:r>
              <w:rPr>
                <w:spacing w:val="-5"/>
                <w:sz w:val="24"/>
              </w:rPr>
              <w:t>11.</w:t>
            </w:r>
          </w:p>
        </w:tc>
        <w:tc>
          <w:tcPr>
            <w:tcW w:w="2845" w:type="dxa"/>
          </w:tcPr>
          <w:p>
            <w:pPr>
              <w:pStyle w:val="TableParagraph"/>
              <w:spacing w:line="256" w:lineRule="exact" w:before="133"/>
              <w:ind w:left="128"/>
              <w:rPr>
                <w:sz w:val="24"/>
              </w:rPr>
            </w:pPr>
            <w:r>
              <w:rPr>
                <w:spacing w:val="-2"/>
                <w:w w:val="80"/>
                <w:sz w:val="24"/>
              </w:rPr>
              <w:t>―The</w:t>
            </w:r>
            <w:r>
              <w:rPr>
                <w:spacing w:val="-8"/>
                <w:sz w:val="24"/>
              </w:rPr>
              <w:t> </w:t>
            </w:r>
            <w:r>
              <w:rPr>
                <w:spacing w:val="-2"/>
                <w:sz w:val="24"/>
              </w:rPr>
              <w:t>Dance‖</w:t>
            </w:r>
          </w:p>
        </w:tc>
        <w:tc>
          <w:tcPr>
            <w:tcW w:w="2714" w:type="dxa"/>
          </w:tcPr>
          <w:p>
            <w:pPr>
              <w:pStyle w:val="TableParagraph"/>
              <w:tabs>
                <w:tab w:pos="2214" w:val="left" w:leader="none"/>
              </w:tabs>
              <w:spacing w:line="256" w:lineRule="exact" w:before="133"/>
              <w:ind w:right="168"/>
              <w:jc w:val="right"/>
              <w:rPr>
                <w:sz w:val="24"/>
              </w:rPr>
            </w:pPr>
            <w:r>
              <w:rPr>
                <w:sz w:val="24"/>
                <w:u w:val="single"/>
              </w:rPr>
              <w:t> </w:t>
              <w:tab/>
            </w:r>
          </w:p>
        </w:tc>
        <w:tc>
          <w:tcPr>
            <w:tcW w:w="2436" w:type="dxa"/>
          </w:tcPr>
          <w:p>
            <w:pPr>
              <w:pStyle w:val="TableParagraph"/>
              <w:tabs>
                <w:tab w:pos="2214" w:val="left" w:leader="none"/>
              </w:tabs>
              <w:spacing w:line="256" w:lineRule="exact" w:before="133"/>
              <w:ind w:right="-15"/>
              <w:jc w:val="right"/>
              <w:rPr>
                <w:sz w:val="24"/>
              </w:rPr>
            </w:pPr>
            <w:r>
              <w:rPr>
                <w:sz w:val="24"/>
                <w:u w:val="single"/>
              </w:rPr>
              <w:t> </w:t>
              <w:tab/>
            </w:r>
          </w:p>
        </w:tc>
      </w:tr>
    </w:tbl>
    <w:p>
      <w:pPr>
        <w:spacing w:after="0" w:line="256" w:lineRule="exact"/>
        <w:jc w:val="right"/>
        <w:rPr>
          <w:sz w:val="24"/>
        </w:rPr>
        <w:sectPr>
          <w:pgSz w:w="11910" w:h="16840"/>
          <w:pgMar w:header="0" w:footer="1012" w:top="1340" w:bottom="1200" w:left="1680" w:right="280"/>
        </w:sectPr>
      </w:pPr>
    </w:p>
    <w:p>
      <w:pPr>
        <w:pStyle w:val="BodyText"/>
        <w:spacing w:before="74"/>
        <w:ind w:right="7104"/>
        <w:jc w:val="left"/>
      </w:pPr>
      <w:r>
        <w:rPr/>
        <w:t>Put</w:t>
      </w:r>
      <w:r>
        <w:rPr>
          <w:spacing w:val="-4"/>
        </w:rPr>
        <w:t> </w:t>
      </w:r>
      <w:r>
        <w:rPr/>
        <w:t>your answers</w:t>
      </w:r>
      <w:r>
        <w:rPr>
          <w:spacing w:val="-1"/>
        </w:rPr>
        <w:t> </w:t>
      </w:r>
      <w:r>
        <w:rPr>
          <w:spacing w:val="-2"/>
        </w:rPr>
        <w:t>below:</w:t>
      </w:r>
    </w:p>
    <w:p>
      <w:pPr>
        <w:pStyle w:val="BodyText"/>
        <w:spacing w:before="276"/>
        <w:ind w:right="7104"/>
        <w:jc w:val="left"/>
      </w:pPr>
      <w:r>
        <w:rPr/>
        <w:t>A</w:t>
      </w:r>
      <w:r>
        <w:rPr>
          <w:spacing w:val="-3"/>
        </w:rPr>
        <w:t> </w:t>
      </w:r>
      <w:r>
        <w:rPr/>
        <w:t>–</w:t>
      </w:r>
      <w:r>
        <w:rPr>
          <w:spacing w:val="2"/>
        </w:rPr>
        <w:t> </w:t>
      </w:r>
      <w:r>
        <w:rPr>
          <w:spacing w:val="-10"/>
        </w:rPr>
        <w:t>L</w:t>
      </w:r>
    </w:p>
    <w:p>
      <w:pPr>
        <w:pStyle w:val="BodyText"/>
        <w:spacing w:before="51" w:after="1"/>
        <w:ind w:left="0"/>
        <w:jc w:val="left"/>
        <w:rPr>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0"/>
        <w:gridCol w:w="313"/>
        <w:gridCol w:w="2880"/>
        <w:gridCol w:w="313"/>
        <w:gridCol w:w="2880"/>
      </w:tblGrid>
      <w:tr>
        <w:trPr>
          <w:trHeight w:val="260" w:hRule="atLeast"/>
        </w:trPr>
        <w:tc>
          <w:tcPr>
            <w:tcW w:w="2880" w:type="dxa"/>
            <w:tcBorders>
              <w:bottom w:val="single" w:sz="4" w:space="0" w:color="000000"/>
            </w:tcBorders>
          </w:tcPr>
          <w:p>
            <w:pPr>
              <w:pStyle w:val="TableParagraph"/>
              <w:rPr>
                <w:sz w:val="18"/>
              </w:rPr>
            </w:pPr>
          </w:p>
        </w:tc>
        <w:tc>
          <w:tcPr>
            <w:tcW w:w="313" w:type="dxa"/>
          </w:tcPr>
          <w:p>
            <w:pPr>
              <w:pStyle w:val="TableParagraph"/>
              <w:rPr>
                <w:sz w:val="18"/>
              </w:rPr>
            </w:pPr>
          </w:p>
        </w:tc>
        <w:tc>
          <w:tcPr>
            <w:tcW w:w="2880" w:type="dxa"/>
            <w:tcBorders>
              <w:bottom w:val="single" w:sz="4" w:space="0" w:color="000000"/>
            </w:tcBorders>
          </w:tcPr>
          <w:p>
            <w:pPr>
              <w:pStyle w:val="TableParagraph"/>
              <w:rPr>
                <w:sz w:val="18"/>
              </w:rPr>
            </w:pPr>
          </w:p>
        </w:tc>
        <w:tc>
          <w:tcPr>
            <w:tcW w:w="313" w:type="dxa"/>
          </w:tcPr>
          <w:p>
            <w:pPr>
              <w:pStyle w:val="TableParagraph"/>
              <w:rPr>
                <w:sz w:val="18"/>
              </w:rPr>
            </w:pPr>
          </w:p>
        </w:tc>
        <w:tc>
          <w:tcPr>
            <w:tcW w:w="2880" w:type="dxa"/>
            <w:tcBorders>
              <w:bottom w:val="single" w:sz="4" w:space="0" w:color="000000"/>
            </w:tcBorders>
          </w:tcPr>
          <w:p>
            <w:pPr>
              <w:pStyle w:val="TableParagraph"/>
              <w:rPr>
                <w:sz w:val="18"/>
              </w:rPr>
            </w:pPr>
          </w:p>
        </w:tc>
      </w:tr>
      <w:tr>
        <w:trPr>
          <w:trHeight w:val="542"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r>
        <w:trPr>
          <w:trHeight w:val="542"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r>
        <w:trPr>
          <w:trHeight w:val="542"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r>
        <w:trPr>
          <w:trHeight w:val="541"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r>
        <w:trPr>
          <w:trHeight w:val="537"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bl>
    <w:p>
      <w:pPr>
        <w:pStyle w:val="BodyText"/>
        <w:spacing w:before="7"/>
        <w:ind w:left="0"/>
        <w:jc w:val="left"/>
      </w:pPr>
    </w:p>
    <w:p>
      <w:pPr>
        <w:pStyle w:val="BodyText"/>
        <w:spacing w:line="480" w:lineRule="auto"/>
        <w:ind w:right="6327"/>
        <w:jc w:val="left"/>
      </w:pPr>
      <w:r>
        <w:rPr>
          <w:spacing w:val="-2"/>
        </w:rPr>
        <w:t>Item</w:t>
      </w:r>
      <w:r>
        <w:rPr>
          <w:spacing w:val="-13"/>
        </w:rPr>
        <w:t> </w:t>
      </w:r>
      <w:r>
        <w:rPr>
          <w:spacing w:val="-2"/>
        </w:rPr>
        <w:t>12:</w:t>
      </w:r>
      <w:r>
        <w:rPr>
          <w:spacing w:val="-13"/>
        </w:rPr>
        <w:t> </w:t>
      </w:r>
      <w:r>
        <w:rPr>
          <w:spacing w:val="-2"/>
        </w:rPr>
        <w:t>―The</w:t>
      </w:r>
      <w:r>
        <w:rPr>
          <w:spacing w:val="-13"/>
        </w:rPr>
        <w:t> </w:t>
      </w:r>
      <w:r>
        <w:rPr>
          <w:spacing w:val="-2"/>
        </w:rPr>
        <w:t>Shopping</w:t>
      </w:r>
      <w:r>
        <w:rPr>
          <w:spacing w:val="-13"/>
        </w:rPr>
        <w:t> </w:t>
      </w:r>
      <w:r>
        <w:rPr>
          <w:spacing w:val="-2"/>
        </w:rPr>
        <w:t>Centre‖ </w:t>
      </w:r>
      <w:r>
        <w:rPr/>
        <w:t>Put your answers below:</w:t>
      </w:r>
    </w:p>
    <w:p>
      <w:pPr>
        <w:pStyle w:val="BodyText"/>
        <w:spacing w:before="194"/>
        <w:ind w:left="0"/>
        <w:jc w:val="left"/>
        <w:rPr>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0"/>
        <w:gridCol w:w="313"/>
        <w:gridCol w:w="2880"/>
        <w:gridCol w:w="313"/>
        <w:gridCol w:w="2880"/>
      </w:tblGrid>
      <w:tr>
        <w:trPr>
          <w:trHeight w:val="260" w:hRule="atLeast"/>
        </w:trPr>
        <w:tc>
          <w:tcPr>
            <w:tcW w:w="2880" w:type="dxa"/>
            <w:tcBorders>
              <w:bottom w:val="single" w:sz="4" w:space="0" w:color="000000"/>
            </w:tcBorders>
          </w:tcPr>
          <w:p>
            <w:pPr>
              <w:pStyle w:val="TableParagraph"/>
              <w:rPr>
                <w:sz w:val="18"/>
              </w:rPr>
            </w:pPr>
          </w:p>
        </w:tc>
        <w:tc>
          <w:tcPr>
            <w:tcW w:w="313" w:type="dxa"/>
          </w:tcPr>
          <w:p>
            <w:pPr>
              <w:pStyle w:val="TableParagraph"/>
              <w:rPr>
                <w:sz w:val="18"/>
              </w:rPr>
            </w:pPr>
          </w:p>
        </w:tc>
        <w:tc>
          <w:tcPr>
            <w:tcW w:w="2880" w:type="dxa"/>
            <w:tcBorders>
              <w:bottom w:val="single" w:sz="4" w:space="0" w:color="000000"/>
            </w:tcBorders>
          </w:tcPr>
          <w:p>
            <w:pPr>
              <w:pStyle w:val="TableParagraph"/>
              <w:rPr>
                <w:sz w:val="18"/>
              </w:rPr>
            </w:pPr>
          </w:p>
        </w:tc>
        <w:tc>
          <w:tcPr>
            <w:tcW w:w="313" w:type="dxa"/>
          </w:tcPr>
          <w:p>
            <w:pPr>
              <w:pStyle w:val="TableParagraph"/>
              <w:rPr>
                <w:sz w:val="18"/>
              </w:rPr>
            </w:pPr>
          </w:p>
        </w:tc>
        <w:tc>
          <w:tcPr>
            <w:tcW w:w="2880" w:type="dxa"/>
            <w:tcBorders>
              <w:bottom w:val="single" w:sz="4" w:space="0" w:color="000000"/>
            </w:tcBorders>
          </w:tcPr>
          <w:p>
            <w:pPr>
              <w:pStyle w:val="TableParagraph"/>
              <w:rPr>
                <w:sz w:val="18"/>
              </w:rPr>
            </w:pPr>
          </w:p>
        </w:tc>
      </w:tr>
      <w:tr>
        <w:trPr>
          <w:trHeight w:val="542"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r>
        <w:trPr>
          <w:trHeight w:val="541"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r>
        <w:trPr>
          <w:trHeight w:val="542"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r>
        <w:trPr>
          <w:trHeight w:val="542"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r>
        <w:trPr>
          <w:trHeight w:val="537" w:hRule="atLeast"/>
        </w:trPr>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c>
          <w:tcPr>
            <w:tcW w:w="313" w:type="dxa"/>
          </w:tcPr>
          <w:p>
            <w:pPr>
              <w:pStyle w:val="TableParagraph"/>
              <w:rPr>
                <w:sz w:val="24"/>
              </w:rPr>
            </w:pPr>
          </w:p>
        </w:tc>
        <w:tc>
          <w:tcPr>
            <w:tcW w:w="2880" w:type="dxa"/>
            <w:tcBorders>
              <w:top w:val="single" w:sz="4" w:space="0" w:color="000000"/>
              <w:bottom w:val="single" w:sz="4" w:space="0" w:color="000000"/>
            </w:tcBorders>
          </w:tcPr>
          <w:p>
            <w:pPr>
              <w:pStyle w:val="TableParagraph"/>
              <w:rPr>
                <w:sz w:val="24"/>
              </w:rPr>
            </w:pPr>
          </w:p>
        </w:tc>
      </w:tr>
    </w:tbl>
    <w:p>
      <w:pPr>
        <w:pStyle w:val="BodyText"/>
        <w:spacing w:before="7"/>
        <w:ind w:left="0"/>
        <w:jc w:val="left"/>
      </w:pPr>
    </w:p>
    <w:p>
      <w:pPr>
        <w:pStyle w:val="BodyText"/>
        <w:jc w:val="left"/>
      </w:pPr>
      <w:r>
        <w:rPr>
          <w:spacing w:val="-4"/>
        </w:rPr>
        <w:t>BDGC</w:t>
      </w:r>
    </w:p>
    <w:p>
      <w:pPr>
        <w:spacing w:after="0"/>
        <w:jc w:val="left"/>
        <w:sectPr>
          <w:pgSz w:w="11910" w:h="16840"/>
          <w:pgMar w:header="0" w:footer="1012" w:top="1340" w:bottom="1200" w:left="1680" w:right="280"/>
        </w:sectPr>
      </w:pPr>
    </w:p>
    <w:p>
      <w:pPr>
        <w:pStyle w:val="BodyText"/>
        <w:spacing w:before="74"/>
        <w:jc w:val="left"/>
      </w:pPr>
      <w:r>
        <w:rPr/>
        <w:t>Item</w:t>
      </w:r>
      <w:r>
        <w:rPr>
          <w:spacing w:val="-2"/>
        </w:rPr>
        <w:t> </w:t>
      </w:r>
      <w:r>
        <w:rPr>
          <w:spacing w:val="-12"/>
        </w:rPr>
        <w:t>1</w:t>
      </w:r>
    </w:p>
    <w:p>
      <w:pPr>
        <w:pStyle w:val="BodyText"/>
        <w:spacing w:before="4"/>
        <w:ind w:left="0"/>
        <w:jc w:val="left"/>
      </w:pPr>
    </w:p>
    <w:p>
      <w:pPr>
        <w:spacing w:before="0"/>
        <w:ind w:left="504" w:right="1187" w:firstLine="0"/>
        <w:jc w:val="center"/>
        <w:rPr>
          <w:b/>
          <w:sz w:val="24"/>
        </w:rPr>
      </w:pPr>
      <w:r>
        <w:rPr>
          <w:b/>
          <w:sz w:val="24"/>
          <w:u w:val="single"/>
        </w:rPr>
        <w:t>Piece</w:t>
      </w:r>
      <w:r>
        <w:rPr>
          <w:b/>
          <w:spacing w:val="-4"/>
          <w:sz w:val="24"/>
          <w:u w:val="single"/>
        </w:rPr>
        <w:t> </w:t>
      </w:r>
      <w:r>
        <w:rPr>
          <w:b/>
          <w:sz w:val="24"/>
          <w:u w:val="single"/>
        </w:rPr>
        <w:t>of</w:t>
      </w:r>
      <w:r>
        <w:rPr>
          <w:b/>
          <w:spacing w:val="-3"/>
          <w:sz w:val="24"/>
          <w:u w:val="single"/>
        </w:rPr>
        <w:t> </w:t>
      </w:r>
      <w:r>
        <w:rPr>
          <w:b/>
          <w:spacing w:val="-4"/>
          <w:sz w:val="24"/>
          <w:u w:val="single"/>
        </w:rPr>
        <w:t>Clay</w:t>
      </w:r>
    </w:p>
    <w:p>
      <w:pPr>
        <w:pStyle w:val="BodyText"/>
        <w:spacing w:line="480" w:lineRule="auto" w:before="272" w:after="8"/>
        <w:ind w:right="1179" w:firstLine="720"/>
        <w:jc w:val="left"/>
      </w:pPr>
      <w:r>
        <w:rPr/>
        <w:t>Tom has two balls of clay. They are the same size and shape. When he places them on the balance, they weigh the same.</w:t>
      </w:r>
    </w:p>
    <w:p>
      <w:pPr>
        <w:pStyle w:val="BodyText"/>
        <w:ind w:left="2002"/>
        <w:jc w:val="left"/>
        <w:rPr>
          <w:sz w:val="20"/>
        </w:rPr>
      </w:pPr>
      <w:r>
        <w:rPr>
          <w:sz w:val="20"/>
        </w:rPr>
        <w:drawing>
          <wp:inline distT="0" distB="0" distL="0" distR="0">
            <wp:extent cx="4117462" cy="1412367"/>
            <wp:effectExtent l="0" t="0" r="0" b="0"/>
            <wp:docPr id="25" name="Image 25" descr="C:\Users\ameer\Desktop\AMOS PIXX\1.jpg"/>
            <wp:cNvGraphicFramePr>
              <a:graphicFrameLocks/>
            </wp:cNvGraphicFramePr>
            <a:graphic>
              <a:graphicData uri="http://schemas.openxmlformats.org/drawingml/2006/picture">
                <pic:pic>
                  <pic:nvPicPr>
                    <pic:cNvPr id="25" name="Image 25" descr="C:\Users\ameer\Desktop\AMOS PIXX\1.jpg"/>
                    <pic:cNvPicPr/>
                  </pic:nvPicPr>
                  <pic:blipFill>
                    <a:blip r:embed="rId40" cstate="print"/>
                    <a:stretch>
                      <a:fillRect/>
                    </a:stretch>
                  </pic:blipFill>
                  <pic:spPr>
                    <a:xfrm>
                      <a:off x="0" y="0"/>
                      <a:ext cx="4117462" cy="1412367"/>
                    </a:xfrm>
                    <a:prstGeom prst="rect">
                      <a:avLst/>
                    </a:prstGeom>
                  </pic:spPr>
                </pic:pic>
              </a:graphicData>
            </a:graphic>
          </wp:inline>
        </w:drawing>
      </w:r>
      <w:r>
        <w:rPr>
          <w:sz w:val="20"/>
        </w:rPr>
      </w:r>
    </w:p>
    <w:p>
      <w:pPr>
        <w:pStyle w:val="BodyText"/>
        <w:spacing w:line="480" w:lineRule="auto" w:before="250" w:after="7"/>
        <w:ind w:right="1170" w:firstLine="720"/>
        <w:jc w:val="left"/>
      </w:pPr>
      <w:r>
        <w:rPr/>
        <w:t>The</w:t>
      </w:r>
      <w:r>
        <w:rPr>
          <w:spacing w:val="-2"/>
        </w:rPr>
        <w:t> </w:t>
      </w:r>
      <w:r>
        <w:rPr/>
        <w:t>balls of</w:t>
      </w:r>
      <w:r>
        <w:rPr>
          <w:spacing w:val="-9"/>
        </w:rPr>
        <w:t> </w:t>
      </w:r>
      <w:r>
        <w:rPr/>
        <w:t>clay</w:t>
      </w:r>
      <w:r>
        <w:rPr>
          <w:spacing w:val="-2"/>
        </w:rPr>
        <w:t> </w:t>
      </w:r>
      <w:r>
        <w:rPr/>
        <w:t>are</w:t>
      </w:r>
      <w:r>
        <w:rPr>
          <w:spacing w:val="-2"/>
        </w:rPr>
        <w:t> </w:t>
      </w:r>
      <w:r>
        <w:rPr/>
        <w:t>removed from</w:t>
      </w:r>
      <w:r>
        <w:rPr>
          <w:spacing w:val="-10"/>
        </w:rPr>
        <w:t> </w:t>
      </w:r>
      <w:r>
        <w:rPr/>
        <w:t>the</w:t>
      </w:r>
      <w:r>
        <w:rPr>
          <w:spacing w:val="-2"/>
        </w:rPr>
        <w:t> </w:t>
      </w:r>
      <w:r>
        <w:rPr/>
        <w:t>balance pans. Clay</w:t>
      </w:r>
      <w:r>
        <w:rPr>
          <w:spacing w:val="-6"/>
        </w:rPr>
        <w:t> </w:t>
      </w:r>
      <w:r>
        <w:rPr/>
        <w:t>2 is flattened</w:t>
      </w:r>
      <w:r>
        <w:rPr>
          <w:spacing w:val="-1"/>
        </w:rPr>
        <w:t> </w:t>
      </w:r>
      <w:r>
        <w:rPr/>
        <w:t>cake</w:t>
      </w:r>
      <w:r>
        <w:rPr>
          <w:spacing w:val="-2"/>
        </w:rPr>
        <w:t> </w:t>
      </w:r>
      <w:r>
        <w:rPr/>
        <w:t>a </w:t>
      </w:r>
      <w:r>
        <w:rPr>
          <w:spacing w:val="-2"/>
        </w:rPr>
        <w:t>pancake.</w:t>
      </w:r>
    </w:p>
    <w:p>
      <w:pPr>
        <w:pStyle w:val="BodyText"/>
        <w:ind w:left="3390"/>
        <w:jc w:val="left"/>
        <w:rPr>
          <w:sz w:val="20"/>
        </w:rPr>
      </w:pPr>
      <w:r>
        <w:rPr>
          <w:sz w:val="20"/>
        </w:rPr>
        <w:drawing>
          <wp:inline distT="0" distB="0" distL="0" distR="0">
            <wp:extent cx="2077549" cy="674751"/>
            <wp:effectExtent l="0" t="0" r="0" b="0"/>
            <wp:docPr id="26" name="Image 26" descr="C:\Users\ameer\Desktop\AMOS PIXX\2.jpg"/>
            <wp:cNvGraphicFramePr>
              <a:graphicFrameLocks/>
            </wp:cNvGraphicFramePr>
            <a:graphic>
              <a:graphicData uri="http://schemas.openxmlformats.org/drawingml/2006/picture">
                <pic:pic>
                  <pic:nvPicPr>
                    <pic:cNvPr id="26" name="Image 26" descr="C:\Users\ameer\Desktop\AMOS PIXX\2.jpg"/>
                    <pic:cNvPicPr/>
                  </pic:nvPicPr>
                  <pic:blipFill>
                    <a:blip r:embed="rId41" cstate="print"/>
                    <a:stretch>
                      <a:fillRect/>
                    </a:stretch>
                  </pic:blipFill>
                  <pic:spPr>
                    <a:xfrm>
                      <a:off x="0" y="0"/>
                      <a:ext cx="2077549" cy="674751"/>
                    </a:xfrm>
                    <a:prstGeom prst="rect">
                      <a:avLst/>
                    </a:prstGeom>
                  </pic:spPr>
                </pic:pic>
              </a:graphicData>
            </a:graphic>
          </wp:inline>
        </w:drawing>
      </w:r>
      <w:r>
        <w:rPr>
          <w:sz w:val="20"/>
        </w:rPr>
      </w:r>
    </w:p>
    <w:p>
      <w:pPr>
        <w:pStyle w:val="BodyText"/>
        <w:spacing w:before="71"/>
        <w:ind w:left="0"/>
        <w:jc w:val="left"/>
      </w:pPr>
    </w:p>
    <w:p>
      <w:pPr>
        <w:pStyle w:val="BodyText"/>
        <w:jc w:val="left"/>
      </w:pPr>
      <w:r>
        <w:rPr/>
        <w:t>WHICH</w:t>
      </w:r>
      <w:r>
        <w:rPr>
          <w:spacing w:val="-2"/>
        </w:rPr>
        <w:t> </w:t>
      </w:r>
      <w:r>
        <w:rPr/>
        <w:t>OF</w:t>
      </w:r>
      <w:r>
        <w:rPr>
          <w:spacing w:val="-3"/>
        </w:rPr>
        <w:t> </w:t>
      </w:r>
      <w:r>
        <w:rPr/>
        <w:t>THESE</w:t>
      </w:r>
      <w:r>
        <w:rPr>
          <w:spacing w:val="-3"/>
        </w:rPr>
        <w:t> </w:t>
      </w:r>
      <w:r>
        <w:rPr/>
        <w:t>STATEMENTS IS</w:t>
      </w:r>
      <w:r>
        <w:rPr>
          <w:spacing w:val="-4"/>
        </w:rPr>
        <w:t> TRUE?</w:t>
      </w:r>
    </w:p>
    <w:p>
      <w:pPr>
        <w:pStyle w:val="BodyText"/>
        <w:ind w:left="0"/>
        <w:jc w:val="left"/>
      </w:pPr>
    </w:p>
    <w:p>
      <w:pPr>
        <w:pStyle w:val="ListParagraph"/>
        <w:numPr>
          <w:ilvl w:val="0"/>
          <w:numId w:val="25"/>
        </w:numPr>
        <w:tabs>
          <w:tab w:pos="1200" w:val="left" w:leader="none"/>
        </w:tabs>
        <w:spacing w:line="240" w:lineRule="auto" w:before="1" w:after="0"/>
        <w:ind w:left="1200" w:right="0" w:hanging="359"/>
        <w:jc w:val="left"/>
        <w:rPr>
          <w:sz w:val="24"/>
        </w:rPr>
      </w:pPr>
      <w:r>
        <w:rPr>
          <w:sz w:val="24"/>
        </w:rPr>
        <w:t>The</w:t>
      </w:r>
      <w:r>
        <w:rPr>
          <w:spacing w:val="-2"/>
          <w:sz w:val="24"/>
        </w:rPr>
        <w:t> </w:t>
      </w:r>
      <w:r>
        <w:rPr>
          <w:sz w:val="24"/>
        </w:rPr>
        <w:t>pancake-shaped</w:t>
      </w:r>
      <w:r>
        <w:rPr>
          <w:spacing w:val="-2"/>
          <w:sz w:val="24"/>
        </w:rPr>
        <w:t> </w:t>
      </w:r>
      <w:r>
        <w:rPr>
          <w:sz w:val="24"/>
        </w:rPr>
        <w:t>clay</w:t>
      </w:r>
      <w:r>
        <w:rPr>
          <w:spacing w:val="-5"/>
          <w:sz w:val="24"/>
        </w:rPr>
        <w:t> </w:t>
      </w:r>
      <w:r>
        <w:rPr>
          <w:sz w:val="24"/>
        </w:rPr>
        <w:t>weighs</w:t>
      </w:r>
      <w:r>
        <w:rPr>
          <w:spacing w:val="1"/>
          <w:sz w:val="24"/>
        </w:rPr>
        <w:t> </w:t>
      </w:r>
      <w:r>
        <w:rPr>
          <w:spacing w:val="-4"/>
          <w:sz w:val="24"/>
        </w:rPr>
        <w:t>more.</w:t>
      </w:r>
    </w:p>
    <w:p>
      <w:pPr>
        <w:pStyle w:val="ListParagraph"/>
        <w:numPr>
          <w:ilvl w:val="0"/>
          <w:numId w:val="25"/>
        </w:numPr>
        <w:tabs>
          <w:tab w:pos="1200" w:val="left" w:leader="none"/>
        </w:tabs>
        <w:spacing w:line="240" w:lineRule="auto" w:before="276" w:after="0"/>
        <w:ind w:left="1200" w:right="0" w:hanging="359"/>
        <w:jc w:val="left"/>
        <w:rPr>
          <w:sz w:val="24"/>
        </w:rPr>
      </w:pPr>
      <w:r>
        <w:rPr>
          <w:sz w:val="24"/>
        </w:rPr>
        <w:t>The</w:t>
      </w:r>
      <w:r>
        <w:rPr>
          <w:spacing w:val="-2"/>
          <w:sz w:val="24"/>
        </w:rPr>
        <w:t> </w:t>
      </w:r>
      <w:r>
        <w:rPr>
          <w:sz w:val="24"/>
        </w:rPr>
        <w:t>two</w:t>
      </w:r>
      <w:r>
        <w:rPr>
          <w:spacing w:val="3"/>
          <w:sz w:val="24"/>
        </w:rPr>
        <w:t> </w:t>
      </w:r>
      <w:r>
        <w:rPr>
          <w:sz w:val="24"/>
        </w:rPr>
        <w:t>pieces</w:t>
      </w:r>
      <w:r>
        <w:rPr>
          <w:spacing w:val="-3"/>
          <w:sz w:val="24"/>
        </w:rPr>
        <w:t> </w:t>
      </w:r>
      <w:r>
        <w:rPr>
          <w:sz w:val="24"/>
        </w:rPr>
        <w:t>weigh</w:t>
      </w:r>
      <w:r>
        <w:rPr>
          <w:spacing w:val="-6"/>
          <w:sz w:val="24"/>
        </w:rPr>
        <w:t> </w:t>
      </w:r>
      <w:r>
        <w:rPr>
          <w:sz w:val="24"/>
        </w:rPr>
        <w:t>the</w:t>
      </w:r>
      <w:r>
        <w:rPr>
          <w:spacing w:val="1"/>
          <w:sz w:val="24"/>
        </w:rPr>
        <w:t> </w:t>
      </w:r>
      <w:r>
        <w:rPr>
          <w:spacing w:val="-4"/>
          <w:sz w:val="24"/>
        </w:rPr>
        <w:t>same.</w:t>
      </w:r>
    </w:p>
    <w:p>
      <w:pPr>
        <w:pStyle w:val="ListParagraph"/>
        <w:numPr>
          <w:ilvl w:val="0"/>
          <w:numId w:val="25"/>
        </w:numPr>
        <w:tabs>
          <w:tab w:pos="1200" w:val="left" w:leader="none"/>
        </w:tabs>
        <w:spacing w:line="240" w:lineRule="auto" w:before="276" w:after="0"/>
        <w:ind w:left="1200" w:right="0" w:hanging="359"/>
        <w:jc w:val="left"/>
        <w:rPr>
          <w:sz w:val="24"/>
        </w:rPr>
      </w:pPr>
      <w:r>
        <w:rPr>
          <w:sz w:val="24"/>
        </w:rPr>
        <w:t>The</w:t>
      </w:r>
      <w:r>
        <w:rPr>
          <w:spacing w:val="-2"/>
          <w:sz w:val="24"/>
        </w:rPr>
        <w:t> </w:t>
      </w:r>
      <w:r>
        <w:rPr>
          <w:sz w:val="24"/>
        </w:rPr>
        <w:t>ball</w:t>
      </w:r>
      <w:r>
        <w:rPr>
          <w:spacing w:val="-4"/>
          <w:sz w:val="24"/>
        </w:rPr>
        <w:t> </w:t>
      </w:r>
      <w:r>
        <w:rPr>
          <w:sz w:val="24"/>
        </w:rPr>
        <w:t>weighs</w:t>
      </w:r>
      <w:r>
        <w:rPr>
          <w:spacing w:val="1"/>
          <w:sz w:val="24"/>
        </w:rPr>
        <w:t> </w:t>
      </w:r>
      <w:r>
        <w:rPr>
          <w:spacing w:val="-4"/>
          <w:sz w:val="24"/>
        </w:rPr>
        <w:t>more.</w:t>
      </w:r>
    </w:p>
    <w:p>
      <w:pPr>
        <w:pStyle w:val="BodyText"/>
        <w:ind w:left="0"/>
        <w:jc w:val="left"/>
      </w:pPr>
    </w:p>
    <w:p>
      <w:pPr>
        <w:pStyle w:val="BodyText"/>
        <w:jc w:val="left"/>
      </w:pPr>
      <w:r>
        <w:rPr>
          <w:spacing w:val="-2"/>
        </w:rPr>
        <w:t>REASON</w:t>
      </w:r>
    </w:p>
    <w:p>
      <w:pPr>
        <w:pStyle w:val="BodyText"/>
        <w:ind w:left="0"/>
        <w:jc w:val="left"/>
      </w:pPr>
    </w:p>
    <w:p>
      <w:pPr>
        <w:pStyle w:val="ListParagraph"/>
        <w:numPr>
          <w:ilvl w:val="0"/>
          <w:numId w:val="26"/>
        </w:numPr>
        <w:tabs>
          <w:tab w:pos="1201" w:val="left" w:leader="none"/>
        </w:tabs>
        <w:spacing w:line="240" w:lineRule="auto" w:before="0" w:after="0"/>
        <w:ind w:left="1201" w:right="0" w:hanging="360"/>
        <w:jc w:val="left"/>
        <w:rPr>
          <w:sz w:val="24"/>
        </w:rPr>
      </w:pPr>
      <w:r>
        <w:rPr>
          <w:sz w:val="24"/>
        </w:rPr>
        <w:t>You</w:t>
      </w:r>
      <w:r>
        <w:rPr>
          <w:spacing w:val="2"/>
          <w:sz w:val="24"/>
        </w:rPr>
        <w:t> </w:t>
      </w:r>
      <w:r>
        <w:rPr>
          <w:sz w:val="24"/>
        </w:rPr>
        <w:t>did</w:t>
      </w:r>
      <w:r>
        <w:rPr>
          <w:spacing w:val="2"/>
          <w:sz w:val="24"/>
        </w:rPr>
        <w:t> </w:t>
      </w:r>
      <w:r>
        <w:rPr>
          <w:sz w:val="24"/>
        </w:rPr>
        <w:t>not</w:t>
      </w:r>
      <w:r>
        <w:rPr>
          <w:spacing w:val="2"/>
          <w:sz w:val="24"/>
        </w:rPr>
        <w:t> </w:t>
      </w:r>
      <w:r>
        <w:rPr>
          <w:sz w:val="24"/>
        </w:rPr>
        <w:t>add</w:t>
      </w:r>
      <w:r>
        <w:rPr>
          <w:spacing w:val="-3"/>
          <w:sz w:val="24"/>
        </w:rPr>
        <w:t> </w:t>
      </w:r>
      <w:r>
        <w:rPr>
          <w:sz w:val="24"/>
        </w:rPr>
        <w:t>or</w:t>
      </w:r>
      <w:r>
        <w:rPr>
          <w:spacing w:val="-3"/>
          <w:sz w:val="24"/>
        </w:rPr>
        <w:t> </w:t>
      </w:r>
      <w:r>
        <w:rPr>
          <w:sz w:val="24"/>
        </w:rPr>
        <w:t>take</w:t>
      </w:r>
      <w:r>
        <w:rPr>
          <w:spacing w:val="1"/>
          <w:sz w:val="24"/>
        </w:rPr>
        <w:t> </w:t>
      </w:r>
      <w:r>
        <w:rPr>
          <w:sz w:val="24"/>
        </w:rPr>
        <w:t>away</w:t>
      </w:r>
      <w:r>
        <w:rPr>
          <w:spacing w:val="-7"/>
          <w:sz w:val="24"/>
        </w:rPr>
        <w:t> </w:t>
      </w:r>
      <w:r>
        <w:rPr>
          <w:sz w:val="24"/>
        </w:rPr>
        <w:t>any</w:t>
      </w:r>
      <w:r>
        <w:rPr>
          <w:spacing w:val="-3"/>
          <w:sz w:val="24"/>
        </w:rPr>
        <w:t> </w:t>
      </w:r>
      <w:r>
        <w:rPr>
          <w:spacing w:val="-4"/>
          <w:sz w:val="24"/>
        </w:rPr>
        <w:t>clay.</w:t>
      </w:r>
    </w:p>
    <w:p>
      <w:pPr>
        <w:pStyle w:val="BodyText"/>
        <w:ind w:left="0"/>
        <w:jc w:val="left"/>
      </w:pPr>
    </w:p>
    <w:p>
      <w:pPr>
        <w:pStyle w:val="ListParagraph"/>
        <w:numPr>
          <w:ilvl w:val="0"/>
          <w:numId w:val="26"/>
        </w:numPr>
        <w:tabs>
          <w:tab w:pos="1201" w:val="left" w:leader="none"/>
        </w:tabs>
        <w:spacing w:line="240" w:lineRule="auto" w:before="0" w:after="0"/>
        <w:ind w:left="1201" w:right="0" w:hanging="360"/>
        <w:jc w:val="left"/>
        <w:rPr>
          <w:sz w:val="24"/>
        </w:rPr>
      </w:pPr>
      <w:r>
        <w:rPr>
          <w:sz w:val="24"/>
        </w:rPr>
        <w:t>When</w:t>
      </w:r>
      <w:r>
        <w:rPr>
          <w:spacing w:val="-8"/>
          <w:sz w:val="24"/>
        </w:rPr>
        <w:t> </w:t>
      </w:r>
      <w:r>
        <w:rPr>
          <w:sz w:val="24"/>
        </w:rPr>
        <w:t>clay</w:t>
      </w:r>
      <w:r>
        <w:rPr>
          <w:spacing w:val="-5"/>
          <w:sz w:val="24"/>
        </w:rPr>
        <w:t> </w:t>
      </w:r>
      <w:r>
        <w:rPr>
          <w:sz w:val="24"/>
        </w:rPr>
        <w:t>2</w:t>
      </w:r>
      <w:r>
        <w:rPr>
          <w:spacing w:val="-2"/>
          <w:sz w:val="24"/>
        </w:rPr>
        <w:t> </w:t>
      </w:r>
      <w:r>
        <w:rPr>
          <w:sz w:val="24"/>
        </w:rPr>
        <w:t>was</w:t>
      </w:r>
      <w:r>
        <w:rPr>
          <w:spacing w:val="3"/>
          <w:sz w:val="24"/>
        </w:rPr>
        <w:t> </w:t>
      </w:r>
      <w:r>
        <w:rPr>
          <w:sz w:val="24"/>
        </w:rPr>
        <w:t>flattened</w:t>
      </w:r>
      <w:r>
        <w:rPr>
          <w:spacing w:val="4"/>
          <w:sz w:val="24"/>
        </w:rPr>
        <w:t> </w:t>
      </w:r>
      <w:r>
        <w:rPr>
          <w:sz w:val="24"/>
        </w:rPr>
        <w:t>like</w:t>
      </w:r>
      <w:r>
        <w:rPr>
          <w:spacing w:val="-2"/>
          <w:sz w:val="24"/>
        </w:rPr>
        <w:t> </w:t>
      </w:r>
      <w:r>
        <w:rPr>
          <w:sz w:val="24"/>
        </w:rPr>
        <w:t>a</w:t>
      </w:r>
      <w:r>
        <w:rPr>
          <w:spacing w:val="-2"/>
          <w:sz w:val="24"/>
        </w:rPr>
        <w:t> </w:t>
      </w:r>
      <w:r>
        <w:rPr>
          <w:sz w:val="24"/>
        </w:rPr>
        <w:t>pancake,</w:t>
      </w:r>
      <w:r>
        <w:rPr>
          <w:spacing w:val="6"/>
          <w:sz w:val="24"/>
        </w:rPr>
        <w:t> </w:t>
      </w:r>
      <w:r>
        <w:rPr>
          <w:sz w:val="24"/>
        </w:rPr>
        <w:t>it</w:t>
      </w:r>
      <w:r>
        <w:rPr>
          <w:spacing w:val="4"/>
          <w:sz w:val="24"/>
        </w:rPr>
        <w:t> </w:t>
      </w:r>
      <w:r>
        <w:rPr>
          <w:sz w:val="24"/>
        </w:rPr>
        <w:t>had</w:t>
      </w:r>
      <w:r>
        <w:rPr>
          <w:spacing w:val="-1"/>
          <w:sz w:val="24"/>
        </w:rPr>
        <w:t> </w:t>
      </w:r>
      <w:r>
        <w:rPr>
          <w:sz w:val="24"/>
        </w:rPr>
        <w:t>a</w:t>
      </w:r>
      <w:r>
        <w:rPr>
          <w:spacing w:val="-7"/>
          <w:sz w:val="24"/>
        </w:rPr>
        <w:t> </w:t>
      </w:r>
      <w:r>
        <w:rPr>
          <w:sz w:val="24"/>
        </w:rPr>
        <w:t>greater</w:t>
      </w:r>
      <w:r>
        <w:rPr>
          <w:spacing w:val="-4"/>
          <w:sz w:val="24"/>
        </w:rPr>
        <w:t> </w:t>
      </w:r>
      <w:r>
        <w:rPr>
          <w:spacing w:val="-2"/>
          <w:sz w:val="24"/>
        </w:rPr>
        <w:t>area.</w:t>
      </w:r>
    </w:p>
    <w:p>
      <w:pPr>
        <w:pStyle w:val="BodyText"/>
        <w:spacing w:before="1"/>
        <w:ind w:left="0"/>
        <w:jc w:val="left"/>
      </w:pPr>
    </w:p>
    <w:p>
      <w:pPr>
        <w:pStyle w:val="ListParagraph"/>
        <w:numPr>
          <w:ilvl w:val="0"/>
          <w:numId w:val="26"/>
        </w:numPr>
        <w:tabs>
          <w:tab w:pos="1201" w:val="left" w:leader="none"/>
        </w:tabs>
        <w:spacing w:line="240" w:lineRule="auto" w:before="0" w:after="0"/>
        <w:ind w:left="1201" w:right="0" w:hanging="360"/>
        <w:jc w:val="left"/>
        <w:rPr>
          <w:sz w:val="24"/>
        </w:rPr>
      </w:pPr>
      <w:r>
        <w:rPr>
          <w:sz w:val="24"/>
        </w:rPr>
        <w:t>When</w:t>
      </w:r>
      <w:r>
        <w:rPr>
          <w:spacing w:val="-9"/>
          <w:sz w:val="24"/>
        </w:rPr>
        <w:t> </w:t>
      </w:r>
      <w:r>
        <w:rPr>
          <w:sz w:val="24"/>
        </w:rPr>
        <w:t>something</w:t>
      </w:r>
      <w:r>
        <w:rPr>
          <w:spacing w:val="-1"/>
          <w:sz w:val="24"/>
        </w:rPr>
        <w:t> </w:t>
      </w:r>
      <w:r>
        <w:rPr>
          <w:sz w:val="24"/>
        </w:rPr>
        <w:t>is</w:t>
      </w:r>
      <w:r>
        <w:rPr>
          <w:spacing w:val="-3"/>
          <w:sz w:val="24"/>
        </w:rPr>
        <w:t> </w:t>
      </w:r>
      <w:r>
        <w:rPr>
          <w:sz w:val="24"/>
        </w:rPr>
        <w:t>flattened,</w:t>
      </w:r>
      <w:r>
        <w:rPr>
          <w:spacing w:val="-3"/>
          <w:sz w:val="24"/>
        </w:rPr>
        <w:t> </w:t>
      </w:r>
      <w:r>
        <w:rPr>
          <w:sz w:val="24"/>
        </w:rPr>
        <w:t>it</w:t>
      </w:r>
      <w:r>
        <w:rPr>
          <w:spacing w:val="5"/>
          <w:sz w:val="24"/>
        </w:rPr>
        <w:t> </w:t>
      </w:r>
      <w:r>
        <w:rPr>
          <w:sz w:val="24"/>
        </w:rPr>
        <w:t>loses</w:t>
      </w:r>
      <w:r>
        <w:rPr>
          <w:spacing w:val="-6"/>
          <w:sz w:val="24"/>
        </w:rPr>
        <w:t> </w:t>
      </w:r>
      <w:r>
        <w:rPr>
          <w:spacing w:val="-2"/>
          <w:sz w:val="24"/>
        </w:rPr>
        <w:t>weight.</w:t>
      </w:r>
    </w:p>
    <w:p>
      <w:pPr>
        <w:pStyle w:val="BodyText"/>
        <w:ind w:left="0"/>
        <w:jc w:val="left"/>
      </w:pPr>
    </w:p>
    <w:p>
      <w:pPr>
        <w:pStyle w:val="ListParagraph"/>
        <w:numPr>
          <w:ilvl w:val="0"/>
          <w:numId w:val="26"/>
        </w:numPr>
        <w:tabs>
          <w:tab w:pos="1201" w:val="left" w:leader="none"/>
        </w:tabs>
        <w:spacing w:line="240" w:lineRule="auto" w:before="0" w:after="0"/>
        <w:ind w:left="1201" w:right="0" w:hanging="360"/>
        <w:jc w:val="left"/>
        <w:rPr>
          <w:sz w:val="24"/>
        </w:rPr>
      </w:pPr>
      <w:r>
        <w:rPr>
          <w:sz w:val="24"/>
        </w:rPr>
        <w:t>Because</w:t>
      </w:r>
      <w:r>
        <w:rPr>
          <w:spacing w:val="-3"/>
          <w:sz w:val="24"/>
        </w:rPr>
        <w:t> </w:t>
      </w:r>
      <w:r>
        <w:rPr>
          <w:sz w:val="24"/>
        </w:rPr>
        <w:t>of</w:t>
      </w:r>
      <w:r>
        <w:rPr>
          <w:spacing w:val="-3"/>
          <w:sz w:val="24"/>
        </w:rPr>
        <w:t> </w:t>
      </w:r>
      <w:r>
        <w:rPr>
          <w:sz w:val="24"/>
        </w:rPr>
        <w:t>its</w:t>
      </w:r>
      <w:r>
        <w:rPr>
          <w:spacing w:val="-2"/>
          <w:sz w:val="24"/>
        </w:rPr>
        <w:t> </w:t>
      </w:r>
      <w:r>
        <w:rPr>
          <w:sz w:val="24"/>
        </w:rPr>
        <w:t>density,</w:t>
      </w:r>
      <w:r>
        <w:rPr>
          <w:spacing w:val="1"/>
          <w:sz w:val="24"/>
        </w:rPr>
        <w:t> </w:t>
      </w:r>
      <w:r>
        <w:rPr>
          <w:sz w:val="24"/>
        </w:rPr>
        <w:t>the</w:t>
      </w:r>
      <w:r>
        <w:rPr>
          <w:spacing w:val="-2"/>
          <w:sz w:val="24"/>
        </w:rPr>
        <w:t> </w:t>
      </w:r>
      <w:r>
        <w:rPr>
          <w:sz w:val="24"/>
        </w:rPr>
        <w:t>round ball</w:t>
      </w:r>
      <w:r>
        <w:rPr>
          <w:spacing w:val="-5"/>
          <w:sz w:val="24"/>
        </w:rPr>
        <w:t> </w:t>
      </w:r>
      <w:r>
        <w:rPr>
          <w:sz w:val="24"/>
        </w:rPr>
        <w:t>had</w:t>
      </w:r>
      <w:r>
        <w:rPr>
          <w:spacing w:val="2"/>
          <w:sz w:val="24"/>
        </w:rPr>
        <w:t> </w:t>
      </w:r>
      <w:r>
        <w:rPr>
          <w:sz w:val="24"/>
        </w:rPr>
        <w:t>more</w:t>
      </w:r>
      <w:r>
        <w:rPr>
          <w:spacing w:val="-2"/>
          <w:sz w:val="24"/>
        </w:rPr>
        <w:t> </w:t>
      </w:r>
      <w:r>
        <w:rPr>
          <w:sz w:val="24"/>
        </w:rPr>
        <w:t>clay</w:t>
      </w:r>
      <w:r>
        <w:rPr>
          <w:spacing w:val="-6"/>
          <w:sz w:val="24"/>
        </w:rPr>
        <w:t> </w:t>
      </w:r>
      <w:r>
        <w:rPr>
          <w:sz w:val="24"/>
        </w:rPr>
        <w:t>in</w:t>
      </w:r>
      <w:r>
        <w:rPr>
          <w:spacing w:val="7"/>
          <w:sz w:val="24"/>
        </w:rPr>
        <w:t> </w:t>
      </w:r>
      <w:r>
        <w:rPr>
          <w:spacing w:val="-5"/>
          <w:sz w:val="24"/>
        </w:rPr>
        <w:t>it.</w:t>
      </w:r>
    </w:p>
    <w:p>
      <w:pPr>
        <w:spacing w:after="0" w:line="240" w:lineRule="auto"/>
        <w:jc w:val="left"/>
        <w:rPr>
          <w:sz w:val="24"/>
        </w:rPr>
        <w:sectPr>
          <w:pgSz w:w="11910" w:h="16840"/>
          <w:pgMar w:header="0" w:footer="1012" w:top="1340" w:bottom="1200" w:left="1680" w:right="280"/>
        </w:sectPr>
      </w:pPr>
    </w:p>
    <w:p>
      <w:pPr>
        <w:pStyle w:val="BodyText"/>
        <w:spacing w:before="74"/>
        <w:ind w:left="841"/>
        <w:jc w:val="left"/>
      </w:pPr>
      <w:r>
        <w:rPr/>
        <w:t>Item</w:t>
      </w:r>
      <w:r>
        <w:rPr>
          <w:spacing w:val="-2"/>
        </w:rPr>
        <w:t> </w:t>
      </w:r>
      <w:r>
        <w:rPr>
          <w:spacing w:val="-12"/>
        </w:rPr>
        <w:t>2</w:t>
      </w:r>
    </w:p>
    <w:p>
      <w:pPr>
        <w:pStyle w:val="BodyText"/>
        <w:spacing w:before="4"/>
        <w:ind w:left="0"/>
        <w:jc w:val="left"/>
      </w:pPr>
    </w:p>
    <w:p>
      <w:pPr>
        <w:spacing w:before="0"/>
        <w:ind w:left="0" w:right="315" w:firstLine="0"/>
        <w:jc w:val="center"/>
        <w:rPr>
          <w:b/>
          <w:sz w:val="24"/>
        </w:rPr>
      </w:pPr>
      <w:r>
        <w:rPr>
          <w:b/>
          <w:sz w:val="24"/>
          <w:u w:val="single"/>
        </w:rPr>
        <w:t>Metal </w:t>
      </w:r>
      <w:r>
        <w:rPr>
          <w:b/>
          <w:spacing w:val="-2"/>
          <w:sz w:val="24"/>
          <w:u w:val="single"/>
        </w:rPr>
        <w:t>Weight</w:t>
      </w:r>
    </w:p>
    <w:p>
      <w:pPr>
        <w:pStyle w:val="BodyText"/>
        <w:spacing w:line="480" w:lineRule="auto" w:before="272" w:after="8"/>
        <w:ind w:right="1170" w:firstLine="720"/>
        <w:jc w:val="left"/>
      </w:pPr>
      <w:r>
        <w:rPr/>
        <w:t>Linn</w:t>
      </w:r>
      <w:r>
        <w:rPr>
          <w:spacing w:val="23"/>
        </w:rPr>
        <w:t> </w:t>
      </w:r>
      <w:r>
        <w:rPr/>
        <w:t>has</w:t>
      </w:r>
      <w:r>
        <w:rPr>
          <w:spacing w:val="20"/>
        </w:rPr>
        <w:t> </w:t>
      </w:r>
      <w:r>
        <w:rPr/>
        <w:t>two</w:t>
      </w:r>
      <w:r>
        <w:rPr>
          <w:spacing w:val="21"/>
        </w:rPr>
        <w:t> </w:t>
      </w:r>
      <w:r>
        <w:rPr/>
        <w:t>jars.</w:t>
      </w:r>
      <w:r>
        <w:rPr>
          <w:spacing w:val="24"/>
        </w:rPr>
        <w:t> </w:t>
      </w:r>
      <w:r>
        <w:rPr/>
        <w:t>They are</w:t>
      </w:r>
      <w:r>
        <w:rPr>
          <w:spacing w:val="21"/>
        </w:rPr>
        <w:t> </w:t>
      </w:r>
      <w:r>
        <w:rPr/>
        <w:t>the</w:t>
      </w:r>
      <w:r>
        <w:rPr>
          <w:spacing w:val="21"/>
        </w:rPr>
        <w:t> </w:t>
      </w:r>
      <w:r>
        <w:rPr/>
        <w:t>same</w:t>
      </w:r>
      <w:r>
        <w:rPr>
          <w:spacing w:val="21"/>
        </w:rPr>
        <w:t> </w:t>
      </w:r>
      <w:r>
        <w:rPr/>
        <w:t>size</w:t>
      </w:r>
      <w:r>
        <w:rPr>
          <w:spacing w:val="21"/>
        </w:rPr>
        <w:t> </w:t>
      </w:r>
      <w:r>
        <w:rPr/>
        <w:t>and</w:t>
      </w:r>
      <w:r>
        <w:rPr>
          <w:spacing w:val="26"/>
        </w:rPr>
        <w:t> </w:t>
      </w:r>
      <w:r>
        <w:rPr/>
        <w:t>shape.</w:t>
      </w:r>
      <w:r>
        <w:rPr>
          <w:spacing w:val="24"/>
        </w:rPr>
        <w:t> </w:t>
      </w:r>
      <w:r>
        <w:rPr/>
        <w:t>Each</w:t>
      </w:r>
      <w:r>
        <w:rPr>
          <w:spacing w:val="22"/>
        </w:rPr>
        <w:t> </w:t>
      </w:r>
      <w:r>
        <w:rPr/>
        <w:t>is</w:t>
      </w:r>
      <w:r>
        <w:rPr>
          <w:spacing w:val="24"/>
        </w:rPr>
        <w:t> </w:t>
      </w:r>
      <w:r>
        <w:rPr/>
        <w:t>filled</w:t>
      </w:r>
      <w:r>
        <w:rPr>
          <w:spacing w:val="22"/>
        </w:rPr>
        <w:t> </w:t>
      </w:r>
      <w:r>
        <w:rPr/>
        <w:t>with the same amount of water.</w:t>
      </w:r>
    </w:p>
    <w:p>
      <w:pPr>
        <w:pStyle w:val="BodyText"/>
        <w:ind w:left="2670"/>
        <w:jc w:val="left"/>
        <w:rPr>
          <w:sz w:val="20"/>
        </w:rPr>
      </w:pPr>
      <w:r>
        <w:rPr>
          <w:sz w:val="20"/>
        </w:rPr>
        <w:drawing>
          <wp:inline distT="0" distB="0" distL="0" distR="0">
            <wp:extent cx="2884676" cy="1307592"/>
            <wp:effectExtent l="0" t="0" r="0" b="0"/>
            <wp:docPr id="27" name="Image 27" descr="C:\Users\ameer\Desktop\AMOS PIXX\3.jpg"/>
            <wp:cNvGraphicFramePr>
              <a:graphicFrameLocks/>
            </wp:cNvGraphicFramePr>
            <a:graphic>
              <a:graphicData uri="http://schemas.openxmlformats.org/drawingml/2006/picture">
                <pic:pic>
                  <pic:nvPicPr>
                    <pic:cNvPr id="27" name="Image 27" descr="C:\Users\ameer\Desktop\AMOS PIXX\3.jpg"/>
                    <pic:cNvPicPr/>
                  </pic:nvPicPr>
                  <pic:blipFill>
                    <a:blip r:embed="rId42" cstate="print"/>
                    <a:stretch>
                      <a:fillRect/>
                    </a:stretch>
                  </pic:blipFill>
                  <pic:spPr>
                    <a:xfrm>
                      <a:off x="0" y="0"/>
                      <a:ext cx="2884676" cy="1307592"/>
                    </a:xfrm>
                    <a:prstGeom prst="rect">
                      <a:avLst/>
                    </a:prstGeom>
                  </pic:spPr>
                </pic:pic>
              </a:graphicData>
            </a:graphic>
          </wp:inline>
        </w:drawing>
      </w:r>
      <w:r>
        <w:rPr>
          <w:sz w:val="20"/>
        </w:rPr>
      </w:r>
    </w:p>
    <w:p>
      <w:pPr>
        <w:pStyle w:val="BodyText"/>
        <w:spacing w:line="242" w:lineRule="auto" w:before="247" w:after="3"/>
        <w:ind w:right="1179" w:firstLine="720"/>
        <w:jc w:val="left"/>
      </w:pPr>
      <w:r>
        <w:rPr/>
        <w:t>She also has two metal weights of the same volume. One weight is light. The other is heavy.</w:t>
      </w:r>
    </w:p>
    <w:p>
      <w:pPr>
        <w:pStyle w:val="BodyText"/>
        <w:ind w:left="2670"/>
        <w:jc w:val="left"/>
        <w:rPr>
          <w:sz w:val="20"/>
        </w:rPr>
      </w:pPr>
      <w:r>
        <w:rPr>
          <w:sz w:val="20"/>
        </w:rPr>
        <w:drawing>
          <wp:inline distT="0" distB="0" distL="0" distR="0">
            <wp:extent cx="2886245" cy="787908"/>
            <wp:effectExtent l="0" t="0" r="0" b="0"/>
            <wp:docPr id="28" name="Image 28" descr="C:\Users\ameer\Desktop\AMOS PIXX\4.jpg"/>
            <wp:cNvGraphicFramePr>
              <a:graphicFrameLocks/>
            </wp:cNvGraphicFramePr>
            <a:graphic>
              <a:graphicData uri="http://schemas.openxmlformats.org/drawingml/2006/picture">
                <pic:pic>
                  <pic:nvPicPr>
                    <pic:cNvPr id="28" name="Image 28" descr="C:\Users\ameer\Desktop\AMOS PIXX\4.jpg"/>
                    <pic:cNvPicPr/>
                  </pic:nvPicPr>
                  <pic:blipFill>
                    <a:blip r:embed="rId43" cstate="print"/>
                    <a:stretch>
                      <a:fillRect/>
                    </a:stretch>
                  </pic:blipFill>
                  <pic:spPr>
                    <a:xfrm>
                      <a:off x="0" y="0"/>
                      <a:ext cx="2886245" cy="787908"/>
                    </a:xfrm>
                    <a:prstGeom prst="rect">
                      <a:avLst/>
                    </a:prstGeom>
                  </pic:spPr>
                </pic:pic>
              </a:graphicData>
            </a:graphic>
          </wp:inline>
        </w:drawing>
      </w:r>
      <w:r>
        <w:rPr>
          <w:sz w:val="20"/>
        </w:rPr>
      </w:r>
    </w:p>
    <w:p>
      <w:pPr>
        <w:pStyle w:val="BodyText"/>
        <w:spacing w:line="242" w:lineRule="auto" w:before="258"/>
        <w:ind w:right="1170" w:firstLine="720"/>
        <w:jc w:val="left"/>
      </w:pPr>
      <w:r>
        <w:rPr/>
        <w:t>She lowers</w:t>
      </w:r>
      <w:r>
        <w:rPr>
          <w:spacing w:val="-5"/>
        </w:rPr>
        <w:t> </w:t>
      </w:r>
      <w:r>
        <w:rPr/>
        <w:t>the light weight into jar</w:t>
      </w:r>
      <w:r>
        <w:rPr>
          <w:spacing w:val="-2"/>
        </w:rPr>
        <w:t> </w:t>
      </w:r>
      <w:r>
        <w:rPr/>
        <w:t>1.</w:t>
      </w:r>
      <w:r>
        <w:rPr>
          <w:spacing w:val="-2"/>
        </w:rPr>
        <w:t> </w:t>
      </w:r>
      <w:r>
        <w:rPr/>
        <w:t>The</w:t>
      </w:r>
      <w:r>
        <w:rPr>
          <w:spacing w:val="-5"/>
        </w:rPr>
        <w:t> </w:t>
      </w:r>
      <w:r>
        <w:rPr/>
        <w:t>water</w:t>
      </w:r>
      <w:r>
        <w:rPr>
          <w:spacing w:val="-3"/>
        </w:rPr>
        <w:t> </w:t>
      </w:r>
      <w:r>
        <w:rPr/>
        <w:t>level</w:t>
      </w:r>
      <w:r>
        <w:rPr>
          <w:spacing w:val="-4"/>
        </w:rPr>
        <w:t> </w:t>
      </w:r>
      <w:r>
        <w:rPr/>
        <w:t>in</w:t>
      </w:r>
      <w:r>
        <w:rPr>
          <w:spacing w:val="-4"/>
        </w:rPr>
        <w:t> </w:t>
      </w:r>
      <w:r>
        <w:rPr/>
        <w:t>the jar</w:t>
      </w:r>
      <w:r>
        <w:rPr>
          <w:spacing w:val="-2"/>
        </w:rPr>
        <w:t> </w:t>
      </w:r>
      <w:r>
        <w:rPr/>
        <w:t>rises</w:t>
      </w:r>
      <w:r>
        <w:rPr>
          <w:spacing w:val="-5"/>
        </w:rPr>
        <w:t> </w:t>
      </w:r>
      <w:r>
        <w:rPr/>
        <w:t>and looks like this:</w:t>
      </w:r>
    </w:p>
    <w:p>
      <w:pPr>
        <w:pStyle w:val="BodyText"/>
        <w:ind w:left="2670"/>
        <w:jc w:val="left"/>
        <w:rPr>
          <w:sz w:val="20"/>
        </w:rPr>
      </w:pPr>
      <w:r>
        <w:rPr>
          <w:sz w:val="20"/>
        </w:rPr>
        <w:drawing>
          <wp:inline distT="0" distB="0" distL="0" distR="0">
            <wp:extent cx="3878260" cy="1420749"/>
            <wp:effectExtent l="0" t="0" r="0" b="0"/>
            <wp:docPr id="29" name="Image 29" descr="C:\Users\ameer\Desktop\AMOS PIXX\5.jpg"/>
            <wp:cNvGraphicFramePr>
              <a:graphicFrameLocks/>
            </wp:cNvGraphicFramePr>
            <a:graphic>
              <a:graphicData uri="http://schemas.openxmlformats.org/drawingml/2006/picture">
                <pic:pic>
                  <pic:nvPicPr>
                    <pic:cNvPr id="29" name="Image 29" descr="C:\Users\ameer\Desktop\AMOS PIXX\5.jpg"/>
                    <pic:cNvPicPr/>
                  </pic:nvPicPr>
                  <pic:blipFill>
                    <a:blip r:embed="rId44" cstate="print"/>
                    <a:stretch>
                      <a:fillRect/>
                    </a:stretch>
                  </pic:blipFill>
                  <pic:spPr>
                    <a:xfrm>
                      <a:off x="0" y="0"/>
                      <a:ext cx="3878260" cy="1420749"/>
                    </a:xfrm>
                    <a:prstGeom prst="rect">
                      <a:avLst/>
                    </a:prstGeom>
                  </pic:spPr>
                </pic:pic>
              </a:graphicData>
            </a:graphic>
          </wp:inline>
        </w:drawing>
      </w:r>
      <w:r>
        <w:rPr>
          <w:sz w:val="20"/>
        </w:rPr>
      </w:r>
    </w:p>
    <w:p>
      <w:pPr>
        <w:pStyle w:val="BodyText"/>
        <w:spacing w:before="252"/>
        <w:jc w:val="left"/>
      </w:pPr>
      <w:r>
        <w:rPr/>
        <w:t>THE</w:t>
      </w:r>
      <w:r>
        <w:rPr>
          <w:spacing w:val="-4"/>
        </w:rPr>
        <w:t> </w:t>
      </w:r>
      <w:r>
        <w:rPr/>
        <w:t>HEAVY</w:t>
      </w:r>
      <w:r>
        <w:rPr>
          <w:spacing w:val="-2"/>
        </w:rPr>
        <w:t> </w:t>
      </w:r>
      <w:r>
        <w:rPr/>
        <w:t>WEIGHT</w:t>
      </w:r>
      <w:r>
        <w:rPr>
          <w:spacing w:val="2"/>
        </w:rPr>
        <w:t> </w:t>
      </w:r>
      <w:r>
        <w:rPr/>
        <w:t>IS</w:t>
      </w:r>
      <w:r>
        <w:rPr>
          <w:spacing w:val="-1"/>
        </w:rPr>
        <w:t> </w:t>
      </w:r>
      <w:r>
        <w:rPr/>
        <w:t>LOWERED</w:t>
      </w:r>
      <w:r>
        <w:rPr>
          <w:spacing w:val="-2"/>
        </w:rPr>
        <w:t> </w:t>
      </w:r>
      <w:r>
        <w:rPr/>
        <w:t>INTO</w:t>
      </w:r>
      <w:r>
        <w:rPr>
          <w:spacing w:val="-7"/>
        </w:rPr>
        <w:t> </w:t>
      </w:r>
      <w:r>
        <w:rPr/>
        <w:t>JAR</w:t>
      </w:r>
      <w:r>
        <w:rPr>
          <w:spacing w:val="-3"/>
        </w:rPr>
        <w:t> </w:t>
      </w:r>
      <w:r>
        <w:rPr/>
        <w:t>2,</w:t>
      </w:r>
      <w:r>
        <w:rPr>
          <w:spacing w:val="-1"/>
        </w:rPr>
        <w:t> </w:t>
      </w:r>
      <w:r>
        <w:rPr/>
        <w:t>WHAT</w:t>
      </w:r>
      <w:r>
        <w:rPr>
          <w:spacing w:val="1"/>
        </w:rPr>
        <w:t> </w:t>
      </w:r>
      <w:r>
        <w:rPr/>
        <w:t>WILL</w:t>
      </w:r>
      <w:r>
        <w:rPr>
          <w:spacing w:val="-4"/>
        </w:rPr>
        <w:t> </w:t>
      </w:r>
      <w:r>
        <w:rPr>
          <w:spacing w:val="-2"/>
        </w:rPr>
        <w:t>HAPPEN?</w:t>
      </w:r>
    </w:p>
    <w:p>
      <w:pPr>
        <w:pStyle w:val="ListParagraph"/>
        <w:numPr>
          <w:ilvl w:val="1"/>
          <w:numId w:val="26"/>
        </w:numPr>
        <w:tabs>
          <w:tab w:pos="1200" w:val="left" w:leader="none"/>
        </w:tabs>
        <w:spacing w:line="275" w:lineRule="exact" w:before="3" w:after="0"/>
        <w:ind w:left="1200" w:right="0" w:hanging="359"/>
        <w:jc w:val="left"/>
        <w:rPr>
          <w:sz w:val="24"/>
        </w:rPr>
      </w:pPr>
      <w:r>
        <w:rPr>
          <w:sz w:val="24"/>
        </w:rPr>
        <w:t>The</w:t>
      </w:r>
      <w:r>
        <w:rPr>
          <w:spacing w:val="-3"/>
          <w:sz w:val="24"/>
        </w:rPr>
        <w:t> </w:t>
      </w:r>
      <w:r>
        <w:rPr>
          <w:sz w:val="24"/>
        </w:rPr>
        <w:t>water will</w:t>
      </w:r>
      <w:r>
        <w:rPr>
          <w:spacing w:val="-9"/>
          <w:sz w:val="24"/>
        </w:rPr>
        <w:t> </w:t>
      </w:r>
      <w:r>
        <w:rPr>
          <w:sz w:val="24"/>
        </w:rPr>
        <w:t>rise</w:t>
      </w:r>
      <w:r>
        <w:rPr>
          <w:spacing w:val="-2"/>
          <w:sz w:val="24"/>
        </w:rPr>
        <w:t> </w:t>
      </w:r>
      <w:r>
        <w:rPr>
          <w:sz w:val="24"/>
        </w:rPr>
        <w:t>to</w:t>
      </w:r>
      <w:r>
        <w:rPr>
          <w:spacing w:val="-1"/>
          <w:sz w:val="24"/>
        </w:rPr>
        <w:t> </w:t>
      </w:r>
      <w:r>
        <w:rPr>
          <w:sz w:val="24"/>
        </w:rPr>
        <w:t>a higher</w:t>
      </w:r>
      <w:r>
        <w:rPr>
          <w:spacing w:val="5"/>
          <w:sz w:val="24"/>
        </w:rPr>
        <w:t> </w:t>
      </w:r>
      <w:r>
        <w:rPr>
          <w:sz w:val="24"/>
        </w:rPr>
        <w:t>level</w:t>
      </w:r>
      <w:r>
        <w:rPr>
          <w:spacing w:val="-5"/>
          <w:sz w:val="24"/>
        </w:rPr>
        <w:t> </w:t>
      </w:r>
      <w:r>
        <w:rPr>
          <w:sz w:val="24"/>
        </w:rPr>
        <w:t>than</w:t>
      </w:r>
      <w:r>
        <w:rPr>
          <w:spacing w:val="-1"/>
          <w:sz w:val="24"/>
        </w:rPr>
        <w:t> </w:t>
      </w:r>
      <w:r>
        <w:rPr>
          <w:sz w:val="24"/>
        </w:rPr>
        <w:t>in</w:t>
      </w:r>
      <w:r>
        <w:rPr>
          <w:spacing w:val="1"/>
          <w:sz w:val="24"/>
        </w:rPr>
        <w:t> </w:t>
      </w:r>
      <w:r>
        <w:rPr>
          <w:sz w:val="24"/>
        </w:rPr>
        <w:t>jar </w:t>
      </w:r>
      <w:r>
        <w:rPr>
          <w:spacing w:val="-5"/>
          <w:sz w:val="24"/>
        </w:rPr>
        <w:t>1.</w:t>
      </w:r>
    </w:p>
    <w:p>
      <w:pPr>
        <w:pStyle w:val="ListParagraph"/>
        <w:numPr>
          <w:ilvl w:val="1"/>
          <w:numId w:val="26"/>
        </w:numPr>
        <w:tabs>
          <w:tab w:pos="1200" w:val="left" w:leader="none"/>
        </w:tabs>
        <w:spacing w:line="275" w:lineRule="exact" w:before="0" w:after="0"/>
        <w:ind w:left="1200" w:right="0" w:hanging="359"/>
        <w:jc w:val="left"/>
        <w:rPr>
          <w:sz w:val="24"/>
        </w:rPr>
      </w:pPr>
      <w:r>
        <w:rPr>
          <w:sz w:val="24"/>
        </w:rPr>
        <w:t>The</w:t>
      </w:r>
      <w:r>
        <w:rPr>
          <w:spacing w:val="-1"/>
          <w:sz w:val="24"/>
        </w:rPr>
        <w:t> </w:t>
      </w:r>
      <w:r>
        <w:rPr>
          <w:sz w:val="24"/>
        </w:rPr>
        <w:t>water</w:t>
      </w:r>
      <w:r>
        <w:rPr>
          <w:spacing w:val="1"/>
          <w:sz w:val="24"/>
        </w:rPr>
        <w:t> </w:t>
      </w:r>
      <w:r>
        <w:rPr>
          <w:sz w:val="24"/>
        </w:rPr>
        <w:t>will</w:t>
      </w:r>
      <w:r>
        <w:rPr>
          <w:spacing w:val="-9"/>
          <w:sz w:val="24"/>
        </w:rPr>
        <w:t> </w:t>
      </w:r>
      <w:r>
        <w:rPr>
          <w:sz w:val="24"/>
        </w:rPr>
        <w:t>rise</w:t>
      </w:r>
      <w:r>
        <w:rPr>
          <w:spacing w:val="-2"/>
          <w:sz w:val="24"/>
        </w:rPr>
        <w:t> </w:t>
      </w:r>
      <w:r>
        <w:rPr>
          <w:sz w:val="24"/>
        </w:rPr>
        <w:t>to a</w:t>
      </w:r>
      <w:r>
        <w:rPr>
          <w:spacing w:val="-2"/>
          <w:sz w:val="24"/>
        </w:rPr>
        <w:t> </w:t>
      </w:r>
      <w:r>
        <w:rPr>
          <w:sz w:val="24"/>
        </w:rPr>
        <w:t>lower level</w:t>
      </w:r>
      <w:r>
        <w:rPr>
          <w:spacing w:val="-5"/>
          <w:sz w:val="24"/>
        </w:rPr>
        <w:t> </w:t>
      </w:r>
      <w:r>
        <w:rPr>
          <w:sz w:val="24"/>
        </w:rPr>
        <w:t>than</w:t>
      </w:r>
      <w:r>
        <w:rPr>
          <w:spacing w:val="4"/>
          <w:sz w:val="24"/>
        </w:rPr>
        <w:t> </w:t>
      </w:r>
      <w:r>
        <w:rPr>
          <w:sz w:val="24"/>
        </w:rPr>
        <w:t>in</w:t>
      </w:r>
      <w:r>
        <w:rPr>
          <w:spacing w:val="-1"/>
          <w:sz w:val="24"/>
        </w:rPr>
        <w:t> </w:t>
      </w:r>
      <w:r>
        <w:rPr>
          <w:sz w:val="24"/>
        </w:rPr>
        <w:t>jar</w:t>
      </w:r>
      <w:r>
        <w:rPr>
          <w:spacing w:val="2"/>
          <w:sz w:val="24"/>
        </w:rPr>
        <w:t> </w:t>
      </w:r>
      <w:r>
        <w:rPr>
          <w:spacing w:val="-5"/>
          <w:sz w:val="24"/>
        </w:rPr>
        <w:t>1.</w:t>
      </w:r>
    </w:p>
    <w:p>
      <w:pPr>
        <w:pStyle w:val="ListParagraph"/>
        <w:numPr>
          <w:ilvl w:val="1"/>
          <w:numId w:val="26"/>
        </w:numPr>
        <w:tabs>
          <w:tab w:pos="1199" w:val="left" w:leader="none"/>
        </w:tabs>
        <w:spacing w:line="237" w:lineRule="auto" w:before="4" w:after="0"/>
        <w:ind w:left="480" w:right="4200" w:firstLine="360"/>
        <w:jc w:val="left"/>
        <w:rPr>
          <w:sz w:val="24"/>
        </w:rPr>
      </w:pPr>
      <w:r>
        <w:rPr>
          <w:sz w:val="24"/>
        </w:rPr>
        <w:t>The</w:t>
      </w:r>
      <w:r>
        <w:rPr>
          <w:spacing w:val="-4"/>
          <w:sz w:val="24"/>
        </w:rPr>
        <w:t> </w:t>
      </w:r>
      <w:r>
        <w:rPr>
          <w:sz w:val="24"/>
        </w:rPr>
        <w:t>water</w:t>
      </w:r>
      <w:r>
        <w:rPr>
          <w:spacing w:val="-2"/>
          <w:sz w:val="24"/>
        </w:rPr>
        <w:t> </w:t>
      </w:r>
      <w:r>
        <w:rPr>
          <w:sz w:val="24"/>
        </w:rPr>
        <w:t>will</w:t>
      </w:r>
      <w:r>
        <w:rPr>
          <w:spacing w:val="-11"/>
          <w:sz w:val="24"/>
        </w:rPr>
        <w:t> </w:t>
      </w:r>
      <w:r>
        <w:rPr>
          <w:sz w:val="24"/>
        </w:rPr>
        <w:t>rise</w:t>
      </w:r>
      <w:r>
        <w:rPr>
          <w:spacing w:val="-4"/>
          <w:sz w:val="24"/>
        </w:rPr>
        <w:t> </w:t>
      </w:r>
      <w:r>
        <w:rPr>
          <w:sz w:val="24"/>
        </w:rPr>
        <w:t>to</w:t>
      </w:r>
      <w:r>
        <w:rPr>
          <w:spacing w:val="-8"/>
          <w:sz w:val="24"/>
        </w:rPr>
        <w:t> </w:t>
      </w:r>
      <w:r>
        <w:rPr>
          <w:sz w:val="24"/>
        </w:rPr>
        <w:t>the</w:t>
      </w:r>
      <w:r>
        <w:rPr>
          <w:spacing w:val="-4"/>
          <w:sz w:val="24"/>
        </w:rPr>
        <w:t> </w:t>
      </w:r>
      <w:r>
        <w:rPr>
          <w:sz w:val="24"/>
        </w:rPr>
        <w:t>same level</w:t>
      </w:r>
      <w:r>
        <w:rPr>
          <w:spacing w:val="-8"/>
          <w:sz w:val="24"/>
        </w:rPr>
        <w:t> </w:t>
      </w:r>
      <w:r>
        <w:rPr>
          <w:sz w:val="24"/>
        </w:rPr>
        <w:t>as</w:t>
      </w:r>
      <w:r>
        <w:rPr>
          <w:spacing w:val="-1"/>
          <w:sz w:val="24"/>
        </w:rPr>
        <w:t> </w:t>
      </w:r>
      <w:r>
        <w:rPr>
          <w:sz w:val="24"/>
        </w:rPr>
        <w:t>in jar</w:t>
      </w:r>
      <w:r>
        <w:rPr>
          <w:spacing w:val="-1"/>
          <w:sz w:val="24"/>
        </w:rPr>
        <w:t> </w:t>
      </w:r>
      <w:r>
        <w:rPr>
          <w:sz w:val="24"/>
        </w:rPr>
        <w:t>1. </w:t>
      </w:r>
      <w:r>
        <w:rPr>
          <w:spacing w:val="-2"/>
          <w:sz w:val="24"/>
        </w:rPr>
        <w:t>REASON</w:t>
      </w:r>
    </w:p>
    <w:p>
      <w:pPr>
        <w:pStyle w:val="ListParagraph"/>
        <w:numPr>
          <w:ilvl w:val="2"/>
          <w:numId w:val="26"/>
        </w:numPr>
        <w:tabs>
          <w:tab w:pos="1201" w:val="left" w:leader="none"/>
        </w:tabs>
        <w:spacing w:line="275" w:lineRule="exact" w:before="4" w:after="0"/>
        <w:ind w:left="1201" w:right="0" w:hanging="360"/>
        <w:jc w:val="left"/>
        <w:rPr>
          <w:sz w:val="24"/>
        </w:rPr>
      </w:pPr>
      <w:r>
        <w:rPr>
          <w:sz w:val="24"/>
        </w:rPr>
        <w:t>The</w:t>
      </w:r>
      <w:r>
        <w:rPr>
          <w:spacing w:val="-2"/>
          <w:sz w:val="24"/>
        </w:rPr>
        <w:t> </w:t>
      </w:r>
      <w:r>
        <w:rPr>
          <w:sz w:val="24"/>
        </w:rPr>
        <w:t>weights are</w:t>
      </w:r>
      <w:r>
        <w:rPr>
          <w:spacing w:val="1"/>
          <w:sz w:val="24"/>
        </w:rPr>
        <w:t> </w:t>
      </w:r>
      <w:r>
        <w:rPr>
          <w:sz w:val="24"/>
        </w:rPr>
        <w:t>the same</w:t>
      </w:r>
      <w:r>
        <w:rPr>
          <w:spacing w:val="1"/>
          <w:sz w:val="24"/>
        </w:rPr>
        <w:t> </w:t>
      </w:r>
      <w:r>
        <w:rPr>
          <w:sz w:val="24"/>
        </w:rPr>
        <w:t>size</w:t>
      </w:r>
      <w:r>
        <w:rPr>
          <w:spacing w:val="1"/>
          <w:sz w:val="24"/>
        </w:rPr>
        <w:t> </w:t>
      </w:r>
      <w:r>
        <w:rPr>
          <w:sz w:val="24"/>
        </w:rPr>
        <w:t>so</w:t>
      </w:r>
      <w:r>
        <w:rPr>
          <w:spacing w:val="5"/>
          <w:sz w:val="24"/>
        </w:rPr>
        <w:t> </w:t>
      </w:r>
      <w:r>
        <w:rPr>
          <w:sz w:val="24"/>
        </w:rPr>
        <w:t>they</w:t>
      </w:r>
      <w:r>
        <w:rPr>
          <w:spacing w:val="-9"/>
          <w:sz w:val="24"/>
        </w:rPr>
        <w:t> </w:t>
      </w:r>
      <w:r>
        <w:rPr>
          <w:sz w:val="24"/>
        </w:rPr>
        <w:t>will take</w:t>
      </w:r>
      <w:r>
        <w:rPr>
          <w:spacing w:val="1"/>
          <w:sz w:val="24"/>
        </w:rPr>
        <w:t> </w:t>
      </w:r>
      <w:r>
        <w:rPr>
          <w:sz w:val="24"/>
        </w:rPr>
        <w:t>up</w:t>
      </w:r>
      <w:r>
        <w:rPr>
          <w:spacing w:val="-3"/>
          <w:sz w:val="24"/>
        </w:rPr>
        <w:t> </w:t>
      </w:r>
      <w:r>
        <w:rPr>
          <w:sz w:val="24"/>
        </w:rPr>
        <w:t>equal</w:t>
      </w:r>
      <w:r>
        <w:rPr>
          <w:spacing w:val="-8"/>
          <w:sz w:val="24"/>
        </w:rPr>
        <w:t> </w:t>
      </w:r>
      <w:r>
        <w:rPr>
          <w:sz w:val="24"/>
        </w:rPr>
        <w:t>amounts</w:t>
      </w:r>
      <w:r>
        <w:rPr>
          <w:spacing w:val="1"/>
          <w:sz w:val="24"/>
        </w:rPr>
        <w:t> </w:t>
      </w:r>
      <w:r>
        <w:rPr>
          <w:sz w:val="24"/>
        </w:rPr>
        <w:t>of</w:t>
      </w:r>
      <w:r>
        <w:rPr>
          <w:spacing w:val="-6"/>
          <w:sz w:val="24"/>
        </w:rPr>
        <w:t> </w:t>
      </w:r>
      <w:r>
        <w:rPr>
          <w:spacing w:val="-2"/>
          <w:sz w:val="24"/>
        </w:rPr>
        <w:t>space.</w:t>
      </w:r>
    </w:p>
    <w:p>
      <w:pPr>
        <w:pStyle w:val="ListParagraph"/>
        <w:numPr>
          <w:ilvl w:val="2"/>
          <w:numId w:val="26"/>
        </w:numPr>
        <w:tabs>
          <w:tab w:pos="1201" w:val="left" w:leader="none"/>
        </w:tabs>
        <w:spacing w:line="275" w:lineRule="exact" w:before="0" w:after="0"/>
        <w:ind w:left="1201" w:right="0" w:hanging="360"/>
        <w:jc w:val="left"/>
        <w:rPr>
          <w:sz w:val="24"/>
        </w:rPr>
      </w:pPr>
      <w:r>
        <w:rPr>
          <w:sz w:val="24"/>
        </w:rPr>
        <w:t>The</w:t>
      </w:r>
      <w:r>
        <w:rPr>
          <w:spacing w:val="-4"/>
          <w:sz w:val="24"/>
        </w:rPr>
        <w:t> </w:t>
      </w:r>
      <w:r>
        <w:rPr>
          <w:sz w:val="24"/>
        </w:rPr>
        <w:t>heavier</w:t>
      </w:r>
      <w:r>
        <w:rPr>
          <w:spacing w:val="3"/>
          <w:sz w:val="24"/>
        </w:rPr>
        <w:t> </w:t>
      </w:r>
      <w:r>
        <w:rPr>
          <w:sz w:val="24"/>
        </w:rPr>
        <w:t>the metal</w:t>
      </w:r>
      <w:r>
        <w:rPr>
          <w:spacing w:val="-9"/>
          <w:sz w:val="24"/>
        </w:rPr>
        <w:t> </w:t>
      </w:r>
      <w:r>
        <w:rPr>
          <w:sz w:val="24"/>
        </w:rPr>
        <w:t>weight, the</w:t>
      </w:r>
      <w:r>
        <w:rPr>
          <w:spacing w:val="-1"/>
          <w:sz w:val="24"/>
        </w:rPr>
        <w:t> </w:t>
      </w:r>
      <w:r>
        <w:rPr>
          <w:sz w:val="24"/>
        </w:rPr>
        <w:t>higher</w:t>
      </w:r>
      <w:r>
        <w:rPr>
          <w:spacing w:val="1"/>
          <w:sz w:val="24"/>
        </w:rPr>
        <w:t> </w:t>
      </w:r>
      <w:r>
        <w:rPr>
          <w:sz w:val="24"/>
        </w:rPr>
        <w:t>the</w:t>
      </w:r>
      <w:r>
        <w:rPr>
          <w:spacing w:val="-2"/>
          <w:sz w:val="24"/>
        </w:rPr>
        <w:t> </w:t>
      </w:r>
      <w:r>
        <w:rPr>
          <w:sz w:val="24"/>
        </w:rPr>
        <w:t>water</w:t>
      </w:r>
      <w:r>
        <w:rPr>
          <w:spacing w:val="-3"/>
          <w:sz w:val="24"/>
        </w:rPr>
        <w:t> </w:t>
      </w:r>
      <w:r>
        <w:rPr>
          <w:sz w:val="24"/>
        </w:rPr>
        <w:t>will</w:t>
      </w:r>
      <w:r>
        <w:rPr>
          <w:spacing w:val="-8"/>
          <w:sz w:val="24"/>
        </w:rPr>
        <w:t> </w:t>
      </w:r>
      <w:r>
        <w:rPr>
          <w:spacing w:val="-2"/>
          <w:sz w:val="24"/>
        </w:rPr>
        <w:t>rise.</w:t>
      </w:r>
    </w:p>
    <w:p>
      <w:pPr>
        <w:pStyle w:val="ListParagraph"/>
        <w:numPr>
          <w:ilvl w:val="2"/>
          <w:numId w:val="26"/>
        </w:numPr>
        <w:tabs>
          <w:tab w:pos="1201" w:val="left" w:leader="none"/>
        </w:tabs>
        <w:spacing w:line="275" w:lineRule="exact" w:before="2" w:after="0"/>
        <w:ind w:left="1201" w:right="0" w:hanging="360"/>
        <w:jc w:val="left"/>
        <w:rPr>
          <w:sz w:val="24"/>
        </w:rPr>
      </w:pPr>
      <w:r>
        <w:rPr>
          <w:sz w:val="24"/>
        </w:rPr>
        <w:t>The</w:t>
      </w:r>
      <w:r>
        <w:rPr>
          <w:spacing w:val="-3"/>
          <w:sz w:val="24"/>
        </w:rPr>
        <w:t> </w:t>
      </w:r>
      <w:r>
        <w:rPr>
          <w:sz w:val="24"/>
        </w:rPr>
        <w:t>heavy</w:t>
      </w:r>
      <w:r>
        <w:rPr>
          <w:spacing w:val="-5"/>
          <w:sz w:val="24"/>
        </w:rPr>
        <w:t> </w:t>
      </w:r>
      <w:r>
        <w:rPr>
          <w:sz w:val="24"/>
        </w:rPr>
        <w:t>metal</w:t>
      </w:r>
      <w:r>
        <w:rPr>
          <w:spacing w:val="-9"/>
          <w:sz w:val="24"/>
        </w:rPr>
        <w:t> </w:t>
      </w:r>
      <w:r>
        <w:rPr>
          <w:sz w:val="24"/>
        </w:rPr>
        <w:t>weight</w:t>
      </w:r>
      <w:r>
        <w:rPr>
          <w:spacing w:val="5"/>
          <w:sz w:val="24"/>
        </w:rPr>
        <w:t> </w:t>
      </w:r>
      <w:r>
        <w:rPr>
          <w:sz w:val="24"/>
        </w:rPr>
        <w:t>has</w:t>
      </w:r>
      <w:r>
        <w:rPr>
          <w:spacing w:val="6"/>
          <w:sz w:val="24"/>
        </w:rPr>
        <w:t> </w:t>
      </w:r>
      <w:r>
        <w:rPr>
          <w:sz w:val="24"/>
        </w:rPr>
        <w:t>more</w:t>
      </w:r>
      <w:r>
        <w:rPr>
          <w:spacing w:val="-2"/>
          <w:sz w:val="24"/>
        </w:rPr>
        <w:t> </w:t>
      </w:r>
      <w:r>
        <w:rPr>
          <w:sz w:val="24"/>
        </w:rPr>
        <w:t>pressure,</w:t>
      </w:r>
      <w:r>
        <w:rPr>
          <w:spacing w:val="-3"/>
          <w:sz w:val="24"/>
        </w:rPr>
        <w:t> </w:t>
      </w:r>
      <w:r>
        <w:rPr>
          <w:sz w:val="24"/>
        </w:rPr>
        <w:t>therefore</w:t>
      </w:r>
      <w:r>
        <w:rPr>
          <w:spacing w:val="-2"/>
          <w:sz w:val="24"/>
        </w:rPr>
        <w:t> </w:t>
      </w:r>
      <w:r>
        <w:rPr>
          <w:sz w:val="24"/>
        </w:rPr>
        <w:t>the</w:t>
      </w:r>
      <w:r>
        <w:rPr>
          <w:spacing w:val="-1"/>
          <w:sz w:val="24"/>
        </w:rPr>
        <w:t> </w:t>
      </w:r>
      <w:r>
        <w:rPr>
          <w:sz w:val="24"/>
        </w:rPr>
        <w:t>water</w:t>
      </w:r>
      <w:r>
        <w:rPr>
          <w:spacing w:val="-3"/>
          <w:sz w:val="24"/>
        </w:rPr>
        <w:t> </w:t>
      </w:r>
      <w:r>
        <w:rPr>
          <w:sz w:val="24"/>
        </w:rPr>
        <w:t>will</w:t>
      </w:r>
      <w:r>
        <w:rPr>
          <w:spacing w:val="-4"/>
          <w:sz w:val="24"/>
        </w:rPr>
        <w:t> </w:t>
      </w:r>
      <w:r>
        <w:rPr>
          <w:sz w:val="24"/>
        </w:rPr>
        <w:t>rise</w:t>
      </w:r>
      <w:r>
        <w:rPr>
          <w:spacing w:val="4"/>
          <w:sz w:val="24"/>
        </w:rPr>
        <w:t> </w:t>
      </w:r>
      <w:r>
        <w:rPr>
          <w:spacing w:val="-2"/>
          <w:sz w:val="24"/>
        </w:rPr>
        <w:t>lower.</w:t>
      </w:r>
    </w:p>
    <w:p>
      <w:pPr>
        <w:pStyle w:val="ListParagraph"/>
        <w:numPr>
          <w:ilvl w:val="2"/>
          <w:numId w:val="26"/>
        </w:numPr>
        <w:tabs>
          <w:tab w:pos="1201" w:val="left" w:leader="none"/>
        </w:tabs>
        <w:spacing w:line="275" w:lineRule="exact" w:before="0" w:after="0"/>
        <w:ind w:left="1201" w:right="0" w:hanging="360"/>
        <w:jc w:val="left"/>
        <w:rPr>
          <w:sz w:val="24"/>
        </w:rPr>
      </w:pPr>
      <w:r>
        <w:rPr>
          <w:sz w:val="24"/>
        </w:rPr>
        <w:t>The</w:t>
      </w:r>
      <w:r>
        <w:rPr>
          <w:spacing w:val="-3"/>
          <w:sz w:val="24"/>
        </w:rPr>
        <w:t> </w:t>
      </w:r>
      <w:r>
        <w:rPr>
          <w:sz w:val="24"/>
        </w:rPr>
        <w:t>heavier</w:t>
      </w:r>
      <w:r>
        <w:rPr>
          <w:spacing w:val="1"/>
          <w:sz w:val="24"/>
        </w:rPr>
        <w:t> </w:t>
      </w:r>
      <w:r>
        <w:rPr>
          <w:sz w:val="24"/>
        </w:rPr>
        <w:t>the</w:t>
      </w:r>
      <w:r>
        <w:rPr>
          <w:spacing w:val="-1"/>
          <w:sz w:val="24"/>
        </w:rPr>
        <w:t> </w:t>
      </w:r>
      <w:r>
        <w:rPr>
          <w:sz w:val="24"/>
        </w:rPr>
        <w:t>metal</w:t>
      </w:r>
      <w:r>
        <w:rPr>
          <w:spacing w:val="-9"/>
          <w:sz w:val="24"/>
        </w:rPr>
        <w:t> </w:t>
      </w:r>
      <w:r>
        <w:rPr>
          <w:sz w:val="24"/>
        </w:rPr>
        <w:t>weight,</w:t>
      </w:r>
      <w:r>
        <w:rPr>
          <w:spacing w:val="3"/>
          <w:sz w:val="24"/>
        </w:rPr>
        <w:t> </w:t>
      </w:r>
      <w:r>
        <w:rPr>
          <w:sz w:val="24"/>
        </w:rPr>
        <w:t>the lowerthe</w:t>
      </w:r>
      <w:r>
        <w:rPr>
          <w:spacing w:val="1"/>
          <w:sz w:val="24"/>
        </w:rPr>
        <w:t> </w:t>
      </w:r>
      <w:r>
        <w:rPr>
          <w:sz w:val="24"/>
        </w:rPr>
        <w:t>water</w:t>
      </w:r>
      <w:r>
        <w:rPr>
          <w:spacing w:val="-8"/>
          <w:sz w:val="24"/>
        </w:rPr>
        <w:t> </w:t>
      </w:r>
      <w:r>
        <w:rPr>
          <w:sz w:val="24"/>
        </w:rPr>
        <w:t>will</w:t>
      </w:r>
      <w:r>
        <w:rPr>
          <w:spacing w:val="-8"/>
          <w:sz w:val="24"/>
        </w:rPr>
        <w:t> </w:t>
      </w:r>
      <w:r>
        <w:rPr>
          <w:spacing w:val="-2"/>
          <w:sz w:val="24"/>
        </w:rPr>
        <w:t>rise.</w:t>
      </w:r>
    </w:p>
    <w:p>
      <w:pPr>
        <w:spacing w:after="0" w:line="275" w:lineRule="exact"/>
        <w:jc w:val="left"/>
        <w:rPr>
          <w:sz w:val="24"/>
        </w:rPr>
        <w:sectPr>
          <w:pgSz w:w="11910" w:h="16840"/>
          <w:pgMar w:header="0" w:footer="1012" w:top="1340" w:bottom="1200" w:left="1680" w:right="280"/>
        </w:sectPr>
      </w:pPr>
    </w:p>
    <w:p>
      <w:pPr>
        <w:pStyle w:val="BodyText"/>
        <w:spacing w:before="74"/>
        <w:jc w:val="left"/>
      </w:pPr>
      <w:r>
        <w:rPr/>
        <w:t>Item</w:t>
      </w:r>
      <w:r>
        <w:rPr>
          <w:spacing w:val="-2"/>
        </w:rPr>
        <w:t> </w:t>
      </w:r>
      <w:r>
        <w:rPr>
          <w:spacing w:val="-12"/>
        </w:rPr>
        <w:t>3</w:t>
      </w:r>
    </w:p>
    <w:p>
      <w:pPr>
        <w:pStyle w:val="BodyText"/>
        <w:spacing w:before="4"/>
        <w:ind w:left="0"/>
        <w:jc w:val="left"/>
      </w:pPr>
    </w:p>
    <w:p>
      <w:pPr>
        <w:spacing w:before="0"/>
        <w:ind w:left="504" w:right="1187" w:firstLine="0"/>
        <w:jc w:val="center"/>
        <w:rPr>
          <w:b/>
          <w:sz w:val="24"/>
        </w:rPr>
      </w:pPr>
      <w:r>
        <w:rPr>
          <w:b/>
          <w:sz w:val="24"/>
          <w:u w:val="single"/>
        </w:rPr>
        <w:t>Glass</w:t>
      </w:r>
      <w:r>
        <w:rPr>
          <w:b/>
          <w:spacing w:val="-6"/>
          <w:sz w:val="24"/>
          <w:u w:val="single"/>
        </w:rPr>
        <w:t> </w:t>
      </w:r>
      <w:r>
        <w:rPr>
          <w:b/>
          <w:sz w:val="24"/>
          <w:u w:val="single"/>
        </w:rPr>
        <w:t>Size</w:t>
      </w:r>
      <w:r>
        <w:rPr>
          <w:b/>
          <w:spacing w:val="-3"/>
          <w:sz w:val="24"/>
          <w:u w:val="single"/>
        </w:rPr>
        <w:t> </w:t>
      </w:r>
      <w:r>
        <w:rPr>
          <w:b/>
          <w:spacing w:val="-7"/>
          <w:sz w:val="24"/>
          <w:u w:val="single"/>
        </w:rPr>
        <w:t>#2</w:t>
      </w:r>
    </w:p>
    <w:p>
      <w:pPr>
        <w:pStyle w:val="BodyText"/>
        <w:spacing w:line="480" w:lineRule="auto" w:before="272" w:after="8"/>
        <w:ind w:right="1170" w:firstLine="720"/>
        <w:jc w:val="left"/>
      </w:pPr>
      <w:r>
        <w:rPr/>
        <w:t>The</w:t>
      </w:r>
      <w:r>
        <w:rPr>
          <w:spacing w:val="-3"/>
        </w:rPr>
        <w:t> </w:t>
      </w:r>
      <w:r>
        <w:rPr/>
        <w:t>drawing shows</w:t>
      </w:r>
      <w:r>
        <w:rPr>
          <w:spacing w:val="-5"/>
        </w:rPr>
        <w:t> </w:t>
      </w:r>
      <w:r>
        <w:rPr/>
        <w:t>two glasses,</w:t>
      </w:r>
      <w:r>
        <w:rPr>
          <w:spacing w:val="-1"/>
        </w:rPr>
        <w:t> </w:t>
      </w:r>
      <w:r>
        <w:rPr/>
        <w:t>a</w:t>
      </w:r>
      <w:r>
        <w:rPr>
          <w:spacing w:val="-3"/>
        </w:rPr>
        <w:t> </w:t>
      </w:r>
      <w:r>
        <w:rPr/>
        <w:t>small</w:t>
      </w:r>
      <w:r>
        <w:rPr>
          <w:spacing w:val="-3"/>
        </w:rPr>
        <w:t> </w:t>
      </w:r>
      <w:r>
        <w:rPr/>
        <w:t>one</w:t>
      </w:r>
      <w:r>
        <w:rPr>
          <w:spacing w:val="-3"/>
        </w:rPr>
        <w:t> </w:t>
      </w:r>
      <w:r>
        <w:rPr/>
        <w:t>and</w:t>
      </w:r>
      <w:r>
        <w:rPr>
          <w:spacing w:val="-3"/>
        </w:rPr>
        <w:t> </w:t>
      </w:r>
      <w:r>
        <w:rPr/>
        <w:t>a large</w:t>
      </w:r>
      <w:r>
        <w:rPr>
          <w:spacing w:val="-3"/>
        </w:rPr>
        <w:t> </w:t>
      </w:r>
      <w:r>
        <w:rPr/>
        <w:t>one.</w:t>
      </w:r>
      <w:r>
        <w:rPr>
          <w:spacing w:val="-1"/>
        </w:rPr>
        <w:t> </w:t>
      </w:r>
      <w:r>
        <w:rPr/>
        <w:t>It also shows</w:t>
      </w:r>
      <w:r>
        <w:rPr>
          <w:spacing w:val="-5"/>
        </w:rPr>
        <w:t> </w:t>
      </w:r>
      <w:r>
        <w:rPr/>
        <w:t>two jars, a small one and a large one.</w:t>
      </w:r>
    </w:p>
    <w:p>
      <w:pPr>
        <w:pStyle w:val="BodyText"/>
        <w:ind w:left="1950"/>
        <w:jc w:val="left"/>
        <w:rPr>
          <w:sz w:val="20"/>
        </w:rPr>
      </w:pPr>
      <w:r>
        <w:rPr>
          <w:sz w:val="20"/>
        </w:rPr>
        <w:drawing>
          <wp:inline distT="0" distB="0" distL="0" distR="0">
            <wp:extent cx="4219579" cy="1429130"/>
            <wp:effectExtent l="0" t="0" r="0" b="0"/>
            <wp:docPr id="30" name="Image 30" descr="C:\Users\ameer\Desktop\AMOS PIXX\6.jpg"/>
            <wp:cNvGraphicFramePr>
              <a:graphicFrameLocks/>
            </wp:cNvGraphicFramePr>
            <a:graphic>
              <a:graphicData uri="http://schemas.openxmlformats.org/drawingml/2006/picture">
                <pic:pic>
                  <pic:nvPicPr>
                    <pic:cNvPr id="30" name="Image 30" descr="C:\Users\ameer\Desktop\AMOS PIXX\6.jpg"/>
                    <pic:cNvPicPr/>
                  </pic:nvPicPr>
                  <pic:blipFill>
                    <a:blip r:embed="rId45" cstate="print"/>
                    <a:stretch>
                      <a:fillRect/>
                    </a:stretch>
                  </pic:blipFill>
                  <pic:spPr>
                    <a:xfrm>
                      <a:off x="0" y="0"/>
                      <a:ext cx="4219579" cy="1429130"/>
                    </a:xfrm>
                    <a:prstGeom prst="rect">
                      <a:avLst/>
                    </a:prstGeom>
                  </pic:spPr>
                </pic:pic>
              </a:graphicData>
            </a:graphic>
          </wp:inline>
        </w:drawing>
      </w:r>
      <w:r>
        <w:rPr>
          <w:sz w:val="20"/>
        </w:rPr>
      </w:r>
    </w:p>
    <w:p>
      <w:pPr>
        <w:pStyle w:val="BodyText"/>
        <w:spacing w:line="480" w:lineRule="auto" w:before="253"/>
        <w:ind w:right="1170" w:firstLine="720"/>
        <w:jc w:val="left"/>
      </w:pPr>
      <w:r>
        <w:rPr/>
        <w:t>It</w:t>
      </w:r>
      <w:r>
        <w:rPr>
          <w:spacing w:val="20"/>
        </w:rPr>
        <w:t> </w:t>
      </w:r>
      <w:r>
        <w:rPr/>
        <w:t>takes 15</w:t>
      </w:r>
      <w:r>
        <w:rPr>
          <w:spacing w:val="20"/>
        </w:rPr>
        <w:t> </w:t>
      </w:r>
      <w:r>
        <w:rPr/>
        <w:t>small glasses of water</w:t>
      </w:r>
      <w:r>
        <w:rPr>
          <w:spacing w:val="22"/>
        </w:rPr>
        <w:t> </w:t>
      </w:r>
      <w:r>
        <w:rPr/>
        <w:t>or</w:t>
      </w:r>
      <w:r>
        <w:rPr>
          <w:spacing w:val="21"/>
        </w:rPr>
        <w:t> </w:t>
      </w:r>
      <w:r>
        <w:rPr/>
        <w:t>9</w:t>
      </w:r>
      <w:r>
        <w:rPr>
          <w:spacing w:val="20"/>
        </w:rPr>
        <w:t> </w:t>
      </w:r>
      <w:r>
        <w:rPr/>
        <w:t>large</w:t>
      </w:r>
      <w:r>
        <w:rPr>
          <w:spacing w:val="19"/>
        </w:rPr>
        <w:t> </w:t>
      </w:r>
      <w:r>
        <w:rPr/>
        <w:t>glasses of water</w:t>
      </w:r>
      <w:r>
        <w:rPr>
          <w:spacing w:val="21"/>
        </w:rPr>
        <w:t> </w:t>
      </w:r>
      <w:r>
        <w:rPr/>
        <w:t>to</w:t>
      </w:r>
      <w:r>
        <w:rPr>
          <w:spacing w:val="25"/>
        </w:rPr>
        <w:t> </w:t>
      </w:r>
      <w:r>
        <w:rPr/>
        <w:t>fill the</w:t>
      </w:r>
      <w:r>
        <w:rPr>
          <w:spacing w:val="24"/>
        </w:rPr>
        <w:t> </w:t>
      </w:r>
      <w:r>
        <w:rPr/>
        <w:t>large jar. It takes 10 small glasses of water to fill the small jar.</w:t>
      </w:r>
    </w:p>
    <w:p>
      <w:pPr>
        <w:pStyle w:val="BodyText"/>
        <w:spacing w:line="480" w:lineRule="auto"/>
        <w:ind w:right="1170"/>
        <w:jc w:val="left"/>
      </w:pPr>
      <w:r>
        <w:rPr/>
        <w:t>HOW</w:t>
      </w:r>
      <w:r>
        <w:rPr>
          <w:spacing w:val="40"/>
        </w:rPr>
        <w:t> </w:t>
      </w:r>
      <w:r>
        <w:rPr/>
        <w:t>MANY</w:t>
      </w:r>
      <w:r>
        <w:rPr>
          <w:spacing w:val="40"/>
        </w:rPr>
        <w:t> </w:t>
      </w:r>
      <w:r>
        <w:rPr/>
        <w:t>LARGE</w:t>
      </w:r>
      <w:r>
        <w:rPr>
          <w:spacing w:val="40"/>
        </w:rPr>
        <w:t> </w:t>
      </w:r>
      <w:r>
        <w:rPr/>
        <w:t>GLASSES</w:t>
      </w:r>
      <w:r>
        <w:rPr>
          <w:spacing w:val="40"/>
        </w:rPr>
        <w:t> </w:t>
      </w:r>
      <w:r>
        <w:rPr/>
        <w:t>OF</w:t>
      </w:r>
      <w:r>
        <w:rPr>
          <w:spacing w:val="40"/>
        </w:rPr>
        <w:t> </w:t>
      </w:r>
      <w:r>
        <w:rPr/>
        <w:t>WATER</w:t>
      </w:r>
      <w:r>
        <w:rPr>
          <w:spacing w:val="40"/>
        </w:rPr>
        <w:t> </w:t>
      </w:r>
      <w:r>
        <w:rPr/>
        <w:t>DOES</w:t>
      </w:r>
      <w:r>
        <w:rPr>
          <w:spacing w:val="40"/>
        </w:rPr>
        <w:t> </w:t>
      </w:r>
      <w:r>
        <w:rPr/>
        <w:t>IT</w:t>
      </w:r>
      <w:r>
        <w:rPr>
          <w:spacing w:val="40"/>
        </w:rPr>
        <w:t> </w:t>
      </w:r>
      <w:r>
        <w:rPr/>
        <w:t>TAKE</w:t>
      </w:r>
      <w:r>
        <w:rPr>
          <w:spacing w:val="40"/>
        </w:rPr>
        <w:t> </w:t>
      </w:r>
      <w:r>
        <w:rPr/>
        <w:t>TO</w:t>
      </w:r>
      <w:r>
        <w:rPr>
          <w:spacing w:val="40"/>
        </w:rPr>
        <w:t> </w:t>
      </w:r>
      <w:r>
        <w:rPr/>
        <w:t>FILL</w:t>
      </w:r>
      <w:r>
        <w:rPr>
          <w:spacing w:val="40"/>
        </w:rPr>
        <w:t> </w:t>
      </w:r>
      <w:r>
        <w:rPr/>
        <w:t>THE SAME SMALL JAR?</w:t>
      </w:r>
    </w:p>
    <w:p>
      <w:pPr>
        <w:pStyle w:val="ListParagraph"/>
        <w:numPr>
          <w:ilvl w:val="3"/>
          <w:numId w:val="26"/>
        </w:numPr>
        <w:tabs>
          <w:tab w:pos="1200" w:val="left" w:leader="none"/>
        </w:tabs>
        <w:spacing w:line="240" w:lineRule="auto" w:before="1" w:after="0"/>
        <w:ind w:left="1200" w:right="0" w:hanging="359"/>
        <w:jc w:val="left"/>
        <w:rPr>
          <w:sz w:val="24"/>
        </w:rPr>
      </w:pPr>
      <w:r>
        <w:rPr>
          <w:spacing w:val="-10"/>
          <w:sz w:val="24"/>
        </w:rPr>
        <w:t>4</w:t>
      </w:r>
    </w:p>
    <w:p>
      <w:pPr>
        <w:pStyle w:val="ListParagraph"/>
        <w:numPr>
          <w:ilvl w:val="3"/>
          <w:numId w:val="26"/>
        </w:numPr>
        <w:tabs>
          <w:tab w:pos="1200" w:val="left" w:leader="none"/>
        </w:tabs>
        <w:spacing w:line="240" w:lineRule="auto" w:before="276" w:after="0"/>
        <w:ind w:left="1200" w:right="0" w:hanging="359"/>
        <w:jc w:val="left"/>
        <w:rPr>
          <w:sz w:val="24"/>
        </w:rPr>
      </w:pPr>
      <w:r>
        <w:rPr>
          <w:spacing w:val="-10"/>
          <w:sz w:val="24"/>
        </w:rPr>
        <w:t>5</w:t>
      </w:r>
    </w:p>
    <w:p>
      <w:pPr>
        <w:pStyle w:val="BodyText"/>
        <w:ind w:left="0"/>
        <w:jc w:val="left"/>
      </w:pPr>
    </w:p>
    <w:p>
      <w:pPr>
        <w:pStyle w:val="ListParagraph"/>
        <w:numPr>
          <w:ilvl w:val="3"/>
          <w:numId w:val="26"/>
        </w:numPr>
        <w:tabs>
          <w:tab w:pos="1200" w:val="left" w:leader="none"/>
        </w:tabs>
        <w:spacing w:line="240" w:lineRule="auto" w:before="0" w:after="0"/>
        <w:ind w:left="1200" w:right="0" w:hanging="359"/>
        <w:jc w:val="left"/>
        <w:rPr>
          <w:sz w:val="24"/>
        </w:rPr>
      </w:pPr>
      <w:r>
        <w:rPr>
          <w:spacing w:val="-10"/>
          <w:sz w:val="24"/>
        </w:rPr>
        <w:t>6</w:t>
      </w:r>
    </w:p>
    <w:p>
      <w:pPr>
        <w:pStyle w:val="BodyText"/>
        <w:ind w:left="0"/>
        <w:jc w:val="left"/>
      </w:pPr>
    </w:p>
    <w:p>
      <w:pPr>
        <w:pStyle w:val="ListParagraph"/>
        <w:numPr>
          <w:ilvl w:val="3"/>
          <w:numId w:val="26"/>
        </w:numPr>
        <w:tabs>
          <w:tab w:pos="1200" w:val="left" w:leader="none"/>
        </w:tabs>
        <w:spacing w:line="480" w:lineRule="auto" w:before="0" w:after="0"/>
        <w:ind w:left="480" w:right="8253" w:firstLine="360"/>
        <w:jc w:val="left"/>
        <w:rPr>
          <w:sz w:val="24"/>
        </w:rPr>
      </w:pPr>
      <w:r>
        <w:rPr>
          <w:spacing w:val="-2"/>
          <w:sz w:val="24"/>
        </w:rPr>
        <w:t>other REASON</w:t>
      </w:r>
    </w:p>
    <w:p>
      <w:pPr>
        <w:pStyle w:val="ListParagraph"/>
        <w:numPr>
          <w:ilvl w:val="4"/>
          <w:numId w:val="26"/>
        </w:numPr>
        <w:tabs>
          <w:tab w:pos="1201" w:val="left" w:leader="none"/>
        </w:tabs>
        <w:spacing w:line="480" w:lineRule="auto" w:before="1" w:after="0"/>
        <w:ind w:left="1201" w:right="1157" w:hanging="360"/>
        <w:jc w:val="left"/>
        <w:rPr>
          <w:sz w:val="24"/>
        </w:rPr>
      </w:pPr>
      <w:r>
        <w:rPr>
          <w:sz w:val="24"/>
        </w:rPr>
        <w:t>It takes five less small glasses of water to fill the small jar. So it will take five less large glasses of water to fill the same jar.</w:t>
      </w:r>
    </w:p>
    <w:p>
      <w:pPr>
        <w:pStyle w:val="ListParagraph"/>
        <w:numPr>
          <w:ilvl w:val="4"/>
          <w:numId w:val="26"/>
        </w:numPr>
        <w:tabs>
          <w:tab w:pos="1201" w:val="left" w:leader="none"/>
        </w:tabs>
        <w:spacing w:line="240" w:lineRule="auto" w:before="0" w:after="0"/>
        <w:ind w:left="1201" w:right="0" w:hanging="360"/>
        <w:jc w:val="left"/>
        <w:rPr>
          <w:sz w:val="24"/>
        </w:rPr>
      </w:pPr>
      <w:r>
        <w:rPr>
          <w:sz w:val="24"/>
        </w:rPr>
        <w:t>The</w:t>
      </w:r>
      <w:r>
        <w:rPr>
          <w:spacing w:val="-1"/>
          <w:sz w:val="24"/>
        </w:rPr>
        <w:t> </w:t>
      </w:r>
      <w:r>
        <w:rPr>
          <w:sz w:val="24"/>
        </w:rPr>
        <w:t>ratio</w:t>
      </w:r>
      <w:r>
        <w:rPr>
          <w:spacing w:val="1"/>
          <w:sz w:val="24"/>
        </w:rPr>
        <w:t> </w:t>
      </w:r>
      <w:r>
        <w:rPr>
          <w:sz w:val="24"/>
        </w:rPr>
        <w:t>of</w:t>
      </w:r>
      <w:r>
        <w:rPr>
          <w:spacing w:val="-8"/>
          <w:sz w:val="24"/>
        </w:rPr>
        <w:t> </w:t>
      </w:r>
      <w:r>
        <w:rPr>
          <w:sz w:val="24"/>
        </w:rPr>
        <w:t>small</w:t>
      </w:r>
      <w:r>
        <w:rPr>
          <w:spacing w:val="-9"/>
          <w:sz w:val="24"/>
        </w:rPr>
        <w:t> </w:t>
      </w:r>
      <w:r>
        <w:rPr>
          <w:sz w:val="24"/>
        </w:rPr>
        <w:t>to</w:t>
      </w:r>
      <w:r>
        <w:rPr>
          <w:spacing w:val="4"/>
          <w:sz w:val="24"/>
        </w:rPr>
        <w:t> </w:t>
      </w:r>
      <w:r>
        <w:rPr>
          <w:sz w:val="24"/>
        </w:rPr>
        <w:t>large</w:t>
      </w:r>
      <w:r>
        <w:rPr>
          <w:spacing w:val="-1"/>
          <w:sz w:val="24"/>
        </w:rPr>
        <w:t> </w:t>
      </w:r>
      <w:r>
        <w:rPr>
          <w:sz w:val="24"/>
        </w:rPr>
        <w:t>glasses</w:t>
      </w:r>
      <w:r>
        <w:rPr>
          <w:spacing w:val="-2"/>
          <w:sz w:val="24"/>
        </w:rPr>
        <w:t> </w:t>
      </w:r>
      <w:r>
        <w:rPr>
          <w:sz w:val="24"/>
        </w:rPr>
        <w:t>will always</w:t>
      </w:r>
      <w:r>
        <w:rPr>
          <w:spacing w:val="2"/>
          <w:sz w:val="24"/>
        </w:rPr>
        <w:t> </w:t>
      </w:r>
      <w:r>
        <w:rPr>
          <w:sz w:val="24"/>
        </w:rPr>
        <w:t>be</w:t>
      </w:r>
      <w:r>
        <w:rPr>
          <w:spacing w:val="-1"/>
          <w:sz w:val="24"/>
        </w:rPr>
        <w:t> </w:t>
      </w:r>
      <w:r>
        <w:rPr>
          <w:sz w:val="24"/>
        </w:rPr>
        <w:t>5</w:t>
      </w:r>
      <w:r>
        <w:rPr>
          <w:spacing w:val="-5"/>
          <w:sz w:val="24"/>
        </w:rPr>
        <w:t> </w:t>
      </w:r>
      <w:r>
        <w:rPr>
          <w:sz w:val="24"/>
        </w:rPr>
        <w:t>to</w:t>
      </w:r>
      <w:r>
        <w:rPr>
          <w:spacing w:val="5"/>
          <w:sz w:val="24"/>
        </w:rPr>
        <w:t> </w:t>
      </w:r>
      <w:r>
        <w:rPr>
          <w:spacing w:val="-5"/>
          <w:sz w:val="24"/>
        </w:rPr>
        <w:t>3.</w:t>
      </w:r>
    </w:p>
    <w:p>
      <w:pPr>
        <w:pStyle w:val="BodyText"/>
        <w:ind w:left="0"/>
        <w:jc w:val="left"/>
      </w:pPr>
    </w:p>
    <w:p>
      <w:pPr>
        <w:pStyle w:val="ListParagraph"/>
        <w:numPr>
          <w:ilvl w:val="4"/>
          <w:numId w:val="26"/>
        </w:numPr>
        <w:tabs>
          <w:tab w:pos="1201" w:val="left" w:leader="none"/>
        </w:tabs>
        <w:spacing w:line="480" w:lineRule="auto" w:before="0" w:after="0"/>
        <w:ind w:left="1201" w:right="1159" w:hanging="360"/>
        <w:jc w:val="left"/>
        <w:rPr>
          <w:sz w:val="24"/>
        </w:rPr>
      </w:pPr>
      <w:r>
        <w:rPr>
          <w:sz w:val="24"/>
        </w:rPr>
        <w:t>The</w:t>
      </w:r>
      <w:r>
        <w:rPr>
          <w:spacing w:val="26"/>
          <w:sz w:val="24"/>
        </w:rPr>
        <w:t> </w:t>
      </w:r>
      <w:r>
        <w:rPr>
          <w:sz w:val="24"/>
        </w:rPr>
        <w:t>small</w:t>
      </w:r>
      <w:r>
        <w:rPr>
          <w:spacing w:val="18"/>
          <w:sz w:val="24"/>
        </w:rPr>
        <w:t> </w:t>
      </w:r>
      <w:r>
        <w:rPr>
          <w:sz w:val="24"/>
        </w:rPr>
        <w:t>glass</w:t>
      </w:r>
      <w:r>
        <w:rPr>
          <w:spacing w:val="29"/>
          <w:sz w:val="24"/>
        </w:rPr>
        <w:t> </w:t>
      </w:r>
      <w:r>
        <w:rPr>
          <w:sz w:val="24"/>
        </w:rPr>
        <w:t>is</w:t>
      </w:r>
      <w:r>
        <w:rPr>
          <w:spacing w:val="32"/>
          <w:sz w:val="24"/>
        </w:rPr>
        <w:t> </w:t>
      </w:r>
      <w:r>
        <w:rPr>
          <w:sz w:val="24"/>
        </w:rPr>
        <w:t>half</w:t>
      </w:r>
      <w:r>
        <w:rPr>
          <w:spacing w:val="24"/>
          <w:sz w:val="24"/>
        </w:rPr>
        <w:t> </w:t>
      </w:r>
      <w:r>
        <w:rPr>
          <w:sz w:val="24"/>
        </w:rPr>
        <w:t>size</w:t>
      </w:r>
      <w:r>
        <w:rPr>
          <w:spacing w:val="26"/>
          <w:sz w:val="24"/>
        </w:rPr>
        <w:t> </w:t>
      </w:r>
      <w:r>
        <w:rPr>
          <w:sz w:val="24"/>
        </w:rPr>
        <w:t>of</w:t>
      </w:r>
      <w:r>
        <w:rPr>
          <w:spacing w:val="19"/>
          <w:sz w:val="24"/>
        </w:rPr>
        <w:t> </w:t>
      </w:r>
      <w:r>
        <w:rPr>
          <w:sz w:val="24"/>
        </w:rPr>
        <w:t>the</w:t>
      </w:r>
      <w:r>
        <w:rPr>
          <w:spacing w:val="30"/>
          <w:sz w:val="24"/>
        </w:rPr>
        <w:t> </w:t>
      </w:r>
      <w:r>
        <w:rPr>
          <w:sz w:val="24"/>
        </w:rPr>
        <w:t>large</w:t>
      </w:r>
      <w:r>
        <w:rPr>
          <w:spacing w:val="29"/>
          <w:sz w:val="24"/>
        </w:rPr>
        <w:t> </w:t>
      </w:r>
      <w:r>
        <w:rPr>
          <w:sz w:val="24"/>
        </w:rPr>
        <w:t>glass.</w:t>
      </w:r>
      <w:r>
        <w:rPr>
          <w:spacing w:val="29"/>
          <w:sz w:val="24"/>
        </w:rPr>
        <w:t> </w:t>
      </w:r>
      <w:r>
        <w:rPr>
          <w:sz w:val="24"/>
        </w:rPr>
        <w:t>So</w:t>
      </w:r>
      <w:r>
        <w:rPr>
          <w:spacing w:val="31"/>
          <w:sz w:val="24"/>
        </w:rPr>
        <w:t> </w:t>
      </w:r>
      <w:r>
        <w:rPr>
          <w:sz w:val="24"/>
        </w:rPr>
        <w:t>it</w:t>
      </w:r>
      <w:r>
        <w:rPr>
          <w:spacing w:val="32"/>
          <w:sz w:val="24"/>
        </w:rPr>
        <w:t> </w:t>
      </w:r>
      <w:r>
        <w:rPr>
          <w:sz w:val="24"/>
        </w:rPr>
        <w:t>will</w:t>
      </w:r>
      <w:r>
        <w:rPr>
          <w:spacing w:val="26"/>
          <w:sz w:val="24"/>
        </w:rPr>
        <w:t> </w:t>
      </w:r>
      <w:r>
        <w:rPr>
          <w:sz w:val="24"/>
        </w:rPr>
        <w:t>take</w:t>
      </w:r>
      <w:r>
        <w:rPr>
          <w:spacing w:val="27"/>
          <w:sz w:val="24"/>
        </w:rPr>
        <w:t> </w:t>
      </w:r>
      <w:r>
        <w:rPr>
          <w:sz w:val="24"/>
        </w:rPr>
        <w:t>about</w:t>
      </w:r>
      <w:r>
        <w:rPr>
          <w:spacing w:val="27"/>
          <w:sz w:val="24"/>
        </w:rPr>
        <w:t> </w:t>
      </w:r>
      <w:r>
        <w:rPr>
          <w:sz w:val="24"/>
        </w:rPr>
        <w:t>half</w:t>
      </w:r>
      <w:r>
        <w:rPr>
          <w:spacing w:val="23"/>
          <w:sz w:val="24"/>
        </w:rPr>
        <w:t> </w:t>
      </w:r>
      <w:r>
        <w:rPr>
          <w:sz w:val="24"/>
        </w:rPr>
        <w:t>the number of small glasses of water to fill up the same small jar.</w:t>
      </w:r>
    </w:p>
    <w:p>
      <w:pPr>
        <w:pStyle w:val="ListParagraph"/>
        <w:numPr>
          <w:ilvl w:val="4"/>
          <w:numId w:val="26"/>
        </w:numPr>
        <w:tabs>
          <w:tab w:pos="1201" w:val="left" w:leader="none"/>
        </w:tabs>
        <w:spacing w:line="240" w:lineRule="auto" w:before="0" w:after="0"/>
        <w:ind w:left="1201" w:right="0" w:hanging="360"/>
        <w:jc w:val="left"/>
        <w:rPr>
          <w:sz w:val="24"/>
        </w:rPr>
      </w:pPr>
      <w:r>
        <w:rPr>
          <w:sz w:val="24"/>
        </w:rPr>
        <w:t>There</w:t>
      </w:r>
      <w:r>
        <w:rPr>
          <w:spacing w:val="3"/>
          <w:sz w:val="24"/>
        </w:rPr>
        <w:t> </w:t>
      </w:r>
      <w:r>
        <w:rPr>
          <w:sz w:val="24"/>
        </w:rPr>
        <w:t>is</w:t>
      </w:r>
      <w:r>
        <w:rPr>
          <w:spacing w:val="1"/>
          <w:sz w:val="24"/>
        </w:rPr>
        <w:t> </w:t>
      </w:r>
      <w:r>
        <w:rPr>
          <w:sz w:val="24"/>
        </w:rPr>
        <w:t>no</w:t>
      </w:r>
      <w:r>
        <w:rPr>
          <w:spacing w:val="6"/>
          <w:sz w:val="24"/>
        </w:rPr>
        <w:t> </w:t>
      </w:r>
      <w:r>
        <w:rPr>
          <w:sz w:val="24"/>
        </w:rPr>
        <w:t>way</w:t>
      </w:r>
      <w:r>
        <w:rPr>
          <w:spacing w:val="-9"/>
          <w:sz w:val="24"/>
        </w:rPr>
        <w:t> </w:t>
      </w:r>
      <w:r>
        <w:rPr>
          <w:sz w:val="24"/>
        </w:rPr>
        <w:t>of</w:t>
      </w:r>
      <w:r>
        <w:rPr>
          <w:spacing w:val="-8"/>
          <w:sz w:val="24"/>
        </w:rPr>
        <w:t> </w:t>
      </w:r>
      <w:r>
        <w:rPr>
          <w:spacing w:val="-2"/>
          <w:sz w:val="24"/>
        </w:rPr>
        <w:t>predicting.</w:t>
      </w:r>
    </w:p>
    <w:p>
      <w:pPr>
        <w:spacing w:after="0" w:line="240" w:lineRule="auto"/>
        <w:jc w:val="left"/>
        <w:rPr>
          <w:sz w:val="24"/>
        </w:rPr>
        <w:sectPr>
          <w:pgSz w:w="11910" w:h="16840"/>
          <w:pgMar w:header="0" w:footer="1012" w:top="1340" w:bottom="1200" w:left="1680" w:right="280"/>
        </w:sectPr>
      </w:pPr>
    </w:p>
    <w:p>
      <w:pPr>
        <w:pStyle w:val="BodyText"/>
        <w:spacing w:before="74"/>
        <w:jc w:val="left"/>
      </w:pPr>
      <w:r>
        <w:rPr/>
        <w:t>Item</w:t>
      </w:r>
      <w:r>
        <w:rPr>
          <w:spacing w:val="-2"/>
        </w:rPr>
        <w:t> </w:t>
      </w:r>
      <w:r>
        <w:rPr>
          <w:spacing w:val="-12"/>
        </w:rPr>
        <w:t>4</w:t>
      </w:r>
    </w:p>
    <w:p>
      <w:pPr>
        <w:pStyle w:val="BodyText"/>
        <w:spacing w:before="4"/>
        <w:ind w:left="0"/>
        <w:jc w:val="left"/>
      </w:pPr>
    </w:p>
    <w:p>
      <w:pPr>
        <w:spacing w:before="0"/>
        <w:ind w:left="504" w:right="1187" w:firstLine="0"/>
        <w:jc w:val="center"/>
        <w:rPr>
          <w:b/>
          <w:sz w:val="24"/>
        </w:rPr>
      </w:pPr>
      <w:r>
        <w:rPr>
          <w:b/>
          <w:sz w:val="24"/>
          <w:u w:val="single"/>
        </w:rPr>
        <w:t>Scale</w:t>
      </w:r>
      <w:r>
        <w:rPr>
          <w:b/>
          <w:spacing w:val="-5"/>
          <w:sz w:val="24"/>
          <w:u w:val="single"/>
        </w:rPr>
        <w:t> #1</w:t>
      </w:r>
    </w:p>
    <w:p>
      <w:pPr>
        <w:pStyle w:val="BodyText"/>
        <w:spacing w:before="272"/>
        <w:ind w:left="1201"/>
        <w:jc w:val="left"/>
      </w:pPr>
      <w:r>
        <w:rPr/>
        <w:t>Joe</w:t>
      </w:r>
      <w:r>
        <w:rPr>
          <w:spacing w:val="-3"/>
        </w:rPr>
        <w:t> </w:t>
      </w:r>
      <w:r>
        <w:rPr/>
        <w:t>has</w:t>
      </w:r>
      <w:r>
        <w:rPr>
          <w:spacing w:val="-3"/>
        </w:rPr>
        <w:t> </w:t>
      </w:r>
      <w:r>
        <w:rPr/>
        <w:t>a</w:t>
      </w:r>
      <w:r>
        <w:rPr>
          <w:spacing w:val="-2"/>
        </w:rPr>
        <w:t> </w:t>
      </w:r>
      <w:r>
        <w:rPr/>
        <w:t>scale</w:t>
      </w:r>
      <w:r>
        <w:rPr>
          <w:spacing w:val="3"/>
        </w:rPr>
        <w:t> </w:t>
      </w:r>
      <w:r>
        <w:rPr/>
        <w:t>like</w:t>
      </w:r>
      <w:r>
        <w:rPr>
          <w:spacing w:val="-2"/>
        </w:rPr>
        <w:t> </w:t>
      </w:r>
      <w:r>
        <w:rPr/>
        <w:t>the</w:t>
      </w:r>
      <w:r>
        <w:rPr>
          <w:spacing w:val="-2"/>
        </w:rPr>
        <w:t> </w:t>
      </w:r>
      <w:r>
        <w:rPr/>
        <w:t>one</w:t>
      </w:r>
      <w:r>
        <w:rPr>
          <w:spacing w:val="-2"/>
        </w:rPr>
        <w:t> below.</w:t>
      </w:r>
    </w:p>
    <w:p>
      <w:pPr>
        <w:pStyle w:val="BodyText"/>
        <w:spacing w:before="29"/>
        <w:ind w:left="0"/>
        <w:jc w:val="left"/>
        <w:rPr>
          <w:sz w:val="20"/>
        </w:rPr>
      </w:pPr>
      <w:r>
        <w:rPr/>
        <w:drawing>
          <wp:anchor distT="0" distB="0" distL="0" distR="0" allowOverlap="1" layoutInCell="1" locked="0" behindDoc="1" simplePos="0" relativeHeight="487594496">
            <wp:simplePos x="0" y="0"/>
            <wp:positionH relativeFrom="page">
              <wp:posOffset>1947637</wp:posOffset>
            </wp:positionH>
            <wp:positionV relativeFrom="paragraph">
              <wp:posOffset>180145</wp:posOffset>
            </wp:positionV>
            <wp:extent cx="4878069" cy="779526"/>
            <wp:effectExtent l="0" t="0" r="0" b="0"/>
            <wp:wrapTopAndBottom/>
            <wp:docPr id="31" name="Image 31" descr="C:\Users\ameer\Desktop\AMOS PIXX\7.jpg"/>
            <wp:cNvGraphicFramePr>
              <a:graphicFrameLocks/>
            </wp:cNvGraphicFramePr>
            <a:graphic>
              <a:graphicData uri="http://schemas.openxmlformats.org/drawingml/2006/picture">
                <pic:pic>
                  <pic:nvPicPr>
                    <pic:cNvPr id="31" name="Image 31" descr="C:\Users\ameer\Desktop\AMOS PIXX\7.jpg"/>
                    <pic:cNvPicPr/>
                  </pic:nvPicPr>
                  <pic:blipFill>
                    <a:blip r:embed="rId46" cstate="print"/>
                    <a:stretch>
                      <a:fillRect/>
                    </a:stretch>
                  </pic:blipFill>
                  <pic:spPr>
                    <a:xfrm>
                      <a:off x="0" y="0"/>
                      <a:ext cx="4878069" cy="779526"/>
                    </a:xfrm>
                    <a:prstGeom prst="rect">
                      <a:avLst/>
                    </a:prstGeom>
                  </pic:spPr>
                </pic:pic>
              </a:graphicData>
            </a:graphic>
          </wp:anchor>
        </w:drawing>
      </w:r>
    </w:p>
    <w:p>
      <w:pPr>
        <w:pStyle w:val="BodyText"/>
        <w:spacing w:before="258"/>
        <w:ind w:left="1201"/>
        <w:jc w:val="left"/>
      </w:pPr>
      <w:r>
        <w:rPr/>
        <w:t>When</w:t>
      </w:r>
      <w:r>
        <w:rPr>
          <w:spacing w:val="-5"/>
        </w:rPr>
        <w:t> </w:t>
      </w:r>
      <w:r>
        <w:rPr/>
        <w:t>he</w:t>
      </w:r>
      <w:r>
        <w:rPr>
          <w:spacing w:val="1"/>
        </w:rPr>
        <w:t> </w:t>
      </w:r>
      <w:r>
        <w:rPr/>
        <w:t>hangs</w:t>
      </w:r>
      <w:r>
        <w:rPr>
          <w:spacing w:val="-5"/>
        </w:rPr>
        <w:t> </w:t>
      </w:r>
      <w:r>
        <w:rPr/>
        <w:t>a</w:t>
      </w:r>
      <w:r>
        <w:rPr>
          <w:spacing w:val="-4"/>
        </w:rPr>
        <w:t> </w:t>
      </w:r>
      <w:r>
        <w:rPr/>
        <w:t>10-unit</w:t>
      </w:r>
      <w:r>
        <w:rPr>
          <w:spacing w:val="2"/>
        </w:rPr>
        <w:t> </w:t>
      </w:r>
      <w:r>
        <w:rPr/>
        <w:t>weight</w:t>
      </w:r>
      <w:r>
        <w:rPr>
          <w:spacing w:val="2"/>
        </w:rPr>
        <w:t> </w:t>
      </w:r>
      <w:r>
        <w:rPr/>
        <w:t>at</w:t>
      </w:r>
      <w:r>
        <w:rPr>
          <w:spacing w:val="-3"/>
        </w:rPr>
        <w:t> </w:t>
      </w:r>
      <w:r>
        <w:rPr/>
        <w:t>point</w:t>
      </w:r>
      <w:r>
        <w:rPr>
          <w:spacing w:val="2"/>
        </w:rPr>
        <w:t> </w:t>
      </w:r>
      <w:r>
        <w:rPr/>
        <w:t>D,</w:t>
      </w:r>
      <w:r>
        <w:rPr>
          <w:spacing w:val="-6"/>
        </w:rPr>
        <w:t> </w:t>
      </w:r>
      <w:r>
        <w:rPr/>
        <w:t>the</w:t>
      </w:r>
      <w:r>
        <w:rPr>
          <w:spacing w:val="-4"/>
        </w:rPr>
        <w:t> </w:t>
      </w:r>
      <w:r>
        <w:rPr/>
        <w:t>scale</w:t>
      </w:r>
      <w:r>
        <w:rPr>
          <w:spacing w:val="1"/>
        </w:rPr>
        <w:t> </w:t>
      </w:r>
      <w:r>
        <w:rPr/>
        <w:t>looks</w:t>
      </w:r>
      <w:r>
        <w:rPr>
          <w:spacing w:val="-5"/>
        </w:rPr>
        <w:t> </w:t>
      </w:r>
      <w:r>
        <w:rPr/>
        <w:t>like</w:t>
      </w:r>
      <w:r>
        <w:rPr>
          <w:spacing w:val="-3"/>
        </w:rPr>
        <w:t> </w:t>
      </w:r>
      <w:r>
        <w:rPr>
          <w:spacing w:val="-2"/>
        </w:rPr>
        <w:t>this:</w:t>
      </w:r>
    </w:p>
    <w:p>
      <w:pPr>
        <w:pStyle w:val="BodyText"/>
        <w:spacing w:before="29"/>
        <w:ind w:left="0"/>
        <w:jc w:val="left"/>
        <w:rPr>
          <w:sz w:val="20"/>
        </w:rPr>
      </w:pPr>
      <w:r>
        <w:rPr/>
        <w:drawing>
          <wp:anchor distT="0" distB="0" distL="0" distR="0" allowOverlap="1" layoutInCell="1" locked="0" behindDoc="1" simplePos="0" relativeHeight="487595008">
            <wp:simplePos x="0" y="0"/>
            <wp:positionH relativeFrom="page">
              <wp:posOffset>1847850</wp:posOffset>
            </wp:positionH>
            <wp:positionV relativeFrom="paragraph">
              <wp:posOffset>179846</wp:posOffset>
            </wp:positionV>
            <wp:extent cx="4340607" cy="2217039"/>
            <wp:effectExtent l="0" t="0" r="0" b="0"/>
            <wp:wrapTopAndBottom/>
            <wp:docPr id="32" name="Image 32" descr="C:\Users\ameer\Desktop\AMOS PIXX\8.jpg"/>
            <wp:cNvGraphicFramePr>
              <a:graphicFrameLocks/>
            </wp:cNvGraphicFramePr>
            <a:graphic>
              <a:graphicData uri="http://schemas.openxmlformats.org/drawingml/2006/picture">
                <pic:pic>
                  <pic:nvPicPr>
                    <pic:cNvPr id="32" name="Image 32" descr="C:\Users\ameer\Desktop\AMOS PIXX\8.jpg"/>
                    <pic:cNvPicPr/>
                  </pic:nvPicPr>
                  <pic:blipFill>
                    <a:blip r:embed="rId47" cstate="print"/>
                    <a:stretch>
                      <a:fillRect/>
                    </a:stretch>
                  </pic:blipFill>
                  <pic:spPr>
                    <a:xfrm>
                      <a:off x="0" y="0"/>
                      <a:ext cx="4340607" cy="2217039"/>
                    </a:xfrm>
                    <a:prstGeom prst="rect">
                      <a:avLst/>
                    </a:prstGeom>
                  </pic:spPr>
                </pic:pic>
              </a:graphicData>
            </a:graphic>
          </wp:anchor>
        </w:drawing>
      </w:r>
    </w:p>
    <w:p>
      <w:pPr>
        <w:pStyle w:val="BodyText"/>
        <w:spacing w:line="480" w:lineRule="auto" w:before="242"/>
        <w:ind w:right="1170"/>
        <w:jc w:val="left"/>
      </w:pPr>
      <w:r>
        <w:rPr/>
        <w:t>WHERE</w:t>
      </w:r>
      <w:r>
        <w:rPr>
          <w:spacing w:val="80"/>
        </w:rPr>
        <w:t> </w:t>
      </w:r>
      <w:r>
        <w:rPr/>
        <w:t>WOULD</w:t>
      </w:r>
      <w:r>
        <w:rPr>
          <w:spacing w:val="73"/>
        </w:rPr>
        <w:t> </w:t>
      </w:r>
      <w:r>
        <w:rPr/>
        <w:t>HE</w:t>
      </w:r>
      <w:r>
        <w:rPr>
          <w:spacing w:val="75"/>
        </w:rPr>
        <w:t> </w:t>
      </w:r>
      <w:r>
        <w:rPr/>
        <w:t>HANG</w:t>
      </w:r>
      <w:r>
        <w:rPr>
          <w:spacing w:val="80"/>
        </w:rPr>
        <w:t> </w:t>
      </w:r>
      <w:r>
        <w:rPr/>
        <w:t>A</w:t>
      </w:r>
      <w:r>
        <w:rPr>
          <w:spacing w:val="68"/>
        </w:rPr>
        <w:t> </w:t>
      </w:r>
      <w:r>
        <w:rPr/>
        <w:t>5-UNIT</w:t>
      </w:r>
      <w:r>
        <w:rPr>
          <w:spacing w:val="75"/>
        </w:rPr>
        <w:t> </w:t>
      </w:r>
      <w:r>
        <w:rPr/>
        <w:t>WEIGHT</w:t>
      </w:r>
      <w:r>
        <w:rPr>
          <w:spacing w:val="75"/>
        </w:rPr>
        <w:t> </w:t>
      </w:r>
      <w:r>
        <w:rPr/>
        <w:t>TO</w:t>
      </w:r>
      <w:r>
        <w:rPr>
          <w:spacing w:val="73"/>
        </w:rPr>
        <w:t> </w:t>
      </w:r>
      <w:r>
        <w:rPr/>
        <w:t>MAKE</w:t>
      </w:r>
      <w:r>
        <w:rPr>
          <w:spacing w:val="75"/>
        </w:rPr>
        <w:t> </w:t>
      </w:r>
      <w:r>
        <w:rPr/>
        <w:t>THE</w:t>
      </w:r>
      <w:r>
        <w:rPr>
          <w:spacing w:val="75"/>
        </w:rPr>
        <w:t> </w:t>
      </w:r>
      <w:r>
        <w:rPr/>
        <w:t>SCALE BALANCE AGAIN?</w:t>
      </w:r>
    </w:p>
    <w:p>
      <w:pPr>
        <w:pStyle w:val="ListParagraph"/>
        <w:numPr>
          <w:ilvl w:val="5"/>
          <w:numId w:val="26"/>
        </w:numPr>
        <w:tabs>
          <w:tab w:pos="1200" w:val="left" w:leader="none"/>
        </w:tabs>
        <w:spacing w:line="240" w:lineRule="auto" w:before="0" w:after="0"/>
        <w:ind w:left="1200" w:right="0" w:hanging="359"/>
        <w:jc w:val="left"/>
        <w:rPr>
          <w:sz w:val="24"/>
        </w:rPr>
      </w:pPr>
      <w:r>
        <w:rPr>
          <w:sz w:val="24"/>
        </w:rPr>
        <w:t>at</w:t>
      </w:r>
      <w:r>
        <w:rPr>
          <w:spacing w:val="-2"/>
          <w:sz w:val="24"/>
        </w:rPr>
        <w:t> </w:t>
      </w:r>
      <w:r>
        <w:rPr>
          <w:sz w:val="24"/>
        </w:rPr>
        <w:t>point</w:t>
      </w:r>
      <w:r>
        <w:rPr>
          <w:spacing w:val="-1"/>
          <w:sz w:val="24"/>
        </w:rPr>
        <w:t> </w:t>
      </w:r>
      <w:r>
        <w:rPr>
          <w:spacing w:val="-10"/>
          <w:sz w:val="24"/>
        </w:rPr>
        <w:t>J</w:t>
      </w:r>
    </w:p>
    <w:p>
      <w:pPr>
        <w:pStyle w:val="BodyText"/>
        <w:ind w:left="0"/>
        <w:jc w:val="left"/>
      </w:pPr>
    </w:p>
    <w:p>
      <w:pPr>
        <w:pStyle w:val="ListParagraph"/>
        <w:numPr>
          <w:ilvl w:val="5"/>
          <w:numId w:val="26"/>
        </w:numPr>
        <w:tabs>
          <w:tab w:pos="1200" w:val="left" w:leader="none"/>
        </w:tabs>
        <w:spacing w:line="240" w:lineRule="auto" w:before="0" w:after="0"/>
        <w:ind w:left="1200" w:right="0" w:hanging="359"/>
        <w:jc w:val="left"/>
        <w:rPr>
          <w:sz w:val="24"/>
        </w:rPr>
      </w:pPr>
      <w:r>
        <w:rPr>
          <w:sz w:val="24"/>
        </w:rPr>
        <w:t>between</w:t>
      </w:r>
      <w:r>
        <w:rPr>
          <w:spacing w:val="-4"/>
          <w:sz w:val="24"/>
        </w:rPr>
        <w:t> </w:t>
      </w:r>
      <w:r>
        <w:rPr>
          <w:sz w:val="24"/>
        </w:rPr>
        <w:t>K</w:t>
      </w:r>
      <w:r>
        <w:rPr>
          <w:spacing w:val="-5"/>
          <w:sz w:val="24"/>
        </w:rPr>
        <w:t> </w:t>
      </w:r>
      <w:r>
        <w:rPr>
          <w:sz w:val="24"/>
        </w:rPr>
        <w:t>and</w:t>
      </w:r>
      <w:r>
        <w:rPr>
          <w:spacing w:val="2"/>
          <w:sz w:val="24"/>
        </w:rPr>
        <w:t> </w:t>
      </w:r>
      <w:r>
        <w:rPr>
          <w:spacing w:val="-10"/>
          <w:sz w:val="24"/>
        </w:rPr>
        <w:t>L</w:t>
      </w:r>
    </w:p>
    <w:p>
      <w:pPr>
        <w:pStyle w:val="BodyText"/>
        <w:spacing w:before="1"/>
        <w:ind w:left="0"/>
        <w:jc w:val="left"/>
      </w:pPr>
    </w:p>
    <w:p>
      <w:pPr>
        <w:pStyle w:val="ListParagraph"/>
        <w:numPr>
          <w:ilvl w:val="5"/>
          <w:numId w:val="26"/>
        </w:numPr>
        <w:tabs>
          <w:tab w:pos="1200" w:val="left" w:leader="none"/>
        </w:tabs>
        <w:spacing w:line="240" w:lineRule="auto" w:before="0" w:after="0"/>
        <w:ind w:left="1200" w:right="0" w:hanging="359"/>
        <w:jc w:val="left"/>
        <w:rPr>
          <w:sz w:val="24"/>
        </w:rPr>
      </w:pPr>
      <w:r>
        <w:rPr>
          <w:sz w:val="24"/>
        </w:rPr>
        <w:t>at</w:t>
      </w:r>
      <w:r>
        <w:rPr>
          <w:spacing w:val="-2"/>
          <w:sz w:val="24"/>
        </w:rPr>
        <w:t> </w:t>
      </w:r>
      <w:r>
        <w:rPr>
          <w:sz w:val="24"/>
        </w:rPr>
        <w:t>point</w:t>
      </w:r>
      <w:r>
        <w:rPr>
          <w:spacing w:val="-1"/>
          <w:sz w:val="24"/>
        </w:rPr>
        <w:t> </w:t>
      </w:r>
      <w:r>
        <w:rPr>
          <w:spacing w:val="-10"/>
          <w:sz w:val="24"/>
        </w:rPr>
        <w:t>L</w:t>
      </w:r>
    </w:p>
    <w:p>
      <w:pPr>
        <w:pStyle w:val="BodyText"/>
        <w:ind w:left="0"/>
        <w:jc w:val="left"/>
      </w:pPr>
    </w:p>
    <w:p>
      <w:pPr>
        <w:pStyle w:val="ListParagraph"/>
        <w:numPr>
          <w:ilvl w:val="5"/>
          <w:numId w:val="26"/>
        </w:numPr>
        <w:tabs>
          <w:tab w:pos="1201" w:val="left" w:leader="none"/>
        </w:tabs>
        <w:spacing w:line="240" w:lineRule="auto" w:before="0" w:after="0"/>
        <w:ind w:left="1201" w:right="0" w:hanging="360"/>
        <w:jc w:val="left"/>
        <w:rPr>
          <w:sz w:val="24"/>
        </w:rPr>
      </w:pPr>
      <w:r>
        <w:rPr>
          <w:sz w:val="24"/>
        </w:rPr>
        <w:t>between</w:t>
      </w:r>
      <w:r>
        <w:rPr>
          <w:spacing w:val="-5"/>
          <w:sz w:val="24"/>
        </w:rPr>
        <w:t> </w:t>
      </w:r>
      <w:r>
        <w:rPr>
          <w:sz w:val="24"/>
        </w:rPr>
        <w:t>L</w:t>
      </w:r>
      <w:r>
        <w:rPr>
          <w:spacing w:val="-3"/>
          <w:sz w:val="24"/>
        </w:rPr>
        <w:t> </w:t>
      </w:r>
      <w:r>
        <w:rPr>
          <w:sz w:val="24"/>
        </w:rPr>
        <w:t>and </w:t>
      </w:r>
      <w:r>
        <w:rPr>
          <w:spacing w:val="-10"/>
          <w:sz w:val="24"/>
        </w:rPr>
        <w:t>M</w:t>
      </w:r>
    </w:p>
    <w:p>
      <w:pPr>
        <w:pStyle w:val="BodyText"/>
        <w:ind w:left="0"/>
        <w:jc w:val="left"/>
      </w:pPr>
    </w:p>
    <w:p>
      <w:pPr>
        <w:pStyle w:val="ListParagraph"/>
        <w:numPr>
          <w:ilvl w:val="5"/>
          <w:numId w:val="26"/>
        </w:numPr>
        <w:tabs>
          <w:tab w:pos="1199" w:val="left" w:leader="none"/>
        </w:tabs>
        <w:spacing w:line="480" w:lineRule="auto" w:before="0" w:after="0"/>
        <w:ind w:left="480" w:right="7746" w:firstLine="360"/>
        <w:jc w:val="left"/>
        <w:rPr>
          <w:sz w:val="24"/>
        </w:rPr>
      </w:pPr>
      <w:r>
        <w:rPr>
          <w:sz w:val="24"/>
        </w:rPr>
        <w:t>at</w:t>
      </w:r>
      <w:r>
        <w:rPr>
          <w:spacing w:val="-15"/>
          <w:sz w:val="24"/>
        </w:rPr>
        <w:t> </w:t>
      </w:r>
      <w:r>
        <w:rPr>
          <w:sz w:val="24"/>
        </w:rPr>
        <w:t>point</w:t>
      </w:r>
      <w:r>
        <w:rPr>
          <w:spacing w:val="-15"/>
          <w:sz w:val="24"/>
        </w:rPr>
        <w:t> </w:t>
      </w:r>
      <w:r>
        <w:rPr>
          <w:sz w:val="24"/>
        </w:rPr>
        <w:t>M </w:t>
      </w:r>
      <w:r>
        <w:rPr>
          <w:spacing w:val="-2"/>
          <w:sz w:val="24"/>
        </w:rPr>
        <w:t>REASON</w:t>
      </w:r>
    </w:p>
    <w:p>
      <w:pPr>
        <w:pStyle w:val="ListParagraph"/>
        <w:numPr>
          <w:ilvl w:val="6"/>
          <w:numId w:val="26"/>
        </w:numPr>
        <w:tabs>
          <w:tab w:pos="1201" w:val="left" w:leader="none"/>
        </w:tabs>
        <w:spacing w:line="275" w:lineRule="exact" w:before="1" w:after="0"/>
        <w:ind w:left="1201" w:right="0" w:hanging="360"/>
        <w:jc w:val="left"/>
        <w:rPr>
          <w:sz w:val="24"/>
        </w:rPr>
      </w:pPr>
      <w:r>
        <w:rPr>
          <w:sz w:val="24"/>
        </w:rPr>
        <w:t>It</w:t>
      </w:r>
      <w:r>
        <w:rPr>
          <w:spacing w:val="-5"/>
          <w:sz w:val="24"/>
        </w:rPr>
        <w:t> </w:t>
      </w:r>
      <w:r>
        <w:rPr>
          <w:sz w:val="24"/>
        </w:rPr>
        <w:t>is half</w:t>
      </w:r>
      <w:r>
        <w:rPr>
          <w:spacing w:val="-9"/>
          <w:sz w:val="24"/>
        </w:rPr>
        <w:t> </w:t>
      </w:r>
      <w:r>
        <w:rPr>
          <w:sz w:val="24"/>
        </w:rPr>
        <w:t>the</w:t>
      </w:r>
      <w:r>
        <w:rPr>
          <w:spacing w:val="-3"/>
          <w:sz w:val="24"/>
        </w:rPr>
        <w:t> </w:t>
      </w:r>
      <w:r>
        <w:rPr>
          <w:sz w:val="24"/>
        </w:rPr>
        <w:t>weight</w:t>
      </w:r>
      <w:r>
        <w:rPr>
          <w:spacing w:val="2"/>
          <w:sz w:val="24"/>
        </w:rPr>
        <w:t> </w:t>
      </w:r>
      <w:r>
        <w:rPr>
          <w:sz w:val="24"/>
        </w:rPr>
        <w:t>so</w:t>
      </w:r>
      <w:r>
        <w:rPr>
          <w:spacing w:val="-2"/>
          <w:sz w:val="24"/>
        </w:rPr>
        <w:t> </w:t>
      </w:r>
      <w:r>
        <w:rPr>
          <w:sz w:val="24"/>
        </w:rPr>
        <w:t>it</w:t>
      </w:r>
      <w:r>
        <w:rPr>
          <w:spacing w:val="3"/>
          <w:sz w:val="24"/>
        </w:rPr>
        <w:t> </w:t>
      </w:r>
      <w:r>
        <w:rPr>
          <w:sz w:val="24"/>
        </w:rPr>
        <w:t>should</w:t>
      </w:r>
      <w:r>
        <w:rPr>
          <w:spacing w:val="-2"/>
          <w:sz w:val="24"/>
        </w:rPr>
        <w:t> </w:t>
      </w:r>
      <w:r>
        <w:rPr>
          <w:sz w:val="24"/>
        </w:rPr>
        <w:t>be</w:t>
      </w:r>
      <w:r>
        <w:rPr>
          <w:spacing w:val="2"/>
          <w:sz w:val="24"/>
        </w:rPr>
        <w:t> </w:t>
      </w:r>
      <w:r>
        <w:rPr>
          <w:sz w:val="24"/>
        </w:rPr>
        <w:t>put</w:t>
      </w:r>
      <w:r>
        <w:rPr>
          <w:spacing w:val="3"/>
          <w:sz w:val="24"/>
        </w:rPr>
        <w:t> </w:t>
      </w:r>
      <w:r>
        <w:rPr>
          <w:sz w:val="24"/>
        </w:rPr>
        <w:t>at</w:t>
      </w:r>
      <w:r>
        <w:rPr>
          <w:spacing w:val="-2"/>
          <w:sz w:val="24"/>
        </w:rPr>
        <w:t> </w:t>
      </w:r>
      <w:r>
        <w:rPr>
          <w:sz w:val="24"/>
        </w:rPr>
        <w:t>twice</w:t>
      </w:r>
      <w:r>
        <w:rPr>
          <w:spacing w:val="-3"/>
          <w:sz w:val="24"/>
        </w:rPr>
        <w:t> </w:t>
      </w:r>
      <w:r>
        <w:rPr>
          <w:sz w:val="24"/>
        </w:rPr>
        <w:t>the</w:t>
      </w:r>
      <w:r>
        <w:rPr>
          <w:spacing w:val="-3"/>
          <w:sz w:val="24"/>
        </w:rPr>
        <w:t> </w:t>
      </w:r>
      <w:r>
        <w:rPr>
          <w:spacing w:val="-2"/>
          <w:sz w:val="24"/>
        </w:rPr>
        <w:t>distance.</w:t>
      </w:r>
    </w:p>
    <w:p>
      <w:pPr>
        <w:pStyle w:val="ListParagraph"/>
        <w:numPr>
          <w:ilvl w:val="6"/>
          <w:numId w:val="26"/>
        </w:numPr>
        <w:tabs>
          <w:tab w:pos="1201" w:val="left" w:leader="none"/>
        </w:tabs>
        <w:spacing w:line="275" w:lineRule="exact" w:before="0" w:after="0"/>
        <w:ind w:left="1201" w:right="0" w:hanging="360"/>
        <w:jc w:val="left"/>
        <w:rPr>
          <w:sz w:val="24"/>
        </w:rPr>
      </w:pPr>
      <w:r>
        <w:rPr>
          <w:sz w:val="24"/>
        </w:rPr>
        <w:t>The</w:t>
      </w:r>
      <w:r>
        <w:rPr>
          <w:spacing w:val="-5"/>
          <w:sz w:val="24"/>
        </w:rPr>
        <w:t> </w:t>
      </w:r>
      <w:r>
        <w:rPr>
          <w:sz w:val="24"/>
        </w:rPr>
        <w:t>same</w:t>
      </w:r>
      <w:r>
        <w:rPr>
          <w:spacing w:val="-3"/>
          <w:sz w:val="24"/>
        </w:rPr>
        <w:t> </w:t>
      </w:r>
      <w:r>
        <w:rPr>
          <w:sz w:val="24"/>
        </w:rPr>
        <w:t>distance</w:t>
      </w:r>
      <w:r>
        <w:rPr>
          <w:spacing w:val="-2"/>
          <w:sz w:val="24"/>
        </w:rPr>
        <w:t> </w:t>
      </w:r>
      <w:r>
        <w:rPr>
          <w:sz w:val="24"/>
        </w:rPr>
        <w:t>as</w:t>
      </w:r>
      <w:r>
        <w:rPr>
          <w:spacing w:val="-4"/>
          <w:sz w:val="24"/>
        </w:rPr>
        <w:t> </w:t>
      </w:r>
      <w:r>
        <w:rPr>
          <w:sz w:val="24"/>
        </w:rPr>
        <w:t>10-unit</w:t>
      </w:r>
      <w:r>
        <w:rPr>
          <w:spacing w:val="3"/>
          <w:sz w:val="24"/>
        </w:rPr>
        <w:t> </w:t>
      </w:r>
      <w:r>
        <w:rPr>
          <w:sz w:val="24"/>
        </w:rPr>
        <w:t>weight,</w:t>
      </w:r>
      <w:r>
        <w:rPr>
          <w:spacing w:val="1"/>
          <w:sz w:val="24"/>
        </w:rPr>
        <w:t> </w:t>
      </w:r>
      <w:r>
        <w:rPr>
          <w:sz w:val="24"/>
        </w:rPr>
        <w:t>but</w:t>
      </w:r>
      <w:r>
        <w:rPr>
          <w:spacing w:val="-2"/>
          <w:sz w:val="24"/>
        </w:rPr>
        <w:t> </w:t>
      </w:r>
      <w:r>
        <w:rPr>
          <w:sz w:val="24"/>
        </w:rPr>
        <w:t>in</w:t>
      </w:r>
      <w:r>
        <w:rPr>
          <w:spacing w:val="-6"/>
          <w:sz w:val="24"/>
        </w:rPr>
        <w:t> </w:t>
      </w:r>
      <w:r>
        <w:rPr>
          <w:sz w:val="24"/>
        </w:rPr>
        <w:t>the</w:t>
      </w:r>
      <w:r>
        <w:rPr>
          <w:spacing w:val="-3"/>
          <w:sz w:val="24"/>
        </w:rPr>
        <w:t> </w:t>
      </w:r>
      <w:r>
        <w:rPr>
          <w:sz w:val="24"/>
        </w:rPr>
        <w:t>opposite</w:t>
      </w:r>
      <w:r>
        <w:rPr>
          <w:spacing w:val="-2"/>
          <w:sz w:val="24"/>
        </w:rPr>
        <w:t> direction.</w:t>
      </w:r>
    </w:p>
    <w:p>
      <w:pPr>
        <w:pStyle w:val="ListParagraph"/>
        <w:numPr>
          <w:ilvl w:val="6"/>
          <w:numId w:val="26"/>
        </w:numPr>
        <w:tabs>
          <w:tab w:pos="1201" w:val="left" w:leader="none"/>
        </w:tabs>
        <w:spacing w:line="275" w:lineRule="exact" w:before="2" w:after="0"/>
        <w:ind w:left="1201" w:right="0" w:hanging="360"/>
        <w:jc w:val="left"/>
        <w:rPr>
          <w:sz w:val="24"/>
        </w:rPr>
      </w:pPr>
      <w:r>
        <w:rPr>
          <w:sz w:val="24"/>
        </w:rPr>
        <w:t>Hang</w:t>
      </w:r>
      <w:r>
        <w:rPr>
          <w:spacing w:val="-5"/>
          <w:sz w:val="24"/>
        </w:rPr>
        <w:t> </w:t>
      </w:r>
      <w:r>
        <w:rPr>
          <w:sz w:val="24"/>
        </w:rPr>
        <w:t>the</w:t>
      </w:r>
      <w:r>
        <w:rPr>
          <w:spacing w:val="-3"/>
          <w:sz w:val="24"/>
        </w:rPr>
        <w:t> </w:t>
      </w:r>
      <w:r>
        <w:rPr>
          <w:sz w:val="24"/>
        </w:rPr>
        <w:t>5-unit</w:t>
      </w:r>
      <w:r>
        <w:rPr>
          <w:spacing w:val="2"/>
          <w:sz w:val="24"/>
        </w:rPr>
        <w:t> </w:t>
      </w:r>
      <w:r>
        <w:rPr>
          <w:sz w:val="24"/>
        </w:rPr>
        <w:t>weight</w:t>
      </w:r>
      <w:r>
        <w:rPr>
          <w:spacing w:val="2"/>
          <w:sz w:val="24"/>
        </w:rPr>
        <w:t> </w:t>
      </w:r>
      <w:r>
        <w:rPr>
          <w:sz w:val="24"/>
        </w:rPr>
        <w:t>further</w:t>
      </w:r>
      <w:r>
        <w:rPr>
          <w:spacing w:val="-2"/>
          <w:sz w:val="24"/>
        </w:rPr>
        <w:t> </w:t>
      </w:r>
      <w:r>
        <w:rPr>
          <w:sz w:val="24"/>
        </w:rPr>
        <w:t>out,</w:t>
      </w:r>
      <w:r>
        <w:rPr>
          <w:spacing w:val="-9"/>
          <w:sz w:val="24"/>
        </w:rPr>
        <w:t> </w:t>
      </w:r>
      <w:r>
        <w:rPr>
          <w:sz w:val="24"/>
        </w:rPr>
        <w:t>to</w:t>
      </w:r>
      <w:r>
        <w:rPr>
          <w:spacing w:val="3"/>
          <w:sz w:val="24"/>
        </w:rPr>
        <w:t> </w:t>
      </w:r>
      <w:r>
        <w:rPr>
          <w:sz w:val="24"/>
        </w:rPr>
        <w:t>make</w:t>
      </w:r>
      <w:r>
        <w:rPr>
          <w:spacing w:val="-4"/>
          <w:sz w:val="24"/>
        </w:rPr>
        <w:t> </w:t>
      </w:r>
      <w:r>
        <w:rPr>
          <w:sz w:val="24"/>
        </w:rPr>
        <w:t>up</w:t>
      </w:r>
      <w:r>
        <w:rPr>
          <w:spacing w:val="1"/>
          <w:sz w:val="24"/>
        </w:rPr>
        <w:t> </w:t>
      </w:r>
      <w:r>
        <w:rPr>
          <w:sz w:val="24"/>
        </w:rPr>
        <w:t>its</w:t>
      </w:r>
      <w:r>
        <w:rPr>
          <w:spacing w:val="-4"/>
          <w:sz w:val="24"/>
        </w:rPr>
        <w:t> </w:t>
      </w:r>
      <w:r>
        <w:rPr>
          <w:sz w:val="24"/>
        </w:rPr>
        <w:t>being</w:t>
      </w:r>
      <w:r>
        <w:rPr>
          <w:spacing w:val="-2"/>
          <w:sz w:val="24"/>
        </w:rPr>
        <w:t> smaller.</w:t>
      </w:r>
    </w:p>
    <w:p>
      <w:pPr>
        <w:pStyle w:val="ListParagraph"/>
        <w:numPr>
          <w:ilvl w:val="6"/>
          <w:numId w:val="26"/>
        </w:numPr>
        <w:tabs>
          <w:tab w:pos="1201" w:val="left" w:leader="none"/>
        </w:tabs>
        <w:spacing w:line="275" w:lineRule="exact" w:before="0" w:after="0"/>
        <w:ind w:left="1201" w:right="0" w:hanging="360"/>
        <w:jc w:val="left"/>
        <w:rPr>
          <w:sz w:val="24"/>
        </w:rPr>
      </w:pPr>
      <w:r>
        <w:rPr>
          <w:sz w:val="24"/>
        </w:rPr>
        <w:t>All</w:t>
      </w:r>
      <w:r>
        <w:rPr>
          <w:spacing w:val="-9"/>
          <w:sz w:val="24"/>
        </w:rPr>
        <w:t> </w:t>
      </w:r>
      <w:r>
        <w:rPr>
          <w:sz w:val="24"/>
        </w:rPr>
        <w:t>the</w:t>
      </w:r>
      <w:r>
        <w:rPr>
          <w:spacing w:val="-1"/>
          <w:sz w:val="24"/>
        </w:rPr>
        <w:t> </w:t>
      </w:r>
      <w:r>
        <w:rPr>
          <w:sz w:val="24"/>
        </w:rPr>
        <w:t>way</w:t>
      </w:r>
      <w:r>
        <w:rPr>
          <w:spacing w:val="-5"/>
          <w:sz w:val="24"/>
        </w:rPr>
        <w:t> </w:t>
      </w:r>
      <w:r>
        <w:rPr>
          <w:sz w:val="24"/>
        </w:rPr>
        <w:t>at</w:t>
      </w:r>
      <w:r>
        <w:rPr>
          <w:spacing w:val="-1"/>
          <w:sz w:val="24"/>
        </w:rPr>
        <w:t> </w:t>
      </w:r>
      <w:r>
        <w:rPr>
          <w:sz w:val="24"/>
        </w:rPr>
        <w:t>the</w:t>
      </w:r>
      <w:r>
        <w:rPr>
          <w:spacing w:val="-1"/>
          <w:sz w:val="24"/>
        </w:rPr>
        <w:t> </w:t>
      </w:r>
      <w:r>
        <w:rPr>
          <w:sz w:val="24"/>
        </w:rPr>
        <w:t>end gives</w:t>
      </w:r>
      <w:r>
        <w:rPr>
          <w:spacing w:val="2"/>
          <w:sz w:val="24"/>
        </w:rPr>
        <w:t> </w:t>
      </w:r>
      <w:r>
        <w:rPr>
          <w:sz w:val="24"/>
        </w:rPr>
        <w:t>more</w:t>
      </w:r>
      <w:r>
        <w:rPr>
          <w:spacing w:val="-1"/>
          <w:sz w:val="24"/>
        </w:rPr>
        <w:t> </w:t>
      </w:r>
      <w:r>
        <w:rPr>
          <w:sz w:val="24"/>
        </w:rPr>
        <w:t>power</w:t>
      </w:r>
      <w:r>
        <w:rPr>
          <w:spacing w:val="-8"/>
          <w:sz w:val="24"/>
        </w:rPr>
        <w:t> </w:t>
      </w:r>
      <w:r>
        <w:rPr>
          <w:sz w:val="24"/>
        </w:rPr>
        <w:t>to</w:t>
      </w:r>
      <w:r>
        <w:rPr>
          <w:spacing w:val="5"/>
          <w:sz w:val="24"/>
        </w:rPr>
        <w:t> </w:t>
      </w:r>
      <w:r>
        <w:rPr>
          <w:sz w:val="24"/>
        </w:rPr>
        <w:t>make</w:t>
      </w:r>
      <w:r>
        <w:rPr>
          <w:spacing w:val="-1"/>
          <w:sz w:val="24"/>
        </w:rPr>
        <w:t> </w:t>
      </w:r>
      <w:r>
        <w:rPr>
          <w:sz w:val="24"/>
        </w:rPr>
        <w:t>the</w:t>
      </w:r>
      <w:r>
        <w:rPr>
          <w:spacing w:val="-1"/>
          <w:sz w:val="24"/>
        </w:rPr>
        <w:t> </w:t>
      </w:r>
      <w:r>
        <w:rPr>
          <w:sz w:val="24"/>
        </w:rPr>
        <w:t>scale</w:t>
      </w:r>
      <w:r>
        <w:rPr>
          <w:spacing w:val="-1"/>
          <w:sz w:val="24"/>
        </w:rPr>
        <w:t> </w:t>
      </w:r>
      <w:r>
        <w:rPr>
          <w:spacing w:val="-2"/>
          <w:sz w:val="24"/>
        </w:rPr>
        <w:t>balance.</w:t>
      </w:r>
    </w:p>
    <w:p>
      <w:pPr>
        <w:pStyle w:val="ListParagraph"/>
        <w:numPr>
          <w:ilvl w:val="6"/>
          <w:numId w:val="26"/>
        </w:numPr>
        <w:tabs>
          <w:tab w:pos="1201" w:val="left" w:leader="none"/>
        </w:tabs>
        <w:spacing w:line="240" w:lineRule="auto" w:before="2" w:after="0"/>
        <w:ind w:left="1201" w:right="0" w:hanging="360"/>
        <w:jc w:val="left"/>
        <w:rPr>
          <w:sz w:val="24"/>
        </w:rPr>
      </w:pPr>
      <w:r>
        <w:rPr>
          <w:sz w:val="24"/>
        </w:rPr>
        <w:t>The</w:t>
      </w:r>
      <w:r>
        <w:rPr>
          <w:spacing w:val="1"/>
          <w:sz w:val="24"/>
        </w:rPr>
        <w:t> </w:t>
      </w:r>
      <w:r>
        <w:rPr>
          <w:sz w:val="24"/>
        </w:rPr>
        <w:t>lighter</w:t>
      </w:r>
      <w:r>
        <w:rPr>
          <w:spacing w:val="-4"/>
          <w:sz w:val="24"/>
        </w:rPr>
        <w:t> </w:t>
      </w:r>
      <w:r>
        <w:rPr>
          <w:sz w:val="24"/>
        </w:rPr>
        <w:t>the</w:t>
      </w:r>
      <w:r>
        <w:rPr>
          <w:spacing w:val="-3"/>
          <w:sz w:val="24"/>
        </w:rPr>
        <w:t> </w:t>
      </w:r>
      <w:r>
        <w:rPr>
          <w:sz w:val="24"/>
        </w:rPr>
        <w:t>weight,</w:t>
      </w:r>
      <w:r>
        <w:rPr>
          <w:spacing w:val="-5"/>
          <w:sz w:val="24"/>
        </w:rPr>
        <w:t> </w:t>
      </w:r>
      <w:r>
        <w:rPr>
          <w:sz w:val="24"/>
        </w:rPr>
        <w:t>the</w:t>
      </w:r>
      <w:r>
        <w:rPr>
          <w:spacing w:val="-3"/>
          <w:sz w:val="24"/>
        </w:rPr>
        <w:t> </w:t>
      </w:r>
      <w:r>
        <w:rPr>
          <w:sz w:val="24"/>
        </w:rPr>
        <w:t>further</w:t>
      </w:r>
      <w:r>
        <w:rPr>
          <w:spacing w:val="-1"/>
          <w:sz w:val="24"/>
        </w:rPr>
        <w:t> </w:t>
      </w:r>
      <w:r>
        <w:rPr>
          <w:sz w:val="24"/>
        </w:rPr>
        <w:t>out</w:t>
      </w:r>
      <w:r>
        <w:rPr>
          <w:spacing w:val="-2"/>
          <w:sz w:val="24"/>
        </w:rPr>
        <w:t> </w:t>
      </w:r>
      <w:r>
        <w:rPr>
          <w:sz w:val="24"/>
        </w:rPr>
        <w:t>it</w:t>
      </w:r>
      <w:r>
        <w:rPr>
          <w:spacing w:val="3"/>
          <w:sz w:val="24"/>
        </w:rPr>
        <w:t> </w:t>
      </w:r>
      <w:r>
        <w:rPr>
          <w:sz w:val="24"/>
        </w:rPr>
        <w:t>should</w:t>
      </w:r>
      <w:r>
        <w:rPr>
          <w:spacing w:val="-2"/>
          <w:sz w:val="24"/>
        </w:rPr>
        <w:t> </w:t>
      </w:r>
      <w:r>
        <w:rPr>
          <w:sz w:val="24"/>
        </w:rPr>
        <w:t>be</w:t>
      </w:r>
      <w:r>
        <w:rPr>
          <w:spacing w:val="-2"/>
          <w:sz w:val="24"/>
        </w:rPr>
        <w:t> hung.</w:t>
      </w:r>
    </w:p>
    <w:p>
      <w:pPr>
        <w:spacing w:after="0" w:line="240" w:lineRule="auto"/>
        <w:jc w:val="left"/>
        <w:rPr>
          <w:sz w:val="24"/>
        </w:rPr>
        <w:sectPr>
          <w:pgSz w:w="11910" w:h="16840"/>
          <w:pgMar w:header="0" w:footer="1012" w:top="1340" w:bottom="1200" w:left="1680" w:right="280"/>
        </w:sectPr>
      </w:pPr>
    </w:p>
    <w:p>
      <w:pPr>
        <w:pStyle w:val="BodyText"/>
        <w:spacing w:before="74"/>
        <w:jc w:val="left"/>
      </w:pPr>
      <w:r>
        <w:rPr/>
        <w:t>Item</w:t>
      </w:r>
      <w:r>
        <w:rPr>
          <w:spacing w:val="-2"/>
        </w:rPr>
        <w:t> </w:t>
      </w:r>
      <w:r>
        <w:rPr>
          <w:spacing w:val="-12"/>
        </w:rPr>
        <w:t>5</w:t>
      </w:r>
    </w:p>
    <w:p>
      <w:pPr>
        <w:pStyle w:val="BodyText"/>
        <w:spacing w:before="4"/>
        <w:ind w:left="0"/>
        <w:jc w:val="left"/>
      </w:pPr>
    </w:p>
    <w:p>
      <w:pPr>
        <w:spacing w:before="0"/>
        <w:ind w:left="0" w:right="676" w:firstLine="0"/>
        <w:jc w:val="center"/>
        <w:rPr>
          <w:b/>
          <w:sz w:val="24"/>
        </w:rPr>
      </w:pPr>
      <w:r>
        <w:rPr>
          <w:b/>
          <w:sz w:val="24"/>
          <w:u w:val="single"/>
        </w:rPr>
        <w:t>Pendulum</w:t>
      </w:r>
      <w:r>
        <w:rPr>
          <w:b/>
          <w:spacing w:val="-10"/>
          <w:sz w:val="24"/>
          <w:u w:val="single"/>
        </w:rPr>
        <w:t> </w:t>
      </w:r>
      <w:r>
        <w:rPr>
          <w:b/>
          <w:spacing w:val="-2"/>
          <w:sz w:val="24"/>
          <w:u w:val="single"/>
        </w:rPr>
        <w:t>Length</w:t>
      </w:r>
    </w:p>
    <w:p>
      <w:pPr>
        <w:pStyle w:val="BodyText"/>
        <w:spacing w:line="480" w:lineRule="auto" w:before="272" w:after="8"/>
        <w:ind w:right="1158" w:firstLine="720"/>
      </w:pPr>
      <w:r>
        <w:rPr/>
        <w:t>Three strings are hung from</w:t>
      </w:r>
      <w:r>
        <w:rPr>
          <w:spacing w:val="-5"/>
        </w:rPr>
        <w:t> </w:t>
      </w:r>
      <w:r>
        <w:rPr/>
        <w:t>a bar. String #1 and #3 are of</w:t>
      </w:r>
      <w:r>
        <w:rPr>
          <w:spacing w:val="-3"/>
        </w:rPr>
        <w:t> </w:t>
      </w:r>
      <w:r>
        <w:rPr/>
        <w:t>equal length. String #2 is longer. Charlie attaches a 5-unit weight at the end of string #2 and at the end of #3. A</w:t>
      </w:r>
      <w:r>
        <w:rPr>
          <w:spacing w:val="-2"/>
        </w:rPr>
        <w:t> </w:t>
      </w:r>
      <w:r>
        <w:rPr/>
        <w:t>10-unit weight is attached at the end of</w:t>
      </w:r>
      <w:r>
        <w:rPr>
          <w:spacing w:val="-4"/>
        </w:rPr>
        <w:t> </w:t>
      </w:r>
      <w:r>
        <w:rPr/>
        <w:t>string #1. Each</w:t>
      </w:r>
      <w:r>
        <w:rPr>
          <w:spacing w:val="-1"/>
        </w:rPr>
        <w:t> </w:t>
      </w:r>
      <w:r>
        <w:rPr/>
        <w:t>string with</w:t>
      </w:r>
      <w:r>
        <w:rPr>
          <w:spacing w:val="-1"/>
        </w:rPr>
        <w:t> </w:t>
      </w:r>
      <w:r>
        <w:rPr/>
        <w:t>a weight can be swung.</w:t>
      </w:r>
    </w:p>
    <w:p>
      <w:pPr>
        <w:pStyle w:val="BodyText"/>
        <w:ind w:left="1282"/>
        <w:jc w:val="left"/>
        <w:rPr>
          <w:sz w:val="20"/>
        </w:rPr>
      </w:pPr>
      <w:r>
        <w:rPr>
          <w:sz w:val="20"/>
        </w:rPr>
        <w:drawing>
          <wp:inline distT="0" distB="0" distL="0" distR="0">
            <wp:extent cx="4020821" cy="1823085"/>
            <wp:effectExtent l="0" t="0" r="0" b="0"/>
            <wp:docPr id="33" name="Image 33" descr="C:\Users\ameer\AppData\Local\Microsoft\Windows\Temporary Internet Files\Content.Word\9.jpg"/>
            <wp:cNvGraphicFramePr>
              <a:graphicFrameLocks/>
            </wp:cNvGraphicFramePr>
            <a:graphic>
              <a:graphicData uri="http://schemas.openxmlformats.org/drawingml/2006/picture">
                <pic:pic>
                  <pic:nvPicPr>
                    <pic:cNvPr id="33" name="Image 33" descr="C:\Users\ameer\AppData\Local\Microsoft\Windows\Temporary Internet Files\Content.Word\9.jpg"/>
                    <pic:cNvPicPr/>
                  </pic:nvPicPr>
                  <pic:blipFill>
                    <a:blip r:embed="rId48" cstate="print"/>
                    <a:stretch>
                      <a:fillRect/>
                    </a:stretch>
                  </pic:blipFill>
                  <pic:spPr>
                    <a:xfrm>
                      <a:off x="0" y="0"/>
                      <a:ext cx="4020821" cy="1823085"/>
                    </a:xfrm>
                    <a:prstGeom prst="rect">
                      <a:avLst/>
                    </a:prstGeom>
                  </pic:spPr>
                </pic:pic>
              </a:graphicData>
            </a:graphic>
          </wp:inline>
        </w:drawing>
      </w:r>
      <w:r>
        <w:rPr>
          <w:sz w:val="20"/>
        </w:rPr>
      </w:r>
    </w:p>
    <w:p>
      <w:pPr>
        <w:pStyle w:val="BodyText"/>
        <w:spacing w:line="480" w:lineRule="auto" w:before="248"/>
        <w:ind w:right="1177" w:firstLine="720"/>
      </w:pPr>
      <w:r>
        <w:rPr/>
        <w:t>Charlie</w:t>
      </w:r>
      <w:r>
        <w:rPr>
          <w:spacing w:val="-1"/>
        </w:rPr>
        <w:t> </w:t>
      </w:r>
      <w:r>
        <w:rPr/>
        <w:t>wants</w:t>
      </w:r>
      <w:r>
        <w:rPr>
          <w:spacing w:val="-2"/>
        </w:rPr>
        <w:t> </w:t>
      </w:r>
      <w:r>
        <w:rPr/>
        <w:t>to find out if</w:t>
      </w:r>
      <w:r>
        <w:rPr>
          <w:spacing w:val="-3"/>
        </w:rPr>
        <w:t> </w:t>
      </w:r>
      <w:r>
        <w:rPr/>
        <w:t>the length</w:t>
      </w:r>
      <w:r>
        <w:rPr>
          <w:spacing w:val="-5"/>
        </w:rPr>
        <w:t> </w:t>
      </w:r>
      <w:r>
        <w:rPr/>
        <w:t>of</w:t>
      </w:r>
      <w:r>
        <w:rPr>
          <w:spacing w:val="-8"/>
        </w:rPr>
        <w:t> </w:t>
      </w:r>
      <w:r>
        <w:rPr/>
        <w:t>the string has</w:t>
      </w:r>
      <w:r>
        <w:rPr>
          <w:spacing w:val="-2"/>
        </w:rPr>
        <w:t> </w:t>
      </w:r>
      <w:r>
        <w:rPr/>
        <w:t>an effect on</w:t>
      </w:r>
      <w:r>
        <w:rPr>
          <w:spacing w:val="-5"/>
        </w:rPr>
        <w:t> </w:t>
      </w:r>
      <w:r>
        <w:rPr/>
        <w:t>the</w:t>
      </w:r>
      <w:r>
        <w:rPr>
          <w:spacing w:val="-1"/>
        </w:rPr>
        <w:t> </w:t>
      </w:r>
      <w:r>
        <w:rPr/>
        <w:t>amount of time it takes the string to swing back and forth.</w:t>
      </w:r>
    </w:p>
    <w:p>
      <w:pPr>
        <w:pStyle w:val="BodyText"/>
        <w:jc w:val="left"/>
      </w:pPr>
      <w:r>
        <w:rPr/>
        <w:t>WHICH</w:t>
      </w:r>
      <w:r>
        <w:rPr>
          <w:spacing w:val="-5"/>
        </w:rPr>
        <w:t> </w:t>
      </w:r>
      <w:r>
        <w:rPr/>
        <w:t>STRING</w:t>
      </w:r>
      <w:r>
        <w:rPr>
          <w:spacing w:val="-3"/>
        </w:rPr>
        <w:t> </w:t>
      </w:r>
      <w:r>
        <w:rPr/>
        <w:t>AND</w:t>
      </w:r>
      <w:r>
        <w:rPr>
          <w:spacing w:val="2"/>
        </w:rPr>
        <w:t> </w:t>
      </w:r>
      <w:r>
        <w:rPr/>
        <w:t>WEIGHT</w:t>
      </w:r>
      <w:r>
        <w:rPr>
          <w:spacing w:val="1"/>
        </w:rPr>
        <w:t> </w:t>
      </w:r>
      <w:r>
        <w:rPr/>
        <w:t>WOULD</w:t>
      </w:r>
      <w:r>
        <w:rPr>
          <w:spacing w:val="-3"/>
        </w:rPr>
        <w:t> </w:t>
      </w:r>
      <w:r>
        <w:rPr/>
        <w:t>HE</w:t>
      </w:r>
      <w:r>
        <w:rPr>
          <w:spacing w:val="-1"/>
        </w:rPr>
        <w:t> </w:t>
      </w:r>
      <w:r>
        <w:rPr/>
        <w:t>USE FOR</w:t>
      </w:r>
      <w:r>
        <w:rPr>
          <w:spacing w:val="-3"/>
        </w:rPr>
        <w:t> </w:t>
      </w:r>
      <w:r>
        <w:rPr/>
        <w:t>HIS</w:t>
      </w:r>
      <w:r>
        <w:rPr>
          <w:spacing w:val="-5"/>
        </w:rPr>
        <w:t> </w:t>
      </w:r>
      <w:r>
        <w:rPr>
          <w:spacing w:val="-2"/>
        </w:rPr>
        <w:t>EXPERIMENT?</w:t>
      </w:r>
    </w:p>
    <w:p>
      <w:pPr>
        <w:pStyle w:val="BodyText"/>
        <w:ind w:left="0"/>
        <w:jc w:val="left"/>
      </w:pPr>
    </w:p>
    <w:p>
      <w:pPr>
        <w:pStyle w:val="ListParagraph"/>
        <w:numPr>
          <w:ilvl w:val="7"/>
          <w:numId w:val="26"/>
        </w:numPr>
        <w:tabs>
          <w:tab w:pos="1200" w:val="left" w:leader="none"/>
        </w:tabs>
        <w:spacing w:line="240" w:lineRule="auto" w:before="0" w:after="0"/>
        <w:ind w:left="1200" w:right="0" w:hanging="359"/>
        <w:jc w:val="left"/>
        <w:rPr>
          <w:sz w:val="24"/>
        </w:rPr>
      </w:pPr>
      <w:r>
        <w:rPr>
          <w:sz w:val="24"/>
        </w:rPr>
        <w:t>string</w:t>
      </w:r>
      <w:r>
        <w:rPr>
          <w:spacing w:val="-3"/>
          <w:sz w:val="24"/>
        </w:rPr>
        <w:t> </w:t>
      </w:r>
      <w:r>
        <w:rPr>
          <w:sz w:val="24"/>
        </w:rPr>
        <w:t>#1</w:t>
      </w:r>
      <w:r>
        <w:rPr>
          <w:spacing w:val="-2"/>
          <w:sz w:val="24"/>
        </w:rPr>
        <w:t> </w:t>
      </w:r>
      <w:r>
        <w:rPr>
          <w:sz w:val="24"/>
        </w:rPr>
        <w:t>and</w:t>
      </w:r>
      <w:r>
        <w:rPr>
          <w:spacing w:val="-2"/>
          <w:sz w:val="24"/>
        </w:rPr>
        <w:t> </w:t>
      </w:r>
      <w:r>
        <w:rPr>
          <w:spacing w:val="-5"/>
          <w:sz w:val="24"/>
        </w:rPr>
        <w:t>#2</w:t>
      </w:r>
    </w:p>
    <w:p>
      <w:pPr>
        <w:pStyle w:val="ListParagraph"/>
        <w:numPr>
          <w:ilvl w:val="7"/>
          <w:numId w:val="26"/>
        </w:numPr>
        <w:tabs>
          <w:tab w:pos="1200" w:val="left" w:leader="none"/>
        </w:tabs>
        <w:spacing w:line="240" w:lineRule="auto" w:before="137" w:after="0"/>
        <w:ind w:left="1200" w:right="0" w:hanging="359"/>
        <w:jc w:val="left"/>
        <w:rPr>
          <w:sz w:val="24"/>
        </w:rPr>
      </w:pPr>
      <w:r>
        <w:rPr>
          <w:sz w:val="24"/>
        </w:rPr>
        <w:t>string</w:t>
      </w:r>
      <w:r>
        <w:rPr>
          <w:spacing w:val="-3"/>
          <w:sz w:val="24"/>
        </w:rPr>
        <w:t> </w:t>
      </w:r>
      <w:r>
        <w:rPr>
          <w:sz w:val="24"/>
        </w:rPr>
        <w:t>#1</w:t>
      </w:r>
      <w:r>
        <w:rPr>
          <w:spacing w:val="-2"/>
          <w:sz w:val="24"/>
        </w:rPr>
        <w:t> </w:t>
      </w:r>
      <w:r>
        <w:rPr>
          <w:sz w:val="24"/>
        </w:rPr>
        <w:t>and</w:t>
      </w:r>
      <w:r>
        <w:rPr>
          <w:spacing w:val="-2"/>
          <w:sz w:val="24"/>
        </w:rPr>
        <w:t> </w:t>
      </w:r>
      <w:r>
        <w:rPr>
          <w:spacing w:val="-5"/>
          <w:sz w:val="24"/>
        </w:rPr>
        <w:t>#3</w:t>
      </w:r>
    </w:p>
    <w:p>
      <w:pPr>
        <w:pStyle w:val="ListParagraph"/>
        <w:numPr>
          <w:ilvl w:val="7"/>
          <w:numId w:val="26"/>
        </w:numPr>
        <w:tabs>
          <w:tab w:pos="1200" w:val="left" w:leader="none"/>
        </w:tabs>
        <w:spacing w:line="240" w:lineRule="auto" w:before="142" w:after="0"/>
        <w:ind w:left="1200" w:right="0" w:hanging="359"/>
        <w:jc w:val="left"/>
        <w:rPr>
          <w:sz w:val="24"/>
        </w:rPr>
      </w:pPr>
      <w:r>
        <w:rPr>
          <w:sz w:val="24"/>
        </w:rPr>
        <w:t>string</w:t>
      </w:r>
      <w:r>
        <w:rPr>
          <w:spacing w:val="-2"/>
          <w:sz w:val="24"/>
        </w:rPr>
        <w:t> </w:t>
      </w:r>
      <w:r>
        <w:rPr>
          <w:sz w:val="24"/>
        </w:rPr>
        <w:t>#2</w:t>
      </w:r>
      <w:r>
        <w:rPr>
          <w:spacing w:val="-2"/>
          <w:sz w:val="24"/>
        </w:rPr>
        <w:t> </w:t>
      </w:r>
      <w:r>
        <w:rPr>
          <w:sz w:val="24"/>
        </w:rPr>
        <w:t>and</w:t>
      </w:r>
      <w:r>
        <w:rPr>
          <w:spacing w:val="-2"/>
          <w:sz w:val="24"/>
        </w:rPr>
        <w:t> </w:t>
      </w:r>
      <w:r>
        <w:rPr>
          <w:spacing w:val="-5"/>
          <w:sz w:val="24"/>
        </w:rPr>
        <w:t>#3</w:t>
      </w:r>
    </w:p>
    <w:p>
      <w:pPr>
        <w:pStyle w:val="ListParagraph"/>
        <w:numPr>
          <w:ilvl w:val="7"/>
          <w:numId w:val="26"/>
        </w:numPr>
        <w:tabs>
          <w:tab w:pos="1201" w:val="left" w:leader="none"/>
        </w:tabs>
        <w:spacing w:line="240" w:lineRule="auto" w:before="137" w:after="0"/>
        <w:ind w:left="1201" w:right="0" w:hanging="360"/>
        <w:jc w:val="left"/>
        <w:rPr>
          <w:sz w:val="24"/>
        </w:rPr>
      </w:pPr>
      <w:r>
        <w:rPr>
          <w:sz w:val="24"/>
        </w:rPr>
        <w:t>string</w:t>
      </w:r>
      <w:r>
        <w:rPr>
          <w:spacing w:val="-2"/>
          <w:sz w:val="24"/>
        </w:rPr>
        <w:t> </w:t>
      </w:r>
      <w:r>
        <w:rPr>
          <w:sz w:val="24"/>
        </w:rPr>
        <w:t>#1,</w:t>
      </w:r>
      <w:r>
        <w:rPr>
          <w:spacing w:val="1"/>
          <w:sz w:val="24"/>
        </w:rPr>
        <w:t> </w:t>
      </w:r>
      <w:r>
        <w:rPr>
          <w:sz w:val="24"/>
        </w:rPr>
        <w:t>#2,</w:t>
      </w:r>
      <w:r>
        <w:rPr>
          <w:spacing w:val="-4"/>
          <w:sz w:val="24"/>
        </w:rPr>
        <w:t> </w:t>
      </w:r>
      <w:r>
        <w:rPr>
          <w:sz w:val="24"/>
        </w:rPr>
        <w:t>and</w:t>
      </w:r>
      <w:r>
        <w:rPr>
          <w:spacing w:val="-1"/>
          <w:sz w:val="24"/>
        </w:rPr>
        <w:t> </w:t>
      </w:r>
      <w:r>
        <w:rPr>
          <w:spacing w:val="-5"/>
          <w:sz w:val="24"/>
        </w:rPr>
        <w:t>#3</w:t>
      </w:r>
    </w:p>
    <w:p>
      <w:pPr>
        <w:pStyle w:val="ListParagraph"/>
        <w:numPr>
          <w:ilvl w:val="7"/>
          <w:numId w:val="26"/>
        </w:numPr>
        <w:tabs>
          <w:tab w:pos="1199" w:val="left" w:leader="none"/>
        </w:tabs>
        <w:spacing w:line="360" w:lineRule="auto" w:before="137" w:after="0"/>
        <w:ind w:left="480" w:right="7412" w:firstLine="360"/>
        <w:jc w:val="left"/>
        <w:rPr>
          <w:sz w:val="24"/>
        </w:rPr>
      </w:pPr>
      <w:r>
        <w:rPr>
          <w:sz w:val="24"/>
        </w:rPr>
        <w:t>string</w:t>
      </w:r>
      <w:r>
        <w:rPr>
          <w:spacing w:val="-15"/>
          <w:sz w:val="24"/>
        </w:rPr>
        <w:t> </w:t>
      </w:r>
      <w:r>
        <w:rPr>
          <w:sz w:val="24"/>
        </w:rPr>
        <w:t>#2</w:t>
      </w:r>
      <w:r>
        <w:rPr>
          <w:spacing w:val="-15"/>
          <w:sz w:val="24"/>
        </w:rPr>
        <w:t> </w:t>
      </w:r>
      <w:r>
        <w:rPr>
          <w:sz w:val="24"/>
        </w:rPr>
        <w:t>only </w:t>
      </w:r>
      <w:r>
        <w:rPr>
          <w:spacing w:val="-2"/>
          <w:sz w:val="24"/>
        </w:rPr>
        <w:t>REASON</w:t>
      </w:r>
    </w:p>
    <w:p>
      <w:pPr>
        <w:pStyle w:val="ListParagraph"/>
        <w:numPr>
          <w:ilvl w:val="8"/>
          <w:numId w:val="26"/>
        </w:numPr>
        <w:tabs>
          <w:tab w:pos="1201" w:val="left" w:leader="none"/>
        </w:tabs>
        <w:spacing w:line="240" w:lineRule="auto" w:before="137" w:after="0"/>
        <w:ind w:left="1201" w:right="0" w:hanging="360"/>
        <w:jc w:val="left"/>
        <w:rPr>
          <w:sz w:val="24"/>
        </w:rPr>
      </w:pPr>
      <w:r>
        <w:rPr>
          <w:sz w:val="24"/>
        </w:rPr>
        <w:t>The length</w:t>
      </w:r>
      <w:r>
        <w:rPr>
          <w:spacing w:val="-7"/>
          <w:sz w:val="24"/>
        </w:rPr>
        <w:t> </w:t>
      </w:r>
      <w:r>
        <w:rPr>
          <w:sz w:val="24"/>
        </w:rPr>
        <w:t>of</w:t>
      </w:r>
      <w:r>
        <w:rPr>
          <w:spacing w:val="-9"/>
          <w:sz w:val="24"/>
        </w:rPr>
        <w:t> </w:t>
      </w:r>
      <w:r>
        <w:rPr>
          <w:sz w:val="24"/>
        </w:rPr>
        <w:t>the</w:t>
      </w:r>
      <w:r>
        <w:rPr>
          <w:spacing w:val="-3"/>
          <w:sz w:val="24"/>
        </w:rPr>
        <w:t> </w:t>
      </w:r>
      <w:r>
        <w:rPr>
          <w:sz w:val="24"/>
        </w:rPr>
        <w:t>strings</w:t>
      </w:r>
      <w:r>
        <w:rPr>
          <w:spacing w:val="-4"/>
          <w:sz w:val="24"/>
        </w:rPr>
        <w:t> </w:t>
      </w:r>
      <w:r>
        <w:rPr>
          <w:sz w:val="24"/>
        </w:rPr>
        <w:t>should</w:t>
      </w:r>
      <w:r>
        <w:rPr>
          <w:spacing w:val="-1"/>
          <w:sz w:val="24"/>
        </w:rPr>
        <w:t> </w:t>
      </w:r>
      <w:r>
        <w:rPr>
          <w:sz w:val="24"/>
        </w:rPr>
        <w:t>be</w:t>
      </w:r>
      <w:r>
        <w:rPr>
          <w:spacing w:val="-3"/>
          <w:sz w:val="24"/>
        </w:rPr>
        <w:t> </w:t>
      </w:r>
      <w:r>
        <w:rPr>
          <w:sz w:val="24"/>
        </w:rPr>
        <w:t>the</w:t>
      </w:r>
      <w:r>
        <w:rPr>
          <w:spacing w:val="-3"/>
          <w:sz w:val="24"/>
        </w:rPr>
        <w:t> </w:t>
      </w:r>
      <w:r>
        <w:rPr>
          <w:sz w:val="24"/>
        </w:rPr>
        <w:t>same.</w:t>
      </w:r>
      <w:r>
        <w:rPr>
          <w:spacing w:val="1"/>
          <w:sz w:val="24"/>
        </w:rPr>
        <w:t> </w:t>
      </w:r>
      <w:r>
        <w:rPr>
          <w:sz w:val="24"/>
        </w:rPr>
        <w:t>The</w:t>
      </w:r>
      <w:r>
        <w:rPr>
          <w:spacing w:val="-3"/>
          <w:sz w:val="24"/>
        </w:rPr>
        <w:t> </w:t>
      </w:r>
      <w:r>
        <w:rPr>
          <w:sz w:val="24"/>
        </w:rPr>
        <w:t>weights</w:t>
      </w:r>
      <w:r>
        <w:rPr>
          <w:spacing w:val="-4"/>
          <w:sz w:val="24"/>
        </w:rPr>
        <w:t> </w:t>
      </w:r>
      <w:r>
        <w:rPr>
          <w:sz w:val="24"/>
        </w:rPr>
        <w:t>should</w:t>
      </w:r>
      <w:r>
        <w:rPr>
          <w:spacing w:val="2"/>
          <w:sz w:val="24"/>
        </w:rPr>
        <w:t> </w:t>
      </w:r>
      <w:r>
        <w:rPr>
          <w:sz w:val="24"/>
        </w:rPr>
        <w:t>be</w:t>
      </w:r>
      <w:r>
        <w:rPr>
          <w:spacing w:val="-2"/>
          <w:sz w:val="24"/>
        </w:rPr>
        <w:t> different.</w:t>
      </w:r>
    </w:p>
    <w:p>
      <w:pPr>
        <w:pStyle w:val="ListParagraph"/>
        <w:numPr>
          <w:ilvl w:val="8"/>
          <w:numId w:val="26"/>
        </w:numPr>
        <w:tabs>
          <w:tab w:pos="1201" w:val="left" w:leader="none"/>
        </w:tabs>
        <w:spacing w:line="275" w:lineRule="exact" w:before="3" w:after="0"/>
        <w:ind w:left="1201" w:right="0" w:hanging="360"/>
        <w:jc w:val="left"/>
        <w:rPr>
          <w:sz w:val="24"/>
        </w:rPr>
      </w:pPr>
      <w:r>
        <w:rPr>
          <w:sz w:val="24"/>
        </w:rPr>
        <w:t>Different</w:t>
      </w:r>
      <w:r>
        <w:rPr>
          <w:spacing w:val="5"/>
          <w:sz w:val="24"/>
        </w:rPr>
        <w:t> </w:t>
      </w:r>
      <w:r>
        <w:rPr>
          <w:sz w:val="24"/>
        </w:rPr>
        <w:t>lengths</w:t>
      </w:r>
      <w:r>
        <w:rPr>
          <w:spacing w:val="-6"/>
          <w:sz w:val="24"/>
        </w:rPr>
        <w:t> </w:t>
      </w:r>
      <w:r>
        <w:rPr>
          <w:sz w:val="24"/>
        </w:rPr>
        <w:t>with</w:t>
      </w:r>
      <w:r>
        <w:rPr>
          <w:spacing w:val="-9"/>
          <w:sz w:val="24"/>
        </w:rPr>
        <w:t> </w:t>
      </w:r>
      <w:r>
        <w:rPr>
          <w:sz w:val="24"/>
        </w:rPr>
        <w:t>different</w:t>
      </w:r>
      <w:r>
        <w:rPr>
          <w:spacing w:val="1"/>
          <w:sz w:val="24"/>
        </w:rPr>
        <w:t> </w:t>
      </w:r>
      <w:r>
        <w:rPr>
          <w:sz w:val="24"/>
        </w:rPr>
        <w:t>weights</w:t>
      </w:r>
      <w:r>
        <w:rPr>
          <w:spacing w:val="-6"/>
          <w:sz w:val="24"/>
        </w:rPr>
        <w:t> </w:t>
      </w:r>
      <w:r>
        <w:rPr>
          <w:sz w:val="24"/>
        </w:rPr>
        <w:t>should</w:t>
      </w:r>
      <w:r>
        <w:rPr>
          <w:spacing w:val="-4"/>
          <w:sz w:val="24"/>
        </w:rPr>
        <w:t> </w:t>
      </w:r>
      <w:r>
        <w:rPr>
          <w:sz w:val="24"/>
        </w:rPr>
        <w:t>be</w:t>
      </w:r>
      <w:r>
        <w:rPr>
          <w:spacing w:val="-4"/>
          <w:sz w:val="24"/>
        </w:rPr>
        <w:t> </w:t>
      </w:r>
      <w:r>
        <w:rPr>
          <w:spacing w:val="-2"/>
          <w:sz w:val="24"/>
        </w:rPr>
        <w:t>tested.</w:t>
      </w:r>
    </w:p>
    <w:p>
      <w:pPr>
        <w:pStyle w:val="ListParagraph"/>
        <w:numPr>
          <w:ilvl w:val="8"/>
          <w:numId w:val="26"/>
        </w:numPr>
        <w:tabs>
          <w:tab w:pos="1201" w:val="left" w:leader="none"/>
        </w:tabs>
        <w:spacing w:line="275" w:lineRule="exact" w:before="0" w:after="0"/>
        <w:ind w:left="1201" w:right="0" w:hanging="360"/>
        <w:jc w:val="left"/>
        <w:rPr>
          <w:sz w:val="24"/>
        </w:rPr>
      </w:pPr>
      <w:r>
        <w:rPr>
          <w:sz w:val="24"/>
        </w:rPr>
        <w:t>All</w:t>
      </w:r>
      <w:r>
        <w:rPr>
          <w:spacing w:val="-9"/>
          <w:sz w:val="24"/>
        </w:rPr>
        <w:t> </w:t>
      </w:r>
      <w:r>
        <w:rPr>
          <w:sz w:val="24"/>
        </w:rPr>
        <w:t>strings</w:t>
      </w:r>
      <w:r>
        <w:rPr>
          <w:spacing w:val="-4"/>
          <w:sz w:val="24"/>
        </w:rPr>
        <w:t> </w:t>
      </w:r>
      <w:r>
        <w:rPr>
          <w:sz w:val="24"/>
        </w:rPr>
        <w:t>and</w:t>
      </w:r>
      <w:r>
        <w:rPr>
          <w:spacing w:val="-2"/>
          <w:sz w:val="24"/>
        </w:rPr>
        <w:t> </w:t>
      </w:r>
      <w:r>
        <w:rPr>
          <w:sz w:val="24"/>
        </w:rPr>
        <w:t>their</w:t>
      </w:r>
      <w:r>
        <w:rPr>
          <w:spacing w:val="-1"/>
          <w:sz w:val="24"/>
        </w:rPr>
        <w:t> </w:t>
      </w:r>
      <w:r>
        <w:rPr>
          <w:sz w:val="24"/>
        </w:rPr>
        <w:t>weights</w:t>
      </w:r>
      <w:r>
        <w:rPr>
          <w:spacing w:val="-4"/>
          <w:sz w:val="24"/>
        </w:rPr>
        <w:t> </w:t>
      </w:r>
      <w:r>
        <w:rPr>
          <w:sz w:val="24"/>
        </w:rPr>
        <w:t>should</w:t>
      </w:r>
      <w:r>
        <w:rPr>
          <w:spacing w:val="1"/>
          <w:sz w:val="24"/>
        </w:rPr>
        <w:t> </w:t>
      </w:r>
      <w:r>
        <w:rPr>
          <w:sz w:val="24"/>
        </w:rPr>
        <w:t>be</w:t>
      </w:r>
      <w:r>
        <w:rPr>
          <w:spacing w:val="-3"/>
          <w:sz w:val="24"/>
        </w:rPr>
        <w:t> </w:t>
      </w:r>
      <w:r>
        <w:rPr>
          <w:sz w:val="24"/>
        </w:rPr>
        <w:t>tested</w:t>
      </w:r>
      <w:r>
        <w:rPr>
          <w:spacing w:val="-2"/>
          <w:sz w:val="24"/>
        </w:rPr>
        <w:t> </w:t>
      </w:r>
      <w:r>
        <w:rPr>
          <w:sz w:val="24"/>
        </w:rPr>
        <w:t>against</w:t>
      </w:r>
      <w:r>
        <w:rPr>
          <w:spacing w:val="3"/>
          <w:sz w:val="24"/>
        </w:rPr>
        <w:t> </w:t>
      </w:r>
      <w:r>
        <w:rPr>
          <w:sz w:val="24"/>
        </w:rPr>
        <w:t>all</w:t>
      </w:r>
      <w:r>
        <w:rPr>
          <w:spacing w:val="-10"/>
          <w:sz w:val="24"/>
        </w:rPr>
        <w:t> </w:t>
      </w:r>
      <w:r>
        <w:rPr>
          <w:spacing w:val="-2"/>
          <w:sz w:val="24"/>
        </w:rPr>
        <w:t>others.</w:t>
      </w:r>
    </w:p>
    <w:p>
      <w:pPr>
        <w:pStyle w:val="ListParagraph"/>
        <w:numPr>
          <w:ilvl w:val="8"/>
          <w:numId w:val="26"/>
        </w:numPr>
        <w:tabs>
          <w:tab w:pos="1201" w:val="left" w:leader="none"/>
        </w:tabs>
        <w:spacing w:line="237" w:lineRule="auto" w:before="4" w:after="0"/>
        <w:ind w:left="1201" w:right="1165" w:hanging="360"/>
        <w:jc w:val="left"/>
        <w:rPr>
          <w:sz w:val="24"/>
        </w:rPr>
      </w:pPr>
      <w:r>
        <w:rPr>
          <w:sz w:val="24"/>
        </w:rPr>
        <w:t>Only</w:t>
      </w:r>
      <w:r>
        <w:rPr>
          <w:spacing w:val="26"/>
          <w:sz w:val="24"/>
        </w:rPr>
        <w:t> </w:t>
      </w:r>
      <w:r>
        <w:rPr>
          <w:sz w:val="24"/>
        </w:rPr>
        <w:t>the</w:t>
      </w:r>
      <w:r>
        <w:rPr>
          <w:spacing w:val="34"/>
          <w:sz w:val="24"/>
        </w:rPr>
        <w:t> </w:t>
      </w:r>
      <w:r>
        <w:rPr>
          <w:sz w:val="24"/>
        </w:rPr>
        <w:t>longest</w:t>
      </w:r>
      <w:r>
        <w:rPr>
          <w:spacing w:val="35"/>
          <w:sz w:val="24"/>
        </w:rPr>
        <w:t> </w:t>
      </w:r>
      <w:r>
        <w:rPr>
          <w:sz w:val="24"/>
        </w:rPr>
        <w:t>string</w:t>
      </w:r>
      <w:r>
        <w:rPr>
          <w:spacing w:val="31"/>
          <w:sz w:val="24"/>
        </w:rPr>
        <w:t> </w:t>
      </w:r>
      <w:r>
        <w:rPr>
          <w:sz w:val="24"/>
        </w:rPr>
        <w:t>should</w:t>
      </w:r>
      <w:r>
        <w:rPr>
          <w:spacing w:val="35"/>
          <w:sz w:val="24"/>
        </w:rPr>
        <w:t> </w:t>
      </w:r>
      <w:r>
        <w:rPr>
          <w:sz w:val="24"/>
        </w:rPr>
        <w:t>be</w:t>
      </w:r>
      <w:r>
        <w:rPr>
          <w:spacing w:val="34"/>
          <w:sz w:val="24"/>
        </w:rPr>
        <w:t> </w:t>
      </w:r>
      <w:r>
        <w:rPr>
          <w:sz w:val="24"/>
        </w:rPr>
        <w:t>tested.</w:t>
      </w:r>
      <w:r>
        <w:rPr>
          <w:spacing w:val="29"/>
          <w:sz w:val="24"/>
        </w:rPr>
        <w:t> </w:t>
      </w:r>
      <w:r>
        <w:rPr>
          <w:sz w:val="24"/>
        </w:rPr>
        <w:t>The</w:t>
      </w:r>
      <w:r>
        <w:rPr>
          <w:spacing w:val="30"/>
          <w:sz w:val="24"/>
        </w:rPr>
        <w:t> </w:t>
      </w:r>
      <w:r>
        <w:rPr>
          <w:sz w:val="24"/>
        </w:rPr>
        <w:t>experiment</w:t>
      </w:r>
      <w:r>
        <w:rPr>
          <w:spacing w:val="40"/>
          <w:sz w:val="24"/>
        </w:rPr>
        <w:t> </w:t>
      </w:r>
      <w:r>
        <w:rPr>
          <w:sz w:val="24"/>
        </w:rPr>
        <w:t>is</w:t>
      </w:r>
      <w:r>
        <w:rPr>
          <w:spacing w:val="29"/>
          <w:sz w:val="24"/>
        </w:rPr>
        <w:t> </w:t>
      </w:r>
      <w:r>
        <w:rPr>
          <w:sz w:val="24"/>
        </w:rPr>
        <w:t>concerned</w:t>
      </w:r>
      <w:r>
        <w:rPr>
          <w:spacing w:val="31"/>
          <w:sz w:val="24"/>
        </w:rPr>
        <w:t> </w:t>
      </w:r>
      <w:r>
        <w:rPr>
          <w:sz w:val="24"/>
        </w:rPr>
        <w:t>with length not weight.</w:t>
      </w:r>
    </w:p>
    <w:p>
      <w:pPr>
        <w:pStyle w:val="ListParagraph"/>
        <w:numPr>
          <w:ilvl w:val="8"/>
          <w:numId w:val="26"/>
        </w:numPr>
        <w:tabs>
          <w:tab w:pos="1201" w:val="left" w:leader="none"/>
        </w:tabs>
        <w:spacing w:line="237" w:lineRule="auto" w:before="6" w:after="0"/>
        <w:ind w:left="1201" w:right="1166" w:hanging="360"/>
        <w:jc w:val="left"/>
        <w:rPr>
          <w:sz w:val="24"/>
        </w:rPr>
      </w:pPr>
      <w:r>
        <w:rPr>
          <w:sz w:val="24"/>
        </w:rPr>
        <w:t>Everything</w:t>
      </w:r>
      <w:r>
        <w:rPr>
          <w:spacing w:val="31"/>
          <w:sz w:val="24"/>
        </w:rPr>
        <w:t> </w:t>
      </w:r>
      <w:r>
        <w:rPr>
          <w:sz w:val="24"/>
        </w:rPr>
        <w:t>needs</w:t>
      </w:r>
      <w:r>
        <w:rPr>
          <w:spacing w:val="29"/>
          <w:sz w:val="24"/>
        </w:rPr>
        <w:t> </w:t>
      </w:r>
      <w:r>
        <w:rPr>
          <w:sz w:val="24"/>
        </w:rPr>
        <w:t>to</w:t>
      </w:r>
      <w:r>
        <w:rPr>
          <w:spacing w:val="32"/>
          <w:sz w:val="24"/>
        </w:rPr>
        <w:t> </w:t>
      </w:r>
      <w:r>
        <w:rPr>
          <w:sz w:val="24"/>
        </w:rPr>
        <w:t>be</w:t>
      </w:r>
      <w:r>
        <w:rPr>
          <w:spacing w:val="26"/>
          <w:sz w:val="24"/>
        </w:rPr>
        <w:t> </w:t>
      </w:r>
      <w:r>
        <w:rPr>
          <w:sz w:val="24"/>
        </w:rPr>
        <w:t>the</w:t>
      </w:r>
      <w:r>
        <w:rPr>
          <w:spacing w:val="30"/>
          <w:sz w:val="24"/>
        </w:rPr>
        <w:t> </w:t>
      </w:r>
      <w:r>
        <w:rPr>
          <w:sz w:val="24"/>
        </w:rPr>
        <w:t>same</w:t>
      </w:r>
      <w:r>
        <w:rPr>
          <w:spacing w:val="30"/>
          <w:sz w:val="24"/>
        </w:rPr>
        <w:t> </w:t>
      </w:r>
      <w:r>
        <w:rPr>
          <w:sz w:val="24"/>
        </w:rPr>
        <w:t>except</w:t>
      </w:r>
      <w:r>
        <w:rPr>
          <w:spacing w:val="32"/>
          <w:sz w:val="24"/>
        </w:rPr>
        <w:t> </w:t>
      </w:r>
      <w:r>
        <w:rPr>
          <w:sz w:val="24"/>
        </w:rPr>
        <w:t>the</w:t>
      </w:r>
      <w:r>
        <w:rPr>
          <w:spacing w:val="30"/>
          <w:sz w:val="24"/>
        </w:rPr>
        <w:t> </w:t>
      </w:r>
      <w:r>
        <w:rPr>
          <w:sz w:val="24"/>
        </w:rPr>
        <w:t>length</w:t>
      </w:r>
      <w:r>
        <w:rPr>
          <w:spacing w:val="22"/>
          <w:sz w:val="24"/>
        </w:rPr>
        <w:t> </w:t>
      </w:r>
      <w:r>
        <w:rPr>
          <w:sz w:val="24"/>
        </w:rPr>
        <w:t>so</w:t>
      </w:r>
      <w:r>
        <w:rPr>
          <w:spacing w:val="36"/>
          <w:sz w:val="24"/>
        </w:rPr>
        <w:t> </w:t>
      </w:r>
      <w:r>
        <w:rPr>
          <w:sz w:val="24"/>
        </w:rPr>
        <w:t>you</w:t>
      </w:r>
      <w:r>
        <w:rPr>
          <w:spacing w:val="26"/>
          <w:sz w:val="24"/>
        </w:rPr>
        <w:t> </w:t>
      </w:r>
      <w:r>
        <w:rPr>
          <w:sz w:val="24"/>
        </w:rPr>
        <w:t>can</w:t>
      </w:r>
      <w:r>
        <w:rPr>
          <w:spacing w:val="22"/>
          <w:sz w:val="24"/>
        </w:rPr>
        <w:t> </w:t>
      </w:r>
      <w:r>
        <w:rPr>
          <w:sz w:val="24"/>
        </w:rPr>
        <w:t>tell</w:t>
      </w:r>
      <w:r>
        <w:rPr>
          <w:spacing w:val="27"/>
          <w:sz w:val="24"/>
        </w:rPr>
        <w:t> </w:t>
      </w:r>
      <w:r>
        <w:rPr>
          <w:sz w:val="24"/>
        </w:rPr>
        <w:t>if</w:t>
      </w:r>
      <w:r>
        <w:rPr>
          <w:spacing w:val="33"/>
          <w:sz w:val="24"/>
        </w:rPr>
        <w:t> </w:t>
      </w:r>
      <w:r>
        <w:rPr>
          <w:sz w:val="24"/>
        </w:rPr>
        <w:t>length makes a difference.</w:t>
      </w:r>
    </w:p>
    <w:p>
      <w:pPr>
        <w:spacing w:after="0" w:line="237" w:lineRule="auto"/>
        <w:jc w:val="left"/>
        <w:rPr>
          <w:sz w:val="24"/>
        </w:rPr>
        <w:sectPr>
          <w:pgSz w:w="11910" w:h="16840"/>
          <w:pgMar w:header="0" w:footer="1012" w:top="1340" w:bottom="1200" w:left="1680" w:right="280"/>
        </w:sectPr>
      </w:pPr>
    </w:p>
    <w:p>
      <w:pPr>
        <w:pStyle w:val="BodyText"/>
        <w:spacing w:before="66"/>
        <w:jc w:val="left"/>
      </w:pPr>
      <w:r>
        <w:rPr/>
        <w:t>Item</w:t>
      </w:r>
      <w:r>
        <w:rPr>
          <w:spacing w:val="-2"/>
        </w:rPr>
        <w:t> </w:t>
      </w:r>
      <w:r>
        <w:rPr>
          <w:spacing w:val="-12"/>
        </w:rPr>
        <w:t>6</w:t>
      </w:r>
    </w:p>
    <w:p>
      <w:pPr>
        <w:pStyle w:val="BodyText"/>
        <w:spacing w:before="5"/>
        <w:ind w:left="0"/>
        <w:jc w:val="left"/>
      </w:pPr>
    </w:p>
    <w:p>
      <w:pPr>
        <w:spacing w:before="0"/>
        <w:ind w:left="0" w:right="678" w:firstLine="0"/>
        <w:jc w:val="center"/>
        <w:rPr>
          <w:b/>
          <w:sz w:val="24"/>
        </w:rPr>
      </w:pPr>
      <w:r>
        <w:rPr>
          <w:b/>
          <w:sz w:val="24"/>
          <w:u w:val="single"/>
        </w:rPr>
        <w:t>Ball</w:t>
      </w:r>
      <w:r>
        <w:rPr>
          <w:b/>
          <w:spacing w:val="-6"/>
          <w:sz w:val="24"/>
          <w:u w:val="single"/>
        </w:rPr>
        <w:t> </w:t>
      </w:r>
      <w:r>
        <w:rPr>
          <w:b/>
          <w:spacing w:val="-5"/>
          <w:sz w:val="24"/>
          <w:u w:val="single"/>
        </w:rPr>
        <w:t>#1</w:t>
      </w:r>
    </w:p>
    <w:p>
      <w:pPr>
        <w:pStyle w:val="BodyText"/>
        <w:spacing w:line="237" w:lineRule="auto" w:before="274"/>
        <w:ind w:right="1157" w:firstLine="720"/>
      </w:pPr>
      <w:r>
        <w:rPr/>
        <w:drawing>
          <wp:anchor distT="0" distB="0" distL="0" distR="0" allowOverlap="1" layoutInCell="1" locked="0" behindDoc="1" simplePos="0" relativeHeight="487595520">
            <wp:simplePos x="0" y="0"/>
            <wp:positionH relativeFrom="page">
              <wp:posOffset>2762250</wp:posOffset>
            </wp:positionH>
            <wp:positionV relativeFrom="paragraph">
              <wp:posOffset>560660</wp:posOffset>
            </wp:positionV>
            <wp:extent cx="3830843" cy="909447"/>
            <wp:effectExtent l="0" t="0" r="0" b="0"/>
            <wp:wrapTopAndBottom/>
            <wp:docPr id="34" name="Image 34" descr="C:\Users\ameer\Desktop\AMOS PIXX\10.jpg"/>
            <wp:cNvGraphicFramePr>
              <a:graphicFrameLocks/>
            </wp:cNvGraphicFramePr>
            <a:graphic>
              <a:graphicData uri="http://schemas.openxmlformats.org/drawingml/2006/picture">
                <pic:pic>
                  <pic:nvPicPr>
                    <pic:cNvPr id="34" name="Image 34" descr="C:\Users\ameer\Desktop\AMOS PIXX\10.jpg"/>
                    <pic:cNvPicPr/>
                  </pic:nvPicPr>
                  <pic:blipFill>
                    <a:blip r:embed="rId49" cstate="print"/>
                    <a:stretch>
                      <a:fillRect/>
                    </a:stretch>
                  </pic:blipFill>
                  <pic:spPr>
                    <a:xfrm>
                      <a:off x="0" y="0"/>
                      <a:ext cx="3830843" cy="909447"/>
                    </a:xfrm>
                    <a:prstGeom prst="rect">
                      <a:avLst/>
                    </a:prstGeom>
                  </pic:spPr>
                </pic:pic>
              </a:graphicData>
            </a:graphic>
          </wp:anchor>
        </w:drawing>
      </w:r>
      <w:r>
        <w:rPr/>
        <w:t>Eddie</w:t>
      </w:r>
      <w:r>
        <w:rPr>
          <w:spacing w:val="-2"/>
        </w:rPr>
        <w:t> </w:t>
      </w:r>
      <w:r>
        <w:rPr/>
        <w:t>has</w:t>
      </w:r>
      <w:r>
        <w:rPr>
          <w:spacing w:val="-3"/>
        </w:rPr>
        <w:t> </w:t>
      </w:r>
      <w:r>
        <w:rPr/>
        <w:t>a</w:t>
      </w:r>
      <w:r>
        <w:rPr>
          <w:spacing w:val="-2"/>
        </w:rPr>
        <w:t> </w:t>
      </w:r>
      <w:r>
        <w:rPr/>
        <w:t>curved</w:t>
      </w:r>
      <w:r>
        <w:rPr>
          <w:spacing w:val="-1"/>
        </w:rPr>
        <w:t> </w:t>
      </w:r>
      <w:r>
        <w:rPr/>
        <w:t>ramp. At</w:t>
      </w:r>
      <w:r>
        <w:rPr>
          <w:spacing w:val="-1"/>
        </w:rPr>
        <w:t> </w:t>
      </w:r>
      <w:r>
        <w:rPr/>
        <w:t>the</w:t>
      </w:r>
      <w:r>
        <w:rPr>
          <w:spacing w:val="-2"/>
        </w:rPr>
        <w:t> </w:t>
      </w:r>
      <w:r>
        <w:rPr/>
        <w:t>bottom</w:t>
      </w:r>
      <w:r>
        <w:rPr>
          <w:spacing w:val="-9"/>
        </w:rPr>
        <w:t> </w:t>
      </w:r>
      <w:r>
        <w:rPr/>
        <w:t>of</w:t>
      </w:r>
      <w:r>
        <w:rPr>
          <w:spacing w:val="-2"/>
        </w:rPr>
        <w:t> </w:t>
      </w:r>
      <w:r>
        <w:rPr/>
        <w:t>the</w:t>
      </w:r>
      <w:r>
        <w:rPr>
          <w:spacing w:val="-2"/>
        </w:rPr>
        <w:t> </w:t>
      </w:r>
      <w:r>
        <w:rPr/>
        <w:t>ramp</w:t>
      </w:r>
      <w:r>
        <w:rPr>
          <w:spacing w:val="-1"/>
        </w:rPr>
        <w:t> </w:t>
      </w:r>
      <w:r>
        <w:rPr/>
        <w:t>there</w:t>
      </w:r>
      <w:r>
        <w:rPr>
          <w:spacing w:val="-2"/>
        </w:rPr>
        <w:t> </w:t>
      </w:r>
      <w:r>
        <w:rPr/>
        <w:t>is</w:t>
      </w:r>
      <w:r>
        <w:rPr>
          <w:spacing w:val="-3"/>
        </w:rPr>
        <w:t> </w:t>
      </w:r>
      <w:r>
        <w:rPr/>
        <w:t>one ball</w:t>
      </w:r>
      <w:r>
        <w:rPr>
          <w:spacing w:val="-5"/>
        </w:rPr>
        <w:t> </w:t>
      </w:r>
      <w:r>
        <w:rPr/>
        <w:t>called the target ball.</w:t>
      </w:r>
    </w:p>
    <w:p>
      <w:pPr>
        <w:pStyle w:val="BodyText"/>
        <w:spacing w:before="256" w:after="7"/>
        <w:ind w:right="1154" w:firstLine="720"/>
      </w:pPr>
      <w:r>
        <w:rPr/>
        <w:t>There are two other balls, a heavy and a light one. He can roll one ball down the ramp and hit the target ball. This causes the target</w:t>
      </w:r>
      <w:r>
        <w:rPr>
          <w:spacing w:val="19"/>
        </w:rPr>
        <w:t> </w:t>
      </w:r>
      <w:r>
        <w:rPr/>
        <w:t>ball to move up the other side</w:t>
      </w:r>
      <w:r>
        <w:rPr>
          <w:spacing w:val="40"/>
        </w:rPr>
        <w:t> </w:t>
      </w:r>
      <w:r>
        <w:rPr/>
        <w:t>of the ramp. He can roll the balls from two different points, a low point and a high </w:t>
      </w:r>
      <w:r>
        <w:rPr>
          <w:spacing w:val="-2"/>
        </w:rPr>
        <w:t>point.</w:t>
      </w:r>
    </w:p>
    <w:p>
      <w:pPr>
        <w:pStyle w:val="BodyText"/>
        <w:ind w:left="2774"/>
        <w:jc w:val="left"/>
        <w:rPr>
          <w:sz w:val="20"/>
        </w:rPr>
      </w:pPr>
      <w:r>
        <w:rPr>
          <w:sz w:val="20"/>
        </w:rPr>
        <w:drawing>
          <wp:inline distT="0" distB="0" distL="0" distR="0">
            <wp:extent cx="4375593" cy="1010030"/>
            <wp:effectExtent l="0" t="0" r="0" b="0"/>
            <wp:docPr id="35" name="Image 35" descr="C:\Users\ameer\Desktop\AMOS PIXX\11.jpg"/>
            <wp:cNvGraphicFramePr>
              <a:graphicFrameLocks/>
            </wp:cNvGraphicFramePr>
            <a:graphic>
              <a:graphicData uri="http://schemas.openxmlformats.org/drawingml/2006/picture">
                <pic:pic>
                  <pic:nvPicPr>
                    <pic:cNvPr id="35" name="Image 35" descr="C:\Users\ameer\Desktop\AMOS PIXX\11.jpg"/>
                    <pic:cNvPicPr/>
                  </pic:nvPicPr>
                  <pic:blipFill>
                    <a:blip r:embed="rId50" cstate="print"/>
                    <a:stretch>
                      <a:fillRect/>
                    </a:stretch>
                  </pic:blipFill>
                  <pic:spPr>
                    <a:xfrm>
                      <a:off x="0" y="0"/>
                      <a:ext cx="4375593" cy="1010030"/>
                    </a:xfrm>
                    <a:prstGeom prst="rect">
                      <a:avLst/>
                    </a:prstGeom>
                  </pic:spPr>
                </pic:pic>
              </a:graphicData>
            </a:graphic>
          </wp:inline>
        </w:drawing>
      </w:r>
      <w:r>
        <w:rPr>
          <w:sz w:val="20"/>
        </w:rPr>
      </w:r>
    </w:p>
    <w:p>
      <w:pPr>
        <w:pStyle w:val="BodyText"/>
        <w:spacing w:line="242" w:lineRule="auto" w:before="251"/>
        <w:ind w:right="1163" w:firstLine="720"/>
      </w:pPr>
      <w:r>
        <w:rPr/>
        <w:t>Eddie released the light ball from</w:t>
      </w:r>
      <w:r>
        <w:rPr>
          <w:spacing w:val="-7"/>
        </w:rPr>
        <w:t> </w:t>
      </w:r>
      <w:r>
        <w:rPr/>
        <w:t>the low point. It rolled down</w:t>
      </w:r>
      <w:r>
        <w:rPr>
          <w:spacing w:val="-3"/>
        </w:rPr>
        <w:t> </w:t>
      </w:r>
      <w:r>
        <w:rPr/>
        <w:t>the lamp. It hit and pushed the target ball up the other side of the ramp.</w:t>
      </w:r>
    </w:p>
    <w:p>
      <w:pPr>
        <w:pStyle w:val="BodyText"/>
        <w:spacing w:before="68"/>
        <w:ind w:left="0"/>
        <w:jc w:val="left"/>
        <w:rPr>
          <w:sz w:val="20"/>
        </w:rPr>
      </w:pPr>
      <w:r>
        <w:rPr/>
        <w:drawing>
          <wp:anchor distT="0" distB="0" distL="0" distR="0" allowOverlap="1" layoutInCell="1" locked="0" behindDoc="1" simplePos="0" relativeHeight="487596032">
            <wp:simplePos x="0" y="0"/>
            <wp:positionH relativeFrom="page">
              <wp:posOffset>1208405</wp:posOffset>
            </wp:positionH>
            <wp:positionV relativeFrom="paragraph">
              <wp:posOffset>204855</wp:posOffset>
            </wp:positionV>
            <wp:extent cx="5522164" cy="1072896"/>
            <wp:effectExtent l="0" t="0" r="0" b="0"/>
            <wp:wrapTopAndBottom/>
            <wp:docPr id="36" name="Image 36" descr="C:\Users\ameer\Desktop\AMOS PIXX\12.jpg"/>
            <wp:cNvGraphicFramePr>
              <a:graphicFrameLocks/>
            </wp:cNvGraphicFramePr>
            <a:graphic>
              <a:graphicData uri="http://schemas.openxmlformats.org/drawingml/2006/picture">
                <pic:pic>
                  <pic:nvPicPr>
                    <pic:cNvPr id="36" name="Image 36" descr="C:\Users\ameer\Desktop\AMOS PIXX\12.jpg"/>
                    <pic:cNvPicPr/>
                  </pic:nvPicPr>
                  <pic:blipFill>
                    <a:blip r:embed="rId51" cstate="print"/>
                    <a:stretch>
                      <a:fillRect/>
                    </a:stretch>
                  </pic:blipFill>
                  <pic:spPr>
                    <a:xfrm>
                      <a:off x="0" y="0"/>
                      <a:ext cx="5522164" cy="1072896"/>
                    </a:xfrm>
                    <a:prstGeom prst="rect">
                      <a:avLst/>
                    </a:prstGeom>
                  </pic:spPr>
                </pic:pic>
              </a:graphicData>
            </a:graphic>
          </wp:anchor>
        </w:drawing>
      </w:r>
    </w:p>
    <w:p>
      <w:pPr>
        <w:pStyle w:val="BodyText"/>
        <w:spacing w:line="237" w:lineRule="auto"/>
        <w:ind w:right="1158" w:firstLine="720"/>
      </w:pPr>
      <w:r>
        <w:rPr/>
        <w:t>He wants to find out if the point a ball is released from makes a difference in how far the target goes.</w:t>
      </w:r>
    </w:p>
    <w:p>
      <w:pPr>
        <w:pStyle w:val="BodyText"/>
        <w:spacing w:line="242" w:lineRule="auto" w:before="264"/>
        <w:ind w:right="1170"/>
        <w:jc w:val="left"/>
      </w:pPr>
      <w:r>
        <w:rPr/>
        <w:t>TEST</w:t>
      </w:r>
      <w:r>
        <w:rPr>
          <w:spacing w:val="40"/>
        </w:rPr>
        <w:t> </w:t>
      </w:r>
      <w:r>
        <w:rPr/>
        <w:t>THIS</w:t>
      </w:r>
      <w:r>
        <w:rPr>
          <w:spacing w:val="40"/>
        </w:rPr>
        <w:t> </w:t>
      </w:r>
      <w:r>
        <w:rPr/>
        <w:t>WHICH</w:t>
      </w:r>
      <w:r>
        <w:rPr>
          <w:spacing w:val="40"/>
        </w:rPr>
        <w:t> </w:t>
      </w:r>
      <w:r>
        <w:rPr/>
        <w:t>BALL</w:t>
      </w:r>
      <w:r>
        <w:rPr>
          <w:spacing w:val="40"/>
        </w:rPr>
        <w:t> </w:t>
      </w:r>
      <w:r>
        <w:rPr/>
        <w:t>WOULD</w:t>
      </w:r>
      <w:r>
        <w:rPr>
          <w:spacing w:val="40"/>
        </w:rPr>
        <w:t> </w:t>
      </w:r>
      <w:r>
        <w:rPr/>
        <w:t>HE</w:t>
      </w:r>
      <w:r>
        <w:rPr>
          <w:spacing w:val="40"/>
        </w:rPr>
        <w:t> </w:t>
      </w:r>
      <w:r>
        <w:rPr/>
        <w:t>NOW</w:t>
      </w:r>
      <w:r>
        <w:rPr>
          <w:spacing w:val="40"/>
        </w:rPr>
        <w:t> </w:t>
      </w:r>
      <w:r>
        <w:rPr/>
        <w:t>RELEASE</w:t>
      </w:r>
      <w:r>
        <w:rPr>
          <w:spacing w:val="40"/>
        </w:rPr>
        <w:t> </w:t>
      </w:r>
      <w:r>
        <w:rPr/>
        <w:t>FROM</w:t>
      </w:r>
      <w:r>
        <w:rPr>
          <w:spacing w:val="40"/>
        </w:rPr>
        <w:t> </w:t>
      </w:r>
      <w:r>
        <w:rPr/>
        <w:t>THE</w:t>
      </w:r>
      <w:r>
        <w:rPr>
          <w:spacing w:val="40"/>
        </w:rPr>
        <w:t> </w:t>
      </w:r>
      <w:r>
        <w:rPr/>
        <w:t>HIGH </w:t>
      </w:r>
      <w:r>
        <w:rPr>
          <w:spacing w:val="-2"/>
        </w:rPr>
        <w:t>POINT?</w:t>
      </w:r>
    </w:p>
    <w:p>
      <w:pPr>
        <w:pStyle w:val="BodyText"/>
        <w:spacing w:line="271" w:lineRule="exact"/>
        <w:ind w:left="841"/>
        <w:jc w:val="left"/>
      </w:pPr>
      <w:r>
        <w:rPr/>
        <w:t>a.</w:t>
      </w:r>
      <w:r>
        <w:rPr>
          <w:spacing w:val="35"/>
        </w:rPr>
        <w:t>  </w:t>
      </w:r>
      <w:r>
        <w:rPr/>
        <w:t>the</w:t>
      </w:r>
      <w:r>
        <w:rPr>
          <w:spacing w:val="1"/>
        </w:rPr>
        <w:t> </w:t>
      </w:r>
      <w:r>
        <w:rPr/>
        <w:t>heavy</w:t>
      </w:r>
      <w:r>
        <w:rPr>
          <w:spacing w:val="-2"/>
        </w:rPr>
        <w:t> </w:t>
      </w:r>
      <w:r>
        <w:rPr>
          <w:spacing w:val="-4"/>
        </w:rPr>
        <w:t>ball</w:t>
      </w:r>
    </w:p>
    <w:p>
      <w:pPr>
        <w:pStyle w:val="BodyText"/>
        <w:spacing w:before="3"/>
        <w:ind w:left="841"/>
        <w:jc w:val="left"/>
      </w:pPr>
      <w:r>
        <w:rPr/>
        <w:t>b.</w:t>
      </w:r>
      <w:r>
        <w:rPr>
          <w:spacing w:val="25"/>
        </w:rPr>
        <w:t>  </w:t>
      </w:r>
      <w:r>
        <w:rPr/>
        <w:t>the</w:t>
      </w:r>
      <w:r>
        <w:rPr>
          <w:spacing w:val="-1"/>
        </w:rPr>
        <w:t> </w:t>
      </w:r>
      <w:r>
        <w:rPr/>
        <w:t>light</w:t>
      </w:r>
      <w:r>
        <w:rPr>
          <w:spacing w:val="4"/>
        </w:rPr>
        <w:t> </w:t>
      </w:r>
      <w:r>
        <w:rPr>
          <w:spacing w:val="-4"/>
        </w:rPr>
        <w:t>ball</w:t>
      </w:r>
    </w:p>
    <w:p>
      <w:pPr>
        <w:pStyle w:val="BodyText"/>
        <w:spacing w:line="275" w:lineRule="exact" w:before="276"/>
        <w:jc w:val="left"/>
      </w:pPr>
      <w:r>
        <w:rPr>
          <w:spacing w:val="-2"/>
        </w:rPr>
        <w:t>REASON</w:t>
      </w:r>
    </w:p>
    <w:p>
      <w:pPr>
        <w:pStyle w:val="ListParagraph"/>
        <w:numPr>
          <w:ilvl w:val="0"/>
          <w:numId w:val="27"/>
        </w:numPr>
        <w:tabs>
          <w:tab w:pos="1201" w:val="left" w:leader="none"/>
        </w:tabs>
        <w:spacing w:line="275" w:lineRule="exact" w:before="0" w:after="0"/>
        <w:ind w:left="1201" w:right="0" w:hanging="360"/>
        <w:jc w:val="left"/>
        <w:rPr>
          <w:sz w:val="24"/>
        </w:rPr>
      </w:pPr>
      <w:r>
        <w:rPr>
          <w:sz w:val="24"/>
        </w:rPr>
        <w:t>He</w:t>
      </w:r>
      <w:r>
        <w:rPr>
          <w:spacing w:val="-6"/>
          <w:sz w:val="24"/>
        </w:rPr>
        <w:t> </w:t>
      </w:r>
      <w:r>
        <w:rPr>
          <w:sz w:val="24"/>
        </w:rPr>
        <w:t>started with</w:t>
      </w:r>
      <w:r>
        <w:rPr>
          <w:spacing w:val="-5"/>
          <w:sz w:val="24"/>
        </w:rPr>
        <w:t> </w:t>
      </w:r>
      <w:r>
        <w:rPr>
          <w:sz w:val="24"/>
        </w:rPr>
        <w:t>the</w:t>
      </w:r>
      <w:r>
        <w:rPr>
          <w:spacing w:val="-2"/>
          <w:sz w:val="24"/>
        </w:rPr>
        <w:t> </w:t>
      </w:r>
      <w:r>
        <w:rPr>
          <w:sz w:val="24"/>
        </w:rPr>
        <w:t>light</w:t>
      </w:r>
      <w:r>
        <w:rPr>
          <w:spacing w:val="4"/>
          <w:sz w:val="24"/>
        </w:rPr>
        <w:t> </w:t>
      </w:r>
      <w:r>
        <w:rPr>
          <w:sz w:val="24"/>
        </w:rPr>
        <w:t>ball</w:t>
      </w:r>
      <w:r>
        <w:rPr>
          <w:spacing w:val="-4"/>
          <w:sz w:val="24"/>
        </w:rPr>
        <w:t> </w:t>
      </w:r>
      <w:r>
        <w:rPr>
          <w:sz w:val="24"/>
        </w:rPr>
        <w:t>he</w:t>
      </w:r>
      <w:r>
        <w:rPr>
          <w:spacing w:val="-2"/>
          <w:sz w:val="24"/>
        </w:rPr>
        <w:t> </w:t>
      </w:r>
      <w:r>
        <w:rPr>
          <w:sz w:val="24"/>
        </w:rPr>
        <w:t>should</w:t>
      </w:r>
      <w:r>
        <w:rPr>
          <w:spacing w:val="3"/>
          <w:sz w:val="24"/>
        </w:rPr>
        <w:t> </w:t>
      </w:r>
      <w:r>
        <w:rPr>
          <w:sz w:val="24"/>
        </w:rPr>
        <w:t>finish</w:t>
      </w:r>
      <w:r>
        <w:rPr>
          <w:spacing w:val="-5"/>
          <w:sz w:val="24"/>
        </w:rPr>
        <w:t> </w:t>
      </w:r>
      <w:r>
        <w:rPr>
          <w:sz w:val="24"/>
        </w:rPr>
        <w:t>with</w:t>
      </w:r>
      <w:r>
        <w:rPr>
          <w:spacing w:val="-5"/>
          <w:sz w:val="24"/>
        </w:rPr>
        <w:t> it.</w:t>
      </w:r>
    </w:p>
    <w:p>
      <w:pPr>
        <w:pStyle w:val="ListParagraph"/>
        <w:numPr>
          <w:ilvl w:val="0"/>
          <w:numId w:val="27"/>
        </w:numPr>
        <w:tabs>
          <w:tab w:pos="1201" w:val="left" w:leader="none"/>
        </w:tabs>
        <w:spacing w:line="237" w:lineRule="auto" w:before="4" w:after="0"/>
        <w:ind w:left="1201" w:right="1149" w:hanging="360"/>
        <w:jc w:val="left"/>
        <w:rPr>
          <w:sz w:val="24"/>
        </w:rPr>
      </w:pPr>
      <w:r>
        <w:rPr>
          <w:sz w:val="24"/>
        </w:rPr>
        <w:t>He</w:t>
      </w:r>
      <w:r>
        <w:rPr>
          <w:spacing w:val="24"/>
          <w:sz w:val="24"/>
        </w:rPr>
        <w:t> </w:t>
      </w:r>
      <w:r>
        <w:rPr>
          <w:sz w:val="24"/>
        </w:rPr>
        <w:t>used</w:t>
      </w:r>
      <w:r>
        <w:rPr>
          <w:spacing w:val="25"/>
          <w:sz w:val="24"/>
        </w:rPr>
        <w:t> </w:t>
      </w:r>
      <w:r>
        <w:rPr>
          <w:sz w:val="24"/>
        </w:rPr>
        <w:t>the</w:t>
      </w:r>
      <w:r>
        <w:rPr>
          <w:spacing w:val="28"/>
          <w:sz w:val="24"/>
        </w:rPr>
        <w:t> </w:t>
      </w:r>
      <w:r>
        <w:rPr>
          <w:sz w:val="24"/>
        </w:rPr>
        <w:t>light</w:t>
      </w:r>
      <w:r>
        <w:rPr>
          <w:spacing w:val="32"/>
          <w:sz w:val="24"/>
        </w:rPr>
        <w:t> </w:t>
      </w:r>
      <w:r>
        <w:rPr>
          <w:sz w:val="24"/>
        </w:rPr>
        <w:t>ball</w:t>
      </w:r>
      <w:r>
        <w:rPr>
          <w:spacing w:val="22"/>
          <w:sz w:val="24"/>
        </w:rPr>
        <w:t> </w:t>
      </w:r>
      <w:r>
        <w:rPr>
          <w:sz w:val="24"/>
        </w:rPr>
        <w:t>the</w:t>
      </w:r>
      <w:r>
        <w:rPr>
          <w:spacing w:val="28"/>
          <w:sz w:val="24"/>
        </w:rPr>
        <w:t> </w:t>
      </w:r>
      <w:r>
        <w:rPr>
          <w:sz w:val="24"/>
        </w:rPr>
        <w:t>first</w:t>
      </w:r>
      <w:r>
        <w:rPr>
          <w:spacing w:val="30"/>
          <w:sz w:val="24"/>
        </w:rPr>
        <w:t> </w:t>
      </w:r>
      <w:r>
        <w:rPr>
          <w:sz w:val="24"/>
        </w:rPr>
        <w:t>time.</w:t>
      </w:r>
      <w:r>
        <w:rPr>
          <w:spacing w:val="28"/>
          <w:sz w:val="24"/>
        </w:rPr>
        <w:t> </w:t>
      </w:r>
      <w:r>
        <w:rPr>
          <w:sz w:val="24"/>
        </w:rPr>
        <w:t>The</w:t>
      </w:r>
      <w:r>
        <w:rPr>
          <w:spacing w:val="25"/>
          <w:sz w:val="24"/>
        </w:rPr>
        <w:t> </w:t>
      </w:r>
      <w:r>
        <w:rPr>
          <w:sz w:val="24"/>
        </w:rPr>
        <w:t>next</w:t>
      </w:r>
      <w:r>
        <w:rPr>
          <w:spacing w:val="34"/>
          <w:sz w:val="24"/>
        </w:rPr>
        <w:t> </w:t>
      </w:r>
      <w:r>
        <w:rPr>
          <w:sz w:val="24"/>
        </w:rPr>
        <w:t>time</w:t>
      </w:r>
      <w:r>
        <w:rPr>
          <w:spacing w:val="30"/>
          <w:sz w:val="24"/>
        </w:rPr>
        <w:t> </w:t>
      </w:r>
      <w:r>
        <w:rPr>
          <w:sz w:val="24"/>
        </w:rPr>
        <w:t>he</w:t>
      </w:r>
      <w:r>
        <w:rPr>
          <w:spacing w:val="25"/>
          <w:sz w:val="24"/>
        </w:rPr>
        <w:t> </w:t>
      </w:r>
      <w:r>
        <w:rPr>
          <w:sz w:val="24"/>
        </w:rPr>
        <w:t>should</w:t>
      </w:r>
      <w:r>
        <w:rPr>
          <w:spacing w:val="25"/>
          <w:sz w:val="24"/>
        </w:rPr>
        <w:t> </w:t>
      </w:r>
      <w:r>
        <w:rPr>
          <w:sz w:val="24"/>
        </w:rPr>
        <w:t>use</w:t>
      </w:r>
      <w:r>
        <w:rPr>
          <w:spacing w:val="25"/>
          <w:sz w:val="24"/>
        </w:rPr>
        <w:t> </w:t>
      </w:r>
      <w:r>
        <w:rPr>
          <w:sz w:val="24"/>
        </w:rPr>
        <w:t>the</w:t>
      </w:r>
      <w:r>
        <w:rPr>
          <w:spacing w:val="27"/>
          <w:sz w:val="24"/>
        </w:rPr>
        <w:t> </w:t>
      </w:r>
      <w:r>
        <w:rPr>
          <w:sz w:val="24"/>
        </w:rPr>
        <w:t>heavy </w:t>
      </w:r>
      <w:r>
        <w:rPr>
          <w:spacing w:val="-2"/>
          <w:sz w:val="24"/>
        </w:rPr>
        <w:t>ball.</w:t>
      </w:r>
    </w:p>
    <w:p>
      <w:pPr>
        <w:pStyle w:val="ListParagraph"/>
        <w:numPr>
          <w:ilvl w:val="0"/>
          <w:numId w:val="27"/>
        </w:numPr>
        <w:tabs>
          <w:tab w:pos="1201" w:val="left" w:leader="none"/>
        </w:tabs>
        <w:spacing w:line="275" w:lineRule="exact" w:before="4" w:after="0"/>
        <w:ind w:left="1201" w:right="0" w:hanging="360"/>
        <w:jc w:val="left"/>
        <w:rPr>
          <w:sz w:val="24"/>
        </w:rPr>
      </w:pPr>
      <w:r>
        <w:rPr>
          <w:sz w:val="24"/>
        </w:rPr>
        <w:t>The</w:t>
      </w:r>
      <w:r>
        <w:rPr>
          <w:spacing w:val="-2"/>
          <w:sz w:val="24"/>
        </w:rPr>
        <w:t> </w:t>
      </w:r>
      <w:r>
        <w:rPr>
          <w:sz w:val="24"/>
        </w:rPr>
        <w:t>heavy</w:t>
      </w:r>
      <w:r>
        <w:rPr>
          <w:spacing w:val="-4"/>
          <w:sz w:val="24"/>
        </w:rPr>
        <w:t> </w:t>
      </w:r>
      <w:r>
        <w:rPr>
          <w:sz w:val="24"/>
        </w:rPr>
        <w:t>ball</w:t>
      </w:r>
      <w:r>
        <w:rPr>
          <w:spacing w:val="-4"/>
          <w:sz w:val="24"/>
        </w:rPr>
        <w:t> </w:t>
      </w:r>
      <w:r>
        <w:rPr>
          <w:sz w:val="24"/>
        </w:rPr>
        <w:t>would</w:t>
      </w:r>
      <w:r>
        <w:rPr>
          <w:spacing w:val="-1"/>
          <w:sz w:val="24"/>
        </w:rPr>
        <w:t> </w:t>
      </w:r>
      <w:r>
        <w:rPr>
          <w:sz w:val="24"/>
        </w:rPr>
        <w:t>have</w:t>
      </w:r>
      <w:r>
        <w:rPr>
          <w:spacing w:val="3"/>
          <w:sz w:val="24"/>
        </w:rPr>
        <w:t> </w:t>
      </w:r>
      <w:r>
        <w:rPr>
          <w:sz w:val="24"/>
        </w:rPr>
        <w:t>more</w:t>
      </w:r>
      <w:r>
        <w:rPr>
          <w:spacing w:val="2"/>
          <w:sz w:val="24"/>
        </w:rPr>
        <w:t> </w:t>
      </w:r>
      <w:r>
        <w:rPr>
          <w:sz w:val="24"/>
        </w:rPr>
        <w:t>force</w:t>
      </w:r>
      <w:r>
        <w:rPr>
          <w:spacing w:val="-6"/>
          <w:sz w:val="24"/>
        </w:rPr>
        <w:t> </w:t>
      </w:r>
      <w:r>
        <w:rPr>
          <w:sz w:val="24"/>
        </w:rPr>
        <w:t>to</w:t>
      </w:r>
      <w:r>
        <w:rPr>
          <w:spacing w:val="3"/>
          <w:sz w:val="24"/>
        </w:rPr>
        <w:t> </w:t>
      </w:r>
      <w:r>
        <w:rPr>
          <w:sz w:val="24"/>
        </w:rPr>
        <w:t>hit</w:t>
      </w:r>
      <w:r>
        <w:rPr>
          <w:spacing w:val="-1"/>
          <w:sz w:val="24"/>
        </w:rPr>
        <w:t> </w:t>
      </w:r>
      <w:r>
        <w:rPr>
          <w:sz w:val="24"/>
        </w:rPr>
        <w:t>the</w:t>
      </w:r>
      <w:r>
        <w:rPr>
          <w:spacing w:val="-1"/>
          <w:sz w:val="24"/>
        </w:rPr>
        <w:t> </w:t>
      </w:r>
      <w:r>
        <w:rPr>
          <w:sz w:val="24"/>
        </w:rPr>
        <w:t>target</w:t>
      </w:r>
      <w:r>
        <w:rPr>
          <w:spacing w:val="-1"/>
          <w:sz w:val="24"/>
        </w:rPr>
        <w:t> </w:t>
      </w:r>
      <w:r>
        <w:rPr>
          <w:sz w:val="24"/>
        </w:rPr>
        <w:t>ball</w:t>
      </w:r>
      <w:r>
        <w:rPr>
          <w:spacing w:val="-1"/>
          <w:sz w:val="24"/>
        </w:rPr>
        <w:t> </w:t>
      </w:r>
      <w:r>
        <w:rPr>
          <w:spacing w:val="-2"/>
          <w:sz w:val="24"/>
        </w:rPr>
        <w:t>farther.</w:t>
      </w:r>
    </w:p>
    <w:p>
      <w:pPr>
        <w:pStyle w:val="ListParagraph"/>
        <w:numPr>
          <w:ilvl w:val="0"/>
          <w:numId w:val="27"/>
        </w:numPr>
        <w:tabs>
          <w:tab w:pos="1201" w:val="left" w:leader="none"/>
        </w:tabs>
        <w:spacing w:line="242" w:lineRule="auto" w:before="0" w:after="0"/>
        <w:ind w:left="1201" w:right="1158" w:hanging="360"/>
        <w:jc w:val="left"/>
        <w:rPr>
          <w:sz w:val="24"/>
        </w:rPr>
      </w:pPr>
      <w:r>
        <w:rPr>
          <w:sz w:val="24"/>
        </w:rPr>
        <w:t>The light ball</w:t>
      </w:r>
      <w:r>
        <w:rPr>
          <w:spacing w:val="-6"/>
          <w:sz w:val="24"/>
        </w:rPr>
        <w:t> </w:t>
      </w:r>
      <w:r>
        <w:rPr>
          <w:sz w:val="24"/>
        </w:rPr>
        <w:t>would have</w:t>
      </w:r>
      <w:r>
        <w:rPr>
          <w:spacing w:val="-4"/>
          <w:sz w:val="24"/>
        </w:rPr>
        <w:t> </w:t>
      </w:r>
      <w:r>
        <w:rPr>
          <w:sz w:val="24"/>
        </w:rPr>
        <w:t>to be</w:t>
      </w:r>
      <w:r>
        <w:rPr>
          <w:spacing w:val="-4"/>
          <w:sz w:val="24"/>
        </w:rPr>
        <w:t> </w:t>
      </w:r>
      <w:r>
        <w:rPr>
          <w:sz w:val="24"/>
        </w:rPr>
        <w:t>released from</w:t>
      </w:r>
      <w:r>
        <w:rPr>
          <w:spacing w:val="-11"/>
          <w:sz w:val="24"/>
        </w:rPr>
        <w:t> </w:t>
      </w:r>
      <w:r>
        <w:rPr>
          <w:sz w:val="24"/>
        </w:rPr>
        <w:t>the high</w:t>
      </w:r>
      <w:r>
        <w:rPr>
          <w:spacing w:val="-7"/>
          <w:sz w:val="24"/>
        </w:rPr>
        <w:t> </w:t>
      </w:r>
      <w:r>
        <w:rPr>
          <w:sz w:val="24"/>
        </w:rPr>
        <w:t>point in</w:t>
      </w:r>
      <w:r>
        <w:rPr>
          <w:spacing w:val="-7"/>
          <w:sz w:val="24"/>
        </w:rPr>
        <w:t> </w:t>
      </w:r>
      <w:r>
        <w:rPr>
          <w:sz w:val="24"/>
        </w:rPr>
        <w:t>order</w:t>
      </w:r>
      <w:r>
        <w:rPr>
          <w:spacing w:val="-6"/>
          <w:sz w:val="24"/>
        </w:rPr>
        <w:t> </w:t>
      </w:r>
      <w:r>
        <w:rPr>
          <w:sz w:val="24"/>
        </w:rPr>
        <w:t>to make</w:t>
      </w:r>
      <w:r>
        <w:rPr>
          <w:spacing w:val="-4"/>
          <w:sz w:val="24"/>
        </w:rPr>
        <w:t> </w:t>
      </w:r>
      <w:r>
        <w:rPr>
          <w:sz w:val="24"/>
        </w:rPr>
        <w:t>a fair comparison.</w:t>
      </w:r>
    </w:p>
    <w:p>
      <w:pPr>
        <w:pStyle w:val="ListParagraph"/>
        <w:numPr>
          <w:ilvl w:val="0"/>
          <w:numId w:val="27"/>
        </w:numPr>
        <w:tabs>
          <w:tab w:pos="1201" w:val="left" w:leader="none"/>
        </w:tabs>
        <w:spacing w:line="270" w:lineRule="exact" w:before="0" w:after="0"/>
        <w:ind w:left="1201" w:right="0" w:hanging="360"/>
        <w:jc w:val="left"/>
        <w:rPr>
          <w:sz w:val="24"/>
        </w:rPr>
      </w:pPr>
      <w:r>
        <w:rPr>
          <w:sz w:val="24"/>
        </w:rPr>
        <w:t>The</w:t>
      </w:r>
      <w:r>
        <w:rPr>
          <w:spacing w:val="-4"/>
          <w:sz w:val="24"/>
        </w:rPr>
        <w:t> </w:t>
      </w:r>
      <w:r>
        <w:rPr>
          <w:sz w:val="24"/>
        </w:rPr>
        <w:t>same ball</w:t>
      </w:r>
      <w:r>
        <w:rPr>
          <w:spacing w:val="1"/>
          <w:sz w:val="24"/>
        </w:rPr>
        <w:t> </w:t>
      </w:r>
      <w:r>
        <w:rPr>
          <w:sz w:val="24"/>
        </w:rPr>
        <w:t>must</w:t>
      </w:r>
      <w:r>
        <w:rPr>
          <w:spacing w:val="4"/>
          <w:sz w:val="24"/>
        </w:rPr>
        <w:t> </w:t>
      </w:r>
      <w:r>
        <w:rPr>
          <w:sz w:val="24"/>
        </w:rPr>
        <w:t>be</w:t>
      </w:r>
      <w:r>
        <w:rPr>
          <w:spacing w:val="-1"/>
          <w:sz w:val="24"/>
        </w:rPr>
        <w:t> </w:t>
      </w:r>
      <w:r>
        <w:rPr>
          <w:sz w:val="24"/>
        </w:rPr>
        <w:t>used as</w:t>
      </w:r>
      <w:r>
        <w:rPr>
          <w:spacing w:val="-3"/>
          <w:sz w:val="24"/>
        </w:rPr>
        <w:t> </w:t>
      </w:r>
      <w:r>
        <w:rPr>
          <w:sz w:val="24"/>
        </w:rPr>
        <w:t>the</w:t>
      </w:r>
      <w:r>
        <w:rPr>
          <w:spacing w:val="-1"/>
          <w:sz w:val="24"/>
        </w:rPr>
        <w:t> </w:t>
      </w:r>
      <w:r>
        <w:rPr>
          <w:sz w:val="24"/>
        </w:rPr>
        <w:t>weight</w:t>
      </w:r>
      <w:r>
        <w:rPr>
          <w:spacing w:val="5"/>
          <w:sz w:val="24"/>
        </w:rPr>
        <w:t> </w:t>
      </w:r>
      <w:r>
        <w:rPr>
          <w:sz w:val="24"/>
        </w:rPr>
        <w:t>of</w:t>
      </w:r>
      <w:r>
        <w:rPr>
          <w:spacing w:val="-8"/>
          <w:sz w:val="24"/>
        </w:rPr>
        <w:t> </w:t>
      </w:r>
      <w:r>
        <w:rPr>
          <w:sz w:val="24"/>
        </w:rPr>
        <w:t>the</w:t>
      </w:r>
      <w:r>
        <w:rPr>
          <w:spacing w:val="1"/>
          <w:sz w:val="24"/>
        </w:rPr>
        <w:t> </w:t>
      </w:r>
      <w:r>
        <w:rPr>
          <w:sz w:val="24"/>
        </w:rPr>
        <w:t>ball</w:t>
      </w:r>
      <w:r>
        <w:rPr>
          <w:spacing w:val="-8"/>
          <w:sz w:val="24"/>
        </w:rPr>
        <w:t> </w:t>
      </w:r>
      <w:r>
        <w:rPr>
          <w:sz w:val="24"/>
        </w:rPr>
        <w:t>does</w:t>
      </w:r>
      <w:r>
        <w:rPr>
          <w:spacing w:val="-2"/>
          <w:sz w:val="24"/>
        </w:rPr>
        <w:t> </w:t>
      </w:r>
      <w:r>
        <w:rPr>
          <w:sz w:val="24"/>
        </w:rPr>
        <w:t>not</w:t>
      </w:r>
      <w:r>
        <w:rPr>
          <w:spacing w:val="5"/>
          <w:sz w:val="24"/>
        </w:rPr>
        <w:t> </w:t>
      </w:r>
      <w:r>
        <w:rPr>
          <w:spacing w:val="-2"/>
          <w:sz w:val="24"/>
        </w:rPr>
        <w:t>count.</w:t>
      </w:r>
    </w:p>
    <w:p>
      <w:pPr>
        <w:spacing w:after="0" w:line="270" w:lineRule="exact"/>
        <w:jc w:val="left"/>
        <w:rPr>
          <w:sz w:val="24"/>
        </w:rPr>
        <w:sectPr>
          <w:pgSz w:w="11910" w:h="16840"/>
          <w:pgMar w:header="0" w:footer="1012" w:top="1900" w:bottom="1200" w:left="1680" w:right="280"/>
        </w:sectPr>
      </w:pPr>
    </w:p>
    <w:p>
      <w:pPr>
        <w:pStyle w:val="BodyText"/>
        <w:spacing w:before="74"/>
        <w:jc w:val="left"/>
      </w:pPr>
      <w:r>
        <w:rPr/>
        <w:t>Item</w:t>
      </w:r>
      <w:r>
        <w:rPr>
          <w:spacing w:val="-2"/>
        </w:rPr>
        <w:t> </w:t>
      </w:r>
      <w:r>
        <w:rPr>
          <w:spacing w:val="-12"/>
        </w:rPr>
        <w:t>7</w:t>
      </w:r>
    </w:p>
    <w:p>
      <w:pPr>
        <w:pStyle w:val="BodyText"/>
        <w:spacing w:before="4"/>
        <w:ind w:left="0"/>
        <w:jc w:val="left"/>
      </w:pPr>
    </w:p>
    <w:p>
      <w:pPr>
        <w:spacing w:before="0"/>
        <w:ind w:left="3299" w:right="0" w:firstLine="0"/>
        <w:jc w:val="left"/>
        <w:rPr>
          <w:b/>
          <w:sz w:val="24"/>
        </w:rPr>
      </w:pPr>
      <w:r>
        <w:rPr>
          <w:b/>
          <w:sz w:val="24"/>
          <w:u w:val="single"/>
        </w:rPr>
        <w:t>Squares</w:t>
      </w:r>
      <w:r>
        <w:rPr>
          <w:b/>
          <w:spacing w:val="-4"/>
          <w:sz w:val="24"/>
          <w:u w:val="single"/>
        </w:rPr>
        <w:t> </w:t>
      </w:r>
      <w:r>
        <w:rPr>
          <w:b/>
          <w:sz w:val="24"/>
          <w:u w:val="single"/>
        </w:rPr>
        <w:t>and</w:t>
      </w:r>
      <w:r>
        <w:rPr>
          <w:b/>
          <w:spacing w:val="-2"/>
          <w:sz w:val="24"/>
          <w:u w:val="single"/>
        </w:rPr>
        <w:t> </w:t>
      </w:r>
      <w:r>
        <w:rPr>
          <w:b/>
          <w:sz w:val="24"/>
          <w:u w:val="single"/>
        </w:rPr>
        <w:t>Diamonds</w:t>
      </w:r>
      <w:r>
        <w:rPr>
          <w:b/>
          <w:spacing w:val="-3"/>
          <w:sz w:val="24"/>
          <w:u w:val="single"/>
        </w:rPr>
        <w:t> </w:t>
      </w:r>
      <w:r>
        <w:rPr>
          <w:b/>
          <w:spacing w:val="-5"/>
          <w:sz w:val="24"/>
          <w:u w:val="single"/>
        </w:rPr>
        <w:t>#1</w:t>
      </w:r>
    </w:p>
    <w:p>
      <w:pPr>
        <w:pStyle w:val="BodyText"/>
        <w:spacing w:before="272"/>
        <w:ind w:left="1201"/>
        <w:jc w:val="left"/>
      </w:pPr>
      <w:r>
        <w:rPr/>
        <w:t>In</w:t>
      </w:r>
      <w:r>
        <w:rPr>
          <w:spacing w:val="-4"/>
        </w:rPr>
        <w:t> </w:t>
      </w:r>
      <w:r>
        <w:rPr/>
        <w:t>a</w:t>
      </w:r>
      <w:r>
        <w:rPr>
          <w:spacing w:val="1"/>
        </w:rPr>
        <w:t> </w:t>
      </w:r>
      <w:r>
        <w:rPr/>
        <w:t>cloth</w:t>
      </w:r>
      <w:r>
        <w:rPr>
          <w:spacing w:val="-4"/>
        </w:rPr>
        <w:t> </w:t>
      </w:r>
      <w:r>
        <w:rPr/>
        <w:t>sack,</w:t>
      </w:r>
      <w:r>
        <w:rPr>
          <w:spacing w:val="-1"/>
        </w:rPr>
        <w:t> </w:t>
      </w:r>
      <w:r>
        <w:rPr/>
        <w:t>there</w:t>
      </w:r>
      <w:r>
        <w:rPr>
          <w:spacing w:val="1"/>
        </w:rPr>
        <w:t> </w:t>
      </w:r>
      <w:r>
        <w:rPr>
          <w:spacing w:val="-5"/>
        </w:rPr>
        <w:t>are</w:t>
      </w:r>
    </w:p>
    <w:p>
      <w:pPr>
        <w:pStyle w:val="BodyText"/>
        <w:spacing w:before="87"/>
        <w:ind w:left="0"/>
        <w:jc w:val="left"/>
      </w:pPr>
    </w:p>
    <w:p>
      <w:pPr>
        <w:pStyle w:val="BodyText"/>
        <w:spacing w:before="1"/>
        <w:ind w:left="5522"/>
        <w:jc w:val="left"/>
        <w:rPr>
          <w:rFonts w:ascii="Cambria"/>
        </w:rPr>
      </w:pPr>
      <w:r>
        <w:rPr/>
        <w:drawing>
          <wp:anchor distT="0" distB="0" distL="0" distR="0" allowOverlap="1" layoutInCell="1" locked="0" behindDoc="0" simplePos="0" relativeHeight="15737344">
            <wp:simplePos x="0" y="0"/>
            <wp:positionH relativeFrom="page">
              <wp:posOffset>1390650</wp:posOffset>
            </wp:positionH>
            <wp:positionV relativeFrom="paragraph">
              <wp:posOffset>11985</wp:posOffset>
            </wp:positionV>
            <wp:extent cx="2891445" cy="3930946"/>
            <wp:effectExtent l="0" t="0" r="0" b="0"/>
            <wp:wrapNone/>
            <wp:docPr id="37" name="Image 37" descr="C:\Users\ameer\Desktop\AMOS PIXX\13.jpg"/>
            <wp:cNvGraphicFramePr>
              <a:graphicFrameLocks/>
            </wp:cNvGraphicFramePr>
            <a:graphic>
              <a:graphicData uri="http://schemas.openxmlformats.org/drawingml/2006/picture">
                <pic:pic>
                  <pic:nvPicPr>
                    <pic:cNvPr id="37" name="Image 37" descr="C:\Users\ameer\Desktop\AMOS PIXX\13.jpg"/>
                    <pic:cNvPicPr/>
                  </pic:nvPicPr>
                  <pic:blipFill>
                    <a:blip r:embed="rId52" cstate="print"/>
                    <a:stretch>
                      <a:fillRect/>
                    </a:stretch>
                  </pic:blipFill>
                  <pic:spPr>
                    <a:xfrm>
                      <a:off x="0" y="0"/>
                      <a:ext cx="2891445" cy="3930946"/>
                    </a:xfrm>
                    <a:prstGeom prst="rect">
                      <a:avLst/>
                    </a:prstGeom>
                  </pic:spPr>
                </pic:pic>
              </a:graphicData>
            </a:graphic>
          </wp:anchor>
        </w:drawing>
      </w:r>
      <w:r>
        <w:rPr>
          <w:rFonts w:ascii="Cambria"/>
        </w:rPr>
        <w:t>3</w:t>
      </w:r>
      <w:r>
        <w:rPr>
          <w:rFonts w:ascii="Cambria"/>
          <w:spacing w:val="-2"/>
        </w:rPr>
        <w:t> </w:t>
      </w:r>
      <w:r>
        <w:rPr>
          <w:rFonts w:ascii="Cambria"/>
        </w:rPr>
        <w:t>spotted</w:t>
      </w:r>
      <w:r>
        <w:rPr>
          <w:rFonts w:ascii="Cambria"/>
          <w:spacing w:val="-2"/>
        </w:rPr>
        <w:t> </w:t>
      </w:r>
      <w:r>
        <w:rPr>
          <w:rFonts w:ascii="Cambria"/>
        </w:rPr>
        <w:t>wooden</w:t>
      </w:r>
      <w:r>
        <w:rPr>
          <w:rFonts w:ascii="Cambria"/>
          <w:spacing w:val="-3"/>
        </w:rPr>
        <w:t> </w:t>
      </w:r>
      <w:r>
        <w:rPr>
          <w:rFonts w:ascii="Cambria"/>
          <w:spacing w:val="-2"/>
        </w:rPr>
        <w:t>squares</w:t>
      </w:r>
    </w:p>
    <w:p>
      <w:pPr>
        <w:pStyle w:val="BodyText"/>
        <w:ind w:left="0"/>
        <w:jc w:val="left"/>
        <w:rPr>
          <w:rFonts w:ascii="Cambria"/>
        </w:rPr>
      </w:pPr>
    </w:p>
    <w:p>
      <w:pPr>
        <w:pStyle w:val="BodyText"/>
        <w:spacing w:before="279"/>
        <w:ind w:left="0"/>
        <w:jc w:val="left"/>
        <w:rPr>
          <w:rFonts w:ascii="Cambria"/>
        </w:rPr>
      </w:pPr>
    </w:p>
    <w:p>
      <w:pPr>
        <w:pStyle w:val="BodyText"/>
        <w:ind w:left="5522"/>
        <w:jc w:val="left"/>
        <w:rPr>
          <w:rFonts w:ascii="Cambria"/>
        </w:rPr>
      </w:pPr>
      <w:r>
        <w:rPr>
          <w:rFonts w:ascii="Cambria"/>
        </w:rPr>
        <w:t>4 black</w:t>
      </w:r>
      <w:r>
        <w:rPr>
          <w:rFonts w:ascii="Cambria"/>
          <w:spacing w:val="-3"/>
        </w:rPr>
        <w:t> </w:t>
      </w:r>
      <w:r>
        <w:rPr>
          <w:rFonts w:ascii="Cambria"/>
        </w:rPr>
        <w:t>wooden</w:t>
      </w:r>
      <w:r>
        <w:rPr>
          <w:rFonts w:ascii="Cambria"/>
          <w:spacing w:val="-1"/>
        </w:rPr>
        <w:t> </w:t>
      </w:r>
      <w:r>
        <w:rPr>
          <w:rFonts w:ascii="Cambria"/>
          <w:spacing w:val="-2"/>
        </w:rPr>
        <w:t>squares</w:t>
      </w:r>
    </w:p>
    <w:p>
      <w:pPr>
        <w:pStyle w:val="BodyText"/>
        <w:ind w:left="0"/>
        <w:jc w:val="left"/>
        <w:rPr>
          <w:rFonts w:ascii="Cambria"/>
        </w:rPr>
      </w:pPr>
    </w:p>
    <w:p>
      <w:pPr>
        <w:pStyle w:val="BodyText"/>
        <w:ind w:left="0"/>
        <w:jc w:val="left"/>
        <w:rPr>
          <w:rFonts w:ascii="Cambria"/>
        </w:rPr>
      </w:pPr>
    </w:p>
    <w:p>
      <w:pPr>
        <w:pStyle w:val="BodyText"/>
        <w:spacing w:before="2"/>
        <w:ind w:left="0"/>
        <w:jc w:val="left"/>
        <w:rPr>
          <w:rFonts w:ascii="Cambria"/>
        </w:rPr>
      </w:pPr>
    </w:p>
    <w:p>
      <w:pPr>
        <w:pStyle w:val="BodyText"/>
        <w:spacing w:before="1"/>
        <w:ind w:left="5522"/>
        <w:jc w:val="left"/>
        <w:rPr>
          <w:rFonts w:ascii="Cambria"/>
        </w:rPr>
      </w:pPr>
      <w:r>
        <w:rPr>
          <w:rFonts w:ascii="Cambria"/>
        </w:rPr>
        <w:t>5 white</w:t>
      </w:r>
      <w:r>
        <w:rPr>
          <w:rFonts w:ascii="Cambria"/>
          <w:spacing w:val="-3"/>
        </w:rPr>
        <w:t> </w:t>
      </w:r>
      <w:r>
        <w:rPr>
          <w:rFonts w:ascii="Cambria"/>
        </w:rPr>
        <w:t>wooden</w:t>
      </w:r>
      <w:r>
        <w:rPr>
          <w:rFonts w:ascii="Cambria"/>
          <w:spacing w:val="-1"/>
        </w:rPr>
        <w:t> </w:t>
      </w:r>
      <w:r>
        <w:rPr>
          <w:rFonts w:ascii="Cambria"/>
          <w:spacing w:val="-2"/>
        </w:rPr>
        <w:t>squares</w:t>
      </w:r>
    </w:p>
    <w:p>
      <w:pPr>
        <w:pStyle w:val="BodyText"/>
        <w:ind w:left="0"/>
        <w:jc w:val="left"/>
        <w:rPr>
          <w:rFonts w:ascii="Cambria"/>
        </w:rPr>
      </w:pPr>
    </w:p>
    <w:p>
      <w:pPr>
        <w:pStyle w:val="BodyText"/>
        <w:spacing w:before="279"/>
        <w:ind w:left="0"/>
        <w:jc w:val="left"/>
        <w:rPr>
          <w:rFonts w:ascii="Cambria"/>
        </w:rPr>
      </w:pPr>
    </w:p>
    <w:p>
      <w:pPr>
        <w:pStyle w:val="BodyText"/>
        <w:ind w:left="5522"/>
        <w:jc w:val="left"/>
        <w:rPr>
          <w:rFonts w:ascii="Cambria"/>
        </w:rPr>
      </w:pPr>
      <w:r>
        <w:rPr>
          <w:rFonts w:ascii="Cambria"/>
        </w:rPr>
        <w:t>4</w:t>
      </w:r>
      <w:r>
        <w:rPr>
          <w:rFonts w:ascii="Cambria"/>
          <w:spacing w:val="-2"/>
        </w:rPr>
        <w:t> </w:t>
      </w:r>
      <w:r>
        <w:rPr>
          <w:rFonts w:ascii="Cambria"/>
        </w:rPr>
        <w:t>spotted</w:t>
      </w:r>
      <w:r>
        <w:rPr>
          <w:rFonts w:ascii="Cambria"/>
          <w:spacing w:val="-2"/>
        </w:rPr>
        <w:t> </w:t>
      </w:r>
      <w:r>
        <w:rPr>
          <w:rFonts w:ascii="Cambria"/>
        </w:rPr>
        <w:t>wooden</w:t>
      </w:r>
      <w:r>
        <w:rPr>
          <w:rFonts w:ascii="Cambria"/>
          <w:spacing w:val="-3"/>
        </w:rPr>
        <w:t> </w:t>
      </w:r>
      <w:r>
        <w:rPr>
          <w:rFonts w:ascii="Cambria"/>
          <w:spacing w:val="-2"/>
        </w:rPr>
        <w:t>diamonds</w:t>
      </w:r>
    </w:p>
    <w:p>
      <w:pPr>
        <w:pStyle w:val="BodyText"/>
        <w:ind w:left="0"/>
        <w:jc w:val="left"/>
        <w:rPr>
          <w:rFonts w:ascii="Cambria"/>
        </w:rPr>
      </w:pPr>
    </w:p>
    <w:p>
      <w:pPr>
        <w:pStyle w:val="BodyText"/>
        <w:ind w:left="0"/>
        <w:jc w:val="left"/>
        <w:rPr>
          <w:rFonts w:ascii="Cambria"/>
        </w:rPr>
      </w:pPr>
    </w:p>
    <w:p>
      <w:pPr>
        <w:pStyle w:val="BodyText"/>
        <w:spacing w:before="3"/>
        <w:ind w:left="0"/>
        <w:jc w:val="left"/>
        <w:rPr>
          <w:rFonts w:ascii="Cambria"/>
        </w:rPr>
      </w:pPr>
    </w:p>
    <w:p>
      <w:pPr>
        <w:pStyle w:val="BodyText"/>
        <w:ind w:left="5522"/>
        <w:jc w:val="left"/>
        <w:rPr>
          <w:rFonts w:ascii="Cambria"/>
        </w:rPr>
      </w:pPr>
      <w:r>
        <w:rPr>
          <w:rFonts w:ascii="Cambria"/>
        </w:rPr>
        <w:t>2 black</w:t>
      </w:r>
      <w:r>
        <w:rPr>
          <w:rFonts w:ascii="Cambria"/>
          <w:spacing w:val="-3"/>
        </w:rPr>
        <w:t> </w:t>
      </w:r>
      <w:r>
        <w:rPr>
          <w:rFonts w:ascii="Cambria"/>
        </w:rPr>
        <w:t>wooden</w:t>
      </w:r>
      <w:r>
        <w:rPr>
          <w:rFonts w:ascii="Cambria"/>
          <w:spacing w:val="-1"/>
        </w:rPr>
        <w:t> </w:t>
      </w:r>
      <w:r>
        <w:rPr>
          <w:rFonts w:ascii="Cambria"/>
          <w:spacing w:val="-2"/>
        </w:rPr>
        <w:t>diamonds</w:t>
      </w:r>
    </w:p>
    <w:p>
      <w:pPr>
        <w:pStyle w:val="BodyText"/>
        <w:ind w:left="0"/>
        <w:jc w:val="left"/>
        <w:rPr>
          <w:rFonts w:ascii="Cambria"/>
        </w:rPr>
      </w:pPr>
    </w:p>
    <w:p>
      <w:pPr>
        <w:pStyle w:val="BodyText"/>
        <w:spacing w:before="279"/>
        <w:ind w:left="0"/>
        <w:jc w:val="left"/>
        <w:rPr>
          <w:rFonts w:ascii="Cambria"/>
        </w:rPr>
      </w:pPr>
    </w:p>
    <w:p>
      <w:pPr>
        <w:pStyle w:val="BodyText"/>
        <w:ind w:left="5522"/>
        <w:jc w:val="left"/>
        <w:rPr>
          <w:rFonts w:ascii="Cambria"/>
        </w:rPr>
      </w:pPr>
      <w:r>
        <w:rPr>
          <w:rFonts w:ascii="Cambria"/>
        </w:rPr>
        <w:t>3 white</w:t>
      </w:r>
      <w:r>
        <w:rPr>
          <w:rFonts w:ascii="Cambria"/>
          <w:spacing w:val="-3"/>
        </w:rPr>
        <w:t> </w:t>
      </w:r>
      <w:r>
        <w:rPr>
          <w:rFonts w:ascii="Cambria"/>
        </w:rPr>
        <w:t>wooden</w:t>
      </w:r>
      <w:r>
        <w:rPr>
          <w:rFonts w:ascii="Cambria"/>
          <w:spacing w:val="-1"/>
        </w:rPr>
        <w:t> </w:t>
      </w:r>
      <w:r>
        <w:rPr>
          <w:rFonts w:ascii="Cambria"/>
          <w:spacing w:val="-2"/>
        </w:rPr>
        <w:t>diamonds</w:t>
      </w:r>
    </w:p>
    <w:p>
      <w:pPr>
        <w:pStyle w:val="BodyText"/>
        <w:ind w:left="0"/>
        <w:jc w:val="left"/>
        <w:rPr>
          <w:rFonts w:ascii="Cambria"/>
        </w:rPr>
      </w:pPr>
    </w:p>
    <w:p>
      <w:pPr>
        <w:pStyle w:val="BodyText"/>
        <w:spacing w:before="34"/>
        <w:ind w:left="0"/>
        <w:jc w:val="left"/>
        <w:rPr>
          <w:rFonts w:ascii="Cambria"/>
        </w:rPr>
      </w:pPr>
    </w:p>
    <w:p>
      <w:pPr>
        <w:pStyle w:val="BodyText"/>
        <w:ind w:right="1169" w:firstLine="720"/>
      </w:pPr>
      <w:r>
        <w:rPr/>
        <w:t>All of the square pieces are the same size and shape. The diamond pieces are also the same size and shape. One piece is pulled out of the sack. WHAT ARE THE CHANCES THAT IT IS A SPOTTED PIECE?</w:t>
      </w:r>
    </w:p>
    <w:p>
      <w:pPr>
        <w:pStyle w:val="ListParagraph"/>
        <w:numPr>
          <w:ilvl w:val="1"/>
          <w:numId w:val="27"/>
        </w:numPr>
        <w:tabs>
          <w:tab w:pos="1200" w:val="left" w:leader="none"/>
        </w:tabs>
        <w:spacing w:line="275" w:lineRule="exact" w:before="3" w:after="0"/>
        <w:ind w:left="1200" w:right="0" w:hanging="359"/>
        <w:jc w:val="left"/>
        <w:rPr>
          <w:sz w:val="24"/>
        </w:rPr>
      </w:pPr>
      <w:r>
        <w:rPr>
          <w:sz w:val="24"/>
        </w:rPr>
        <w:t>1</w:t>
      </w:r>
      <w:r>
        <w:rPr>
          <w:spacing w:val="-1"/>
          <w:sz w:val="24"/>
        </w:rPr>
        <w:t> </w:t>
      </w:r>
      <w:r>
        <w:rPr>
          <w:sz w:val="24"/>
        </w:rPr>
        <w:t>out</w:t>
      </w:r>
      <w:r>
        <w:rPr>
          <w:spacing w:val="3"/>
          <w:sz w:val="24"/>
        </w:rPr>
        <w:t> </w:t>
      </w:r>
      <w:r>
        <w:rPr>
          <w:sz w:val="24"/>
        </w:rPr>
        <w:t>of</w:t>
      </w:r>
      <w:r>
        <w:rPr>
          <w:spacing w:val="-5"/>
          <w:sz w:val="24"/>
        </w:rPr>
        <w:t> </w:t>
      </w:r>
      <w:r>
        <w:rPr>
          <w:spacing w:val="-10"/>
          <w:sz w:val="24"/>
        </w:rPr>
        <w:t>3</w:t>
      </w:r>
    </w:p>
    <w:p>
      <w:pPr>
        <w:pStyle w:val="ListParagraph"/>
        <w:numPr>
          <w:ilvl w:val="1"/>
          <w:numId w:val="27"/>
        </w:numPr>
        <w:tabs>
          <w:tab w:pos="1200" w:val="left" w:leader="none"/>
        </w:tabs>
        <w:spacing w:line="275" w:lineRule="exact" w:before="0" w:after="0"/>
        <w:ind w:left="1200" w:right="0" w:hanging="359"/>
        <w:jc w:val="left"/>
        <w:rPr>
          <w:sz w:val="24"/>
        </w:rPr>
      </w:pPr>
      <w:r>
        <w:rPr>
          <w:sz w:val="24"/>
        </w:rPr>
        <w:t>1</w:t>
      </w:r>
      <w:r>
        <w:rPr>
          <w:spacing w:val="-3"/>
          <w:sz w:val="24"/>
        </w:rPr>
        <w:t> </w:t>
      </w:r>
      <w:r>
        <w:rPr>
          <w:sz w:val="24"/>
        </w:rPr>
        <w:t>out</w:t>
      </w:r>
      <w:r>
        <w:rPr>
          <w:spacing w:val="4"/>
          <w:sz w:val="24"/>
        </w:rPr>
        <w:t> </w:t>
      </w:r>
      <w:r>
        <w:rPr>
          <w:sz w:val="24"/>
        </w:rPr>
        <w:t>of</w:t>
      </w:r>
      <w:r>
        <w:rPr>
          <w:spacing w:val="-5"/>
          <w:sz w:val="24"/>
        </w:rPr>
        <w:t> </w:t>
      </w:r>
      <w:r>
        <w:rPr>
          <w:spacing w:val="-10"/>
          <w:sz w:val="24"/>
        </w:rPr>
        <w:t>4</w:t>
      </w:r>
    </w:p>
    <w:p>
      <w:pPr>
        <w:pStyle w:val="ListParagraph"/>
        <w:numPr>
          <w:ilvl w:val="1"/>
          <w:numId w:val="27"/>
        </w:numPr>
        <w:tabs>
          <w:tab w:pos="1200" w:val="left" w:leader="none"/>
        </w:tabs>
        <w:spacing w:line="275" w:lineRule="exact" w:before="2" w:after="0"/>
        <w:ind w:left="1200" w:right="0" w:hanging="359"/>
        <w:jc w:val="left"/>
        <w:rPr>
          <w:sz w:val="24"/>
        </w:rPr>
      </w:pPr>
      <w:r>
        <w:rPr>
          <w:sz w:val="24"/>
        </w:rPr>
        <w:t>1</w:t>
      </w:r>
      <w:r>
        <w:rPr>
          <w:spacing w:val="-3"/>
          <w:sz w:val="24"/>
        </w:rPr>
        <w:t> </w:t>
      </w:r>
      <w:r>
        <w:rPr>
          <w:sz w:val="24"/>
        </w:rPr>
        <w:t>out</w:t>
      </w:r>
      <w:r>
        <w:rPr>
          <w:spacing w:val="4"/>
          <w:sz w:val="24"/>
        </w:rPr>
        <w:t> </w:t>
      </w:r>
      <w:r>
        <w:rPr>
          <w:sz w:val="24"/>
        </w:rPr>
        <w:t>of</w:t>
      </w:r>
      <w:r>
        <w:rPr>
          <w:spacing w:val="-5"/>
          <w:sz w:val="24"/>
        </w:rPr>
        <w:t> </w:t>
      </w:r>
      <w:r>
        <w:rPr>
          <w:spacing w:val="-10"/>
          <w:sz w:val="24"/>
        </w:rPr>
        <w:t>7</w:t>
      </w:r>
    </w:p>
    <w:p>
      <w:pPr>
        <w:pStyle w:val="ListParagraph"/>
        <w:numPr>
          <w:ilvl w:val="1"/>
          <w:numId w:val="27"/>
        </w:numPr>
        <w:tabs>
          <w:tab w:pos="1201" w:val="left" w:leader="none"/>
        </w:tabs>
        <w:spacing w:line="275" w:lineRule="exact" w:before="0" w:after="0"/>
        <w:ind w:left="1201" w:right="0" w:hanging="360"/>
        <w:jc w:val="left"/>
        <w:rPr>
          <w:sz w:val="24"/>
        </w:rPr>
      </w:pPr>
      <w:r>
        <w:rPr>
          <w:sz w:val="24"/>
        </w:rPr>
        <w:t>1</w:t>
      </w:r>
      <w:r>
        <w:rPr>
          <w:spacing w:val="-1"/>
          <w:sz w:val="24"/>
        </w:rPr>
        <w:t> </w:t>
      </w:r>
      <w:r>
        <w:rPr>
          <w:sz w:val="24"/>
        </w:rPr>
        <w:t>out</w:t>
      </w:r>
      <w:r>
        <w:rPr>
          <w:spacing w:val="3"/>
          <w:sz w:val="24"/>
        </w:rPr>
        <w:t> </w:t>
      </w:r>
      <w:r>
        <w:rPr>
          <w:sz w:val="24"/>
        </w:rPr>
        <w:t>of</w:t>
      </w:r>
      <w:r>
        <w:rPr>
          <w:spacing w:val="-5"/>
          <w:sz w:val="24"/>
        </w:rPr>
        <w:t> 21</w:t>
      </w:r>
    </w:p>
    <w:p>
      <w:pPr>
        <w:pStyle w:val="ListParagraph"/>
        <w:numPr>
          <w:ilvl w:val="1"/>
          <w:numId w:val="27"/>
        </w:numPr>
        <w:tabs>
          <w:tab w:pos="1200" w:val="left" w:leader="none"/>
        </w:tabs>
        <w:spacing w:line="240" w:lineRule="auto" w:before="3" w:after="0"/>
        <w:ind w:left="1200" w:right="0" w:hanging="359"/>
        <w:jc w:val="left"/>
        <w:rPr>
          <w:sz w:val="24"/>
        </w:rPr>
      </w:pPr>
      <w:r>
        <w:rPr>
          <w:spacing w:val="-2"/>
          <w:sz w:val="24"/>
        </w:rPr>
        <w:t>other</w:t>
      </w:r>
    </w:p>
    <w:p>
      <w:pPr>
        <w:pStyle w:val="BodyText"/>
        <w:spacing w:line="275" w:lineRule="exact" w:before="276"/>
        <w:jc w:val="left"/>
      </w:pPr>
      <w:r>
        <w:rPr>
          <w:spacing w:val="-2"/>
        </w:rPr>
        <w:t>REASON</w:t>
      </w:r>
    </w:p>
    <w:p>
      <w:pPr>
        <w:pStyle w:val="ListParagraph"/>
        <w:numPr>
          <w:ilvl w:val="0"/>
          <w:numId w:val="28"/>
        </w:numPr>
        <w:tabs>
          <w:tab w:pos="1201" w:val="left" w:leader="none"/>
        </w:tabs>
        <w:spacing w:line="242" w:lineRule="auto" w:before="0" w:after="0"/>
        <w:ind w:left="1201" w:right="1169" w:hanging="360"/>
        <w:jc w:val="left"/>
        <w:rPr>
          <w:sz w:val="24"/>
        </w:rPr>
      </w:pPr>
      <w:r>
        <w:rPr>
          <w:sz w:val="24"/>
        </w:rPr>
        <w:t>There</w:t>
      </w:r>
      <w:r>
        <w:rPr>
          <w:spacing w:val="40"/>
          <w:sz w:val="24"/>
        </w:rPr>
        <w:t> </w:t>
      </w:r>
      <w:r>
        <w:rPr>
          <w:sz w:val="24"/>
        </w:rPr>
        <w:t>are</w:t>
      </w:r>
      <w:r>
        <w:rPr>
          <w:spacing w:val="40"/>
          <w:sz w:val="24"/>
        </w:rPr>
        <w:t> </w:t>
      </w:r>
      <w:r>
        <w:rPr>
          <w:sz w:val="24"/>
        </w:rPr>
        <w:t>twenty</w:t>
      </w:r>
      <w:r>
        <w:rPr>
          <w:spacing w:val="37"/>
          <w:sz w:val="24"/>
        </w:rPr>
        <w:t> </w:t>
      </w:r>
      <w:r>
        <w:rPr>
          <w:sz w:val="24"/>
        </w:rPr>
        <w:t>one</w:t>
      </w:r>
      <w:r>
        <w:rPr>
          <w:spacing w:val="40"/>
          <w:sz w:val="24"/>
        </w:rPr>
        <w:t> </w:t>
      </w:r>
      <w:r>
        <w:rPr>
          <w:sz w:val="24"/>
        </w:rPr>
        <w:t>pieces</w:t>
      </w:r>
      <w:r>
        <w:rPr>
          <w:spacing w:val="40"/>
          <w:sz w:val="24"/>
        </w:rPr>
        <w:t> </w:t>
      </w:r>
      <w:r>
        <w:rPr>
          <w:sz w:val="24"/>
        </w:rPr>
        <w:t>in</w:t>
      </w:r>
      <w:r>
        <w:rPr>
          <w:spacing w:val="40"/>
          <w:sz w:val="24"/>
        </w:rPr>
        <w:t> </w:t>
      </w:r>
      <w:r>
        <w:rPr>
          <w:sz w:val="24"/>
        </w:rPr>
        <w:t>the</w:t>
      </w:r>
      <w:r>
        <w:rPr>
          <w:spacing w:val="40"/>
          <w:sz w:val="24"/>
        </w:rPr>
        <w:t> </w:t>
      </w:r>
      <w:r>
        <w:rPr>
          <w:sz w:val="24"/>
        </w:rPr>
        <w:t>cloth</w:t>
      </w:r>
      <w:r>
        <w:rPr>
          <w:spacing w:val="40"/>
          <w:sz w:val="24"/>
        </w:rPr>
        <w:t> </w:t>
      </w:r>
      <w:r>
        <w:rPr>
          <w:sz w:val="24"/>
        </w:rPr>
        <w:t>sack.</w:t>
      </w:r>
      <w:r>
        <w:rPr>
          <w:spacing w:val="40"/>
          <w:sz w:val="24"/>
        </w:rPr>
        <w:t> </w:t>
      </w:r>
      <w:r>
        <w:rPr>
          <w:sz w:val="24"/>
        </w:rPr>
        <w:t>One</w:t>
      </w:r>
      <w:r>
        <w:rPr>
          <w:spacing w:val="40"/>
          <w:sz w:val="24"/>
        </w:rPr>
        <w:t> </w:t>
      </w:r>
      <w:r>
        <w:rPr>
          <w:sz w:val="24"/>
        </w:rPr>
        <w:t>spotted</w:t>
      </w:r>
      <w:r>
        <w:rPr>
          <w:spacing w:val="40"/>
          <w:sz w:val="24"/>
        </w:rPr>
        <w:t> </w:t>
      </w:r>
      <w:r>
        <w:rPr>
          <w:sz w:val="24"/>
        </w:rPr>
        <w:t>piece</w:t>
      </w:r>
      <w:r>
        <w:rPr>
          <w:spacing w:val="40"/>
          <w:sz w:val="24"/>
        </w:rPr>
        <w:t> </w:t>
      </w:r>
      <w:r>
        <w:rPr>
          <w:sz w:val="24"/>
        </w:rPr>
        <w:t>must</w:t>
      </w:r>
      <w:r>
        <w:rPr>
          <w:spacing w:val="40"/>
          <w:sz w:val="24"/>
        </w:rPr>
        <w:t> </w:t>
      </w:r>
      <w:r>
        <w:rPr>
          <w:sz w:val="24"/>
        </w:rPr>
        <w:t>be chosen from these.</w:t>
      </w:r>
    </w:p>
    <w:p>
      <w:pPr>
        <w:pStyle w:val="ListParagraph"/>
        <w:numPr>
          <w:ilvl w:val="0"/>
          <w:numId w:val="28"/>
        </w:numPr>
        <w:tabs>
          <w:tab w:pos="1201" w:val="left" w:leader="none"/>
        </w:tabs>
        <w:spacing w:line="271" w:lineRule="exact" w:before="0" w:after="0"/>
        <w:ind w:left="1201" w:right="0" w:hanging="360"/>
        <w:jc w:val="left"/>
        <w:rPr>
          <w:sz w:val="24"/>
        </w:rPr>
      </w:pPr>
      <w:r>
        <w:rPr>
          <w:sz w:val="24"/>
        </w:rPr>
        <w:t>One</w:t>
      </w:r>
      <w:r>
        <w:rPr>
          <w:spacing w:val="-2"/>
          <w:sz w:val="24"/>
        </w:rPr>
        <w:t> </w:t>
      </w:r>
      <w:r>
        <w:rPr>
          <w:sz w:val="24"/>
        </w:rPr>
        <w:t>spotted</w:t>
      </w:r>
      <w:r>
        <w:rPr>
          <w:spacing w:val="1"/>
          <w:sz w:val="24"/>
        </w:rPr>
        <w:t> </w:t>
      </w:r>
      <w:r>
        <w:rPr>
          <w:sz w:val="24"/>
        </w:rPr>
        <w:t>piece</w:t>
      </w:r>
      <w:r>
        <w:rPr>
          <w:spacing w:val="5"/>
          <w:sz w:val="24"/>
        </w:rPr>
        <w:t> </w:t>
      </w:r>
      <w:r>
        <w:rPr>
          <w:sz w:val="24"/>
        </w:rPr>
        <w:t>needs</w:t>
      </w:r>
      <w:r>
        <w:rPr>
          <w:spacing w:val="-1"/>
          <w:sz w:val="24"/>
        </w:rPr>
        <w:t> </w:t>
      </w:r>
      <w:r>
        <w:rPr>
          <w:sz w:val="24"/>
        </w:rPr>
        <w:t>to</w:t>
      </w:r>
      <w:r>
        <w:rPr>
          <w:spacing w:val="1"/>
          <w:sz w:val="24"/>
        </w:rPr>
        <w:t> </w:t>
      </w:r>
      <w:r>
        <w:rPr>
          <w:sz w:val="24"/>
        </w:rPr>
        <w:t>be</w:t>
      </w:r>
      <w:r>
        <w:rPr>
          <w:spacing w:val="1"/>
          <w:sz w:val="24"/>
        </w:rPr>
        <w:t> </w:t>
      </w:r>
      <w:r>
        <w:rPr>
          <w:sz w:val="24"/>
        </w:rPr>
        <w:t>selected</w:t>
      </w:r>
      <w:r>
        <w:rPr>
          <w:spacing w:val="1"/>
          <w:sz w:val="24"/>
        </w:rPr>
        <w:t> </w:t>
      </w:r>
      <w:r>
        <w:rPr>
          <w:sz w:val="24"/>
        </w:rPr>
        <w:t>from</w:t>
      </w:r>
      <w:r>
        <w:rPr>
          <w:spacing w:val="-8"/>
          <w:sz w:val="24"/>
        </w:rPr>
        <w:t> </w:t>
      </w:r>
      <w:r>
        <w:rPr>
          <w:sz w:val="24"/>
        </w:rPr>
        <w:t>a total</w:t>
      </w:r>
      <w:r>
        <w:rPr>
          <w:spacing w:val="-7"/>
          <w:sz w:val="24"/>
        </w:rPr>
        <w:t> </w:t>
      </w:r>
      <w:r>
        <w:rPr>
          <w:sz w:val="24"/>
        </w:rPr>
        <w:t>of</w:t>
      </w:r>
      <w:r>
        <w:rPr>
          <w:spacing w:val="-7"/>
          <w:sz w:val="24"/>
        </w:rPr>
        <w:t> </w:t>
      </w:r>
      <w:r>
        <w:rPr>
          <w:sz w:val="24"/>
        </w:rPr>
        <w:t>seven</w:t>
      </w:r>
      <w:r>
        <w:rPr>
          <w:spacing w:val="-4"/>
          <w:sz w:val="24"/>
        </w:rPr>
        <w:t> </w:t>
      </w:r>
      <w:r>
        <w:rPr>
          <w:sz w:val="24"/>
        </w:rPr>
        <w:t>spotted</w:t>
      </w:r>
      <w:r>
        <w:rPr>
          <w:spacing w:val="2"/>
          <w:sz w:val="24"/>
        </w:rPr>
        <w:t> </w:t>
      </w:r>
      <w:r>
        <w:rPr>
          <w:spacing w:val="-2"/>
          <w:sz w:val="24"/>
        </w:rPr>
        <w:t>pieces.</w:t>
      </w:r>
    </w:p>
    <w:p>
      <w:pPr>
        <w:pStyle w:val="ListParagraph"/>
        <w:numPr>
          <w:ilvl w:val="0"/>
          <w:numId w:val="28"/>
        </w:numPr>
        <w:tabs>
          <w:tab w:pos="1201" w:val="left" w:leader="none"/>
        </w:tabs>
        <w:spacing w:line="275" w:lineRule="exact" w:before="1" w:after="0"/>
        <w:ind w:left="1201" w:right="0" w:hanging="360"/>
        <w:jc w:val="left"/>
        <w:rPr>
          <w:sz w:val="24"/>
        </w:rPr>
      </w:pPr>
      <w:r>
        <w:rPr>
          <w:sz w:val="24"/>
        </w:rPr>
        <w:t>Seven</w:t>
      </w:r>
      <w:r>
        <w:rPr>
          <w:spacing w:val="-4"/>
          <w:sz w:val="24"/>
        </w:rPr>
        <w:t> </w:t>
      </w:r>
      <w:r>
        <w:rPr>
          <w:sz w:val="24"/>
        </w:rPr>
        <w:t>of</w:t>
      </w:r>
      <w:r>
        <w:rPr>
          <w:spacing w:val="-6"/>
          <w:sz w:val="24"/>
        </w:rPr>
        <w:t> </w:t>
      </w:r>
      <w:r>
        <w:rPr>
          <w:sz w:val="24"/>
        </w:rPr>
        <w:t>the</w:t>
      </w:r>
      <w:r>
        <w:rPr>
          <w:spacing w:val="1"/>
          <w:sz w:val="24"/>
        </w:rPr>
        <w:t> </w:t>
      </w:r>
      <w:r>
        <w:rPr>
          <w:sz w:val="24"/>
        </w:rPr>
        <w:t>twenty-one pieces are</w:t>
      </w:r>
      <w:r>
        <w:rPr>
          <w:spacing w:val="3"/>
          <w:sz w:val="24"/>
        </w:rPr>
        <w:t> </w:t>
      </w:r>
      <w:r>
        <w:rPr>
          <w:sz w:val="24"/>
        </w:rPr>
        <w:t>spotted</w:t>
      </w:r>
      <w:r>
        <w:rPr>
          <w:spacing w:val="3"/>
          <w:sz w:val="24"/>
        </w:rPr>
        <w:t> </w:t>
      </w:r>
      <w:r>
        <w:rPr>
          <w:spacing w:val="-2"/>
          <w:sz w:val="24"/>
        </w:rPr>
        <w:t>pieces.</w:t>
      </w:r>
    </w:p>
    <w:p>
      <w:pPr>
        <w:pStyle w:val="ListParagraph"/>
        <w:numPr>
          <w:ilvl w:val="0"/>
          <w:numId w:val="28"/>
        </w:numPr>
        <w:tabs>
          <w:tab w:pos="1201" w:val="left" w:leader="none"/>
        </w:tabs>
        <w:spacing w:line="275" w:lineRule="exact" w:before="0" w:after="0"/>
        <w:ind w:left="1201" w:right="0" w:hanging="360"/>
        <w:jc w:val="left"/>
        <w:rPr>
          <w:sz w:val="24"/>
        </w:rPr>
      </w:pPr>
      <w:r>
        <w:rPr>
          <w:sz w:val="24"/>
        </w:rPr>
        <w:t>There</w:t>
      </w:r>
      <w:r>
        <w:rPr>
          <w:spacing w:val="-2"/>
          <w:sz w:val="24"/>
        </w:rPr>
        <w:t> </w:t>
      </w:r>
      <w:r>
        <w:rPr>
          <w:sz w:val="24"/>
        </w:rPr>
        <w:t>are</w:t>
      </w:r>
      <w:r>
        <w:rPr>
          <w:spacing w:val="-5"/>
          <w:sz w:val="24"/>
        </w:rPr>
        <w:t> </w:t>
      </w:r>
      <w:r>
        <w:rPr>
          <w:sz w:val="24"/>
        </w:rPr>
        <w:t>three sets</w:t>
      </w:r>
      <w:r>
        <w:rPr>
          <w:spacing w:val="-1"/>
          <w:sz w:val="24"/>
        </w:rPr>
        <w:t> </w:t>
      </w:r>
      <w:r>
        <w:rPr>
          <w:sz w:val="24"/>
        </w:rPr>
        <w:t>in</w:t>
      </w:r>
      <w:r>
        <w:rPr>
          <w:spacing w:val="-4"/>
          <w:sz w:val="24"/>
        </w:rPr>
        <w:t> </w:t>
      </w:r>
      <w:r>
        <w:rPr>
          <w:sz w:val="24"/>
        </w:rPr>
        <w:t>the cloth</w:t>
      </w:r>
      <w:r>
        <w:rPr>
          <w:spacing w:val="-3"/>
          <w:sz w:val="24"/>
        </w:rPr>
        <w:t> </w:t>
      </w:r>
      <w:r>
        <w:rPr>
          <w:sz w:val="24"/>
        </w:rPr>
        <w:t>sack.</w:t>
      </w:r>
      <w:r>
        <w:rPr>
          <w:spacing w:val="3"/>
          <w:sz w:val="24"/>
        </w:rPr>
        <w:t> </w:t>
      </w:r>
      <w:r>
        <w:rPr>
          <w:sz w:val="24"/>
        </w:rPr>
        <w:t>One of</w:t>
      </w:r>
      <w:r>
        <w:rPr>
          <w:spacing w:val="-7"/>
          <w:sz w:val="24"/>
        </w:rPr>
        <w:t> </w:t>
      </w:r>
      <w:r>
        <w:rPr>
          <w:sz w:val="24"/>
        </w:rPr>
        <w:t>them</w:t>
      </w:r>
      <w:r>
        <w:rPr>
          <w:spacing w:val="-4"/>
          <w:sz w:val="24"/>
        </w:rPr>
        <w:t> </w:t>
      </w:r>
      <w:r>
        <w:rPr>
          <w:sz w:val="24"/>
        </w:rPr>
        <w:t>is </w:t>
      </w:r>
      <w:r>
        <w:rPr>
          <w:spacing w:val="-2"/>
          <w:sz w:val="24"/>
        </w:rPr>
        <w:t>spotted.</w:t>
      </w:r>
    </w:p>
    <w:p>
      <w:pPr>
        <w:pStyle w:val="ListParagraph"/>
        <w:numPr>
          <w:ilvl w:val="0"/>
          <w:numId w:val="28"/>
        </w:numPr>
        <w:tabs>
          <w:tab w:pos="1201" w:val="left" w:leader="none"/>
        </w:tabs>
        <w:spacing w:line="240" w:lineRule="auto" w:before="2" w:after="0"/>
        <w:ind w:left="1201" w:right="0" w:hanging="360"/>
        <w:jc w:val="left"/>
        <w:rPr>
          <w:sz w:val="24"/>
        </w:rPr>
      </w:pPr>
      <w:r>
        <w:rPr>
          <w:sz w:val="24"/>
        </w:rPr>
        <w:t>1/4</w:t>
      </w:r>
      <w:r>
        <w:rPr>
          <w:spacing w:val="-6"/>
          <w:sz w:val="24"/>
        </w:rPr>
        <w:t> </w:t>
      </w:r>
      <w:r>
        <w:rPr>
          <w:sz w:val="24"/>
        </w:rPr>
        <w:t>of</w:t>
      </w:r>
      <w:r>
        <w:rPr>
          <w:spacing w:val="-7"/>
          <w:sz w:val="24"/>
        </w:rPr>
        <w:t> </w:t>
      </w:r>
      <w:r>
        <w:rPr>
          <w:sz w:val="24"/>
        </w:rPr>
        <w:t>the square pieces</w:t>
      </w:r>
      <w:r>
        <w:rPr>
          <w:spacing w:val="-2"/>
          <w:sz w:val="24"/>
        </w:rPr>
        <w:t> </w:t>
      </w:r>
      <w:r>
        <w:rPr>
          <w:sz w:val="24"/>
        </w:rPr>
        <w:t>and</w:t>
      </w:r>
      <w:r>
        <w:rPr>
          <w:spacing w:val="1"/>
          <w:sz w:val="24"/>
        </w:rPr>
        <w:t> </w:t>
      </w:r>
      <w:r>
        <w:rPr>
          <w:sz w:val="24"/>
        </w:rPr>
        <w:t>4/9</w:t>
      </w:r>
      <w:r>
        <w:rPr>
          <w:spacing w:val="1"/>
          <w:sz w:val="24"/>
        </w:rPr>
        <w:t> </w:t>
      </w:r>
      <w:r>
        <w:rPr>
          <w:sz w:val="24"/>
        </w:rPr>
        <w:t>of</w:t>
      </w:r>
      <w:r>
        <w:rPr>
          <w:spacing w:val="-7"/>
          <w:sz w:val="24"/>
        </w:rPr>
        <w:t> </w:t>
      </w:r>
      <w:r>
        <w:rPr>
          <w:sz w:val="24"/>
        </w:rPr>
        <w:t>the</w:t>
      </w:r>
      <w:r>
        <w:rPr>
          <w:spacing w:val="-1"/>
          <w:sz w:val="24"/>
        </w:rPr>
        <w:t> </w:t>
      </w:r>
      <w:r>
        <w:rPr>
          <w:sz w:val="24"/>
        </w:rPr>
        <w:t>diamond</w:t>
      </w:r>
      <w:r>
        <w:rPr>
          <w:spacing w:val="1"/>
          <w:sz w:val="24"/>
        </w:rPr>
        <w:t> </w:t>
      </w:r>
      <w:r>
        <w:rPr>
          <w:sz w:val="24"/>
        </w:rPr>
        <w:t>pieces</w:t>
      </w:r>
      <w:r>
        <w:rPr>
          <w:spacing w:val="-1"/>
          <w:sz w:val="24"/>
        </w:rPr>
        <w:t> </w:t>
      </w:r>
      <w:r>
        <w:rPr>
          <w:sz w:val="24"/>
        </w:rPr>
        <w:t>are </w:t>
      </w:r>
      <w:r>
        <w:rPr>
          <w:spacing w:val="-2"/>
          <w:sz w:val="24"/>
        </w:rPr>
        <w:t>spotted.</w:t>
      </w:r>
    </w:p>
    <w:p>
      <w:pPr>
        <w:spacing w:after="0" w:line="240" w:lineRule="auto"/>
        <w:jc w:val="left"/>
        <w:rPr>
          <w:sz w:val="24"/>
        </w:rPr>
        <w:sectPr>
          <w:pgSz w:w="11910" w:h="16840"/>
          <w:pgMar w:header="0" w:footer="1012" w:top="1340" w:bottom="1200" w:left="1680" w:right="280"/>
        </w:sectPr>
      </w:pPr>
    </w:p>
    <w:p>
      <w:pPr>
        <w:pStyle w:val="BodyText"/>
        <w:spacing w:before="74"/>
        <w:ind w:left="543"/>
        <w:jc w:val="left"/>
      </w:pPr>
      <w:r>
        <w:rPr/>
        <w:t>Item</w:t>
      </w:r>
      <w:r>
        <w:rPr>
          <w:spacing w:val="-7"/>
        </w:rPr>
        <w:t> </w:t>
      </w:r>
      <w:r>
        <w:rPr>
          <w:spacing w:val="-12"/>
        </w:rPr>
        <w:t>8</w:t>
      </w:r>
    </w:p>
    <w:p>
      <w:pPr>
        <w:spacing w:line="275" w:lineRule="exact" w:before="2"/>
        <w:ind w:left="3299" w:right="0" w:firstLine="0"/>
        <w:jc w:val="left"/>
        <w:rPr>
          <w:b/>
          <w:sz w:val="24"/>
        </w:rPr>
      </w:pPr>
      <w:r>
        <w:rPr>
          <w:b/>
          <w:sz w:val="24"/>
          <w:u w:val="single"/>
        </w:rPr>
        <w:t>Squares</w:t>
      </w:r>
      <w:r>
        <w:rPr>
          <w:b/>
          <w:spacing w:val="-4"/>
          <w:sz w:val="24"/>
          <w:u w:val="single"/>
        </w:rPr>
        <w:t> </w:t>
      </w:r>
      <w:r>
        <w:rPr>
          <w:b/>
          <w:sz w:val="24"/>
          <w:u w:val="single"/>
        </w:rPr>
        <w:t>and</w:t>
      </w:r>
      <w:r>
        <w:rPr>
          <w:b/>
          <w:spacing w:val="-2"/>
          <w:sz w:val="24"/>
          <w:u w:val="single"/>
        </w:rPr>
        <w:t> </w:t>
      </w:r>
      <w:r>
        <w:rPr>
          <w:b/>
          <w:sz w:val="24"/>
          <w:u w:val="single"/>
        </w:rPr>
        <w:t>Diamonds</w:t>
      </w:r>
      <w:r>
        <w:rPr>
          <w:b/>
          <w:spacing w:val="-3"/>
          <w:sz w:val="24"/>
          <w:u w:val="single"/>
        </w:rPr>
        <w:t> </w:t>
      </w:r>
      <w:r>
        <w:rPr>
          <w:b/>
          <w:spacing w:val="-5"/>
          <w:sz w:val="24"/>
          <w:u w:val="single"/>
        </w:rPr>
        <w:t>#2</w:t>
      </w:r>
    </w:p>
    <w:p>
      <w:pPr>
        <w:pStyle w:val="BodyText"/>
        <w:spacing w:line="275" w:lineRule="exact"/>
        <w:ind w:left="1201"/>
        <w:jc w:val="left"/>
      </w:pPr>
      <w:r>
        <w:rPr/>
        <w:t>In</w:t>
      </w:r>
      <w:r>
        <w:rPr>
          <w:spacing w:val="-4"/>
        </w:rPr>
        <w:t> </w:t>
      </w:r>
      <w:r>
        <w:rPr/>
        <w:t>a</w:t>
      </w:r>
      <w:r>
        <w:rPr>
          <w:spacing w:val="1"/>
        </w:rPr>
        <w:t> </w:t>
      </w:r>
      <w:r>
        <w:rPr/>
        <w:t>cloth</w:t>
      </w:r>
      <w:r>
        <w:rPr>
          <w:spacing w:val="-4"/>
        </w:rPr>
        <w:t> </w:t>
      </w:r>
      <w:r>
        <w:rPr/>
        <w:t>sack,</w:t>
      </w:r>
      <w:r>
        <w:rPr>
          <w:spacing w:val="-1"/>
        </w:rPr>
        <w:t> </w:t>
      </w:r>
      <w:r>
        <w:rPr/>
        <w:t>there</w:t>
      </w:r>
      <w:r>
        <w:rPr>
          <w:spacing w:val="1"/>
        </w:rPr>
        <w:t> </w:t>
      </w:r>
      <w:r>
        <w:rPr>
          <w:spacing w:val="-5"/>
        </w:rPr>
        <w:t>are</w:t>
      </w:r>
    </w:p>
    <w:p>
      <w:pPr>
        <w:pStyle w:val="BodyText"/>
        <w:ind w:left="0"/>
        <w:jc w:val="left"/>
      </w:pPr>
    </w:p>
    <w:p>
      <w:pPr>
        <w:pStyle w:val="BodyText"/>
        <w:spacing w:before="37"/>
        <w:ind w:left="0"/>
        <w:jc w:val="left"/>
      </w:pPr>
    </w:p>
    <w:p>
      <w:pPr>
        <w:pStyle w:val="BodyText"/>
        <w:spacing w:before="1"/>
        <w:ind w:left="5834"/>
        <w:jc w:val="left"/>
        <w:rPr>
          <w:rFonts w:ascii="Cambria"/>
        </w:rPr>
      </w:pPr>
      <w:r>
        <w:rPr/>
        <w:drawing>
          <wp:anchor distT="0" distB="0" distL="0" distR="0" allowOverlap="1" layoutInCell="1" locked="0" behindDoc="0" simplePos="0" relativeHeight="15737856">
            <wp:simplePos x="0" y="0"/>
            <wp:positionH relativeFrom="page">
              <wp:posOffset>1390650</wp:posOffset>
            </wp:positionH>
            <wp:positionV relativeFrom="paragraph">
              <wp:posOffset>-131283</wp:posOffset>
            </wp:positionV>
            <wp:extent cx="2891445" cy="3931071"/>
            <wp:effectExtent l="0" t="0" r="0" b="0"/>
            <wp:wrapNone/>
            <wp:docPr id="38" name="Image 38" descr="C:\Users\ameer\Desktop\AMOS PIXX\13.jpg"/>
            <wp:cNvGraphicFramePr>
              <a:graphicFrameLocks/>
            </wp:cNvGraphicFramePr>
            <a:graphic>
              <a:graphicData uri="http://schemas.openxmlformats.org/drawingml/2006/picture">
                <pic:pic>
                  <pic:nvPicPr>
                    <pic:cNvPr id="38" name="Image 38" descr="C:\Users\ameer\Desktop\AMOS PIXX\13.jpg"/>
                    <pic:cNvPicPr/>
                  </pic:nvPicPr>
                  <pic:blipFill>
                    <a:blip r:embed="rId52" cstate="print"/>
                    <a:stretch>
                      <a:fillRect/>
                    </a:stretch>
                  </pic:blipFill>
                  <pic:spPr>
                    <a:xfrm>
                      <a:off x="0" y="0"/>
                      <a:ext cx="2891445" cy="3931071"/>
                    </a:xfrm>
                    <a:prstGeom prst="rect">
                      <a:avLst/>
                    </a:prstGeom>
                  </pic:spPr>
                </pic:pic>
              </a:graphicData>
            </a:graphic>
          </wp:anchor>
        </w:drawing>
      </w:r>
      <w:r>
        <w:rPr>
          <w:rFonts w:ascii="Cambria"/>
        </w:rPr>
        <w:t>3</w:t>
      </w:r>
      <w:r>
        <w:rPr>
          <w:rFonts w:ascii="Cambria"/>
          <w:spacing w:val="-2"/>
        </w:rPr>
        <w:t> </w:t>
      </w:r>
      <w:r>
        <w:rPr>
          <w:rFonts w:ascii="Cambria"/>
        </w:rPr>
        <w:t>spotted</w:t>
      </w:r>
      <w:r>
        <w:rPr>
          <w:rFonts w:ascii="Cambria"/>
          <w:spacing w:val="-2"/>
        </w:rPr>
        <w:t> </w:t>
      </w:r>
      <w:r>
        <w:rPr>
          <w:rFonts w:ascii="Cambria"/>
        </w:rPr>
        <w:t>wooden</w:t>
      </w:r>
      <w:r>
        <w:rPr>
          <w:rFonts w:ascii="Cambria"/>
          <w:spacing w:val="-3"/>
        </w:rPr>
        <w:t> </w:t>
      </w:r>
      <w:r>
        <w:rPr>
          <w:rFonts w:ascii="Cambria"/>
          <w:spacing w:val="-2"/>
        </w:rPr>
        <w:t>squares</w:t>
      </w:r>
    </w:p>
    <w:p>
      <w:pPr>
        <w:pStyle w:val="BodyText"/>
        <w:ind w:left="0"/>
        <w:jc w:val="left"/>
        <w:rPr>
          <w:rFonts w:ascii="Cambria"/>
        </w:rPr>
      </w:pPr>
    </w:p>
    <w:p>
      <w:pPr>
        <w:pStyle w:val="BodyText"/>
        <w:ind w:left="0"/>
        <w:jc w:val="left"/>
        <w:rPr>
          <w:rFonts w:ascii="Cambria"/>
        </w:rPr>
      </w:pPr>
    </w:p>
    <w:p>
      <w:pPr>
        <w:pStyle w:val="BodyText"/>
        <w:spacing w:before="2"/>
        <w:ind w:left="0"/>
        <w:jc w:val="left"/>
        <w:rPr>
          <w:rFonts w:ascii="Cambria"/>
        </w:rPr>
      </w:pPr>
    </w:p>
    <w:p>
      <w:pPr>
        <w:pStyle w:val="BodyText"/>
        <w:ind w:left="5834"/>
        <w:jc w:val="left"/>
        <w:rPr>
          <w:rFonts w:ascii="Cambria"/>
        </w:rPr>
      </w:pPr>
      <w:r>
        <w:rPr>
          <w:rFonts w:ascii="Cambria"/>
        </w:rPr>
        <w:t>4 black</w:t>
      </w:r>
      <w:r>
        <w:rPr>
          <w:rFonts w:ascii="Cambria"/>
          <w:spacing w:val="-3"/>
        </w:rPr>
        <w:t> </w:t>
      </w:r>
      <w:r>
        <w:rPr>
          <w:rFonts w:ascii="Cambria"/>
        </w:rPr>
        <w:t>wooden</w:t>
      </w:r>
      <w:r>
        <w:rPr>
          <w:rFonts w:ascii="Cambria"/>
          <w:spacing w:val="-1"/>
        </w:rPr>
        <w:t> </w:t>
      </w:r>
      <w:r>
        <w:rPr>
          <w:rFonts w:ascii="Cambria"/>
          <w:spacing w:val="-2"/>
        </w:rPr>
        <w:t>squares</w:t>
      </w:r>
    </w:p>
    <w:p>
      <w:pPr>
        <w:pStyle w:val="BodyText"/>
        <w:ind w:left="0"/>
        <w:jc w:val="left"/>
        <w:rPr>
          <w:rFonts w:ascii="Cambria"/>
        </w:rPr>
      </w:pPr>
    </w:p>
    <w:p>
      <w:pPr>
        <w:pStyle w:val="BodyText"/>
        <w:spacing w:before="279"/>
        <w:ind w:left="0"/>
        <w:jc w:val="left"/>
        <w:rPr>
          <w:rFonts w:ascii="Cambria"/>
        </w:rPr>
      </w:pPr>
    </w:p>
    <w:p>
      <w:pPr>
        <w:pStyle w:val="BodyText"/>
        <w:spacing w:before="1"/>
        <w:ind w:left="5834"/>
        <w:jc w:val="left"/>
        <w:rPr>
          <w:rFonts w:ascii="Cambria"/>
        </w:rPr>
      </w:pPr>
      <w:r>
        <w:rPr>
          <w:rFonts w:ascii="Cambria"/>
        </w:rPr>
        <w:t>5 white</w:t>
      </w:r>
      <w:r>
        <w:rPr>
          <w:rFonts w:ascii="Cambria"/>
          <w:spacing w:val="-3"/>
        </w:rPr>
        <w:t> </w:t>
      </w:r>
      <w:r>
        <w:rPr>
          <w:rFonts w:ascii="Cambria"/>
        </w:rPr>
        <w:t>wooden</w:t>
      </w:r>
      <w:r>
        <w:rPr>
          <w:rFonts w:ascii="Cambria"/>
          <w:spacing w:val="-1"/>
        </w:rPr>
        <w:t> </w:t>
      </w:r>
      <w:r>
        <w:rPr>
          <w:rFonts w:ascii="Cambria"/>
          <w:spacing w:val="-2"/>
        </w:rPr>
        <w:t>squares</w:t>
      </w:r>
    </w:p>
    <w:p>
      <w:pPr>
        <w:pStyle w:val="BodyText"/>
        <w:ind w:left="0"/>
        <w:jc w:val="left"/>
        <w:rPr>
          <w:rFonts w:ascii="Cambria"/>
        </w:rPr>
      </w:pPr>
    </w:p>
    <w:p>
      <w:pPr>
        <w:pStyle w:val="BodyText"/>
        <w:ind w:left="0"/>
        <w:jc w:val="left"/>
        <w:rPr>
          <w:rFonts w:ascii="Cambria"/>
        </w:rPr>
      </w:pPr>
    </w:p>
    <w:p>
      <w:pPr>
        <w:pStyle w:val="BodyText"/>
        <w:spacing w:before="3"/>
        <w:ind w:left="0"/>
        <w:jc w:val="left"/>
        <w:rPr>
          <w:rFonts w:ascii="Cambria"/>
        </w:rPr>
      </w:pPr>
    </w:p>
    <w:p>
      <w:pPr>
        <w:pStyle w:val="BodyText"/>
        <w:ind w:left="5834"/>
        <w:jc w:val="left"/>
        <w:rPr>
          <w:rFonts w:ascii="Cambria"/>
        </w:rPr>
      </w:pPr>
      <w:r>
        <w:rPr>
          <w:rFonts w:ascii="Cambria"/>
        </w:rPr>
        <w:t>4</w:t>
      </w:r>
      <w:r>
        <w:rPr>
          <w:rFonts w:ascii="Cambria"/>
          <w:spacing w:val="-2"/>
        </w:rPr>
        <w:t> </w:t>
      </w:r>
      <w:r>
        <w:rPr>
          <w:rFonts w:ascii="Cambria"/>
        </w:rPr>
        <w:t>spotted wooden</w:t>
      </w:r>
      <w:r>
        <w:rPr>
          <w:rFonts w:ascii="Cambria"/>
          <w:spacing w:val="-3"/>
        </w:rPr>
        <w:t> </w:t>
      </w:r>
      <w:r>
        <w:rPr>
          <w:rFonts w:ascii="Cambria"/>
          <w:spacing w:val="-2"/>
        </w:rPr>
        <w:t>diamonds</w:t>
      </w:r>
    </w:p>
    <w:p>
      <w:pPr>
        <w:pStyle w:val="BodyText"/>
        <w:ind w:left="0"/>
        <w:jc w:val="left"/>
        <w:rPr>
          <w:rFonts w:ascii="Cambria"/>
        </w:rPr>
      </w:pPr>
    </w:p>
    <w:p>
      <w:pPr>
        <w:pStyle w:val="BodyText"/>
        <w:spacing w:before="279"/>
        <w:ind w:left="0"/>
        <w:jc w:val="left"/>
        <w:rPr>
          <w:rFonts w:ascii="Cambria"/>
        </w:rPr>
      </w:pPr>
    </w:p>
    <w:p>
      <w:pPr>
        <w:pStyle w:val="BodyText"/>
        <w:ind w:left="5834"/>
        <w:jc w:val="left"/>
        <w:rPr>
          <w:rFonts w:ascii="Cambria"/>
        </w:rPr>
      </w:pPr>
      <w:r>
        <w:rPr>
          <w:rFonts w:ascii="Cambria"/>
        </w:rPr>
        <w:t>2 black</w:t>
      </w:r>
      <w:r>
        <w:rPr>
          <w:rFonts w:ascii="Cambria"/>
          <w:spacing w:val="-3"/>
        </w:rPr>
        <w:t> </w:t>
      </w:r>
      <w:r>
        <w:rPr>
          <w:rFonts w:ascii="Cambria"/>
        </w:rPr>
        <w:t>wooden</w:t>
      </w:r>
      <w:r>
        <w:rPr>
          <w:rFonts w:ascii="Cambria"/>
          <w:spacing w:val="-1"/>
        </w:rPr>
        <w:t> </w:t>
      </w:r>
      <w:r>
        <w:rPr>
          <w:rFonts w:ascii="Cambria"/>
          <w:spacing w:val="-2"/>
        </w:rPr>
        <w:t>diamonds</w:t>
      </w:r>
    </w:p>
    <w:p>
      <w:pPr>
        <w:pStyle w:val="BodyText"/>
        <w:ind w:left="0"/>
        <w:jc w:val="left"/>
        <w:rPr>
          <w:rFonts w:ascii="Cambria"/>
        </w:rPr>
      </w:pPr>
    </w:p>
    <w:p>
      <w:pPr>
        <w:pStyle w:val="BodyText"/>
        <w:ind w:left="0"/>
        <w:jc w:val="left"/>
        <w:rPr>
          <w:rFonts w:ascii="Cambria"/>
        </w:rPr>
      </w:pPr>
    </w:p>
    <w:p>
      <w:pPr>
        <w:pStyle w:val="BodyText"/>
        <w:spacing w:before="3"/>
        <w:ind w:left="0"/>
        <w:jc w:val="left"/>
        <w:rPr>
          <w:rFonts w:ascii="Cambria"/>
        </w:rPr>
      </w:pPr>
    </w:p>
    <w:p>
      <w:pPr>
        <w:pStyle w:val="BodyText"/>
        <w:ind w:left="5834"/>
        <w:jc w:val="left"/>
        <w:rPr>
          <w:rFonts w:ascii="Cambria"/>
        </w:rPr>
      </w:pPr>
      <w:r>
        <w:rPr>
          <w:rFonts w:ascii="Cambria"/>
        </w:rPr>
        <w:t>3 white</w:t>
      </w:r>
      <w:r>
        <w:rPr>
          <w:rFonts w:ascii="Cambria"/>
          <w:spacing w:val="-3"/>
        </w:rPr>
        <w:t> </w:t>
      </w:r>
      <w:r>
        <w:rPr>
          <w:rFonts w:ascii="Cambria"/>
        </w:rPr>
        <w:t>wooden</w:t>
      </w:r>
      <w:r>
        <w:rPr>
          <w:rFonts w:ascii="Cambria"/>
          <w:spacing w:val="-1"/>
        </w:rPr>
        <w:t> </w:t>
      </w:r>
      <w:r>
        <w:rPr>
          <w:rFonts w:ascii="Cambria"/>
          <w:spacing w:val="-2"/>
        </w:rPr>
        <w:t>diamonds</w:t>
      </w:r>
    </w:p>
    <w:p>
      <w:pPr>
        <w:pStyle w:val="BodyText"/>
        <w:spacing w:before="84"/>
        <w:ind w:left="0"/>
        <w:jc w:val="left"/>
        <w:rPr>
          <w:rFonts w:ascii="Cambria"/>
        </w:rPr>
      </w:pPr>
    </w:p>
    <w:p>
      <w:pPr>
        <w:pStyle w:val="BodyText"/>
        <w:spacing w:line="242" w:lineRule="auto" w:before="1"/>
        <w:ind w:right="1179" w:firstLine="720"/>
        <w:jc w:val="left"/>
      </w:pPr>
      <w:r>
        <w:rPr/>
        <w:t>All of the square pieces are the same size and shape. The diamond pieces are also the same size and shape. Reach in and take the first piece you touch.</w:t>
      </w:r>
    </w:p>
    <w:p>
      <w:pPr>
        <w:pStyle w:val="BodyText"/>
        <w:spacing w:line="242" w:lineRule="auto"/>
        <w:ind w:right="1170"/>
        <w:jc w:val="left"/>
      </w:pPr>
      <w:r>
        <w:rPr/>
        <w:t>WHAT ARE THE CHANCES OF PULLING OUT A SPOTTED DIAMOND OR A WHITE DIAMOND?</w:t>
      </w:r>
    </w:p>
    <w:p>
      <w:pPr>
        <w:pStyle w:val="ListParagraph"/>
        <w:numPr>
          <w:ilvl w:val="1"/>
          <w:numId w:val="28"/>
        </w:numPr>
        <w:tabs>
          <w:tab w:pos="1200" w:val="left" w:leader="none"/>
        </w:tabs>
        <w:spacing w:line="271" w:lineRule="exact" w:before="0" w:after="0"/>
        <w:ind w:left="1200" w:right="0" w:hanging="359"/>
        <w:jc w:val="left"/>
        <w:rPr>
          <w:sz w:val="24"/>
        </w:rPr>
      </w:pPr>
      <w:r>
        <w:rPr>
          <w:sz w:val="24"/>
        </w:rPr>
        <w:t>1</w:t>
      </w:r>
      <w:r>
        <w:rPr>
          <w:spacing w:val="-1"/>
          <w:sz w:val="24"/>
        </w:rPr>
        <w:t> </w:t>
      </w:r>
      <w:r>
        <w:rPr>
          <w:sz w:val="24"/>
        </w:rPr>
        <w:t>out</w:t>
      </w:r>
      <w:r>
        <w:rPr>
          <w:spacing w:val="3"/>
          <w:sz w:val="24"/>
        </w:rPr>
        <w:t> </w:t>
      </w:r>
      <w:r>
        <w:rPr>
          <w:sz w:val="24"/>
        </w:rPr>
        <w:t>of</w:t>
      </w:r>
      <w:r>
        <w:rPr>
          <w:spacing w:val="-5"/>
          <w:sz w:val="24"/>
        </w:rPr>
        <w:t> </w:t>
      </w:r>
      <w:r>
        <w:rPr>
          <w:spacing w:val="-10"/>
          <w:sz w:val="24"/>
        </w:rPr>
        <w:t>3</w:t>
      </w:r>
    </w:p>
    <w:p>
      <w:pPr>
        <w:pStyle w:val="ListParagraph"/>
        <w:numPr>
          <w:ilvl w:val="1"/>
          <w:numId w:val="28"/>
        </w:numPr>
        <w:tabs>
          <w:tab w:pos="1200" w:val="left" w:leader="none"/>
        </w:tabs>
        <w:spacing w:line="275" w:lineRule="exact" w:before="0" w:after="0"/>
        <w:ind w:left="1200" w:right="0" w:hanging="359"/>
        <w:jc w:val="left"/>
        <w:rPr>
          <w:sz w:val="24"/>
        </w:rPr>
      </w:pPr>
      <w:r>
        <w:rPr>
          <w:sz w:val="24"/>
        </w:rPr>
        <w:t>1</w:t>
      </w:r>
      <w:r>
        <w:rPr>
          <w:spacing w:val="-3"/>
          <w:sz w:val="24"/>
        </w:rPr>
        <w:t> </w:t>
      </w:r>
      <w:r>
        <w:rPr>
          <w:sz w:val="24"/>
        </w:rPr>
        <w:t>out</w:t>
      </w:r>
      <w:r>
        <w:rPr>
          <w:spacing w:val="4"/>
          <w:sz w:val="24"/>
        </w:rPr>
        <w:t> </w:t>
      </w:r>
      <w:r>
        <w:rPr>
          <w:sz w:val="24"/>
        </w:rPr>
        <w:t>of</w:t>
      </w:r>
      <w:r>
        <w:rPr>
          <w:spacing w:val="-5"/>
          <w:sz w:val="24"/>
        </w:rPr>
        <w:t> </w:t>
      </w:r>
      <w:r>
        <w:rPr>
          <w:spacing w:val="-10"/>
          <w:sz w:val="24"/>
        </w:rPr>
        <w:t>9</w:t>
      </w:r>
    </w:p>
    <w:p>
      <w:pPr>
        <w:pStyle w:val="ListParagraph"/>
        <w:numPr>
          <w:ilvl w:val="1"/>
          <w:numId w:val="28"/>
        </w:numPr>
        <w:tabs>
          <w:tab w:pos="1200" w:val="left" w:leader="none"/>
        </w:tabs>
        <w:spacing w:line="275" w:lineRule="exact" w:before="0" w:after="0"/>
        <w:ind w:left="1200" w:right="0" w:hanging="359"/>
        <w:jc w:val="left"/>
        <w:rPr>
          <w:sz w:val="24"/>
        </w:rPr>
      </w:pPr>
      <w:r>
        <w:rPr>
          <w:sz w:val="24"/>
        </w:rPr>
        <w:t>1</w:t>
      </w:r>
      <w:r>
        <w:rPr>
          <w:spacing w:val="-3"/>
          <w:sz w:val="24"/>
        </w:rPr>
        <w:t> </w:t>
      </w:r>
      <w:r>
        <w:rPr>
          <w:sz w:val="24"/>
        </w:rPr>
        <w:t>out</w:t>
      </w:r>
      <w:r>
        <w:rPr>
          <w:spacing w:val="4"/>
          <w:sz w:val="24"/>
        </w:rPr>
        <w:t> </w:t>
      </w:r>
      <w:r>
        <w:rPr>
          <w:sz w:val="24"/>
        </w:rPr>
        <w:t>of</w:t>
      </w:r>
      <w:r>
        <w:rPr>
          <w:spacing w:val="-5"/>
          <w:sz w:val="24"/>
        </w:rPr>
        <w:t> 21</w:t>
      </w:r>
    </w:p>
    <w:p>
      <w:pPr>
        <w:pStyle w:val="ListParagraph"/>
        <w:numPr>
          <w:ilvl w:val="1"/>
          <w:numId w:val="28"/>
        </w:numPr>
        <w:tabs>
          <w:tab w:pos="1201" w:val="left" w:leader="none"/>
        </w:tabs>
        <w:spacing w:line="275" w:lineRule="exact" w:before="0" w:after="0"/>
        <w:ind w:left="1201" w:right="0" w:hanging="360"/>
        <w:jc w:val="left"/>
        <w:rPr>
          <w:sz w:val="24"/>
        </w:rPr>
      </w:pPr>
      <w:r>
        <w:rPr>
          <w:sz w:val="24"/>
        </w:rPr>
        <w:t>1</w:t>
      </w:r>
      <w:r>
        <w:rPr>
          <w:spacing w:val="-1"/>
          <w:sz w:val="24"/>
        </w:rPr>
        <w:t> </w:t>
      </w:r>
      <w:r>
        <w:rPr>
          <w:sz w:val="24"/>
        </w:rPr>
        <w:t>out</w:t>
      </w:r>
      <w:r>
        <w:rPr>
          <w:spacing w:val="3"/>
          <w:sz w:val="24"/>
        </w:rPr>
        <w:t> </w:t>
      </w:r>
      <w:r>
        <w:rPr>
          <w:sz w:val="24"/>
        </w:rPr>
        <w:t>of</w:t>
      </w:r>
      <w:r>
        <w:rPr>
          <w:spacing w:val="-5"/>
          <w:sz w:val="24"/>
        </w:rPr>
        <w:t> 21</w:t>
      </w:r>
    </w:p>
    <w:p>
      <w:pPr>
        <w:pStyle w:val="ListParagraph"/>
        <w:numPr>
          <w:ilvl w:val="1"/>
          <w:numId w:val="28"/>
        </w:numPr>
        <w:tabs>
          <w:tab w:pos="1200" w:val="left" w:leader="none"/>
        </w:tabs>
        <w:spacing w:line="275" w:lineRule="exact" w:before="0" w:after="0"/>
        <w:ind w:left="1200" w:right="0" w:hanging="359"/>
        <w:jc w:val="left"/>
        <w:rPr>
          <w:sz w:val="24"/>
        </w:rPr>
      </w:pPr>
      <w:r>
        <w:rPr>
          <w:spacing w:val="-2"/>
          <w:sz w:val="24"/>
        </w:rPr>
        <w:t>other</w:t>
      </w:r>
    </w:p>
    <w:p>
      <w:pPr>
        <w:pStyle w:val="BodyText"/>
        <w:spacing w:before="275"/>
        <w:jc w:val="left"/>
      </w:pPr>
      <w:r>
        <w:rPr>
          <w:spacing w:val="-2"/>
        </w:rPr>
        <w:t>REASON</w:t>
      </w:r>
    </w:p>
    <w:p>
      <w:pPr>
        <w:pStyle w:val="ListParagraph"/>
        <w:numPr>
          <w:ilvl w:val="0"/>
          <w:numId w:val="29"/>
        </w:numPr>
        <w:tabs>
          <w:tab w:pos="1201" w:val="left" w:leader="none"/>
        </w:tabs>
        <w:spacing w:line="275" w:lineRule="exact" w:before="2" w:after="0"/>
        <w:ind w:left="1201" w:right="0" w:hanging="360"/>
        <w:jc w:val="left"/>
        <w:rPr>
          <w:sz w:val="24"/>
        </w:rPr>
      </w:pPr>
      <w:r>
        <w:rPr>
          <w:sz w:val="24"/>
        </w:rPr>
        <w:t>Seven</w:t>
      </w:r>
      <w:r>
        <w:rPr>
          <w:spacing w:val="-6"/>
          <w:sz w:val="24"/>
        </w:rPr>
        <w:t> </w:t>
      </w:r>
      <w:r>
        <w:rPr>
          <w:sz w:val="24"/>
        </w:rPr>
        <w:t>of</w:t>
      </w:r>
      <w:r>
        <w:rPr>
          <w:spacing w:val="-7"/>
          <w:sz w:val="24"/>
        </w:rPr>
        <w:t> </w:t>
      </w:r>
      <w:r>
        <w:rPr>
          <w:sz w:val="24"/>
        </w:rPr>
        <w:t>the twenty-one pieces are spotted</w:t>
      </w:r>
      <w:r>
        <w:rPr>
          <w:spacing w:val="-4"/>
          <w:sz w:val="24"/>
        </w:rPr>
        <w:t> </w:t>
      </w:r>
      <w:r>
        <w:rPr>
          <w:sz w:val="24"/>
        </w:rPr>
        <w:t>or</w:t>
      </w:r>
      <w:r>
        <w:rPr>
          <w:spacing w:val="2"/>
          <w:sz w:val="24"/>
        </w:rPr>
        <w:t> </w:t>
      </w:r>
      <w:r>
        <w:rPr>
          <w:sz w:val="24"/>
        </w:rPr>
        <w:t>white</w:t>
      </w:r>
      <w:r>
        <w:rPr>
          <w:spacing w:val="1"/>
          <w:sz w:val="24"/>
        </w:rPr>
        <w:t> </w:t>
      </w:r>
      <w:r>
        <w:rPr>
          <w:spacing w:val="-2"/>
          <w:sz w:val="24"/>
        </w:rPr>
        <w:t>diamonds.</w:t>
      </w:r>
    </w:p>
    <w:p>
      <w:pPr>
        <w:pStyle w:val="ListParagraph"/>
        <w:numPr>
          <w:ilvl w:val="0"/>
          <w:numId w:val="29"/>
        </w:numPr>
        <w:tabs>
          <w:tab w:pos="1201" w:val="left" w:leader="none"/>
        </w:tabs>
        <w:spacing w:line="275" w:lineRule="exact" w:before="0" w:after="0"/>
        <w:ind w:left="1201" w:right="0" w:hanging="360"/>
        <w:jc w:val="left"/>
        <w:rPr>
          <w:sz w:val="24"/>
        </w:rPr>
      </w:pPr>
      <w:r>
        <w:rPr>
          <w:sz w:val="24"/>
        </w:rPr>
        <w:t>4/7</w:t>
      </w:r>
      <w:r>
        <w:rPr>
          <w:spacing w:val="-3"/>
          <w:sz w:val="24"/>
        </w:rPr>
        <w:t> </w:t>
      </w:r>
      <w:r>
        <w:rPr>
          <w:sz w:val="24"/>
        </w:rPr>
        <w:t>of</w:t>
      </w:r>
      <w:r>
        <w:rPr>
          <w:spacing w:val="-6"/>
          <w:sz w:val="24"/>
        </w:rPr>
        <w:t> </w:t>
      </w:r>
      <w:r>
        <w:rPr>
          <w:sz w:val="24"/>
        </w:rPr>
        <w:t>the</w:t>
      </w:r>
      <w:r>
        <w:rPr>
          <w:spacing w:val="1"/>
          <w:sz w:val="24"/>
        </w:rPr>
        <w:t> </w:t>
      </w:r>
      <w:r>
        <w:rPr>
          <w:sz w:val="24"/>
        </w:rPr>
        <w:t>spotted</w:t>
      </w:r>
      <w:r>
        <w:rPr>
          <w:spacing w:val="2"/>
          <w:sz w:val="24"/>
        </w:rPr>
        <w:t> </w:t>
      </w:r>
      <w:r>
        <w:rPr>
          <w:sz w:val="24"/>
        </w:rPr>
        <w:t>and</w:t>
      </w:r>
      <w:r>
        <w:rPr>
          <w:spacing w:val="2"/>
          <w:sz w:val="24"/>
        </w:rPr>
        <w:t> </w:t>
      </w:r>
      <w:r>
        <w:rPr>
          <w:sz w:val="24"/>
        </w:rPr>
        <w:t>3/8</w:t>
      </w:r>
      <w:r>
        <w:rPr>
          <w:spacing w:val="-3"/>
          <w:sz w:val="24"/>
        </w:rPr>
        <w:t> </w:t>
      </w:r>
      <w:r>
        <w:rPr>
          <w:sz w:val="24"/>
        </w:rPr>
        <w:t>of</w:t>
      </w:r>
      <w:r>
        <w:rPr>
          <w:spacing w:val="-6"/>
          <w:sz w:val="24"/>
        </w:rPr>
        <w:t> </w:t>
      </w:r>
      <w:r>
        <w:rPr>
          <w:sz w:val="24"/>
        </w:rPr>
        <w:t>the</w:t>
      </w:r>
      <w:r>
        <w:rPr>
          <w:spacing w:val="1"/>
          <w:sz w:val="24"/>
        </w:rPr>
        <w:t> </w:t>
      </w:r>
      <w:r>
        <w:rPr>
          <w:sz w:val="24"/>
        </w:rPr>
        <w:t>white</w:t>
      </w:r>
      <w:r>
        <w:rPr>
          <w:spacing w:val="1"/>
          <w:sz w:val="24"/>
        </w:rPr>
        <w:t> </w:t>
      </w:r>
      <w:r>
        <w:rPr>
          <w:sz w:val="24"/>
        </w:rPr>
        <w:t>are</w:t>
      </w:r>
      <w:r>
        <w:rPr>
          <w:spacing w:val="1"/>
          <w:sz w:val="24"/>
        </w:rPr>
        <w:t> </w:t>
      </w:r>
      <w:r>
        <w:rPr>
          <w:spacing w:val="-2"/>
          <w:sz w:val="24"/>
        </w:rPr>
        <w:t>diamonds.</w:t>
      </w:r>
    </w:p>
    <w:p>
      <w:pPr>
        <w:pStyle w:val="ListParagraph"/>
        <w:numPr>
          <w:ilvl w:val="0"/>
          <w:numId w:val="29"/>
        </w:numPr>
        <w:tabs>
          <w:tab w:pos="1201" w:val="left" w:leader="none"/>
        </w:tabs>
        <w:spacing w:line="275" w:lineRule="exact" w:before="3" w:after="0"/>
        <w:ind w:left="1201" w:right="0" w:hanging="360"/>
        <w:jc w:val="left"/>
        <w:rPr>
          <w:sz w:val="24"/>
        </w:rPr>
      </w:pPr>
      <w:r>
        <w:rPr>
          <w:sz w:val="24"/>
        </w:rPr>
        <w:t>Nine</w:t>
      </w:r>
      <w:r>
        <w:rPr>
          <w:spacing w:val="-1"/>
          <w:sz w:val="24"/>
        </w:rPr>
        <w:t> </w:t>
      </w:r>
      <w:r>
        <w:rPr>
          <w:sz w:val="24"/>
        </w:rPr>
        <w:t>of</w:t>
      </w:r>
      <w:r>
        <w:rPr>
          <w:spacing w:val="-6"/>
          <w:sz w:val="24"/>
        </w:rPr>
        <w:t> </w:t>
      </w:r>
      <w:r>
        <w:rPr>
          <w:sz w:val="24"/>
        </w:rPr>
        <w:t>the twenty-one pieces</w:t>
      </w:r>
      <w:r>
        <w:rPr>
          <w:spacing w:val="-1"/>
          <w:sz w:val="24"/>
        </w:rPr>
        <w:t> </w:t>
      </w:r>
      <w:r>
        <w:rPr>
          <w:sz w:val="24"/>
        </w:rPr>
        <w:t>are </w:t>
      </w:r>
      <w:r>
        <w:rPr>
          <w:spacing w:val="-2"/>
          <w:sz w:val="24"/>
        </w:rPr>
        <w:t>diamonds.</w:t>
      </w:r>
    </w:p>
    <w:p>
      <w:pPr>
        <w:pStyle w:val="ListParagraph"/>
        <w:numPr>
          <w:ilvl w:val="0"/>
          <w:numId w:val="29"/>
        </w:numPr>
        <w:tabs>
          <w:tab w:pos="1201" w:val="left" w:leader="none"/>
        </w:tabs>
        <w:spacing w:line="242" w:lineRule="auto" w:before="0" w:after="0"/>
        <w:ind w:left="1201" w:right="1156" w:hanging="360"/>
        <w:jc w:val="left"/>
        <w:rPr>
          <w:sz w:val="24"/>
        </w:rPr>
      </w:pPr>
      <w:r>
        <w:rPr>
          <w:sz w:val="24"/>
        </w:rPr>
        <w:t>One diamond piece needs to be selected from a total of twenty-one pieces in</w:t>
      </w:r>
      <w:r>
        <w:rPr>
          <w:spacing w:val="40"/>
          <w:sz w:val="24"/>
        </w:rPr>
        <w:t> </w:t>
      </w:r>
      <w:r>
        <w:rPr>
          <w:sz w:val="24"/>
        </w:rPr>
        <w:t>the cloth sack.</w:t>
      </w:r>
    </w:p>
    <w:p>
      <w:pPr>
        <w:pStyle w:val="ListParagraph"/>
        <w:numPr>
          <w:ilvl w:val="0"/>
          <w:numId w:val="29"/>
        </w:numPr>
        <w:tabs>
          <w:tab w:pos="1201" w:val="left" w:leader="none"/>
        </w:tabs>
        <w:spacing w:line="242" w:lineRule="auto" w:before="0" w:after="0"/>
        <w:ind w:left="1201" w:right="1162" w:hanging="360"/>
        <w:jc w:val="left"/>
        <w:rPr>
          <w:sz w:val="24"/>
        </w:rPr>
      </w:pPr>
      <w:r>
        <w:rPr>
          <w:sz w:val="24"/>
        </w:rPr>
        <w:t>There are 9 diamond pieces in the cloth sack. One piece must be chosen from </w:t>
      </w:r>
      <w:r>
        <w:rPr>
          <w:spacing w:val="-2"/>
          <w:sz w:val="24"/>
        </w:rPr>
        <w:t>these.</w:t>
      </w:r>
    </w:p>
    <w:p>
      <w:pPr>
        <w:spacing w:after="0" w:line="242" w:lineRule="auto"/>
        <w:jc w:val="left"/>
        <w:rPr>
          <w:sz w:val="24"/>
        </w:rPr>
        <w:sectPr>
          <w:pgSz w:w="11910" w:h="16840"/>
          <w:pgMar w:header="0" w:footer="1012" w:top="1340" w:bottom="1200" w:left="1680" w:right="280"/>
        </w:sectPr>
      </w:pPr>
    </w:p>
    <w:p>
      <w:pPr>
        <w:pStyle w:val="BodyText"/>
        <w:spacing w:before="74"/>
        <w:jc w:val="left"/>
      </w:pPr>
      <w:r>
        <w:rPr/>
        <w:t>Item</w:t>
      </w:r>
      <w:r>
        <w:rPr>
          <w:spacing w:val="-2"/>
        </w:rPr>
        <w:t> </w:t>
      </w:r>
      <w:r>
        <w:rPr>
          <w:spacing w:val="-12"/>
        </w:rPr>
        <w:t>9</w:t>
      </w:r>
    </w:p>
    <w:p>
      <w:pPr>
        <w:pStyle w:val="BodyText"/>
        <w:spacing w:before="4"/>
        <w:ind w:left="0"/>
        <w:jc w:val="left"/>
      </w:pPr>
    </w:p>
    <w:p>
      <w:pPr>
        <w:spacing w:before="0"/>
        <w:ind w:left="0" w:right="667" w:firstLine="0"/>
        <w:jc w:val="center"/>
        <w:rPr>
          <w:b/>
          <w:sz w:val="24"/>
        </w:rPr>
      </w:pPr>
      <w:r>
        <w:rPr>
          <w:b/>
          <w:sz w:val="24"/>
          <w:u w:val="single"/>
        </w:rPr>
        <w:t>The</w:t>
      </w:r>
      <w:r>
        <w:rPr>
          <w:b/>
          <w:spacing w:val="-3"/>
          <w:sz w:val="24"/>
          <w:u w:val="single"/>
        </w:rPr>
        <w:t> </w:t>
      </w:r>
      <w:r>
        <w:rPr>
          <w:b/>
          <w:spacing w:val="-4"/>
          <w:sz w:val="24"/>
          <w:u w:val="single"/>
        </w:rPr>
        <w:t>Mice</w:t>
      </w:r>
    </w:p>
    <w:p>
      <w:pPr>
        <w:pStyle w:val="BodyText"/>
        <w:spacing w:line="276" w:lineRule="auto" w:before="272"/>
        <w:ind w:right="1158" w:firstLine="720"/>
      </w:pPr>
      <w:r>
        <w:rPr/>
        <w:t>A farmer observed the mice that live in his field. He found that the mice were either fat or thin. Also, the mice had either black tails or white tails.</w:t>
      </w:r>
    </w:p>
    <w:p>
      <w:pPr>
        <w:pStyle w:val="BodyText"/>
        <w:spacing w:line="276" w:lineRule="auto"/>
        <w:ind w:right="1150" w:firstLine="720"/>
      </w:pPr>
      <w:r>
        <w:rPr/>
        <w:t>This made him wonder if there might be a relation between the size of a</w:t>
      </w:r>
      <w:r>
        <w:rPr>
          <w:spacing w:val="80"/>
        </w:rPr>
        <w:t> </w:t>
      </w:r>
      <w:r>
        <w:rPr/>
        <w:t>mouse and the color of its tail. So he decided to capture all of the mice in one part of his field and observe them. The mice that he captured are shown below.</w:t>
      </w:r>
    </w:p>
    <w:p>
      <w:pPr>
        <w:pStyle w:val="BodyText"/>
        <w:spacing w:line="276" w:lineRule="auto" w:before="3"/>
        <w:ind w:right="1151" w:firstLine="720"/>
      </w:pPr>
      <w:r>
        <w:rPr/>
        <w:t>DO YOU THINK THERE IS A</w:t>
      </w:r>
      <w:r>
        <w:rPr>
          <w:spacing w:val="-2"/>
        </w:rPr>
        <w:t> </w:t>
      </w:r>
      <w:r>
        <w:rPr/>
        <w:t>RELATION BETWEEN THE SIZE OF</w:t>
      </w:r>
      <w:r>
        <w:rPr>
          <w:spacing w:val="-1"/>
        </w:rPr>
        <w:t> </w:t>
      </w:r>
      <w:r>
        <w:rPr/>
        <w:t>THE MICE AND THE COLOR OF THEIR TAILS (THAT IS, IS ONE SIZE OF</w:t>
      </w:r>
      <w:r>
        <w:rPr>
          <w:spacing w:val="-1"/>
        </w:rPr>
        <w:t> </w:t>
      </w:r>
      <w:r>
        <w:rPr/>
        <w:t>MOUSE MORE LIKELY TO HAVE A CERTAIN COLOR TAIL AND VICE VERSA)?</w:t>
      </w:r>
    </w:p>
    <w:p>
      <w:pPr>
        <w:pStyle w:val="ListParagraph"/>
        <w:numPr>
          <w:ilvl w:val="1"/>
          <w:numId w:val="29"/>
        </w:numPr>
        <w:tabs>
          <w:tab w:pos="1200" w:val="left" w:leader="none"/>
        </w:tabs>
        <w:spacing w:line="274" w:lineRule="exact" w:before="0" w:after="0"/>
        <w:ind w:left="1200" w:right="0" w:hanging="359"/>
        <w:jc w:val="left"/>
        <w:rPr>
          <w:sz w:val="24"/>
        </w:rPr>
      </w:pPr>
      <w:r>
        <w:rPr>
          <w:spacing w:val="-5"/>
          <w:sz w:val="24"/>
        </w:rPr>
        <w:t>Yes</w:t>
      </w:r>
    </w:p>
    <w:p>
      <w:pPr>
        <w:pStyle w:val="ListParagraph"/>
        <w:numPr>
          <w:ilvl w:val="1"/>
          <w:numId w:val="29"/>
        </w:numPr>
        <w:tabs>
          <w:tab w:pos="1200" w:val="left" w:leader="none"/>
        </w:tabs>
        <w:spacing w:line="240" w:lineRule="auto" w:before="40" w:after="0"/>
        <w:ind w:left="1200" w:right="0" w:hanging="359"/>
        <w:jc w:val="left"/>
        <w:rPr>
          <w:sz w:val="24"/>
        </w:rPr>
      </w:pPr>
      <w:r>
        <w:rPr>
          <w:spacing w:val="-5"/>
          <w:sz w:val="24"/>
        </w:rPr>
        <w:t>No</w:t>
      </w:r>
    </w:p>
    <w:p>
      <w:pPr>
        <w:pStyle w:val="BodyText"/>
        <w:spacing w:before="83"/>
        <w:ind w:left="0"/>
        <w:jc w:val="left"/>
      </w:pPr>
    </w:p>
    <w:p>
      <w:pPr>
        <w:pStyle w:val="BodyText"/>
        <w:jc w:val="left"/>
      </w:pPr>
      <w:r>
        <w:rPr>
          <w:spacing w:val="-2"/>
        </w:rPr>
        <w:t>REASON</w:t>
      </w:r>
    </w:p>
    <w:p>
      <w:pPr>
        <w:pStyle w:val="ListParagraph"/>
        <w:numPr>
          <w:ilvl w:val="0"/>
          <w:numId w:val="30"/>
        </w:numPr>
        <w:tabs>
          <w:tab w:pos="1201" w:val="left" w:leader="none"/>
        </w:tabs>
        <w:spacing w:line="240" w:lineRule="auto" w:before="41" w:after="0"/>
        <w:ind w:left="1201" w:right="0" w:hanging="360"/>
        <w:jc w:val="left"/>
        <w:rPr>
          <w:sz w:val="24"/>
        </w:rPr>
      </w:pPr>
      <w:r>
        <w:rPr>
          <w:sz w:val="24"/>
        </w:rPr>
        <w:t>8/11</w:t>
      </w:r>
      <w:r>
        <w:rPr>
          <w:spacing w:val="-5"/>
          <w:sz w:val="24"/>
        </w:rPr>
        <w:t> </w:t>
      </w:r>
      <w:r>
        <w:rPr>
          <w:sz w:val="24"/>
        </w:rPr>
        <w:t>of</w:t>
      </w:r>
      <w:r>
        <w:rPr>
          <w:spacing w:val="-9"/>
          <w:sz w:val="24"/>
        </w:rPr>
        <w:t> </w:t>
      </w:r>
      <w:r>
        <w:rPr>
          <w:sz w:val="24"/>
        </w:rPr>
        <w:t>the</w:t>
      </w:r>
      <w:r>
        <w:rPr>
          <w:spacing w:val="3"/>
          <w:sz w:val="24"/>
        </w:rPr>
        <w:t> </w:t>
      </w:r>
      <w:r>
        <w:rPr>
          <w:sz w:val="24"/>
        </w:rPr>
        <w:t>fat</w:t>
      </w:r>
      <w:r>
        <w:rPr>
          <w:spacing w:val="3"/>
          <w:sz w:val="24"/>
        </w:rPr>
        <w:t> </w:t>
      </w:r>
      <w:r>
        <w:rPr>
          <w:sz w:val="24"/>
        </w:rPr>
        <w:t>mice</w:t>
      </w:r>
      <w:r>
        <w:rPr>
          <w:spacing w:val="3"/>
          <w:sz w:val="24"/>
        </w:rPr>
        <w:t> </w:t>
      </w:r>
      <w:r>
        <w:rPr>
          <w:sz w:val="24"/>
        </w:rPr>
        <w:t>have</w:t>
      </w:r>
      <w:r>
        <w:rPr>
          <w:spacing w:val="3"/>
          <w:sz w:val="24"/>
        </w:rPr>
        <w:t> </w:t>
      </w:r>
      <w:r>
        <w:rPr>
          <w:sz w:val="24"/>
        </w:rPr>
        <w:t>black</w:t>
      </w:r>
      <w:r>
        <w:rPr>
          <w:spacing w:val="3"/>
          <w:sz w:val="24"/>
        </w:rPr>
        <w:t> </w:t>
      </w:r>
      <w:r>
        <w:rPr>
          <w:sz w:val="24"/>
        </w:rPr>
        <w:t>tails</w:t>
      </w:r>
      <w:r>
        <w:rPr>
          <w:spacing w:val="-3"/>
          <w:sz w:val="24"/>
        </w:rPr>
        <w:t> </w:t>
      </w:r>
      <w:r>
        <w:rPr>
          <w:sz w:val="24"/>
        </w:rPr>
        <w:t>and</w:t>
      </w:r>
      <w:r>
        <w:rPr>
          <w:spacing w:val="-1"/>
          <w:sz w:val="24"/>
        </w:rPr>
        <w:t> </w:t>
      </w:r>
      <w:r>
        <w:rPr>
          <w:sz w:val="24"/>
        </w:rPr>
        <w:t>3/4</w:t>
      </w:r>
      <w:r>
        <w:rPr>
          <w:spacing w:val="-4"/>
          <w:sz w:val="24"/>
        </w:rPr>
        <w:t> </w:t>
      </w:r>
      <w:r>
        <w:rPr>
          <w:sz w:val="24"/>
        </w:rPr>
        <w:t>of</w:t>
      </w:r>
      <w:r>
        <w:rPr>
          <w:spacing w:val="-9"/>
          <w:sz w:val="24"/>
        </w:rPr>
        <w:t> </w:t>
      </w:r>
      <w:r>
        <w:rPr>
          <w:sz w:val="24"/>
        </w:rPr>
        <w:t>the</w:t>
      </w:r>
      <w:r>
        <w:rPr>
          <w:spacing w:val="-2"/>
          <w:sz w:val="24"/>
        </w:rPr>
        <w:t> </w:t>
      </w:r>
      <w:r>
        <w:rPr>
          <w:sz w:val="24"/>
        </w:rPr>
        <w:t>thin</w:t>
      </w:r>
      <w:r>
        <w:rPr>
          <w:spacing w:val="-1"/>
          <w:sz w:val="24"/>
        </w:rPr>
        <w:t> </w:t>
      </w:r>
      <w:r>
        <w:rPr>
          <w:sz w:val="24"/>
        </w:rPr>
        <w:t>mice</w:t>
      </w:r>
      <w:r>
        <w:rPr>
          <w:spacing w:val="3"/>
          <w:sz w:val="24"/>
        </w:rPr>
        <w:t> </w:t>
      </w:r>
      <w:r>
        <w:rPr>
          <w:sz w:val="24"/>
        </w:rPr>
        <w:t>have</w:t>
      </w:r>
      <w:r>
        <w:rPr>
          <w:spacing w:val="-2"/>
          <w:sz w:val="24"/>
        </w:rPr>
        <w:t> </w:t>
      </w:r>
      <w:r>
        <w:rPr>
          <w:sz w:val="24"/>
        </w:rPr>
        <w:t>white</w:t>
      </w:r>
      <w:r>
        <w:rPr>
          <w:spacing w:val="-2"/>
          <w:sz w:val="24"/>
        </w:rPr>
        <w:t> tails.</w:t>
      </w:r>
    </w:p>
    <w:p>
      <w:pPr>
        <w:pStyle w:val="ListParagraph"/>
        <w:numPr>
          <w:ilvl w:val="0"/>
          <w:numId w:val="30"/>
        </w:numPr>
        <w:tabs>
          <w:tab w:pos="1201" w:val="left" w:leader="none"/>
        </w:tabs>
        <w:spacing w:line="240" w:lineRule="auto" w:before="45" w:after="0"/>
        <w:ind w:left="1201" w:right="0" w:hanging="360"/>
        <w:jc w:val="left"/>
        <w:rPr>
          <w:sz w:val="24"/>
        </w:rPr>
      </w:pPr>
      <w:r>
        <w:rPr>
          <w:sz w:val="24"/>
        </w:rPr>
        <w:t>Fat</w:t>
      </w:r>
      <w:r>
        <w:rPr>
          <w:spacing w:val="4"/>
          <w:sz w:val="24"/>
        </w:rPr>
        <w:t> </w:t>
      </w:r>
      <w:r>
        <w:rPr>
          <w:sz w:val="24"/>
        </w:rPr>
        <w:t>and</w:t>
      </w:r>
      <w:r>
        <w:rPr>
          <w:spacing w:val="-1"/>
          <w:sz w:val="24"/>
        </w:rPr>
        <w:t> </w:t>
      </w:r>
      <w:r>
        <w:rPr>
          <w:sz w:val="24"/>
        </w:rPr>
        <w:t>thin</w:t>
      </w:r>
      <w:r>
        <w:rPr>
          <w:spacing w:val="-2"/>
          <w:sz w:val="24"/>
        </w:rPr>
        <w:t> </w:t>
      </w:r>
      <w:r>
        <w:rPr>
          <w:sz w:val="24"/>
        </w:rPr>
        <w:t>mice</w:t>
      </w:r>
      <w:r>
        <w:rPr>
          <w:spacing w:val="-1"/>
          <w:sz w:val="24"/>
        </w:rPr>
        <w:t> </w:t>
      </w:r>
      <w:r>
        <w:rPr>
          <w:sz w:val="24"/>
        </w:rPr>
        <w:t>can</w:t>
      </w:r>
      <w:r>
        <w:rPr>
          <w:spacing w:val="-1"/>
          <w:sz w:val="24"/>
        </w:rPr>
        <w:t> </w:t>
      </w:r>
      <w:r>
        <w:rPr>
          <w:sz w:val="24"/>
        </w:rPr>
        <w:t>have</w:t>
      </w:r>
      <w:r>
        <w:rPr>
          <w:spacing w:val="-2"/>
          <w:sz w:val="24"/>
        </w:rPr>
        <w:t> </w:t>
      </w:r>
      <w:r>
        <w:rPr>
          <w:sz w:val="24"/>
        </w:rPr>
        <w:t>either</w:t>
      </w:r>
      <w:r>
        <w:rPr>
          <w:spacing w:val="-1"/>
          <w:sz w:val="24"/>
        </w:rPr>
        <w:t> </w:t>
      </w:r>
      <w:r>
        <w:rPr>
          <w:sz w:val="24"/>
        </w:rPr>
        <w:t>a</w:t>
      </w:r>
      <w:r>
        <w:rPr>
          <w:spacing w:val="-2"/>
          <w:sz w:val="24"/>
        </w:rPr>
        <w:t> </w:t>
      </w:r>
      <w:r>
        <w:rPr>
          <w:sz w:val="24"/>
        </w:rPr>
        <w:t>black</w:t>
      </w:r>
      <w:r>
        <w:rPr>
          <w:spacing w:val="-1"/>
          <w:sz w:val="24"/>
        </w:rPr>
        <w:t> </w:t>
      </w:r>
      <w:r>
        <w:rPr>
          <w:sz w:val="24"/>
        </w:rPr>
        <w:t>or a</w:t>
      </w:r>
      <w:r>
        <w:rPr>
          <w:spacing w:val="-7"/>
          <w:sz w:val="24"/>
        </w:rPr>
        <w:t> </w:t>
      </w:r>
      <w:r>
        <w:rPr>
          <w:sz w:val="24"/>
        </w:rPr>
        <w:t>white</w:t>
      </w:r>
      <w:r>
        <w:rPr>
          <w:spacing w:val="-2"/>
          <w:sz w:val="24"/>
        </w:rPr>
        <w:t> tail.</w:t>
      </w:r>
    </w:p>
    <w:p>
      <w:pPr>
        <w:pStyle w:val="ListParagraph"/>
        <w:numPr>
          <w:ilvl w:val="0"/>
          <w:numId w:val="30"/>
        </w:numPr>
        <w:tabs>
          <w:tab w:pos="1201" w:val="left" w:leader="none"/>
        </w:tabs>
        <w:spacing w:line="240" w:lineRule="auto" w:before="41" w:after="0"/>
        <w:ind w:left="1201" w:right="0" w:hanging="360"/>
        <w:jc w:val="left"/>
        <w:rPr>
          <w:sz w:val="24"/>
        </w:rPr>
      </w:pPr>
      <w:r>
        <w:rPr>
          <w:sz w:val="24"/>
        </w:rPr>
        <w:t>Not</w:t>
      </w:r>
      <w:r>
        <w:rPr>
          <w:spacing w:val="-5"/>
          <w:sz w:val="24"/>
        </w:rPr>
        <w:t> </w:t>
      </w:r>
      <w:r>
        <w:rPr>
          <w:sz w:val="24"/>
        </w:rPr>
        <w:t>all</w:t>
      </w:r>
      <w:r>
        <w:rPr>
          <w:spacing w:val="-7"/>
          <w:sz w:val="24"/>
        </w:rPr>
        <w:t> </w:t>
      </w:r>
      <w:r>
        <w:rPr>
          <w:sz w:val="24"/>
        </w:rPr>
        <w:t>fat</w:t>
      </w:r>
      <w:r>
        <w:rPr>
          <w:spacing w:val="3"/>
          <w:sz w:val="24"/>
        </w:rPr>
        <w:t> </w:t>
      </w:r>
      <w:r>
        <w:rPr>
          <w:sz w:val="24"/>
        </w:rPr>
        <w:t>mice</w:t>
      </w:r>
      <w:r>
        <w:rPr>
          <w:spacing w:val="1"/>
          <w:sz w:val="24"/>
        </w:rPr>
        <w:t> </w:t>
      </w:r>
      <w:r>
        <w:rPr>
          <w:sz w:val="24"/>
        </w:rPr>
        <w:t>have</w:t>
      </w:r>
      <w:r>
        <w:rPr>
          <w:spacing w:val="1"/>
          <w:sz w:val="24"/>
        </w:rPr>
        <w:t> </w:t>
      </w:r>
      <w:r>
        <w:rPr>
          <w:sz w:val="24"/>
        </w:rPr>
        <w:t>black</w:t>
      </w:r>
      <w:r>
        <w:rPr>
          <w:spacing w:val="-2"/>
          <w:sz w:val="24"/>
        </w:rPr>
        <w:t> </w:t>
      </w:r>
      <w:r>
        <w:rPr>
          <w:sz w:val="24"/>
        </w:rPr>
        <w:t>tails. Not</w:t>
      </w:r>
      <w:r>
        <w:rPr>
          <w:spacing w:val="-3"/>
          <w:sz w:val="24"/>
        </w:rPr>
        <w:t> </w:t>
      </w:r>
      <w:r>
        <w:rPr>
          <w:sz w:val="24"/>
        </w:rPr>
        <w:t>all</w:t>
      </w:r>
      <w:r>
        <w:rPr>
          <w:spacing w:val="-7"/>
          <w:sz w:val="24"/>
        </w:rPr>
        <w:t> </w:t>
      </w:r>
      <w:r>
        <w:rPr>
          <w:sz w:val="24"/>
        </w:rPr>
        <w:t>thin</w:t>
      </w:r>
      <w:r>
        <w:rPr>
          <w:spacing w:val="4"/>
          <w:sz w:val="24"/>
        </w:rPr>
        <w:t> </w:t>
      </w:r>
      <w:r>
        <w:rPr>
          <w:sz w:val="24"/>
        </w:rPr>
        <w:t>mice</w:t>
      </w:r>
      <w:r>
        <w:rPr>
          <w:spacing w:val="1"/>
          <w:sz w:val="24"/>
        </w:rPr>
        <w:t> </w:t>
      </w:r>
      <w:r>
        <w:rPr>
          <w:sz w:val="24"/>
        </w:rPr>
        <w:t>have</w:t>
      </w:r>
      <w:r>
        <w:rPr>
          <w:spacing w:val="-3"/>
          <w:sz w:val="24"/>
        </w:rPr>
        <w:t> </w:t>
      </w:r>
      <w:r>
        <w:rPr>
          <w:sz w:val="24"/>
        </w:rPr>
        <w:t>white</w:t>
      </w:r>
      <w:r>
        <w:rPr>
          <w:spacing w:val="-3"/>
          <w:sz w:val="24"/>
        </w:rPr>
        <w:t> </w:t>
      </w:r>
      <w:r>
        <w:rPr>
          <w:spacing w:val="-2"/>
          <w:sz w:val="24"/>
        </w:rPr>
        <w:t>tails.</w:t>
      </w:r>
    </w:p>
    <w:p>
      <w:pPr>
        <w:pStyle w:val="ListParagraph"/>
        <w:numPr>
          <w:ilvl w:val="0"/>
          <w:numId w:val="30"/>
        </w:numPr>
        <w:tabs>
          <w:tab w:pos="1201" w:val="left" w:leader="none"/>
        </w:tabs>
        <w:spacing w:line="240" w:lineRule="auto" w:before="41" w:after="0"/>
        <w:ind w:left="1201" w:right="0" w:hanging="360"/>
        <w:jc w:val="left"/>
        <w:rPr>
          <w:sz w:val="24"/>
        </w:rPr>
      </w:pPr>
      <w:r>
        <w:rPr>
          <w:sz w:val="24"/>
        </w:rPr>
        <w:t>18</w:t>
      </w:r>
      <w:r>
        <w:rPr>
          <w:spacing w:val="-2"/>
          <w:sz w:val="24"/>
        </w:rPr>
        <w:t> </w:t>
      </w:r>
      <w:r>
        <w:rPr>
          <w:sz w:val="24"/>
        </w:rPr>
        <w:t>mice</w:t>
      </w:r>
      <w:r>
        <w:rPr>
          <w:spacing w:val="-2"/>
          <w:sz w:val="24"/>
        </w:rPr>
        <w:t> </w:t>
      </w:r>
      <w:r>
        <w:rPr>
          <w:sz w:val="24"/>
        </w:rPr>
        <w:t>have</w:t>
      </w:r>
      <w:r>
        <w:rPr>
          <w:spacing w:val="-2"/>
          <w:sz w:val="24"/>
        </w:rPr>
        <w:t> </w:t>
      </w:r>
      <w:r>
        <w:rPr>
          <w:sz w:val="24"/>
        </w:rPr>
        <w:t>black</w:t>
      </w:r>
      <w:r>
        <w:rPr>
          <w:spacing w:val="-1"/>
          <w:sz w:val="24"/>
        </w:rPr>
        <w:t> </w:t>
      </w:r>
      <w:r>
        <w:rPr>
          <w:sz w:val="24"/>
        </w:rPr>
        <w:t>tails and 12</w:t>
      </w:r>
      <w:r>
        <w:rPr>
          <w:spacing w:val="-1"/>
          <w:sz w:val="24"/>
        </w:rPr>
        <w:t> </w:t>
      </w:r>
      <w:r>
        <w:rPr>
          <w:sz w:val="24"/>
        </w:rPr>
        <w:t>have</w:t>
      </w:r>
      <w:r>
        <w:rPr>
          <w:spacing w:val="-2"/>
          <w:sz w:val="24"/>
        </w:rPr>
        <w:t> </w:t>
      </w:r>
      <w:r>
        <w:rPr>
          <w:sz w:val="24"/>
        </w:rPr>
        <w:t>white</w:t>
      </w:r>
      <w:r>
        <w:rPr>
          <w:spacing w:val="-2"/>
          <w:sz w:val="24"/>
        </w:rPr>
        <w:t> tails.</w:t>
      </w:r>
    </w:p>
    <w:p>
      <w:pPr>
        <w:pStyle w:val="ListParagraph"/>
        <w:numPr>
          <w:ilvl w:val="0"/>
          <w:numId w:val="30"/>
        </w:numPr>
        <w:tabs>
          <w:tab w:pos="1201" w:val="left" w:leader="none"/>
        </w:tabs>
        <w:spacing w:line="240" w:lineRule="auto" w:before="41" w:after="0"/>
        <w:ind w:left="1201" w:right="0" w:hanging="360"/>
        <w:jc w:val="left"/>
        <w:rPr>
          <w:sz w:val="24"/>
        </w:rPr>
      </w:pPr>
      <w:r>
        <w:rPr>
          <w:sz w:val="24"/>
        </w:rPr>
        <w:t>22</w:t>
      </w:r>
      <w:r>
        <w:rPr>
          <w:spacing w:val="-2"/>
          <w:sz w:val="24"/>
        </w:rPr>
        <w:t> </w:t>
      </w:r>
      <w:r>
        <w:rPr>
          <w:sz w:val="24"/>
        </w:rPr>
        <w:t>mice</w:t>
      </w:r>
      <w:r>
        <w:rPr>
          <w:spacing w:val="-2"/>
          <w:sz w:val="24"/>
        </w:rPr>
        <w:t> </w:t>
      </w:r>
      <w:r>
        <w:rPr>
          <w:sz w:val="24"/>
        </w:rPr>
        <w:t>are</w:t>
      </w:r>
      <w:r>
        <w:rPr>
          <w:spacing w:val="-2"/>
          <w:sz w:val="24"/>
        </w:rPr>
        <w:t> </w:t>
      </w:r>
      <w:r>
        <w:rPr>
          <w:sz w:val="24"/>
        </w:rPr>
        <w:t>fat</w:t>
      </w:r>
      <w:r>
        <w:rPr>
          <w:spacing w:val="4"/>
          <w:sz w:val="24"/>
        </w:rPr>
        <w:t> </w:t>
      </w:r>
      <w:r>
        <w:rPr>
          <w:sz w:val="24"/>
        </w:rPr>
        <w:t>and</w:t>
      </w:r>
      <w:r>
        <w:rPr>
          <w:spacing w:val="-2"/>
          <w:sz w:val="24"/>
        </w:rPr>
        <w:t> </w:t>
      </w:r>
      <w:r>
        <w:rPr>
          <w:sz w:val="24"/>
        </w:rPr>
        <w:t>8</w:t>
      </w:r>
      <w:r>
        <w:rPr>
          <w:spacing w:val="-1"/>
          <w:sz w:val="24"/>
        </w:rPr>
        <w:t> </w:t>
      </w:r>
      <w:r>
        <w:rPr>
          <w:sz w:val="24"/>
        </w:rPr>
        <w:t>mice</w:t>
      </w:r>
      <w:r>
        <w:rPr>
          <w:spacing w:val="-2"/>
          <w:sz w:val="24"/>
        </w:rPr>
        <w:t> </w:t>
      </w:r>
      <w:r>
        <w:rPr>
          <w:sz w:val="24"/>
        </w:rPr>
        <w:t>are</w:t>
      </w:r>
      <w:r>
        <w:rPr>
          <w:spacing w:val="-2"/>
          <w:sz w:val="24"/>
        </w:rPr>
        <w:t> </w:t>
      </w:r>
      <w:r>
        <w:rPr>
          <w:spacing w:val="-4"/>
          <w:sz w:val="24"/>
        </w:rPr>
        <w:t>thin.</w:t>
      </w:r>
    </w:p>
    <w:p>
      <w:pPr>
        <w:pStyle w:val="BodyText"/>
        <w:ind w:left="0"/>
        <w:jc w:val="left"/>
        <w:rPr>
          <w:sz w:val="20"/>
        </w:rPr>
      </w:pPr>
    </w:p>
    <w:p>
      <w:pPr>
        <w:pStyle w:val="BodyText"/>
        <w:spacing w:before="114"/>
        <w:ind w:left="0"/>
        <w:jc w:val="left"/>
        <w:rPr>
          <w:sz w:val="20"/>
        </w:rPr>
      </w:pPr>
      <w:r>
        <w:rPr/>
        <w:drawing>
          <wp:anchor distT="0" distB="0" distL="0" distR="0" allowOverlap="1" layoutInCell="1" locked="0" behindDoc="1" simplePos="0" relativeHeight="487597568">
            <wp:simplePos x="0" y="0"/>
            <wp:positionH relativeFrom="page">
              <wp:posOffset>1390650</wp:posOffset>
            </wp:positionH>
            <wp:positionV relativeFrom="paragraph">
              <wp:posOffset>234211</wp:posOffset>
            </wp:positionV>
            <wp:extent cx="5601213" cy="3284791"/>
            <wp:effectExtent l="0" t="0" r="0" b="0"/>
            <wp:wrapTopAndBottom/>
            <wp:docPr id="39" name="Image 39" descr="C:\Users\ameer\Desktop\AMOS PIXX\14.jpg"/>
            <wp:cNvGraphicFramePr>
              <a:graphicFrameLocks/>
            </wp:cNvGraphicFramePr>
            <a:graphic>
              <a:graphicData uri="http://schemas.openxmlformats.org/drawingml/2006/picture">
                <pic:pic>
                  <pic:nvPicPr>
                    <pic:cNvPr id="39" name="Image 39" descr="C:\Users\ameer\Desktop\AMOS PIXX\14.jpg"/>
                    <pic:cNvPicPr/>
                  </pic:nvPicPr>
                  <pic:blipFill>
                    <a:blip r:embed="rId53" cstate="print"/>
                    <a:stretch>
                      <a:fillRect/>
                    </a:stretch>
                  </pic:blipFill>
                  <pic:spPr>
                    <a:xfrm>
                      <a:off x="0" y="0"/>
                      <a:ext cx="5601213" cy="3284791"/>
                    </a:xfrm>
                    <a:prstGeom prst="rect">
                      <a:avLst/>
                    </a:prstGeom>
                  </pic:spPr>
                </pic:pic>
              </a:graphicData>
            </a:graphic>
          </wp:anchor>
        </w:drawing>
      </w:r>
    </w:p>
    <w:p>
      <w:pPr>
        <w:spacing w:after="0"/>
        <w:jc w:val="left"/>
        <w:rPr>
          <w:sz w:val="20"/>
        </w:rPr>
        <w:sectPr>
          <w:pgSz w:w="11910" w:h="16840"/>
          <w:pgMar w:header="0" w:footer="1012" w:top="1340" w:bottom="1200" w:left="1680" w:right="280"/>
        </w:sectPr>
      </w:pPr>
    </w:p>
    <w:p>
      <w:pPr>
        <w:pStyle w:val="BodyText"/>
        <w:spacing w:before="74"/>
        <w:jc w:val="left"/>
      </w:pPr>
      <w:r>
        <w:rPr/>
        <w:t>Item</w:t>
      </w:r>
      <w:r>
        <w:rPr>
          <w:spacing w:val="-4"/>
        </w:rPr>
        <w:t> </w:t>
      </w:r>
      <w:r>
        <w:rPr>
          <w:spacing w:val="-7"/>
        </w:rPr>
        <w:t>10</w:t>
      </w:r>
    </w:p>
    <w:p>
      <w:pPr>
        <w:pStyle w:val="BodyText"/>
        <w:spacing w:before="4"/>
        <w:ind w:left="0"/>
        <w:jc w:val="left"/>
      </w:pPr>
    </w:p>
    <w:p>
      <w:pPr>
        <w:spacing w:before="0"/>
        <w:ind w:left="2642" w:right="3326" w:firstLine="0"/>
        <w:jc w:val="center"/>
        <w:rPr>
          <w:b/>
          <w:sz w:val="24"/>
        </w:rPr>
      </w:pPr>
      <w:r>
        <w:rPr>
          <w:b/>
          <w:sz w:val="24"/>
          <w:u w:val="single"/>
        </w:rPr>
        <w:t>The</w:t>
      </w:r>
      <w:r>
        <w:rPr>
          <w:b/>
          <w:spacing w:val="-3"/>
          <w:sz w:val="24"/>
          <w:u w:val="single"/>
        </w:rPr>
        <w:t> </w:t>
      </w:r>
      <w:r>
        <w:rPr>
          <w:b/>
          <w:spacing w:val="-4"/>
          <w:sz w:val="24"/>
          <w:u w:val="single"/>
        </w:rPr>
        <w:t>Fish</w:t>
      </w:r>
    </w:p>
    <w:p>
      <w:pPr>
        <w:pStyle w:val="BodyText"/>
        <w:spacing w:line="360" w:lineRule="auto" w:before="272"/>
        <w:ind w:right="1159" w:firstLine="720"/>
      </w:pPr>
      <w:r>
        <w:rPr/>
        <w:t>Some</w:t>
      </w:r>
      <w:r>
        <w:rPr>
          <w:spacing w:val="-2"/>
        </w:rPr>
        <w:t> </w:t>
      </w:r>
      <w:r>
        <w:rPr/>
        <w:t>of</w:t>
      </w:r>
      <w:r>
        <w:rPr>
          <w:spacing w:val="-9"/>
        </w:rPr>
        <w:t> </w:t>
      </w:r>
      <w:r>
        <w:rPr/>
        <w:t>the fish</w:t>
      </w:r>
      <w:r>
        <w:rPr>
          <w:spacing w:val="-1"/>
        </w:rPr>
        <w:t> </w:t>
      </w:r>
      <w:r>
        <w:rPr/>
        <w:t>below are big and</w:t>
      </w:r>
      <w:r>
        <w:rPr>
          <w:spacing w:val="-1"/>
        </w:rPr>
        <w:t> </w:t>
      </w:r>
      <w:r>
        <w:rPr/>
        <w:t>some are</w:t>
      </w:r>
      <w:r>
        <w:rPr>
          <w:spacing w:val="-2"/>
        </w:rPr>
        <w:t> </w:t>
      </w:r>
      <w:r>
        <w:rPr/>
        <w:t>small. Also some</w:t>
      </w:r>
      <w:r>
        <w:rPr>
          <w:spacing w:val="-2"/>
        </w:rPr>
        <w:t> </w:t>
      </w:r>
      <w:r>
        <w:rPr/>
        <w:t>of</w:t>
      </w:r>
      <w:r>
        <w:rPr>
          <w:spacing w:val="-7"/>
        </w:rPr>
        <w:t> </w:t>
      </w:r>
      <w:r>
        <w:rPr/>
        <w:t>the fish have wide stripes on their sides. Others have narrow stripes.</w:t>
      </w:r>
    </w:p>
    <w:p>
      <w:pPr>
        <w:pStyle w:val="BodyText"/>
        <w:spacing w:line="362" w:lineRule="auto"/>
        <w:ind w:right="1160" w:firstLine="720"/>
      </w:pPr>
      <w:r>
        <w:rPr/>
        <w:t>IS THERE A RELATIONSHIP BETWEEN THE SIZE OF THE FISH AND THE KIND OF STRIPES IT HAS (THAT IS, IS ONE SIZE OF FISH MORE LIKELY TO HAVE A CERTAIN TYPE OF STRIPES AND VICE VERSA)?</w:t>
      </w:r>
    </w:p>
    <w:p>
      <w:pPr>
        <w:pStyle w:val="ListParagraph"/>
        <w:numPr>
          <w:ilvl w:val="1"/>
          <w:numId w:val="30"/>
        </w:numPr>
        <w:tabs>
          <w:tab w:pos="1200" w:val="left" w:leader="none"/>
        </w:tabs>
        <w:spacing w:line="269" w:lineRule="exact" w:before="0" w:after="0"/>
        <w:ind w:left="1200" w:right="0" w:hanging="359"/>
        <w:jc w:val="left"/>
        <w:rPr>
          <w:sz w:val="24"/>
        </w:rPr>
      </w:pPr>
      <w:r>
        <w:rPr>
          <w:spacing w:val="-5"/>
          <w:sz w:val="24"/>
        </w:rPr>
        <w:t>Yes</w:t>
      </w:r>
    </w:p>
    <w:p>
      <w:pPr>
        <w:pStyle w:val="ListParagraph"/>
        <w:numPr>
          <w:ilvl w:val="1"/>
          <w:numId w:val="30"/>
        </w:numPr>
        <w:tabs>
          <w:tab w:pos="1200" w:val="left" w:leader="none"/>
        </w:tabs>
        <w:spacing w:line="240" w:lineRule="auto" w:before="135" w:after="0"/>
        <w:ind w:left="1200" w:right="0" w:hanging="359"/>
        <w:jc w:val="left"/>
        <w:rPr>
          <w:sz w:val="24"/>
        </w:rPr>
      </w:pPr>
      <w:r>
        <w:rPr>
          <w:spacing w:val="-5"/>
          <w:sz w:val="24"/>
        </w:rPr>
        <w:t>No</w:t>
      </w:r>
    </w:p>
    <w:p>
      <w:pPr>
        <w:pStyle w:val="BodyText"/>
        <w:ind w:left="0"/>
        <w:jc w:val="left"/>
      </w:pPr>
    </w:p>
    <w:p>
      <w:pPr>
        <w:pStyle w:val="BodyText"/>
        <w:spacing w:before="3"/>
        <w:ind w:left="0"/>
        <w:jc w:val="left"/>
      </w:pPr>
    </w:p>
    <w:p>
      <w:pPr>
        <w:pStyle w:val="BodyText"/>
        <w:jc w:val="left"/>
      </w:pPr>
      <w:r>
        <w:rPr>
          <w:spacing w:val="-2"/>
        </w:rPr>
        <w:t>REASON</w:t>
      </w:r>
    </w:p>
    <w:p>
      <w:pPr>
        <w:pStyle w:val="ListParagraph"/>
        <w:numPr>
          <w:ilvl w:val="0"/>
          <w:numId w:val="31"/>
        </w:numPr>
        <w:tabs>
          <w:tab w:pos="1201" w:val="left" w:leader="none"/>
        </w:tabs>
        <w:spacing w:line="240" w:lineRule="auto" w:before="137" w:after="0"/>
        <w:ind w:left="1201" w:right="0" w:hanging="360"/>
        <w:jc w:val="left"/>
        <w:rPr>
          <w:sz w:val="24"/>
        </w:rPr>
      </w:pPr>
      <w:r>
        <w:rPr>
          <w:sz w:val="24"/>
        </w:rPr>
        <w:t>Big</w:t>
      </w:r>
      <w:r>
        <w:rPr>
          <w:spacing w:val="-2"/>
          <w:sz w:val="24"/>
        </w:rPr>
        <w:t> </w:t>
      </w:r>
      <w:r>
        <w:rPr>
          <w:sz w:val="24"/>
        </w:rPr>
        <w:t>and</w:t>
      </w:r>
      <w:r>
        <w:rPr>
          <w:spacing w:val="-1"/>
          <w:sz w:val="24"/>
        </w:rPr>
        <w:t> </w:t>
      </w:r>
      <w:r>
        <w:rPr>
          <w:sz w:val="24"/>
        </w:rPr>
        <w:t>small</w:t>
      </w:r>
      <w:r>
        <w:rPr>
          <w:spacing w:val="-5"/>
          <w:sz w:val="24"/>
        </w:rPr>
        <w:t> </w:t>
      </w:r>
      <w:r>
        <w:rPr>
          <w:sz w:val="24"/>
        </w:rPr>
        <w:t>fish</w:t>
      </w:r>
      <w:r>
        <w:rPr>
          <w:spacing w:val="-3"/>
          <w:sz w:val="24"/>
        </w:rPr>
        <w:t> </w:t>
      </w:r>
      <w:r>
        <w:rPr>
          <w:sz w:val="24"/>
        </w:rPr>
        <w:t>can</w:t>
      </w:r>
      <w:r>
        <w:rPr>
          <w:spacing w:val="-1"/>
          <w:sz w:val="24"/>
        </w:rPr>
        <w:t> </w:t>
      </w:r>
      <w:r>
        <w:rPr>
          <w:sz w:val="24"/>
        </w:rPr>
        <w:t>have</w:t>
      </w:r>
      <w:r>
        <w:rPr>
          <w:spacing w:val="-2"/>
          <w:sz w:val="24"/>
        </w:rPr>
        <w:t> </w:t>
      </w:r>
      <w:r>
        <w:rPr>
          <w:sz w:val="24"/>
        </w:rPr>
        <w:t>either</w:t>
      </w:r>
      <w:r>
        <w:rPr>
          <w:spacing w:val="1"/>
          <w:sz w:val="24"/>
        </w:rPr>
        <w:t> </w:t>
      </w:r>
      <w:r>
        <w:rPr>
          <w:sz w:val="24"/>
        </w:rPr>
        <w:t>wide or narrow</w:t>
      </w:r>
      <w:r>
        <w:rPr>
          <w:spacing w:val="-5"/>
          <w:sz w:val="24"/>
        </w:rPr>
        <w:t> </w:t>
      </w:r>
      <w:r>
        <w:rPr>
          <w:spacing w:val="-2"/>
          <w:sz w:val="24"/>
        </w:rPr>
        <w:t>stripes.</w:t>
      </w:r>
    </w:p>
    <w:p>
      <w:pPr>
        <w:pStyle w:val="ListParagraph"/>
        <w:numPr>
          <w:ilvl w:val="0"/>
          <w:numId w:val="31"/>
        </w:numPr>
        <w:tabs>
          <w:tab w:pos="1201" w:val="left" w:leader="none"/>
        </w:tabs>
        <w:spacing w:line="240" w:lineRule="auto" w:before="137" w:after="0"/>
        <w:ind w:left="1201" w:right="0" w:hanging="360"/>
        <w:jc w:val="left"/>
        <w:rPr>
          <w:sz w:val="24"/>
        </w:rPr>
      </w:pPr>
      <w:r>
        <w:rPr>
          <w:sz w:val="24"/>
        </w:rPr>
        <w:t>3/7</w:t>
      </w:r>
      <w:r>
        <w:rPr>
          <w:spacing w:val="-7"/>
          <w:sz w:val="24"/>
        </w:rPr>
        <w:t> </w:t>
      </w:r>
      <w:r>
        <w:rPr>
          <w:sz w:val="24"/>
        </w:rPr>
        <w:t>of</w:t>
      </w:r>
      <w:r>
        <w:rPr>
          <w:spacing w:val="-8"/>
          <w:sz w:val="24"/>
        </w:rPr>
        <w:t> </w:t>
      </w:r>
      <w:r>
        <w:rPr>
          <w:sz w:val="24"/>
        </w:rPr>
        <w:t>the</w:t>
      </w:r>
      <w:r>
        <w:rPr>
          <w:spacing w:val="-1"/>
          <w:sz w:val="24"/>
        </w:rPr>
        <w:t> </w:t>
      </w:r>
      <w:r>
        <w:rPr>
          <w:sz w:val="24"/>
        </w:rPr>
        <w:t>big</w:t>
      </w:r>
      <w:r>
        <w:rPr>
          <w:spacing w:val="3"/>
          <w:sz w:val="24"/>
        </w:rPr>
        <w:t> </w:t>
      </w:r>
      <w:r>
        <w:rPr>
          <w:sz w:val="24"/>
        </w:rPr>
        <w:t>fish</w:t>
      </w:r>
      <w:r>
        <w:rPr>
          <w:spacing w:val="-2"/>
          <w:sz w:val="24"/>
        </w:rPr>
        <w:t> </w:t>
      </w:r>
      <w:r>
        <w:rPr>
          <w:sz w:val="24"/>
        </w:rPr>
        <w:t>and</w:t>
      </w:r>
      <w:r>
        <w:rPr>
          <w:spacing w:val="-1"/>
          <w:sz w:val="24"/>
        </w:rPr>
        <w:t> </w:t>
      </w:r>
      <w:r>
        <w:rPr>
          <w:sz w:val="24"/>
        </w:rPr>
        <w:t>9/21 of</w:t>
      </w:r>
      <w:r>
        <w:rPr>
          <w:spacing w:val="-7"/>
          <w:sz w:val="24"/>
        </w:rPr>
        <w:t> </w:t>
      </w:r>
      <w:r>
        <w:rPr>
          <w:sz w:val="24"/>
        </w:rPr>
        <w:t>the</w:t>
      </w:r>
      <w:r>
        <w:rPr>
          <w:spacing w:val="-2"/>
          <w:sz w:val="24"/>
        </w:rPr>
        <w:t> </w:t>
      </w:r>
      <w:r>
        <w:rPr>
          <w:sz w:val="24"/>
        </w:rPr>
        <w:t>small</w:t>
      </w:r>
      <w:r>
        <w:rPr>
          <w:spacing w:val="1"/>
          <w:sz w:val="24"/>
        </w:rPr>
        <w:t> </w:t>
      </w:r>
      <w:r>
        <w:rPr>
          <w:sz w:val="24"/>
        </w:rPr>
        <w:t>fish</w:t>
      </w:r>
      <w:r>
        <w:rPr>
          <w:spacing w:val="-1"/>
          <w:sz w:val="24"/>
        </w:rPr>
        <w:t> </w:t>
      </w:r>
      <w:r>
        <w:rPr>
          <w:sz w:val="24"/>
        </w:rPr>
        <w:t>have</w:t>
      </w:r>
      <w:r>
        <w:rPr>
          <w:spacing w:val="4"/>
          <w:sz w:val="24"/>
        </w:rPr>
        <w:t> </w:t>
      </w:r>
      <w:r>
        <w:rPr>
          <w:sz w:val="24"/>
        </w:rPr>
        <w:t>wide</w:t>
      </w:r>
      <w:r>
        <w:rPr>
          <w:spacing w:val="-1"/>
          <w:sz w:val="24"/>
        </w:rPr>
        <w:t> </w:t>
      </w:r>
      <w:r>
        <w:rPr>
          <w:spacing w:val="-2"/>
          <w:sz w:val="24"/>
        </w:rPr>
        <w:t>stripes.</w:t>
      </w:r>
    </w:p>
    <w:p>
      <w:pPr>
        <w:pStyle w:val="ListParagraph"/>
        <w:numPr>
          <w:ilvl w:val="0"/>
          <w:numId w:val="31"/>
        </w:numPr>
        <w:tabs>
          <w:tab w:pos="1201" w:val="left" w:leader="none"/>
        </w:tabs>
        <w:spacing w:line="240" w:lineRule="auto" w:before="141" w:after="0"/>
        <w:ind w:left="1201" w:right="0" w:hanging="360"/>
        <w:jc w:val="left"/>
        <w:rPr>
          <w:sz w:val="24"/>
        </w:rPr>
      </w:pPr>
      <w:r>
        <w:rPr>
          <w:sz w:val="24"/>
        </w:rPr>
        <w:t>7</w:t>
      </w:r>
      <w:r>
        <w:rPr>
          <w:spacing w:val="-1"/>
          <w:sz w:val="24"/>
        </w:rPr>
        <w:t> </w:t>
      </w:r>
      <w:r>
        <w:rPr>
          <w:sz w:val="24"/>
        </w:rPr>
        <w:t>fish</w:t>
      </w:r>
      <w:r>
        <w:rPr>
          <w:spacing w:val="-5"/>
          <w:sz w:val="24"/>
        </w:rPr>
        <w:t> </w:t>
      </w:r>
      <w:r>
        <w:rPr>
          <w:sz w:val="24"/>
        </w:rPr>
        <w:t>are</w:t>
      </w:r>
      <w:r>
        <w:rPr>
          <w:spacing w:val="3"/>
          <w:sz w:val="24"/>
        </w:rPr>
        <w:t> </w:t>
      </w:r>
      <w:r>
        <w:rPr>
          <w:sz w:val="24"/>
        </w:rPr>
        <w:t>big</w:t>
      </w:r>
      <w:r>
        <w:rPr>
          <w:spacing w:val="1"/>
          <w:sz w:val="24"/>
        </w:rPr>
        <w:t> </w:t>
      </w:r>
      <w:r>
        <w:rPr>
          <w:sz w:val="24"/>
        </w:rPr>
        <w:t>and</w:t>
      </w:r>
      <w:r>
        <w:rPr>
          <w:spacing w:val="-1"/>
          <w:sz w:val="24"/>
        </w:rPr>
        <w:t> </w:t>
      </w:r>
      <w:r>
        <w:rPr>
          <w:sz w:val="24"/>
        </w:rPr>
        <w:t>21</w:t>
      </w:r>
      <w:r>
        <w:rPr>
          <w:spacing w:val="-1"/>
          <w:sz w:val="24"/>
        </w:rPr>
        <w:t> </w:t>
      </w:r>
      <w:r>
        <w:rPr>
          <w:sz w:val="24"/>
        </w:rPr>
        <w:t>are</w:t>
      </w:r>
      <w:r>
        <w:rPr>
          <w:spacing w:val="-1"/>
          <w:sz w:val="24"/>
        </w:rPr>
        <w:t> </w:t>
      </w:r>
      <w:r>
        <w:rPr>
          <w:spacing w:val="-2"/>
          <w:sz w:val="24"/>
        </w:rPr>
        <w:t>small.</w:t>
      </w:r>
    </w:p>
    <w:p>
      <w:pPr>
        <w:pStyle w:val="ListParagraph"/>
        <w:numPr>
          <w:ilvl w:val="0"/>
          <w:numId w:val="31"/>
        </w:numPr>
        <w:tabs>
          <w:tab w:pos="1201" w:val="left" w:leader="none"/>
        </w:tabs>
        <w:spacing w:line="240" w:lineRule="auto" w:before="137" w:after="0"/>
        <w:ind w:left="1201" w:right="0" w:hanging="360"/>
        <w:jc w:val="left"/>
        <w:rPr>
          <w:sz w:val="24"/>
        </w:rPr>
      </w:pPr>
      <w:r>
        <w:rPr>
          <w:sz w:val="24"/>
        </w:rPr>
        <w:t>Not</w:t>
      </w:r>
      <w:r>
        <w:rPr>
          <w:spacing w:val="-3"/>
          <w:sz w:val="24"/>
        </w:rPr>
        <w:t> </w:t>
      </w:r>
      <w:r>
        <w:rPr>
          <w:sz w:val="24"/>
        </w:rPr>
        <w:t>all</w:t>
      </w:r>
      <w:r>
        <w:rPr>
          <w:spacing w:val="-5"/>
          <w:sz w:val="24"/>
        </w:rPr>
        <w:t> </w:t>
      </w:r>
      <w:r>
        <w:rPr>
          <w:sz w:val="24"/>
        </w:rPr>
        <w:t>big</w:t>
      </w:r>
      <w:r>
        <w:rPr>
          <w:spacing w:val="4"/>
          <w:sz w:val="24"/>
        </w:rPr>
        <w:t> </w:t>
      </w:r>
      <w:r>
        <w:rPr>
          <w:sz w:val="24"/>
        </w:rPr>
        <w:t>fish have</w:t>
      </w:r>
      <w:r>
        <w:rPr>
          <w:spacing w:val="2"/>
          <w:sz w:val="24"/>
        </w:rPr>
        <w:t> </w:t>
      </w:r>
      <w:r>
        <w:rPr>
          <w:sz w:val="24"/>
        </w:rPr>
        <w:t>wide</w:t>
      </w:r>
      <w:r>
        <w:rPr>
          <w:spacing w:val="-1"/>
          <w:sz w:val="24"/>
        </w:rPr>
        <w:t> </w:t>
      </w:r>
      <w:r>
        <w:rPr>
          <w:sz w:val="24"/>
        </w:rPr>
        <w:t>stripes</w:t>
      </w:r>
      <w:r>
        <w:rPr>
          <w:spacing w:val="-1"/>
          <w:sz w:val="24"/>
        </w:rPr>
        <w:t> </w:t>
      </w:r>
      <w:r>
        <w:rPr>
          <w:sz w:val="24"/>
        </w:rPr>
        <w:t>and</w:t>
      </w:r>
      <w:r>
        <w:rPr>
          <w:spacing w:val="1"/>
          <w:sz w:val="24"/>
        </w:rPr>
        <w:t> </w:t>
      </w:r>
      <w:r>
        <w:rPr>
          <w:sz w:val="24"/>
        </w:rPr>
        <w:t>not all</w:t>
      </w:r>
      <w:r>
        <w:rPr>
          <w:spacing w:val="-9"/>
          <w:sz w:val="24"/>
        </w:rPr>
        <w:t> </w:t>
      </w:r>
      <w:r>
        <w:rPr>
          <w:sz w:val="24"/>
        </w:rPr>
        <w:t>small</w:t>
      </w:r>
      <w:r>
        <w:rPr>
          <w:spacing w:val="1"/>
          <w:sz w:val="24"/>
        </w:rPr>
        <w:t> </w:t>
      </w:r>
      <w:r>
        <w:rPr>
          <w:sz w:val="24"/>
        </w:rPr>
        <w:t>fish</w:t>
      </w:r>
      <w:r>
        <w:rPr>
          <w:spacing w:val="-5"/>
          <w:sz w:val="24"/>
        </w:rPr>
        <w:t> </w:t>
      </w:r>
      <w:r>
        <w:rPr>
          <w:sz w:val="24"/>
        </w:rPr>
        <w:t>have</w:t>
      </w:r>
      <w:r>
        <w:rPr>
          <w:spacing w:val="-2"/>
          <w:sz w:val="24"/>
        </w:rPr>
        <w:t> </w:t>
      </w:r>
      <w:r>
        <w:rPr>
          <w:sz w:val="24"/>
        </w:rPr>
        <w:t>narrow</w:t>
      </w:r>
      <w:r>
        <w:rPr>
          <w:spacing w:val="-5"/>
          <w:sz w:val="24"/>
        </w:rPr>
        <w:t> </w:t>
      </w:r>
      <w:r>
        <w:rPr>
          <w:spacing w:val="-2"/>
          <w:sz w:val="24"/>
        </w:rPr>
        <w:t>stripes.</w:t>
      </w:r>
    </w:p>
    <w:p>
      <w:pPr>
        <w:pStyle w:val="ListParagraph"/>
        <w:numPr>
          <w:ilvl w:val="0"/>
          <w:numId w:val="31"/>
        </w:numPr>
        <w:tabs>
          <w:tab w:pos="1201" w:val="left" w:leader="none"/>
        </w:tabs>
        <w:spacing w:line="240" w:lineRule="auto" w:before="137" w:after="0"/>
        <w:ind w:left="1201" w:right="0" w:hanging="360"/>
        <w:jc w:val="left"/>
        <w:rPr>
          <w:sz w:val="24"/>
        </w:rPr>
      </w:pPr>
      <w:r>
        <w:rPr>
          <w:sz w:val="24"/>
        </w:rPr>
        <w:t>12/28</w:t>
      </w:r>
      <w:r>
        <w:rPr>
          <w:spacing w:val="-7"/>
          <w:sz w:val="24"/>
        </w:rPr>
        <w:t> </w:t>
      </w:r>
      <w:r>
        <w:rPr>
          <w:sz w:val="24"/>
        </w:rPr>
        <w:t>of</w:t>
      </w:r>
      <w:r>
        <w:rPr>
          <w:spacing w:val="-3"/>
          <w:sz w:val="24"/>
        </w:rPr>
        <w:t> </w:t>
      </w:r>
      <w:r>
        <w:rPr>
          <w:sz w:val="24"/>
        </w:rPr>
        <w:t>fish have</w:t>
      </w:r>
      <w:r>
        <w:rPr>
          <w:spacing w:val="-1"/>
          <w:sz w:val="24"/>
        </w:rPr>
        <w:t> </w:t>
      </w:r>
      <w:r>
        <w:rPr>
          <w:sz w:val="24"/>
        </w:rPr>
        <w:t>wide</w:t>
      </w:r>
      <w:r>
        <w:rPr>
          <w:spacing w:val="-1"/>
          <w:sz w:val="24"/>
        </w:rPr>
        <w:t> </w:t>
      </w:r>
      <w:r>
        <w:rPr>
          <w:sz w:val="24"/>
        </w:rPr>
        <w:t>stripes</w:t>
      </w:r>
      <w:r>
        <w:rPr>
          <w:spacing w:val="2"/>
          <w:sz w:val="24"/>
        </w:rPr>
        <w:t> </w:t>
      </w:r>
      <w:r>
        <w:rPr>
          <w:sz w:val="24"/>
        </w:rPr>
        <w:t>and</w:t>
      </w:r>
      <w:r>
        <w:rPr>
          <w:spacing w:val="-1"/>
          <w:sz w:val="24"/>
        </w:rPr>
        <w:t> </w:t>
      </w:r>
      <w:r>
        <w:rPr>
          <w:sz w:val="24"/>
        </w:rPr>
        <w:t>16/28 of</w:t>
      </w:r>
      <w:r>
        <w:rPr>
          <w:spacing w:val="-8"/>
          <w:sz w:val="24"/>
        </w:rPr>
        <w:t> </w:t>
      </w:r>
      <w:r>
        <w:rPr>
          <w:sz w:val="24"/>
        </w:rPr>
        <w:t>fish have</w:t>
      </w:r>
      <w:r>
        <w:rPr>
          <w:spacing w:val="4"/>
          <w:sz w:val="24"/>
        </w:rPr>
        <w:t> </w:t>
      </w:r>
      <w:r>
        <w:rPr>
          <w:sz w:val="24"/>
        </w:rPr>
        <w:t>narrow</w:t>
      </w:r>
      <w:r>
        <w:rPr>
          <w:spacing w:val="3"/>
          <w:sz w:val="24"/>
        </w:rPr>
        <w:t> </w:t>
      </w:r>
      <w:r>
        <w:rPr>
          <w:spacing w:val="-2"/>
          <w:sz w:val="24"/>
        </w:rPr>
        <w:t>stripes.</w:t>
      </w:r>
    </w:p>
    <w:p>
      <w:pPr>
        <w:pStyle w:val="BodyText"/>
        <w:spacing w:before="5"/>
        <w:ind w:left="0"/>
        <w:jc w:val="left"/>
        <w:rPr>
          <w:sz w:val="10"/>
        </w:rPr>
      </w:pPr>
      <w:r>
        <w:rPr/>
        <w:drawing>
          <wp:anchor distT="0" distB="0" distL="0" distR="0" allowOverlap="1" layoutInCell="1" locked="0" behindDoc="1" simplePos="0" relativeHeight="487598080">
            <wp:simplePos x="0" y="0"/>
            <wp:positionH relativeFrom="page">
              <wp:posOffset>1390650</wp:posOffset>
            </wp:positionH>
            <wp:positionV relativeFrom="paragraph">
              <wp:posOffset>91931</wp:posOffset>
            </wp:positionV>
            <wp:extent cx="5825124" cy="3440429"/>
            <wp:effectExtent l="0" t="0" r="0" b="0"/>
            <wp:wrapTopAndBottom/>
            <wp:docPr id="40" name="Image 40" descr="C:\Users\ameer\Desktop\AMOS PIXX\15.jpg"/>
            <wp:cNvGraphicFramePr>
              <a:graphicFrameLocks/>
            </wp:cNvGraphicFramePr>
            <a:graphic>
              <a:graphicData uri="http://schemas.openxmlformats.org/drawingml/2006/picture">
                <pic:pic>
                  <pic:nvPicPr>
                    <pic:cNvPr id="40" name="Image 40" descr="C:\Users\ameer\Desktop\AMOS PIXX\15.jpg"/>
                    <pic:cNvPicPr/>
                  </pic:nvPicPr>
                  <pic:blipFill>
                    <a:blip r:embed="rId54" cstate="print"/>
                    <a:stretch>
                      <a:fillRect/>
                    </a:stretch>
                  </pic:blipFill>
                  <pic:spPr>
                    <a:xfrm>
                      <a:off x="0" y="0"/>
                      <a:ext cx="5825124" cy="3440429"/>
                    </a:xfrm>
                    <a:prstGeom prst="rect">
                      <a:avLst/>
                    </a:prstGeom>
                  </pic:spPr>
                </pic:pic>
              </a:graphicData>
            </a:graphic>
          </wp:anchor>
        </w:drawing>
      </w:r>
    </w:p>
    <w:p>
      <w:pPr>
        <w:spacing w:after="0"/>
        <w:jc w:val="left"/>
        <w:rPr>
          <w:sz w:val="10"/>
        </w:rPr>
        <w:sectPr>
          <w:pgSz w:w="11910" w:h="16840"/>
          <w:pgMar w:header="0" w:footer="1012" w:top="1340" w:bottom="1200" w:left="1680" w:right="280"/>
        </w:sectPr>
      </w:pPr>
    </w:p>
    <w:p>
      <w:pPr>
        <w:pStyle w:val="BodyText"/>
        <w:spacing w:before="74"/>
        <w:jc w:val="left"/>
      </w:pPr>
      <w:r>
        <w:rPr/>
        <w:t>Item</w:t>
      </w:r>
      <w:r>
        <w:rPr>
          <w:spacing w:val="-4"/>
        </w:rPr>
        <w:t> </w:t>
      </w:r>
      <w:r>
        <w:rPr>
          <w:spacing w:val="-7"/>
        </w:rPr>
        <w:t>11</w:t>
      </w:r>
    </w:p>
    <w:p>
      <w:pPr>
        <w:pStyle w:val="BodyText"/>
        <w:spacing w:before="4"/>
        <w:ind w:left="0"/>
        <w:jc w:val="left"/>
      </w:pPr>
    </w:p>
    <w:p>
      <w:pPr>
        <w:spacing w:before="0"/>
        <w:ind w:left="0" w:right="672" w:firstLine="0"/>
        <w:jc w:val="center"/>
        <w:rPr>
          <w:b/>
          <w:sz w:val="24"/>
        </w:rPr>
      </w:pPr>
      <w:r>
        <w:rPr>
          <w:b/>
          <w:sz w:val="24"/>
          <w:u w:val="single"/>
        </w:rPr>
        <w:t>The</w:t>
      </w:r>
      <w:r>
        <w:rPr>
          <w:b/>
          <w:spacing w:val="-1"/>
          <w:sz w:val="24"/>
          <w:u w:val="single"/>
        </w:rPr>
        <w:t> </w:t>
      </w:r>
      <w:r>
        <w:rPr>
          <w:b/>
          <w:spacing w:val="-2"/>
          <w:sz w:val="24"/>
          <w:u w:val="single"/>
        </w:rPr>
        <w:t>Dance</w:t>
      </w:r>
    </w:p>
    <w:p>
      <w:pPr>
        <w:pStyle w:val="BodyText"/>
        <w:spacing w:line="480" w:lineRule="auto" w:before="272" w:after="8"/>
        <w:ind w:right="1169" w:firstLine="720"/>
      </w:pPr>
      <w:r>
        <w:rPr/>
        <w:t>After supper, some students decide to go dancing. There are three boys: ALBERT (A), BOB (B), and CHARLES (C), and three girls: LOUISE (L), MARY (M), and NANCY (N).</w:t>
      </w:r>
    </w:p>
    <w:p>
      <w:pPr>
        <w:pStyle w:val="BodyText"/>
        <w:ind w:left="510"/>
        <w:jc w:val="left"/>
        <w:rPr>
          <w:sz w:val="20"/>
        </w:rPr>
      </w:pPr>
      <w:r>
        <w:rPr>
          <w:sz w:val="20"/>
        </w:rPr>
        <w:drawing>
          <wp:inline distT="0" distB="0" distL="0" distR="0">
            <wp:extent cx="5800632" cy="3130677"/>
            <wp:effectExtent l="0" t="0" r="0" b="0"/>
            <wp:docPr id="41" name="Image 41" descr="C:\Users\ameer\Desktop\AMOS PIXX\16.jpg"/>
            <wp:cNvGraphicFramePr>
              <a:graphicFrameLocks/>
            </wp:cNvGraphicFramePr>
            <a:graphic>
              <a:graphicData uri="http://schemas.openxmlformats.org/drawingml/2006/picture">
                <pic:pic>
                  <pic:nvPicPr>
                    <pic:cNvPr id="41" name="Image 41" descr="C:\Users\ameer\Desktop\AMOS PIXX\16.jpg"/>
                    <pic:cNvPicPr/>
                  </pic:nvPicPr>
                  <pic:blipFill>
                    <a:blip r:embed="rId55" cstate="print"/>
                    <a:stretch>
                      <a:fillRect/>
                    </a:stretch>
                  </pic:blipFill>
                  <pic:spPr>
                    <a:xfrm>
                      <a:off x="0" y="0"/>
                      <a:ext cx="5800632" cy="3130677"/>
                    </a:xfrm>
                    <a:prstGeom prst="rect">
                      <a:avLst/>
                    </a:prstGeom>
                  </pic:spPr>
                </pic:pic>
              </a:graphicData>
            </a:graphic>
          </wp:inline>
        </w:drawing>
      </w:r>
      <w:r>
        <w:rPr>
          <w:sz w:val="20"/>
        </w:rPr>
      </w:r>
    </w:p>
    <w:p>
      <w:pPr>
        <w:pStyle w:val="BodyText"/>
        <w:spacing w:line="480" w:lineRule="auto" w:before="228"/>
        <w:ind w:right="1163" w:firstLine="720"/>
      </w:pPr>
      <w:r>
        <w:rPr/>
        <w:t>One possible pair of dance partners is A-L, which means ALBERT and </w:t>
      </w:r>
      <w:r>
        <w:rPr>
          <w:spacing w:val="-2"/>
        </w:rPr>
        <w:t>LOUISE.</w:t>
      </w:r>
    </w:p>
    <w:p>
      <w:pPr>
        <w:pStyle w:val="BodyText"/>
        <w:spacing w:line="480" w:lineRule="auto"/>
        <w:ind w:right="1160" w:firstLine="720"/>
      </w:pPr>
      <w:r>
        <w:rPr/>
        <w:t>LIST ALL OTHER POSSIBLE COUPLES OF DANCERS. BOYS DO NOT DANCE WITH BOYS, AND GIRLS DO NOT DANCE WITH GIRLS.</w:t>
      </w:r>
    </w:p>
    <w:p>
      <w:pPr>
        <w:spacing w:after="0" w:line="480" w:lineRule="auto"/>
        <w:sectPr>
          <w:pgSz w:w="11910" w:h="16840"/>
          <w:pgMar w:header="0" w:footer="1012" w:top="1340" w:bottom="1200" w:left="1680" w:right="280"/>
        </w:sectPr>
      </w:pPr>
    </w:p>
    <w:p>
      <w:pPr>
        <w:pStyle w:val="BodyText"/>
        <w:spacing w:before="74"/>
        <w:jc w:val="left"/>
      </w:pPr>
      <w:r>
        <w:rPr/>
        <w:t>Item</w:t>
      </w:r>
      <w:r>
        <w:rPr>
          <w:spacing w:val="-4"/>
        </w:rPr>
        <w:t> </w:t>
      </w:r>
      <w:r>
        <w:rPr>
          <w:spacing w:val="-7"/>
        </w:rPr>
        <w:t>12</w:t>
      </w:r>
    </w:p>
    <w:p>
      <w:pPr>
        <w:pStyle w:val="BodyText"/>
        <w:spacing w:before="4"/>
        <w:ind w:left="0"/>
        <w:jc w:val="left"/>
      </w:pPr>
    </w:p>
    <w:p>
      <w:pPr>
        <w:spacing w:before="0"/>
        <w:ind w:left="0" w:right="680" w:firstLine="0"/>
        <w:jc w:val="center"/>
        <w:rPr>
          <w:b/>
          <w:sz w:val="24"/>
        </w:rPr>
      </w:pPr>
      <w:r>
        <w:rPr>
          <w:b/>
          <w:sz w:val="24"/>
          <w:u w:val="single"/>
        </w:rPr>
        <w:t>The Shopping</w:t>
      </w:r>
      <w:r>
        <w:rPr>
          <w:b/>
          <w:spacing w:val="-3"/>
          <w:sz w:val="24"/>
          <w:u w:val="single"/>
        </w:rPr>
        <w:t> </w:t>
      </w:r>
      <w:r>
        <w:rPr>
          <w:b/>
          <w:spacing w:val="-2"/>
          <w:sz w:val="24"/>
          <w:u w:val="single"/>
        </w:rPr>
        <w:t>Centre</w:t>
      </w:r>
    </w:p>
    <w:p>
      <w:pPr>
        <w:pStyle w:val="BodyText"/>
        <w:spacing w:line="480" w:lineRule="auto" w:before="272"/>
        <w:ind w:right="1158" w:firstLine="720"/>
      </w:pPr>
      <w:r>
        <w:rPr/>
        <w:t>In a new shopping center, 4 stores are going to be placed on the ground floor. A</w:t>
      </w:r>
      <w:r>
        <w:rPr>
          <w:spacing w:val="-2"/>
        </w:rPr>
        <w:t> </w:t>
      </w:r>
      <w:r>
        <w:rPr/>
        <w:t>BARBER</w:t>
      </w:r>
      <w:r>
        <w:rPr>
          <w:spacing w:val="2"/>
        </w:rPr>
        <w:t> </w:t>
      </w:r>
      <w:r>
        <w:rPr/>
        <w:t>SHOP</w:t>
      </w:r>
      <w:r>
        <w:rPr>
          <w:spacing w:val="4"/>
        </w:rPr>
        <w:t> </w:t>
      </w:r>
      <w:r>
        <w:rPr/>
        <w:t>(B),</w:t>
      </w:r>
      <w:r>
        <w:rPr>
          <w:spacing w:val="2"/>
        </w:rPr>
        <w:t> </w:t>
      </w:r>
      <w:r>
        <w:rPr/>
        <w:t>a</w:t>
      </w:r>
      <w:r>
        <w:rPr>
          <w:spacing w:val="3"/>
        </w:rPr>
        <w:t> </w:t>
      </w:r>
      <w:r>
        <w:rPr/>
        <w:t>DISCOUNT</w:t>
      </w:r>
      <w:r>
        <w:rPr>
          <w:spacing w:val="5"/>
        </w:rPr>
        <w:t> </w:t>
      </w:r>
      <w:r>
        <w:rPr/>
        <w:t>STORE</w:t>
      </w:r>
      <w:r>
        <w:rPr>
          <w:spacing w:val="2"/>
        </w:rPr>
        <w:t> </w:t>
      </w:r>
      <w:r>
        <w:rPr/>
        <w:t>(D),</w:t>
      </w:r>
      <w:r>
        <w:rPr>
          <w:spacing w:val="7"/>
        </w:rPr>
        <w:t> </w:t>
      </w:r>
      <w:r>
        <w:rPr/>
        <w:t>a</w:t>
      </w:r>
      <w:r>
        <w:rPr>
          <w:spacing w:val="3"/>
        </w:rPr>
        <w:t> </w:t>
      </w:r>
      <w:r>
        <w:rPr/>
        <w:t>GROCERY</w:t>
      </w:r>
      <w:r>
        <w:rPr>
          <w:spacing w:val="3"/>
        </w:rPr>
        <w:t> </w:t>
      </w:r>
      <w:r>
        <w:rPr/>
        <w:t>STORE</w:t>
      </w:r>
      <w:r>
        <w:rPr>
          <w:spacing w:val="5"/>
        </w:rPr>
        <w:t> </w:t>
      </w:r>
      <w:r>
        <w:rPr/>
        <w:t>(G),</w:t>
      </w:r>
      <w:r>
        <w:rPr>
          <w:spacing w:val="5"/>
        </w:rPr>
        <w:t> </w:t>
      </w:r>
      <w:r>
        <w:rPr/>
        <w:t>and</w:t>
      </w:r>
      <w:r>
        <w:rPr>
          <w:spacing w:val="4"/>
        </w:rPr>
        <w:t> </w:t>
      </w:r>
      <w:r>
        <w:rPr>
          <w:spacing w:val="-10"/>
        </w:rPr>
        <w:t>a</w:t>
      </w:r>
    </w:p>
    <w:p>
      <w:pPr>
        <w:pStyle w:val="BodyText"/>
        <w:jc w:val="left"/>
      </w:pPr>
      <w:r>
        <w:rPr/>
        <w:t>COFFEE</w:t>
      </w:r>
      <w:r>
        <w:rPr>
          <w:spacing w:val="1"/>
        </w:rPr>
        <w:t> </w:t>
      </w:r>
      <w:r>
        <w:rPr/>
        <w:t>SHOP</w:t>
      </w:r>
      <w:r>
        <w:rPr>
          <w:spacing w:val="-1"/>
        </w:rPr>
        <w:t> </w:t>
      </w:r>
      <w:r>
        <w:rPr/>
        <w:t>(C)</w:t>
      </w:r>
      <w:r>
        <w:rPr>
          <w:spacing w:val="-4"/>
        </w:rPr>
        <w:t> </w:t>
      </w:r>
      <w:r>
        <w:rPr/>
        <w:t>want</w:t>
      </w:r>
      <w:r>
        <w:rPr>
          <w:spacing w:val="2"/>
        </w:rPr>
        <w:t> </w:t>
      </w:r>
      <w:r>
        <w:rPr/>
        <w:t>to</w:t>
      </w:r>
      <w:r>
        <w:rPr>
          <w:spacing w:val="-1"/>
        </w:rPr>
        <w:t> </w:t>
      </w:r>
      <w:r>
        <w:rPr/>
        <w:t>locate</w:t>
      </w:r>
      <w:r>
        <w:rPr>
          <w:spacing w:val="-6"/>
        </w:rPr>
        <w:t> </w:t>
      </w:r>
      <w:r>
        <w:rPr>
          <w:spacing w:val="-2"/>
        </w:rPr>
        <w:t>there.</w:t>
      </w:r>
    </w:p>
    <w:p>
      <w:pPr>
        <w:pStyle w:val="BodyText"/>
        <w:spacing w:before="29"/>
        <w:ind w:left="0"/>
        <w:jc w:val="left"/>
        <w:rPr>
          <w:sz w:val="20"/>
        </w:rPr>
      </w:pPr>
      <w:r>
        <w:rPr/>
        <w:drawing>
          <wp:anchor distT="0" distB="0" distL="0" distR="0" allowOverlap="1" layoutInCell="1" locked="0" behindDoc="1" simplePos="0" relativeHeight="487598592">
            <wp:simplePos x="0" y="0"/>
            <wp:positionH relativeFrom="page">
              <wp:posOffset>1847850</wp:posOffset>
            </wp:positionH>
            <wp:positionV relativeFrom="paragraph">
              <wp:posOffset>180205</wp:posOffset>
            </wp:positionV>
            <wp:extent cx="4329639" cy="2841498"/>
            <wp:effectExtent l="0" t="0" r="0" b="0"/>
            <wp:wrapTopAndBottom/>
            <wp:docPr id="42" name="Image 42" descr="C:\Users\ameer\Desktop\AMOS PIXX\17.jpg"/>
            <wp:cNvGraphicFramePr>
              <a:graphicFrameLocks/>
            </wp:cNvGraphicFramePr>
            <a:graphic>
              <a:graphicData uri="http://schemas.openxmlformats.org/drawingml/2006/picture">
                <pic:pic>
                  <pic:nvPicPr>
                    <pic:cNvPr id="42" name="Image 42" descr="C:\Users\ameer\Desktop\AMOS PIXX\17.jpg"/>
                    <pic:cNvPicPr/>
                  </pic:nvPicPr>
                  <pic:blipFill>
                    <a:blip r:embed="rId56" cstate="print"/>
                    <a:stretch>
                      <a:fillRect/>
                    </a:stretch>
                  </pic:blipFill>
                  <pic:spPr>
                    <a:xfrm>
                      <a:off x="0" y="0"/>
                      <a:ext cx="4329639" cy="2841498"/>
                    </a:xfrm>
                    <a:prstGeom prst="rect">
                      <a:avLst/>
                    </a:prstGeom>
                  </pic:spPr>
                </pic:pic>
              </a:graphicData>
            </a:graphic>
          </wp:anchor>
        </w:drawing>
      </w:r>
    </w:p>
    <w:p>
      <w:pPr>
        <w:pStyle w:val="BodyText"/>
        <w:ind w:left="0"/>
        <w:jc w:val="left"/>
      </w:pPr>
    </w:p>
    <w:p>
      <w:pPr>
        <w:pStyle w:val="BodyText"/>
        <w:spacing w:before="233"/>
        <w:ind w:left="0"/>
        <w:jc w:val="left"/>
      </w:pPr>
    </w:p>
    <w:p>
      <w:pPr>
        <w:pStyle w:val="BodyText"/>
        <w:spacing w:line="480" w:lineRule="auto"/>
        <w:ind w:right="1161" w:firstLine="720"/>
      </w:pPr>
      <w:r>
        <w:rPr/>
        <w:t>One possible way that the stores could be arranged in the 4 locations is</w:t>
      </w:r>
      <w:r>
        <w:rPr>
          <w:spacing w:val="40"/>
        </w:rPr>
        <w:t> </w:t>
      </w:r>
      <w:r>
        <w:rPr/>
        <w:t>BDGC. Which means the BARBER SHOP first, the DISCOUNT STORE next, then the GROCERY STORE and the COFFEE SHOP last.</w:t>
      </w:r>
    </w:p>
    <w:p>
      <w:pPr>
        <w:pStyle w:val="BodyText"/>
        <w:spacing w:line="480" w:lineRule="auto" w:before="1"/>
        <w:ind w:right="1166" w:firstLine="720"/>
      </w:pPr>
      <w:r>
        <w:rPr/>
        <w:t>LIST ALL THE OTHER POSSIBLE WAYS THAT THE STORES CAN BE LINED UP IN THE FOUR LOCATIONS.</w:t>
      </w:r>
    </w:p>
    <w:p>
      <w:pPr>
        <w:spacing w:after="0" w:line="480" w:lineRule="auto"/>
        <w:sectPr>
          <w:pgSz w:w="11910" w:h="16840"/>
          <w:pgMar w:header="0" w:footer="1012" w:top="1340" w:bottom="1200" w:left="1680" w:right="280"/>
        </w:sectPr>
      </w:pPr>
    </w:p>
    <w:p>
      <w:pPr>
        <w:pStyle w:val="Heading2"/>
        <w:ind w:left="40"/>
      </w:pPr>
      <w:r>
        <w:rPr/>
        <w:t>APPENDIX</w:t>
      </w:r>
      <w:r>
        <w:rPr>
          <w:spacing w:val="-8"/>
        </w:rPr>
        <w:t> </w:t>
      </w:r>
      <w:r>
        <w:rPr>
          <w:spacing w:val="-10"/>
        </w:rPr>
        <w:t>C</w:t>
      </w:r>
    </w:p>
    <w:p>
      <w:pPr>
        <w:pStyle w:val="BodyText"/>
        <w:ind w:left="0"/>
        <w:jc w:val="left"/>
        <w:rPr>
          <w:b/>
        </w:rPr>
      </w:pPr>
    </w:p>
    <w:p>
      <w:pPr>
        <w:spacing w:line="480" w:lineRule="auto" w:before="0" w:after="7"/>
        <w:ind w:left="1718" w:right="1673" w:firstLine="0"/>
        <w:jc w:val="center"/>
        <w:rPr>
          <w:b/>
          <w:sz w:val="24"/>
        </w:rPr>
      </w:pPr>
      <w:r>
        <w:rPr>
          <w:b/>
          <w:sz w:val="24"/>
        </w:rPr>
        <w:t>GROUP</w:t>
      </w:r>
      <w:r>
        <w:rPr>
          <w:b/>
          <w:spacing w:val="-8"/>
          <w:sz w:val="24"/>
        </w:rPr>
        <w:t> </w:t>
      </w:r>
      <w:r>
        <w:rPr>
          <w:b/>
          <w:sz w:val="24"/>
        </w:rPr>
        <w:t>ASSESSMENT</w:t>
      </w:r>
      <w:r>
        <w:rPr>
          <w:b/>
          <w:spacing w:val="-7"/>
          <w:sz w:val="24"/>
        </w:rPr>
        <w:t> </w:t>
      </w:r>
      <w:r>
        <w:rPr>
          <w:b/>
          <w:sz w:val="24"/>
        </w:rPr>
        <w:t>OF</w:t>
      </w:r>
      <w:r>
        <w:rPr>
          <w:b/>
          <w:spacing w:val="-7"/>
          <w:sz w:val="24"/>
        </w:rPr>
        <w:t> </w:t>
      </w:r>
      <w:r>
        <w:rPr>
          <w:b/>
          <w:sz w:val="24"/>
        </w:rPr>
        <w:t>LOGICAL</w:t>
      </w:r>
      <w:r>
        <w:rPr>
          <w:b/>
          <w:spacing w:val="-7"/>
          <w:sz w:val="24"/>
        </w:rPr>
        <w:t> </w:t>
      </w:r>
      <w:r>
        <w:rPr>
          <w:b/>
          <w:sz w:val="24"/>
        </w:rPr>
        <w:t>THINKING</w:t>
      </w:r>
      <w:r>
        <w:rPr>
          <w:b/>
          <w:spacing w:val="-9"/>
          <w:sz w:val="24"/>
        </w:rPr>
        <w:t> </w:t>
      </w:r>
      <w:r>
        <w:rPr>
          <w:b/>
          <w:sz w:val="24"/>
        </w:rPr>
        <w:t>(GALT) MARKING SCHEME</w:t>
      </w: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3"/>
        <w:gridCol w:w="547"/>
        <w:gridCol w:w="2597"/>
        <w:gridCol w:w="1744"/>
        <w:gridCol w:w="478"/>
        <w:gridCol w:w="1277"/>
      </w:tblGrid>
      <w:tr>
        <w:trPr>
          <w:trHeight w:val="408" w:hRule="atLeast"/>
        </w:trPr>
        <w:tc>
          <w:tcPr>
            <w:tcW w:w="373" w:type="dxa"/>
          </w:tcPr>
          <w:p>
            <w:pPr>
              <w:pStyle w:val="TableParagraph"/>
              <w:spacing w:line="266" w:lineRule="exact"/>
              <w:ind w:right="92"/>
              <w:jc w:val="center"/>
              <w:rPr>
                <w:sz w:val="24"/>
              </w:rPr>
            </w:pPr>
            <w:r>
              <w:rPr>
                <w:spacing w:val="-5"/>
                <w:sz w:val="24"/>
              </w:rPr>
              <w:t>1.</w:t>
            </w:r>
          </w:p>
        </w:tc>
        <w:tc>
          <w:tcPr>
            <w:tcW w:w="547" w:type="dxa"/>
          </w:tcPr>
          <w:p>
            <w:pPr>
              <w:pStyle w:val="TableParagraph"/>
              <w:spacing w:line="266" w:lineRule="exact"/>
              <w:ind w:left="27" w:right="113"/>
              <w:jc w:val="center"/>
              <w:rPr>
                <w:sz w:val="24"/>
              </w:rPr>
            </w:pPr>
            <w:r>
              <w:rPr>
                <w:spacing w:val="-10"/>
                <w:sz w:val="24"/>
              </w:rPr>
              <w:t>A</w:t>
            </w:r>
          </w:p>
        </w:tc>
        <w:tc>
          <w:tcPr>
            <w:tcW w:w="2597" w:type="dxa"/>
          </w:tcPr>
          <w:p>
            <w:pPr>
              <w:pStyle w:val="TableParagraph"/>
              <w:spacing w:line="266" w:lineRule="exact"/>
              <w:ind w:left="229"/>
              <w:rPr>
                <w:sz w:val="24"/>
              </w:rPr>
            </w:pPr>
            <w:r>
              <w:rPr>
                <w:sz w:val="24"/>
              </w:rPr>
              <w:t>(1</w:t>
            </w:r>
            <w:r>
              <w:rPr>
                <w:spacing w:val="3"/>
                <w:sz w:val="24"/>
              </w:rPr>
              <w:t> </w:t>
            </w:r>
            <w:r>
              <w:rPr>
                <w:spacing w:val="-2"/>
                <w:sz w:val="24"/>
              </w:rPr>
              <w:t>Reason)</w:t>
            </w:r>
          </w:p>
        </w:tc>
        <w:tc>
          <w:tcPr>
            <w:tcW w:w="1744" w:type="dxa"/>
          </w:tcPr>
          <w:p>
            <w:pPr>
              <w:pStyle w:val="TableParagraph"/>
              <w:spacing w:line="266" w:lineRule="exact"/>
              <w:ind w:left="1320"/>
              <w:rPr>
                <w:sz w:val="24"/>
              </w:rPr>
            </w:pPr>
            <w:r>
              <w:rPr>
                <w:spacing w:val="-5"/>
                <w:sz w:val="24"/>
              </w:rPr>
              <w:t>6.</w:t>
            </w:r>
          </w:p>
        </w:tc>
        <w:tc>
          <w:tcPr>
            <w:tcW w:w="478" w:type="dxa"/>
          </w:tcPr>
          <w:p>
            <w:pPr>
              <w:pStyle w:val="TableParagraph"/>
              <w:spacing w:line="266" w:lineRule="exact"/>
              <w:ind w:right="78"/>
              <w:jc w:val="center"/>
              <w:rPr>
                <w:sz w:val="24"/>
              </w:rPr>
            </w:pPr>
            <w:r>
              <w:rPr>
                <w:spacing w:val="-10"/>
                <w:sz w:val="24"/>
              </w:rPr>
              <w:t>B</w:t>
            </w:r>
          </w:p>
        </w:tc>
        <w:tc>
          <w:tcPr>
            <w:tcW w:w="1277" w:type="dxa"/>
          </w:tcPr>
          <w:p>
            <w:pPr>
              <w:pStyle w:val="TableParagraph"/>
              <w:spacing w:line="266" w:lineRule="exact"/>
              <w:ind w:left="124"/>
              <w:jc w:val="center"/>
              <w:rPr>
                <w:sz w:val="24"/>
              </w:rPr>
            </w:pPr>
            <w:r>
              <w:rPr>
                <w:sz w:val="24"/>
              </w:rPr>
              <w:t>(4</w:t>
            </w:r>
            <w:r>
              <w:rPr>
                <w:spacing w:val="3"/>
                <w:sz w:val="24"/>
              </w:rPr>
              <w:t> </w:t>
            </w:r>
            <w:r>
              <w:rPr>
                <w:spacing w:val="-2"/>
                <w:sz w:val="24"/>
              </w:rPr>
              <w:t>Reason)</w:t>
            </w:r>
          </w:p>
        </w:tc>
      </w:tr>
      <w:tr>
        <w:trPr>
          <w:trHeight w:val="552" w:hRule="atLeast"/>
        </w:trPr>
        <w:tc>
          <w:tcPr>
            <w:tcW w:w="373" w:type="dxa"/>
          </w:tcPr>
          <w:p>
            <w:pPr>
              <w:pStyle w:val="TableParagraph"/>
              <w:spacing w:before="133"/>
              <w:ind w:right="92"/>
              <w:jc w:val="center"/>
              <w:rPr>
                <w:sz w:val="24"/>
              </w:rPr>
            </w:pPr>
            <w:r>
              <w:rPr>
                <w:spacing w:val="-5"/>
                <w:sz w:val="24"/>
              </w:rPr>
              <w:t>2.</w:t>
            </w:r>
          </w:p>
        </w:tc>
        <w:tc>
          <w:tcPr>
            <w:tcW w:w="547" w:type="dxa"/>
          </w:tcPr>
          <w:p>
            <w:pPr>
              <w:pStyle w:val="TableParagraph"/>
              <w:spacing w:before="133"/>
              <w:ind w:left="14" w:right="113"/>
              <w:jc w:val="center"/>
              <w:rPr>
                <w:sz w:val="24"/>
              </w:rPr>
            </w:pPr>
            <w:r>
              <w:rPr>
                <w:spacing w:val="-10"/>
                <w:sz w:val="24"/>
              </w:rPr>
              <w:t>C</w:t>
            </w:r>
          </w:p>
        </w:tc>
        <w:tc>
          <w:tcPr>
            <w:tcW w:w="2597" w:type="dxa"/>
          </w:tcPr>
          <w:p>
            <w:pPr>
              <w:pStyle w:val="TableParagraph"/>
              <w:spacing w:before="133"/>
              <w:ind w:left="229"/>
              <w:rPr>
                <w:sz w:val="24"/>
              </w:rPr>
            </w:pPr>
            <w:r>
              <w:rPr>
                <w:sz w:val="24"/>
              </w:rPr>
              <w:t>(1</w:t>
            </w:r>
            <w:r>
              <w:rPr>
                <w:spacing w:val="3"/>
                <w:sz w:val="24"/>
              </w:rPr>
              <w:t> </w:t>
            </w:r>
            <w:r>
              <w:rPr>
                <w:spacing w:val="-2"/>
                <w:sz w:val="24"/>
              </w:rPr>
              <w:t>Reason)</w:t>
            </w:r>
          </w:p>
        </w:tc>
        <w:tc>
          <w:tcPr>
            <w:tcW w:w="1744" w:type="dxa"/>
          </w:tcPr>
          <w:p>
            <w:pPr>
              <w:pStyle w:val="TableParagraph"/>
              <w:spacing w:before="133"/>
              <w:ind w:left="1320"/>
              <w:rPr>
                <w:sz w:val="24"/>
              </w:rPr>
            </w:pPr>
            <w:r>
              <w:rPr>
                <w:spacing w:val="-5"/>
                <w:sz w:val="24"/>
              </w:rPr>
              <w:t>7.</w:t>
            </w:r>
          </w:p>
        </w:tc>
        <w:tc>
          <w:tcPr>
            <w:tcW w:w="478" w:type="dxa"/>
          </w:tcPr>
          <w:p>
            <w:pPr>
              <w:pStyle w:val="TableParagraph"/>
              <w:spacing w:before="133"/>
              <w:ind w:left="13" w:right="78"/>
              <w:jc w:val="center"/>
              <w:rPr>
                <w:sz w:val="24"/>
              </w:rPr>
            </w:pPr>
            <w:r>
              <w:rPr>
                <w:spacing w:val="-10"/>
                <w:sz w:val="24"/>
              </w:rPr>
              <w:t>A</w:t>
            </w:r>
          </w:p>
        </w:tc>
        <w:tc>
          <w:tcPr>
            <w:tcW w:w="1277" w:type="dxa"/>
          </w:tcPr>
          <w:p>
            <w:pPr>
              <w:pStyle w:val="TableParagraph"/>
              <w:spacing w:before="133"/>
              <w:ind w:left="124"/>
              <w:jc w:val="center"/>
              <w:rPr>
                <w:sz w:val="24"/>
              </w:rPr>
            </w:pPr>
            <w:r>
              <w:rPr>
                <w:sz w:val="24"/>
              </w:rPr>
              <w:t>(3</w:t>
            </w:r>
            <w:r>
              <w:rPr>
                <w:spacing w:val="3"/>
                <w:sz w:val="24"/>
              </w:rPr>
              <w:t> </w:t>
            </w:r>
            <w:r>
              <w:rPr>
                <w:spacing w:val="-2"/>
                <w:sz w:val="24"/>
              </w:rPr>
              <w:t>Reason)</w:t>
            </w:r>
          </w:p>
        </w:tc>
      </w:tr>
      <w:tr>
        <w:trPr>
          <w:trHeight w:val="652" w:hRule="atLeast"/>
        </w:trPr>
        <w:tc>
          <w:tcPr>
            <w:tcW w:w="373" w:type="dxa"/>
          </w:tcPr>
          <w:p>
            <w:pPr>
              <w:pStyle w:val="TableParagraph"/>
              <w:spacing w:before="133"/>
              <w:ind w:right="92"/>
              <w:jc w:val="center"/>
              <w:rPr>
                <w:sz w:val="24"/>
              </w:rPr>
            </w:pPr>
            <w:r>
              <w:rPr>
                <w:spacing w:val="-5"/>
                <w:sz w:val="24"/>
              </w:rPr>
              <w:t>3.</w:t>
            </w:r>
          </w:p>
        </w:tc>
        <w:tc>
          <w:tcPr>
            <w:tcW w:w="547" w:type="dxa"/>
          </w:tcPr>
          <w:p>
            <w:pPr>
              <w:pStyle w:val="TableParagraph"/>
              <w:spacing w:before="133"/>
              <w:ind w:left="14" w:right="113"/>
              <w:jc w:val="center"/>
              <w:rPr>
                <w:sz w:val="24"/>
              </w:rPr>
            </w:pPr>
            <w:r>
              <w:rPr>
                <w:spacing w:val="-10"/>
                <w:sz w:val="24"/>
              </w:rPr>
              <w:t>C</w:t>
            </w:r>
          </w:p>
        </w:tc>
        <w:tc>
          <w:tcPr>
            <w:tcW w:w="2597" w:type="dxa"/>
          </w:tcPr>
          <w:p>
            <w:pPr>
              <w:pStyle w:val="TableParagraph"/>
              <w:spacing w:before="133"/>
              <w:ind w:left="229"/>
              <w:rPr>
                <w:sz w:val="24"/>
              </w:rPr>
            </w:pPr>
            <w:r>
              <w:rPr>
                <w:sz w:val="24"/>
              </w:rPr>
              <w:t>(2</w:t>
            </w:r>
            <w:r>
              <w:rPr>
                <w:spacing w:val="3"/>
                <w:sz w:val="24"/>
              </w:rPr>
              <w:t> </w:t>
            </w:r>
            <w:r>
              <w:rPr>
                <w:spacing w:val="-2"/>
                <w:sz w:val="24"/>
              </w:rPr>
              <w:t>Reason)</w:t>
            </w:r>
          </w:p>
        </w:tc>
        <w:tc>
          <w:tcPr>
            <w:tcW w:w="1744" w:type="dxa"/>
          </w:tcPr>
          <w:p>
            <w:pPr>
              <w:pStyle w:val="TableParagraph"/>
              <w:spacing w:before="133"/>
              <w:ind w:left="1320"/>
              <w:rPr>
                <w:sz w:val="24"/>
              </w:rPr>
            </w:pPr>
            <w:r>
              <w:rPr>
                <w:spacing w:val="-5"/>
                <w:sz w:val="24"/>
              </w:rPr>
              <w:t>8.</w:t>
            </w:r>
          </w:p>
        </w:tc>
        <w:tc>
          <w:tcPr>
            <w:tcW w:w="478" w:type="dxa"/>
          </w:tcPr>
          <w:p>
            <w:pPr>
              <w:pStyle w:val="TableParagraph"/>
              <w:spacing w:before="133"/>
              <w:ind w:left="13" w:right="78"/>
              <w:jc w:val="center"/>
              <w:rPr>
                <w:sz w:val="24"/>
              </w:rPr>
            </w:pPr>
            <w:r>
              <w:rPr>
                <w:spacing w:val="-10"/>
                <w:sz w:val="24"/>
              </w:rPr>
              <w:t>A</w:t>
            </w:r>
          </w:p>
        </w:tc>
        <w:tc>
          <w:tcPr>
            <w:tcW w:w="1277" w:type="dxa"/>
          </w:tcPr>
          <w:p>
            <w:pPr>
              <w:pStyle w:val="TableParagraph"/>
              <w:spacing w:before="133"/>
              <w:ind w:left="124"/>
              <w:jc w:val="center"/>
              <w:rPr>
                <w:sz w:val="24"/>
              </w:rPr>
            </w:pPr>
            <w:r>
              <w:rPr>
                <w:sz w:val="24"/>
              </w:rPr>
              <w:t>(1</w:t>
            </w:r>
            <w:r>
              <w:rPr>
                <w:spacing w:val="3"/>
                <w:sz w:val="24"/>
              </w:rPr>
              <w:t> </w:t>
            </w:r>
            <w:r>
              <w:rPr>
                <w:spacing w:val="-2"/>
                <w:sz w:val="24"/>
              </w:rPr>
              <w:t>Reason)</w:t>
            </w:r>
          </w:p>
        </w:tc>
      </w:tr>
      <w:tr>
        <w:trPr>
          <w:trHeight w:val="751" w:hRule="atLeast"/>
        </w:trPr>
        <w:tc>
          <w:tcPr>
            <w:tcW w:w="373" w:type="dxa"/>
          </w:tcPr>
          <w:p>
            <w:pPr>
              <w:pStyle w:val="TableParagraph"/>
              <w:spacing w:before="233"/>
              <w:ind w:right="92"/>
              <w:jc w:val="center"/>
              <w:rPr>
                <w:sz w:val="24"/>
              </w:rPr>
            </w:pPr>
            <w:r>
              <w:rPr>
                <w:spacing w:val="-5"/>
                <w:sz w:val="24"/>
              </w:rPr>
              <w:t>4.</w:t>
            </w:r>
          </w:p>
        </w:tc>
        <w:tc>
          <w:tcPr>
            <w:tcW w:w="547" w:type="dxa"/>
          </w:tcPr>
          <w:p>
            <w:pPr>
              <w:pStyle w:val="TableParagraph"/>
              <w:spacing w:before="233"/>
              <w:ind w:right="113"/>
              <w:jc w:val="center"/>
              <w:rPr>
                <w:sz w:val="24"/>
              </w:rPr>
            </w:pPr>
            <w:r>
              <w:rPr>
                <w:spacing w:val="-10"/>
                <w:sz w:val="24"/>
              </w:rPr>
              <w:t>E</w:t>
            </w:r>
          </w:p>
        </w:tc>
        <w:tc>
          <w:tcPr>
            <w:tcW w:w="2597" w:type="dxa"/>
          </w:tcPr>
          <w:p>
            <w:pPr>
              <w:pStyle w:val="TableParagraph"/>
              <w:spacing w:before="233"/>
              <w:ind w:left="229"/>
              <w:rPr>
                <w:sz w:val="24"/>
              </w:rPr>
            </w:pPr>
            <w:r>
              <w:rPr>
                <w:sz w:val="24"/>
              </w:rPr>
              <w:t>(1</w:t>
            </w:r>
            <w:r>
              <w:rPr>
                <w:spacing w:val="3"/>
                <w:sz w:val="24"/>
              </w:rPr>
              <w:t> </w:t>
            </w:r>
            <w:r>
              <w:rPr>
                <w:spacing w:val="-2"/>
                <w:sz w:val="24"/>
              </w:rPr>
              <w:t>Reason)</w:t>
            </w:r>
          </w:p>
        </w:tc>
        <w:tc>
          <w:tcPr>
            <w:tcW w:w="1744" w:type="dxa"/>
          </w:tcPr>
          <w:p>
            <w:pPr>
              <w:pStyle w:val="TableParagraph"/>
              <w:spacing w:before="233"/>
              <w:ind w:left="1320"/>
              <w:rPr>
                <w:sz w:val="24"/>
              </w:rPr>
            </w:pPr>
            <w:r>
              <w:rPr>
                <w:spacing w:val="-5"/>
                <w:sz w:val="24"/>
              </w:rPr>
              <w:t>9.</w:t>
            </w:r>
          </w:p>
        </w:tc>
        <w:tc>
          <w:tcPr>
            <w:tcW w:w="478" w:type="dxa"/>
          </w:tcPr>
          <w:p>
            <w:pPr>
              <w:pStyle w:val="TableParagraph"/>
              <w:spacing w:before="233"/>
              <w:ind w:left="13" w:right="78"/>
              <w:jc w:val="center"/>
              <w:rPr>
                <w:sz w:val="24"/>
              </w:rPr>
            </w:pPr>
            <w:r>
              <w:rPr>
                <w:spacing w:val="-10"/>
                <w:sz w:val="24"/>
              </w:rPr>
              <w:t>A</w:t>
            </w:r>
          </w:p>
        </w:tc>
        <w:tc>
          <w:tcPr>
            <w:tcW w:w="1277" w:type="dxa"/>
          </w:tcPr>
          <w:p>
            <w:pPr>
              <w:pStyle w:val="TableParagraph"/>
              <w:spacing w:before="233"/>
              <w:ind w:left="124"/>
              <w:jc w:val="center"/>
              <w:rPr>
                <w:sz w:val="24"/>
              </w:rPr>
            </w:pPr>
            <w:r>
              <w:rPr>
                <w:sz w:val="24"/>
              </w:rPr>
              <w:t>(1</w:t>
            </w:r>
            <w:r>
              <w:rPr>
                <w:spacing w:val="3"/>
                <w:sz w:val="24"/>
              </w:rPr>
              <w:t> </w:t>
            </w:r>
            <w:r>
              <w:rPr>
                <w:spacing w:val="-2"/>
                <w:sz w:val="24"/>
              </w:rPr>
              <w:t>Reason)</w:t>
            </w:r>
          </w:p>
        </w:tc>
      </w:tr>
      <w:tr>
        <w:trPr>
          <w:trHeight w:val="507" w:hRule="atLeast"/>
        </w:trPr>
        <w:tc>
          <w:tcPr>
            <w:tcW w:w="373" w:type="dxa"/>
          </w:tcPr>
          <w:p>
            <w:pPr>
              <w:pStyle w:val="TableParagraph"/>
              <w:spacing w:line="256" w:lineRule="exact" w:before="231"/>
              <w:ind w:right="92"/>
              <w:jc w:val="center"/>
              <w:rPr>
                <w:sz w:val="24"/>
              </w:rPr>
            </w:pPr>
            <w:r>
              <w:rPr>
                <w:spacing w:val="-5"/>
                <w:sz w:val="24"/>
              </w:rPr>
              <w:t>5.</w:t>
            </w:r>
          </w:p>
        </w:tc>
        <w:tc>
          <w:tcPr>
            <w:tcW w:w="547" w:type="dxa"/>
          </w:tcPr>
          <w:p>
            <w:pPr>
              <w:pStyle w:val="TableParagraph"/>
              <w:spacing w:line="256" w:lineRule="exact" w:before="231"/>
              <w:ind w:left="14" w:right="113"/>
              <w:jc w:val="center"/>
              <w:rPr>
                <w:sz w:val="24"/>
              </w:rPr>
            </w:pPr>
            <w:r>
              <w:rPr>
                <w:spacing w:val="-10"/>
                <w:sz w:val="24"/>
              </w:rPr>
              <w:t>C</w:t>
            </w:r>
          </w:p>
        </w:tc>
        <w:tc>
          <w:tcPr>
            <w:tcW w:w="2597" w:type="dxa"/>
          </w:tcPr>
          <w:p>
            <w:pPr>
              <w:pStyle w:val="TableParagraph"/>
              <w:spacing w:line="256" w:lineRule="exact" w:before="231"/>
              <w:ind w:left="229"/>
              <w:rPr>
                <w:sz w:val="24"/>
              </w:rPr>
            </w:pPr>
            <w:r>
              <w:rPr>
                <w:sz w:val="24"/>
              </w:rPr>
              <w:t>(5</w:t>
            </w:r>
            <w:r>
              <w:rPr>
                <w:spacing w:val="3"/>
                <w:sz w:val="24"/>
              </w:rPr>
              <w:t> </w:t>
            </w:r>
            <w:r>
              <w:rPr>
                <w:spacing w:val="-2"/>
                <w:sz w:val="24"/>
              </w:rPr>
              <w:t>Reason)</w:t>
            </w:r>
          </w:p>
        </w:tc>
        <w:tc>
          <w:tcPr>
            <w:tcW w:w="1744" w:type="dxa"/>
          </w:tcPr>
          <w:p>
            <w:pPr>
              <w:pStyle w:val="TableParagraph"/>
              <w:spacing w:line="256" w:lineRule="exact" w:before="231"/>
              <w:ind w:left="1320"/>
              <w:rPr>
                <w:sz w:val="24"/>
              </w:rPr>
            </w:pPr>
            <w:r>
              <w:rPr>
                <w:spacing w:val="-5"/>
                <w:sz w:val="24"/>
              </w:rPr>
              <w:t>10.</w:t>
            </w:r>
          </w:p>
        </w:tc>
        <w:tc>
          <w:tcPr>
            <w:tcW w:w="478" w:type="dxa"/>
          </w:tcPr>
          <w:p>
            <w:pPr>
              <w:pStyle w:val="TableParagraph"/>
              <w:spacing w:line="256" w:lineRule="exact" w:before="231"/>
              <w:ind w:right="78"/>
              <w:jc w:val="center"/>
              <w:rPr>
                <w:sz w:val="24"/>
              </w:rPr>
            </w:pPr>
            <w:r>
              <w:rPr>
                <w:spacing w:val="-10"/>
                <w:sz w:val="24"/>
              </w:rPr>
              <w:t>B</w:t>
            </w:r>
          </w:p>
        </w:tc>
        <w:tc>
          <w:tcPr>
            <w:tcW w:w="1277" w:type="dxa"/>
          </w:tcPr>
          <w:p>
            <w:pPr>
              <w:pStyle w:val="TableParagraph"/>
              <w:spacing w:line="256" w:lineRule="exact" w:before="231"/>
              <w:ind w:left="124"/>
              <w:jc w:val="center"/>
              <w:rPr>
                <w:sz w:val="24"/>
              </w:rPr>
            </w:pPr>
            <w:r>
              <w:rPr>
                <w:sz w:val="24"/>
              </w:rPr>
              <w:t>(2</w:t>
            </w:r>
            <w:r>
              <w:rPr>
                <w:spacing w:val="3"/>
                <w:sz w:val="24"/>
              </w:rPr>
              <w:t> </w:t>
            </w:r>
            <w:r>
              <w:rPr>
                <w:spacing w:val="-2"/>
                <w:sz w:val="24"/>
              </w:rPr>
              <w:t>Reason)</w:t>
            </w:r>
          </w:p>
        </w:tc>
      </w:tr>
    </w:tbl>
    <w:p>
      <w:pPr>
        <w:pStyle w:val="BodyText"/>
        <w:spacing w:before="204"/>
        <w:ind w:left="0"/>
        <w:jc w:val="left"/>
        <w:rPr>
          <w:b/>
        </w:rPr>
      </w:pPr>
    </w:p>
    <w:p>
      <w:pPr>
        <w:pStyle w:val="BodyText"/>
        <w:spacing w:line="480" w:lineRule="auto" w:before="1"/>
        <w:ind w:left="1201" w:right="6327"/>
        <w:jc w:val="left"/>
      </w:pPr>
      <w:r>
        <w:rPr/>
        <w:t>TOTAL</w:t>
      </w:r>
      <w:r>
        <w:rPr>
          <w:spacing w:val="-14"/>
        </w:rPr>
        <w:t> </w:t>
      </w:r>
      <w:r>
        <w:rPr/>
        <w:t>=</w:t>
      </w:r>
      <w:r>
        <w:rPr>
          <w:spacing w:val="-13"/>
        </w:rPr>
        <w:t> </w:t>
      </w:r>
      <w:r>
        <w:rPr/>
        <w:t>10</w:t>
      </w:r>
      <w:r>
        <w:rPr>
          <w:spacing w:val="-12"/>
        </w:rPr>
        <w:t> </w:t>
      </w:r>
      <w:r>
        <w:rPr/>
        <w:t>Marks </w:t>
      </w:r>
      <w:r>
        <w:rPr>
          <w:spacing w:val="-2"/>
        </w:rPr>
        <w:t>NOTE:</w:t>
      </w:r>
    </w:p>
    <w:p>
      <w:pPr>
        <w:pStyle w:val="ListParagraph"/>
        <w:numPr>
          <w:ilvl w:val="1"/>
          <w:numId w:val="31"/>
        </w:numPr>
        <w:tabs>
          <w:tab w:pos="1200" w:val="left" w:leader="none"/>
        </w:tabs>
        <w:spacing w:line="240" w:lineRule="auto" w:before="2" w:after="0"/>
        <w:ind w:left="1200" w:right="0" w:hanging="359"/>
        <w:jc w:val="left"/>
        <w:rPr>
          <w:sz w:val="24"/>
        </w:rPr>
      </w:pPr>
      <w:r>
        <w:rPr>
          <w:sz w:val="24"/>
        </w:rPr>
        <w:t>One</w:t>
      </w:r>
      <w:r>
        <w:rPr>
          <w:spacing w:val="2"/>
          <w:sz w:val="24"/>
        </w:rPr>
        <w:t> </w:t>
      </w:r>
      <w:r>
        <w:rPr>
          <w:sz w:val="24"/>
        </w:rPr>
        <w:t>mark</w:t>
      </w:r>
      <w:r>
        <w:rPr>
          <w:spacing w:val="3"/>
          <w:sz w:val="24"/>
        </w:rPr>
        <w:t> </w:t>
      </w:r>
      <w:r>
        <w:rPr>
          <w:sz w:val="24"/>
        </w:rPr>
        <w:t>for</w:t>
      </w:r>
      <w:r>
        <w:rPr>
          <w:spacing w:val="-1"/>
          <w:sz w:val="24"/>
        </w:rPr>
        <w:t> </w:t>
      </w:r>
      <w:r>
        <w:rPr>
          <w:sz w:val="24"/>
        </w:rPr>
        <w:t>each</w:t>
      </w:r>
      <w:r>
        <w:rPr>
          <w:spacing w:val="-6"/>
          <w:sz w:val="24"/>
        </w:rPr>
        <w:t> </w:t>
      </w:r>
      <w:r>
        <w:rPr>
          <w:sz w:val="24"/>
        </w:rPr>
        <w:t>correct</w:t>
      </w:r>
      <w:r>
        <w:rPr>
          <w:spacing w:val="-5"/>
          <w:sz w:val="24"/>
        </w:rPr>
        <w:t> </w:t>
      </w:r>
      <w:r>
        <w:rPr>
          <w:sz w:val="24"/>
        </w:rPr>
        <w:t>option</w:t>
      </w:r>
      <w:r>
        <w:rPr>
          <w:spacing w:val="-6"/>
          <w:sz w:val="24"/>
        </w:rPr>
        <w:t> </w:t>
      </w:r>
      <w:r>
        <w:rPr>
          <w:sz w:val="24"/>
        </w:rPr>
        <w:t>and</w:t>
      </w:r>
      <w:r>
        <w:rPr>
          <w:spacing w:val="5"/>
          <w:sz w:val="24"/>
        </w:rPr>
        <w:t> </w:t>
      </w:r>
      <w:r>
        <w:rPr>
          <w:sz w:val="24"/>
        </w:rPr>
        <w:t>correct</w:t>
      </w:r>
      <w:r>
        <w:rPr>
          <w:spacing w:val="-1"/>
          <w:sz w:val="24"/>
        </w:rPr>
        <w:t> </w:t>
      </w:r>
      <w:r>
        <w:rPr>
          <w:spacing w:val="-2"/>
          <w:sz w:val="24"/>
        </w:rPr>
        <w:t>reason.</w:t>
      </w:r>
    </w:p>
    <w:p>
      <w:pPr>
        <w:pStyle w:val="ListParagraph"/>
        <w:numPr>
          <w:ilvl w:val="1"/>
          <w:numId w:val="31"/>
        </w:numPr>
        <w:tabs>
          <w:tab w:pos="1200" w:val="left" w:leader="none"/>
        </w:tabs>
        <w:spacing w:line="240" w:lineRule="auto" w:before="272" w:after="0"/>
        <w:ind w:left="1200" w:right="0" w:hanging="359"/>
        <w:jc w:val="left"/>
        <w:rPr>
          <w:sz w:val="24"/>
        </w:rPr>
      </w:pPr>
      <w:r>
        <w:rPr>
          <w:sz w:val="24"/>
        </w:rPr>
        <w:t>No</w:t>
      </w:r>
      <w:r>
        <w:rPr>
          <w:spacing w:val="1"/>
          <w:sz w:val="24"/>
        </w:rPr>
        <w:t> </w:t>
      </w:r>
      <w:r>
        <w:rPr>
          <w:sz w:val="24"/>
        </w:rPr>
        <w:t>mark</w:t>
      </w:r>
      <w:r>
        <w:rPr>
          <w:spacing w:val="-2"/>
          <w:sz w:val="24"/>
        </w:rPr>
        <w:t> </w:t>
      </w:r>
      <w:r>
        <w:rPr>
          <w:sz w:val="24"/>
        </w:rPr>
        <w:t>for</w:t>
      </w:r>
      <w:r>
        <w:rPr>
          <w:spacing w:val="-1"/>
          <w:sz w:val="24"/>
        </w:rPr>
        <w:t> </w:t>
      </w:r>
      <w:r>
        <w:rPr>
          <w:sz w:val="24"/>
        </w:rPr>
        <w:t>correct</w:t>
      </w:r>
      <w:r>
        <w:rPr>
          <w:spacing w:val="-2"/>
          <w:sz w:val="24"/>
        </w:rPr>
        <w:t> </w:t>
      </w:r>
      <w:r>
        <w:rPr>
          <w:sz w:val="24"/>
        </w:rPr>
        <w:t>option</w:t>
      </w:r>
      <w:r>
        <w:rPr>
          <w:spacing w:val="-7"/>
          <w:sz w:val="24"/>
        </w:rPr>
        <w:t> </w:t>
      </w:r>
      <w:r>
        <w:rPr>
          <w:sz w:val="24"/>
        </w:rPr>
        <w:t>and</w:t>
      </w:r>
      <w:r>
        <w:rPr>
          <w:spacing w:val="-2"/>
          <w:sz w:val="24"/>
        </w:rPr>
        <w:t> </w:t>
      </w:r>
      <w:r>
        <w:rPr>
          <w:sz w:val="24"/>
        </w:rPr>
        <w:t>wrong</w:t>
      </w:r>
      <w:r>
        <w:rPr>
          <w:spacing w:val="-2"/>
          <w:sz w:val="24"/>
        </w:rPr>
        <w:t> reason.</w:t>
      </w:r>
    </w:p>
    <w:p>
      <w:pPr>
        <w:pStyle w:val="BodyText"/>
        <w:spacing w:before="1"/>
        <w:ind w:left="0"/>
        <w:jc w:val="left"/>
      </w:pPr>
    </w:p>
    <w:p>
      <w:pPr>
        <w:pStyle w:val="ListParagraph"/>
        <w:numPr>
          <w:ilvl w:val="1"/>
          <w:numId w:val="31"/>
        </w:numPr>
        <w:tabs>
          <w:tab w:pos="1200" w:val="left" w:leader="none"/>
        </w:tabs>
        <w:spacing w:line="240" w:lineRule="auto" w:before="1" w:after="0"/>
        <w:ind w:left="1200" w:right="0" w:hanging="359"/>
        <w:jc w:val="left"/>
        <w:rPr>
          <w:sz w:val="24"/>
        </w:rPr>
      </w:pPr>
      <w:r>
        <w:rPr>
          <w:sz w:val="24"/>
        </w:rPr>
        <w:t>No</w:t>
      </w:r>
      <w:r>
        <w:rPr>
          <w:spacing w:val="2"/>
          <w:sz w:val="24"/>
        </w:rPr>
        <w:t> </w:t>
      </w:r>
      <w:r>
        <w:rPr>
          <w:sz w:val="24"/>
        </w:rPr>
        <w:t>mark</w:t>
      </w:r>
      <w:r>
        <w:rPr>
          <w:spacing w:val="-2"/>
          <w:sz w:val="24"/>
        </w:rPr>
        <w:t> </w:t>
      </w:r>
      <w:r>
        <w:rPr>
          <w:sz w:val="24"/>
        </w:rPr>
        <w:t>for wrong</w:t>
      </w:r>
      <w:r>
        <w:rPr>
          <w:spacing w:val="-1"/>
          <w:sz w:val="24"/>
        </w:rPr>
        <w:t> </w:t>
      </w:r>
      <w:r>
        <w:rPr>
          <w:sz w:val="24"/>
        </w:rPr>
        <w:t>option</w:t>
      </w:r>
      <w:r>
        <w:rPr>
          <w:spacing w:val="-7"/>
          <w:sz w:val="24"/>
        </w:rPr>
        <w:t> </w:t>
      </w:r>
      <w:r>
        <w:rPr>
          <w:sz w:val="24"/>
        </w:rPr>
        <w:t>and</w:t>
      </w:r>
      <w:r>
        <w:rPr>
          <w:spacing w:val="-1"/>
          <w:sz w:val="24"/>
        </w:rPr>
        <w:t> </w:t>
      </w:r>
      <w:r>
        <w:rPr>
          <w:sz w:val="24"/>
        </w:rPr>
        <w:t>correct</w:t>
      </w:r>
      <w:r>
        <w:rPr>
          <w:spacing w:val="-1"/>
          <w:sz w:val="24"/>
        </w:rPr>
        <w:t> </w:t>
      </w:r>
      <w:r>
        <w:rPr>
          <w:spacing w:val="-2"/>
          <w:sz w:val="24"/>
        </w:rPr>
        <w:t>reason.</w:t>
      </w:r>
    </w:p>
    <w:p>
      <w:pPr>
        <w:pStyle w:val="BodyText"/>
        <w:spacing w:before="55"/>
        <w:ind w:left="0"/>
        <w:jc w:val="left"/>
        <w:rPr>
          <w:sz w:val="20"/>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
        <w:gridCol w:w="1628"/>
        <w:gridCol w:w="2783"/>
        <w:gridCol w:w="1765"/>
      </w:tblGrid>
      <w:tr>
        <w:trPr>
          <w:trHeight w:val="408" w:hRule="atLeast"/>
        </w:trPr>
        <w:tc>
          <w:tcPr>
            <w:tcW w:w="524" w:type="dxa"/>
          </w:tcPr>
          <w:p>
            <w:pPr>
              <w:pStyle w:val="TableParagraph"/>
              <w:spacing w:line="266" w:lineRule="exact"/>
              <w:ind w:left="50"/>
              <w:rPr>
                <w:sz w:val="24"/>
              </w:rPr>
            </w:pPr>
            <w:r>
              <w:rPr>
                <w:spacing w:val="-5"/>
                <w:sz w:val="24"/>
              </w:rPr>
              <w:t>11.</w:t>
            </w:r>
          </w:p>
        </w:tc>
        <w:tc>
          <w:tcPr>
            <w:tcW w:w="1628" w:type="dxa"/>
          </w:tcPr>
          <w:p>
            <w:pPr>
              <w:pStyle w:val="TableParagraph"/>
              <w:spacing w:line="266" w:lineRule="exact"/>
              <w:ind w:left="173"/>
              <w:rPr>
                <w:sz w:val="24"/>
              </w:rPr>
            </w:pPr>
            <w:r>
              <w:rPr>
                <w:spacing w:val="-5"/>
                <w:sz w:val="24"/>
              </w:rPr>
              <w:t>AL</w:t>
            </w:r>
          </w:p>
        </w:tc>
        <w:tc>
          <w:tcPr>
            <w:tcW w:w="2783" w:type="dxa"/>
          </w:tcPr>
          <w:p>
            <w:pPr>
              <w:pStyle w:val="TableParagraph"/>
              <w:spacing w:line="266" w:lineRule="exact"/>
              <w:ind w:left="1067"/>
              <w:rPr>
                <w:sz w:val="24"/>
              </w:rPr>
            </w:pPr>
            <w:r>
              <w:rPr>
                <w:spacing w:val="-5"/>
                <w:sz w:val="24"/>
              </w:rPr>
              <w:t>BL</w:t>
            </w:r>
          </w:p>
        </w:tc>
        <w:tc>
          <w:tcPr>
            <w:tcW w:w="1765" w:type="dxa"/>
          </w:tcPr>
          <w:p>
            <w:pPr>
              <w:pStyle w:val="TableParagraph"/>
              <w:spacing w:line="266" w:lineRule="exact"/>
              <w:ind w:right="116"/>
              <w:jc w:val="right"/>
              <w:rPr>
                <w:sz w:val="24"/>
              </w:rPr>
            </w:pPr>
            <w:r>
              <w:rPr>
                <w:spacing w:val="-5"/>
                <w:sz w:val="24"/>
              </w:rPr>
              <w:t>CL</w:t>
            </w:r>
          </w:p>
        </w:tc>
      </w:tr>
      <w:tr>
        <w:trPr>
          <w:trHeight w:val="552" w:hRule="atLeast"/>
        </w:trPr>
        <w:tc>
          <w:tcPr>
            <w:tcW w:w="524" w:type="dxa"/>
          </w:tcPr>
          <w:p>
            <w:pPr>
              <w:pStyle w:val="TableParagraph"/>
              <w:rPr>
                <w:sz w:val="22"/>
              </w:rPr>
            </w:pPr>
          </w:p>
        </w:tc>
        <w:tc>
          <w:tcPr>
            <w:tcW w:w="1628" w:type="dxa"/>
          </w:tcPr>
          <w:p>
            <w:pPr>
              <w:pStyle w:val="TableParagraph"/>
              <w:spacing w:before="133"/>
              <w:ind w:left="173"/>
              <w:rPr>
                <w:sz w:val="24"/>
              </w:rPr>
            </w:pPr>
            <w:r>
              <w:rPr>
                <w:spacing w:val="-5"/>
                <w:sz w:val="24"/>
              </w:rPr>
              <w:t>AM</w:t>
            </w:r>
          </w:p>
        </w:tc>
        <w:tc>
          <w:tcPr>
            <w:tcW w:w="2783" w:type="dxa"/>
          </w:tcPr>
          <w:p>
            <w:pPr>
              <w:pStyle w:val="TableParagraph"/>
              <w:spacing w:before="133"/>
              <w:ind w:left="1067"/>
              <w:rPr>
                <w:sz w:val="24"/>
              </w:rPr>
            </w:pPr>
            <w:r>
              <w:rPr>
                <w:spacing w:val="-5"/>
                <w:sz w:val="24"/>
              </w:rPr>
              <w:t>BM</w:t>
            </w:r>
          </w:p>
        </w:tc>
        <w:tc>
          <w:tcPr>
            <w:tcW w:w="1765" w:type="dxa"/>
          </w:tcPr>
          <w:p>
            <w:pPr>
              <w:pStyle w:val="TableParagraph"/>
              <w:spacing w:before="133"/>
              <w:ind w:right="49"/>
              <w:jc w:val="right"/>
              <w:rPr>
                <w:sz w:val="24"/>
              </w:rPr>
            </w:pPr>
            <w:r>
              <w:rPr>
                <w:spacing w:val="-5"/>
                <w:sz w:val="24"/>
              </w:rPr>
              <w:t>CM</w:t>
            </w:r>
          </w:p>
        </w:tc>
      </w:tr>
      <w:tr>
        <w:trPr>
          <w:trHeight w:val="408" w:hRule="atLeast"/>
        </w:trPr>
        <w:tc>
          <w:tcPr>
            <w:tcW w:w="524" w:type="dxa"/>
          </w:tcPr>
          <w:p>
            <w:pPr>
              <w:pStyle w:val="TableParagraph"/>
              <w:rPr>
                <w:sz w:val="22"/>
              </w:rPr>
            </w:pPr>
          </w:p>
        </w:tc>
        <w:tc>
          <w:tcPr>
            <w:tcW w:w="1628" w:type="dxa"/>
          </w:tcPr>
          <w:p>
            <w:pPr>
              <w:pStyle w:val="TableParagraph"/>
              <w:spacing w:line="256" w:lineRule="exact" w:before="133"/>
              <w:ind w:left="173"/>
              <w:rPr>
                <w:sz w:val="24"/>
              </w:rPr>
            </w:pPr>
            <w:r>
              <w:rPr>
                <w:spacing w:val="-5"/>
                <w:sz w:val="24"/>
              </w:rPr>
              <w:t>AN</w:t>
            </w:r>
          </w:p>
        </w:tc>
        <w:tc>
          <w:tcPr>
            <w:tcW w:w="2783" w:type="dxa"/>
          </w:tcPr>
          <w:p>
            <w:pPr>
              <w:pStyle w:val="TableParagraph"/>
              <w:spacing w:line="256" w:lineRule="exact" w:before="133"/>
              <w:ind w:left="1067"/>
              <w:rPr>
                <w:sz w:val="24"/>
              </w:rPr>
            </w:pPr>
            <w:r>
              <w:rPr>
                <w:spacing w:val="-5"/>
                <w:sz w:val="24"/>
              </w:rPr>
              <w:t>BN</w:t>
            </w:r>
          </w:p>
        </w:tc>
        <w:tc>
          <w:tcPr>
            <w:tcW w:w="1765" w:type="dxa"/>
          </w:tcPr>
          <w:p>
            <w:pPr>
              <w:pStyle w:val="TableParagraph"/>
              <w:spacing w:line="256" w:lineRule="exact" w:before="133"/>
              <w:ind w:right="89"/>
              <w:jc w:val="right"/>
              <w:rPr>
                <w:sz w:val="24"/>
              </w:rPr>
            </w:pPr>
            <w:r>
              <w:rPr>
                <w:spacing w:val="-5"/>
                <w:sz w:val="24"/>
              </w:rPr>
              <w:t>CN</w:t>
            </w:r>
          </w:p>
        </w:tc>
      </w:tr>
    </w:tbl>
    <w:p>
      <w:pPr>
        <w:pStyle w:val="BodyText"/>
        <w:spacing w:before="7"/>
        <w:ind w:left="0"/>
        <w:jc w:val="left"/>
      </w:pPr>
    </w:p>
    <w:p>
      <w:pPr>
        <w:pStyle w:val="Heading2"/>
        <w:spacing w:before="0"/>
        <w:ind w:left="1201"/>
        <w:jc w:val="left"/>
      </w:pPr>
      <w:r>
        <w:rPr>
          <w:spacing w:val="-2"/>
        </w:rPr>
        <w:t>NOTE:</w:t>
      </w:r>
    </w:p>
    <w:p>
      <w:pPr>
        <w:pStyle w:val="ListParagraph"/>
        <w:numPr>
          <w:ilvl w:val="2"/>
          <w:numId w:val="31"/>
        </w:numPr>
        <w:tabs>
          <w:tab w:pos="1921" w:val="left" w:leader="none"/>
        </w:tabs>
        <w:spacing w:line="240" w:lineRule="auto" w:before="273" w:after="0"/>
        <w:ind w:left="1921" w:right="0" w:hanging="720"/>
        <w:jc w:val="left"/>
        <w:rPr>
          <w:sz w:val="24"/>
        </w:rPr>
      </w:pPr>
      <w:r>
        <w:rPr>
          <w:sz w:val="24"/>
        </w:rPr>
        <w:t>One</w:t>
      </w:r>
      <w:r>
        <w:rPr>
          <w:spacing w:val="1"/>
          <w:sz w:val="24"/>
        </w:rPr>
        <w:t> </w:t>
      </w:r>
      <w:r>
        <w:rPr>
          <w:sz w:val="24"/>
        </w:rPr>
        <w:t>mark</w:t>
      </w:r>
      <w:r>
        <w:rPr>
          <w:spacing w:val="2"/>
          <w:sz w:val="24"/>
        </w:rPr>
        <w:t> </w:t>
      </w:r>
      <w:r>
        <w:rPr>
          <w:sz w:val="24"/>
        </w:rPr>
        <w:t>for</w:t>
      </w:r>
      <w:r>
        <w:rPr>
          <w:spacing w:val="-5"/>
          <w:sz w:val="24"/>
        </w:rPr>
        <w:t> </w:t>
      </w:r>
      <w:r>
        <w:rPr>
          <w:sz w:val="24"/>
        </w:rPr>
        <w:t>the</w:t>
      </w:r>
      <w:r>
        <w:rPr>
          <w:spacing w:val="-3"/>
          <w:sz w:val="24"/>
        </w:rPr>
        <w:t> </w:t>
      </w:r>
      <w:r>
        <w:rPr>
          <w:sz w:val="24"/>
        </w:rPr>
        <w:t>above</w:t>
      </w:r>
      <w:r>
        <w:rPr>
          <w:spacing w:val="-3"/>
          <w:sz w:val="24"/>
        </w:rPr>
        <w:t> </w:t>
      </w:r>
      <w:r>
        <w:rPr>
          <w:sz w:val="24"/>
        </w:rPr>
        <w:t>correct</w:t>
      </w:r>
      <w:r>
        <w:rPr>
          <w:spacing w:val="-1"/>
          <w:sz w:val="24"/>
        </w:rPr>
        <w:t> </w:t>
      </w:r>
      <w:r>
        <w:rPr>
          <w:spacing w:val="-2"/>
          <w:sz w:val="24"/>
        </w:rPr>
        <w:t>combinations.</w:t>
      </w:r>
    </w:p>
    <w:p>
      <w:pPr>
        <w:pStyle w:val="ListParagraph"/>
        <w:numPr>
          <w:ilvl w:val="2"/>
          <w:numId w:val="31"/>
        </w:numPr>
        <w:tabs>
          <w:tab w:pos="1921" w:val="left" w:leader="none"/>
        </w:tabs>
        <w:spacing w:line="240" w:lineRule="auto" w:before="273" w:after="0"/>
        <w:ind w:left="1921" w:right="0" w:hanging="720"/>
        <w:jc w:val="left"/>
        <w:rPr>
          <w:sz w:val="24"/>
        </w:rPr>
      </w:pPr>
      <w:r>
        <w:rPr>
          <w:sz w:val="24"/>
        </w:rPr>
        <w:t>One</w:t>
      </w:r>
      <w:r>
        <w:rPr>
          <w:spacing w:val="2"/>
          <w:sz w:val="24"/>
        </w:rPr>
        <w:t> </w:t>
      </w:r>
      <w:r>
        <w:rPr>
          <w:sz w:val="24"/>
        </w:rPr>
        <w:t>mark</w:t>
      </w:r>
      <w:r>
        <w:rPr>
          <w:spacing w:val="2"/>
          <w:sz w:val="24"/>
        </w:rPr>
        <w:t> </w:t>
      </w:r>
      <w:r>
        <w:rPr>
          <w:sz w:val="24"/>
        </w:rPr>
        <w:t>for</w:t>
      </w:r>
      <w:r>
        <w:rPr>
          <w:spacing w:val="1"/>
          <w:sz w:val="24"/>
        </w:rPr>
        <w:t> </w:t>
      </w:r>
      <w:r>
        <w:rPr>
          <w:b/>
          <w:sz w:val="24"/>
        </w:rPr>
        <w:t>ONLY</w:t>
      </w:r>
      <w:r>
        <w:rPr>
          <w:b/>
          <w:spacing w:val="-6"/>
          <w:sz w:val="24"/>
        </w:rPr>
        <w:t> </w:t>
      </w:r>
      <w:r>
        <w:rPr>
          <w:sz w:val="24"/>
        </w:rPr>
        <w:t>one</w:t>
      </w:r>
      <w:r>
        <w:rPr>
          <w:spacing w:val="-2"/>
          <w:sz w:val="24"/>
        </w:rPr>
        <w:t> mistake.</w:t>
      </w:r>
    </w:p>
    <w:p>
      <w:pPr>
        <w:pStyle w:val="BodyText"/>
        <w:spacing w:before="1"/>
        <w:ind w:left="0"/>
        <w:jc w:val="left"/>
      </w:pPr>
    </w:p>
    <w:p>
      <w:pPr>
        <w:pStyle w:val="ListParagraph"/>
        <w:numPr>
          <w:ilvl w:val="2"/>
          <w:numId w:val="31"/>
        </w:numPr>
        <w:tabs>
          <w:tab w:pos="1921" w:val="left" w:leader="none"/>
        </w:tabs>
        <w:spacing w:line="240" w:lineRule="auto" w:before="0" w:after="0"/>
        <w:ind w:left="1921" w:right="0" w:hanging="720"/>
        <w:jc w:val="left"/>
        <w:rPr>
          <w:sz w:val="24"/>
        </w:rPr>
      </w:pPr>
      <w:r>
        <w:rPr>
          <w:sz w:val="24"/>
        </w:rPr>
        <w:t>No</w:t>
      </w:r>
      <w:r>
        <w:rPr>
          <w:spacing w:val="4"/>
          <w:sz w:val="24"/>
        </w:rPr>
        <w:t> </w:t>
      </w:r>
      <w:r>
        <w:rPr>
          <w:sz w:val="24"/>
        </w:rPr>
        <w:t>mark for</w:t>
      </w:r>
      <w:r>
        <w:rPr>
          <w:spacing w:val="-3"/>
          <w:sz w:val="24"/>
        </w:rPr>
        <w:t> </w:t>
      </w:r>
      <w:r>
        <w:rPr>
          <w:sz w:val="24"/>
        </w:rPr>
        <w:t>two</w:t>
      </w:r>
      <w:r>
        <w:rPr>
          <w:spacing w:val="-4"/>
          <w:sz w:val="24"/>
        </w:rPr>
        <w:t> </w:t>
      </w:r>
      <w:r>
        <w:rPr>
          <w:sz w:val="24"/>
        </w:rPr>
        <w:t>or</w:t>
      </w:r>
      <w:r>
        <w:rPr>
          <w:spacing w:val="-3"/>
          <w:sz w:val="24"/>
        </w:rPr>
        <w:t> </w:t>
      </w:r>
      <w:r>
        <w:rPr>
          <w:sz w:val="24"/>
        </w:rPr>
        <w:t>more </w:t>
      </w:r>
      <w:r>
        <w:rPr>
          <w:spacing w:val="-2"/>
          <w:sz w:val="24"/>
        </w:rPr>
        <w:t>mistakes.</w:t>
      </w:r>
    </w:p>
    <w:p>
      <w:pPr>
        <w:spacing w:after="0" w:line="240" w:lineRule="auto"/>
        <w:jc w:val="left"/>
        <w:rPr>
          <w:sz w:val="24"/>
        </w:rPr>
        <w:sectPr>
          <w:pgSz w:w="11910" w:h="16840"/>
          <w:pgMar w:header="0" w:footer="1012" w:top="1340" w:bottom="1200" w:left="1680" w:right="280"/>
        </w:sectPr>
      </w:pPr>
    </w:p>
    <w:p>
      <w:pPr>
        <w:pStyle w:val="BodyText"/>
        <w:spacing w:before="5"/>
        <w:ind w:left="0"/>
        <w:jc w:val="left"/>
        <w:rPr>
          <w:sz w:val="2"/>
        </w:rPr>
      </w:pPr>
    </w:p>
    <w:tbl>
      <w:tblPr>
        <w:tblW w:w="0" w:type="auto"/>
        <w:jc w:val="left"/>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7"/>
        <w:gridCol w:w="1541"/>
        <w:gridCol w:w="722"/>
        <w:gridCol w:w="861"/>
        <w:gridCol w:w="2424"/>
      </w:tblGrid>
      <w:tr>
        <w:trPr>
          <w:trHeight w:val="406" w:hRule="atLeast"/>
        </w:trPr>
        <w:tc>
          <w:tcPr>
            <w:tcW w:w="997" w:type="dxa"/>
          </w:tcPr>
          <w:p>
            <w:pPr>
              <w:pStyle w:val="TableParagraph"/>
              <w:spacing w:line="266" w:lineRule="exact"/>
              <w:ind w:left="50"/>
              <w:rPr>
                <w:b/>
                <w:sz w:val="24"/>
              </w:rPr>
            </w:pPr>
            <w:r>
              <w:rPr>
                <w:b/>
                <w:spacing w:val="-5"/>
                <w:sz w:val="24"/>
              </w:rPr>
              <w:t>12.</w:t>
            </w:r>
          </w:p>
        </w:tc>
        <w:tc>
          <w:tcPr>
            <w:tcW w:w="1541" w:type="dxa"/>
          </w:tcPr>
          <w:p>
            <w:pPr>
              <w:pStyle w:val="TableParagraph"/>
              <w:tabs>
                <w:tab w:pos="1770" w:val="left" w:leader="none"/>
              </w:tabs>
              <w:spacing w:line="266" w:lineRule="exact"/>
              <w:ind w:left="581" w:right="-231"/>
              <w:rPr>
                <w:b/>
                <w:sz w:val="24"/>
              </w:rPr>
            </w:pPr>
            <w:r>
              <w:rPr>
                <w:b/>
                <w:spacing w:val="5"/>
                <w:sz w:val="24"/>
                <w:u w:val="thick"/>
              </w:rPr>
              <w:t> </w:t>
            </w:r>
            <w:r>
              <w:rPr>
                <w:b/>
                <w:spacing w:val="-10"/>
                <w:sz w:val="24"/>
                <w:u w:val="thick"/>
              </w:rPr>
              <w:t>B</w:t>
            </w:r>
            <w:r>
              <w:rPr>
                <w:b/>
                <w:sz w:val="24"/>
                <w:u w:val="thick"/>
              </w:rPr>
              <w:tab/>
            </w:r>
          </w:p>
        </w:tc>
        <w:tc>
          <w:tcPr>
            <w:tcW w:w="722" w:type="dxa"/>
          </w:tcPr>
          <w:p>
            <w:pPr>
              <w:pStyle w:val="TableParagraph"/>
              <w:tabs>
                <w:tab w:pos="1041" w:val="left" w:leader="none"/>
              </w:tabs>
              <w:spacing w:line="266" w:lineRule="exact"/>
              <w:ind w:left="229" w:right="-332"/>
              <w:rPr>
                <w:b/>
                <w:sz w:val="24"/>
              </w:rPr>
            </w:pPr>
            <w:r>
              <w:rPr>
                <w:b/>
                <w:spacing w:val="-10"/>
                <w:sz w:val="24"/>
                <w:u w:val="thick"/>
              </w:rPr>
              <w:t>D</w:t>
            </w:r>
            <w:r>
              <w:rPr>
                <w:b/>
                <w:sz w:val="24"/>
                <w:u w:val="thick"/>
              </w:rPr>
              <w:tab/>
            </w:r>
          </w:p>
        </w:tc>
        <w:tc>
          <w:tcPr>
            <w:tcW w:w="861" w:type="dxa"/>
          </w:tcPr>
          <w:p>
            <w:pPr>
              <w:pStyle w:val="TableParagraph"/>
              <w:tabs>
                <w:tab w:pos="1217" w:val="left" w:leader="none"/>
              </w:tabs>
              <w:spacing w:line="266" w:lineRule="exact"/>
              <w:ind w:left="319" w:right="-360"/>
              <w:rPr>
                <w:b/>
                <w:sz w:val="24"/>
              </w:rPr>
            </w:pPr>
            <w:r>
              <w:rPr>
                <w:b/>
                <w:spacing w:val="-10"/>
                <w:sz w:val="24"/>
                <w:u w:val="thick"/>
              </w:rPr>
              <w:t>G</w:t>
            </w:r>
            <w:r>
              <w:rPr>
                <w:b/>
                <w:sz w:val="24"/>
                <w:u w:val="thick"/>
              </w:rPr>
              <w:tab/>
            </w:r>
          </w:p>
        </w:tc>
        <w:tc>
          <w:tcPr>
            <w:tcW w:w="2424" w:type="dxa"/>
          </w:tcPr>
          <w:p>
            <w:pPr>
              <w:pStyle w:val="TableParagraph"/>
              <w:spacing w:line="266" w:lineRule="exact"/>
              <w:ind w:left="356"/>
              <w:rPr>
                <w:b/>
                <w:sz w:val="24"/>
              </w:rPr>
            </w:pPr>
            <w:r>
              <w:rPr>
                <w:b/>
                <w:spacing w:val="-10"/>
                <w:sz w:val="24"/>
                <w:u w:val="thick"/>
              </w:rPr>
              <w:t>C</w:t>
            </w:r>
          </w:p>
        </w:tc>
      </w:tr>
      <w:tr>
        <w:trPr>
          <w:trHeight w:val="549" w:hRule="atLeast"/>
        </w:trPr>
        <w:tc>
          <w:tcPr>
            <w:tcW w:w="997" w:type="dxa"/>
          </w:tcPr>
          <w:p>
            <w:pPr>
              <w:pStyle w:val="TableParagraph"/>
              <w:rPr>
                <w:sz w:val="22"/>
              </w:rPr>
            </w:pPr>
          </w:p>
        </w:tc>
        <w:tc>
          <w:tcPr>
            <w:tcW w:w="1541" w:type="dxa"/>
          </w:tcPr>
          <w:p>
            <w:pPr>
              <w:pStyle w:val="TableParagraph"/>
              <w:spacing w:before="130"/>
              <w:ind w:left="646"/>
              <w:rPr>
                <w:sz w:val="24"/>
              </w:rPr>
            </w:pPr>
            <w:r>
              <w:rPr>
                <w:spacing w:val="-4"/>
                <w:sz w:val="24"/>
              </w:rPr>
              <w:t>BDGC</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0"/>
              <w:ind w:right="47"/>
              <w:jc w:val="right"/>
              <w:rPr>
                <w:sz w:val="24"/>
              </w:rPr>
            </w:pPr>
            <w:r>
              <w:rPr>
                <w:spacing w:val="-4"/>
                <w:sz w:val="24"/>
              </w:rPr>
              <w:t>CBDG</w:t>
            </w:r>
          </w:p>
        </w:tc>
      </w:tr>
      <w:tr>
        <w:trPr>
          <w:trHeight w:val="552"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BGDC</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7"/>
              <w:jc w:val="right"/>
              <w:rPr>
                <w:sz w:val="24"/>
              </w:rPr>
            </w:pPr>
            <w:r>
              <w:rPr>
                <w:spacing w:val="-4"/>
                <w:sz w:val="24"/>
              </w:rPr>
              <w:t>CBGD</w:t>
            </w:r>
          </w:p>
        </w:tc>
      </w:tr>
      <w:tr>
        <w:trPr>
          <w:trHeight w:val="551"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BCDG</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8"/>
              <w:jc w:val="right"/>
              <w:rPr>
                <w:sz w:val="24"/>
              </w:rPr>
            </w:pPr>
            <w:r>
              <w:rPr>
                <w:spacing w:val="-4"/>
                <w:sz w:val="24"/>
              </w:rPr>
              <w:t>CDBG</w:t>
            </w:r>
          </w:p>
        </w:tc>
      </w:tr>
      <w:tr>
        <w:trPr>
          <w:trHeight w:val="552"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BGCD</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7"/>
              <w:jc w:val="right"/>
              <w:rPr>
                <w:sz w:val="24"/>
              </w:rPr>
            </w:pPr>
            <w:r>
              <w:rPr>
                <w:spacing w:val="-4"/>
                <w:sz w:val="24"/>
              </w:rPr>
              <w:t>CDGB</w:t>
            </w:r>
          </w:p>
        </w:tc>
      </w:tr>
      <w:tr>
        <w:trPr>
          <w:trHeight w:val="552"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BDCG</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8"/>
              <w:jc w:val="right"/>
              <w:rPr>
                <w:sz w:val="24"/>
              </w:rPr>
            </w:pPr>
            <w:r>
              <w:rPr>
                <w:spacing w:val="-4"/>
                <w:sz w:val="24"/>
              </w:rPr>
              <w:t>CGBD</w:t>
            </w:r>
          </w:p>
        </w:tc>
      </w:tr>
      <w:tr>
        <w:trPr>
          <w:trHeight w:val="551"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BCGD</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7"/>
              <w:jc w:val="right"/>
              <w:rPr>
                <w:sz w:val="24"/>
              </w:rPr>
            </w:pPr>
            <w:r>
              <w:rPr>
                <w:spacing w:val="-4"/>
                <w:sz w:val="24"/>
              </w:rPr>
              <w:t>CGDB</w:t>
            </w:r>
          </w:p>
        </w:tc>
      </w:tr>
      <w:tr>
        <w:trPr>
          <w:trHeight w:val="552"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DBGC</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6"/>
              <w:jc w:val="right"/>
              <w:rPr>
                <w:sz w:val="24"/>
              </w:rPr>
            </w:pPr>
            <w:r>
              <w:rPr>
                <w:spacing w:val="-4"/>
                <w:sz w:val="24"/>
              </w:rPr>
              <w:t>GBDC</w:t>
            </w:r>
          </w:p>
        </w:tc>
      </w:tr>
      <w:tr>
        <w:trPr>
          <w:trHeight w:val="552"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DBCG</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8"/>
              <w:jc w:val="right"/>
              <w:rPr>
                <w:sz w:val="24"/>
              </w:rPr>
            </w:pPr>
            <w:r>
              <w:rPr>
                <w:spacing w:val="-4"/>
                <w:sz w:val="24"/>
              </w:rPr>
              <w:t>GBCD</w:t>
            </w:r>
          </w:p>
        </w:tc>
      </w:tr>
      <w:tr>
        <w:trPr>
          <w:trHeight w:val="552"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DGBC</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7"/>
              <w:jc w:val="right"/>
              <w:rPr>
                <w:sz w:val="24"/>
              </w:rPr>
            </w:pPr>
            <w:r>
              <w:rPr>
                <w:spacing w:val="-4"/>
                <w:sz w:val="24"/>
              </w:rPr>
              <w:t>GDBC</w:t>
            </w:r>
          </w:p>
        </w:tc>
      </w:tr>
      <w:tr>
        <w:trPr>
          <w:trHeight w:val="552"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DGCB</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7"/>
              <w:jc w:val="right"/>
              <w:rPr>
                <w:sz w:val="24"/>
              </w:rPr>
            </w:pPr>
            <w:r>
              <w:rPr>
                <w:spacing w:val="-4"/>
                <w:sz w:val="24"/>
              </w:rPr>
              <w:t>GDCB</w:t>
            </w:r>
          </w:p>
        </w:tc>
      </w:tr>
      <w:tr>
        <w:trPr>
          <w:trHeight w:val="552" w:hRule="atLeast"/>
        </w:trPr>
        <w:tc>
          <w:tcPr>
            <w:tcW w:w="997" w:type="dxa"/>
          </w:tcPr>
          <w:p>
            <w:pPr>
              <w:pStyle w:val="TableParagraph"/>
              <w:rPr>
                <w:sz w:val="22"/>
              </w:rPr>
            </w:pPr>
          </w:p>
        </w:tc>
        <w:tc>
          <w:tcPr>
            <w:tcW w:w="1541" w:type="dxa"/>
          </w:tcPr>
          <w:p>
            <w:pPr>
              <w:pStyle w:val="TableParagraph"/>
              <w:spacing w:before="133"/>
              <w:ind w:left="646"/>
              <w:rPr>
                <w:sz w:val="24"/>
              </w:rPr>
            </w:pPr>
            <w:r>
              <w:rPr>
                <w:spacing w:val="-4"/>
                <w:sz w:val="24"/>
              </w:rPr>
              <w:t>DCBG</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before="133"/>
              <w:ind w:right="48"/>
              <w:jc w:val="right"/>
              <w:rPr>
                <w:sz w:val="24"/>
              </w:rPr>
            </w:pPr>
            <w:r>
              <w:rPr>
                <w:spacing w:val="-4"/>
                <w:sz w:val="24"/>
              </w:rPr>
              <w:t>GCBD</w:t>
            </w:r>
          </w:p>
        </w:tc>
      </w:tr>
      <w:tr>
        <w:trPr>
          <w:trHeight w:val="408" w:hRule="atLeast"/>
        </w:trPr>
        <w:tc>
          <w:tcPr>
            <w:tcW w:w="997" w:type="dxa"/>
          </w:tcPr>
          <w:p>
            <w:pPr>
              <w:pStyle w:val="TableParagraph"/>
              <w:rPr>
                <w:sz w:val="22"/>
              </w:rPr>
            </w:pPr>
          </w:p>
        </w:tc>
        <w:tc>
          <w:tcPr>
            <w:tcW w:w="1541" w:type="dxa"/>
          </w:tcPr>
          <w:p>
            <w:pPr>
              <w:pStyle w:val="TableParagraph"/>
              <w:spacing w:line="256" w:lineRule="exact" w:before="133"/>
              <w:ind w:left="646"/>
              <w:rPr>
                <w:sz w:val="24"/>
              </w:rPr>
            </w:pPr>
            <w:r>
              <w:rPr>
                <w:spacing w:val="-4"/>
                <w:sz w:val="24"/>
              </w:rPr>
              <w:t>DCGB</w:t>
            </w:r>
          </w:p>
        </w:tc>
        <w:tc>
          <w:tcPr>
            <w:tcW w:w="722" w:type="dxa"/>
          </w:tcPr>
          <w:p>
            <w:pPr>
              <w:pStyle w:val="TableParagraph"/>
              <w:rPr>
                <w:sz w:val="22"/>
              </w:rPr>
            </w:pPr>
          </w:p>
        </w:tc>
        <w:tc>
          <w:tcPr>
            <w:tcW w:w="861" w:type="dxa"/>
          </w:tcPr>
          <w:p>
            <w:pPr>
              <w:pStyle w:val="TableParagraph"/>
              <w:rPr>
                <w:sz w:val="22"/>
              </w:rPr>
            </w:pPr>
          </w:p>
        </w:tc>
        <w:tc>
          <w:tcPr>
            <w:tcW w:w="2424" w:type="dxa"/>
          </w:tcPr>
          <w:p>
            <w:pPr>
              <w:pStyle w:val="TableParagraph"/>
              <w:spacing w:line="256" w:lineRule="exact" w:before="133"/>
              <w:ind w:right="46"/>
              <w:jc w:val="right"/>
              <w:rPr>
                <w:sz w:val="24"/>
              </w:rPr>
            </w:pPr>
            <w:r>
              <w:rPr>
                <w:spacing w:val="-4"/>
                <w:sz w:val="24"/>
              </w:rPr>
              <w:t>GCDB</w:t>
            </w:r>
          </w:p>
        </w:tc>
      </w:tr>
    </w:tbl>
    <w:p>
      <w:pPr>
        <w:pStyle w:val="BodyText"/>
        <w:spacing w:before="6"/>
        <w:ind w:left="0"/>
        <w:jc w:val="left"/>
      </w:pPr>
    </w:p>
    <w:p>
      <w:pPr>
        <w:pStyle w:val="BodyText"/>
        <w:spacing w:before="1"/>
        <w:ind w:left="2642"/>
        <w:jc w:val="left"/>
      </w:pPr>
      <w:r>
        <w:rPr/>
        <w:t>(24</w:t>
      </w:r>
      <w:r>
        <w:rPr>
          <w:spacing w:val="3"/>
        </w:rPr>
        <w:t> </w:t>
      </w:r>
      <w:r>
        <w:rPr>
          <w:spacing w:val="-2"/>
        </w:rPr>
        <w:t>Combinations)</w:t>
      </w:r>
    </w:p>
    <w:p>
      <w:pPr>
        <w:pStyle w:val="BodyText"/>
        <w:spacing w:before="5"/>
        <w:ind w:left="0"/>
        <w:jc w:val="left"/>
      </w:pPr>
    </w:p>
    <w:p>
      <w:pPr>
        <w:pStyle w:val="Heading2"/>
        <w:spacing w:before="0"/>
        <w:ind w:left="1201"/>
        <w:jc w:val="left"/>
      </w:pPr>
      <w:r>
        <w:rPr>
          <w:spacing w:val="-2"/>
        </w:rPr>
        <w:t>NOTE:</w:t>
      </w:r>
    </w:p>
    <w:p>
      <w:pPr>
        <w:pStyle w:val="ListParagraph"/>
        <w:numPr>
          <w:ilvl w:val="2"/>
          <w:numId w:val="31"/>
        </w:numPr>
        <w:tabs>
          <w:tab w:pos="1921" w:val="left" w:leader="none"/>
        </w:tabs>
        <w:spacing w:line="240" w:lineRule="auto" w:before="273" w:after="0"/>
        <w:ind w:left="1921" w:right="0" w:hanging="720"/>
        <w:jc w:val="left"/>
        <w:rPr>
          <w:sz w:val="24"/>
        </w:rPr>
      </w:pPr>
      <w:r>
        <w:rPr>
          <w:sz w:val="24"/>
        </w:rPr>
        <w:t>One</w:t>
      </w:r>
      <w:r>
        <w:rPr>
          <w:spacing w:val="1"/>
          <w:sz w:val="24"/>
        </w:rPr>
        <w:t> </w:t>
      </w:r>
      <w:r>
        <w:rPr>
          <w:sz w:val="24"/>
        </w:rPr>
        <w:t>mark</w:t>
      </w:r>
      <w:r>
        <w:rPr>
          <w:spacing w:val="2"/>
          <w:sz w:val="24"/>
        </w:rPr>
        <w:t> </w:t>
      </w:r>
      <w:r>
        <w:rPr>
          <w:sz w:val="24"/>
        </w:rPr>
        <w:t>for</w:t>
      </w:r>
      <w:r>
        <w:rPr>
          <w:spacing w:val="-5"/>
          <w:sz w:val="24"/>
        </w:rPr>
        <w:t> </w:t>
      </w:r>
      <w:r>
        <w:rPr>
          <w:sz w:val="24"/>
        </w:rPr>
        <w:t>the</w:t>
      </w:r>
      <w:r>
        <w:rPr>
          <w:spacing w:val="-3"/>
          <w:sz w:val="24"/>
        </w:rPr>
        <w:t> </w:t>
      </w:r>
      <w:r>
        <w:rPr>
          <w:sz w:val="24"/>
        </w:rPr>
        <w:t>above</w:t>
      </w:r>
      <w:r>
        <w:rPr>
          <w:spacing w:val="-3"/>
          <w:sz w:val="24"/>
        </w:rPr>
        <w:t> </w:t>
      </w:r>
      <w:r>
        <w:rPr>
          <w:sz w:val="24"/>
        </w:rPr>
        <w:t>correct</w:t>
      </w:r>
      <w:r>
        <w:rPr>
          <w:spacing w:val="-1"/>
          <w:sz w:val="24"/>
        </w:rPr>
        <w:t> </w:t>
      </w:r>
      <w:r>
        <w:rPr>
          <w:spacing w:val="-2"/>
          <w:sz w:val="24"/>
        </w:rPr>
        <w:t>combinations.</w:t>
      </w:r>
    </w:p>
    <w:p>
      <w:pPr>
        <w:pStyle w:val="ListParagraph"/>
        <w:numPr>
          <w:ilvl w:val="2"/>
          <w:numId w:val="31"/>
        </w:numPr>
        <w:tabs>
          <w:tab w:pos="1921" w:val="left" w:leader="none"/>
        </w:tabs>
        <w:spacing w:line="240" w:lineRule="auto" w:before="272" w:after="0"/>
        <w:ind w:left="1921" w:right="0" w:hanging="720"/>
        <w:jc w:val="left"/>
        <w:rPr>
          <w:sz w:val="24"/>
        </w:rPr>
      </w:pPr>
      <w:r>
        <w:rPr>
          <w:sz w:val="24"/>
        </w:rPr>
        <w:t>One</w:t>
      </w:r>
      <w:r>
        <w:rPr>
          <w:spacing w:val="2"/>
          <w:sz w:val="24"/>
        </w:rPr>
        <w:t> </w:t>
      </w:r>
      <w:r>
        <w:rPr>
          <w:sz w:val="24"/>
        </w:rPr>
        <w:t>mark</w:t>
      </w:r>
      <w:r>
        <w:rPr>
          <w:spacing w:val="2"/>
          <w:sz w:val="24"/>
        </w:rPr>
        <w:t> </w:t>
      </w:r>
      <w:r>
        <w:rPr>
          <w:sz w:val="24"/>
        </w:rPr>
        <w:t>for</w:t>
      </w:r>
      <w:r>
        <w:rPr>
          <w:spacing w:val="1"/>
          <w:sz w:val="24"/>
        </w:rPr>
        <w:t> </w:t>
      </w:r>
      <w:r>
        <w:rPr>
          <w:b/>
          <w:sz w:val="24"/>
        </w:rPr>
        <w:t>ONLY</w:t>
      </w:r>
      <w:r>
        <w:rPr>
          <w:b/>
          <w:spacing w:val="-6"/>
          <w:sz w:val="24"/>
        </w:rPr>
        <w:t> </w:t>
      </w:r>
      <w:r>
        <w:rPr>
          <w:sz w:val="24"/>
        </w:rPr>
        <w:t>one</w:t>
      </w:r>
      <w:r>
        <w:rPr>
          <w:spacing w:val="-2"/>
          <w:sz w:val="24"/>
        </w:rPr>
        <w:t> mistake.</w:t>
      </w:r>
    </w:p>
    <w:p>
      <w:pPr>
        <w:pStyle w:val="BodyText"/>
        <w:spacing w:before="2"/>
        <w:ind w:left="0"/>
        <w:jc w:val="left"/>
      </w:pPr>
    </w:p>
    <w:p>
      <w:pPr>
        <w:pStyle w:val="ListParagraph"/>
        <w:numPr>
          <w:ilvl w:val="2"/>
          <w:numId w:val="31"/>
        </w:numPr>
        <w:tabs>
          <w:tab w:pos="1921" w:val="left" w:leader="none"/>
        </w:tabs>
        <w:spacing w:line="240" w:lineRule="auto" w:before="0" w:after="0"/>
        <w:ind w:left="1921" w:right="0" w:hanging="720"/>
        <w:jc w:val="left"/>
        <w:rPr>
          <w:sz w:val="24"/>
        </w:rPr>
      </w:pPr>
      <w:r>
        <w:rPr>
          <w:sz w:val="24"/>
        </w:rPr>
        <w:t>No</w:t>
      </w:r>
      <w:r>
        <w:rPr>
          <w:spacing w:val="4"/>
          <w:sz w:val="24"/>
        </w:rPr>
        <w:t> </w:t>
      </w:r>
      <w:r>
        <w:rPr>
          <w:sz w:val="24"/>
        </w:rPr>
        <w:t>mark for</w:t>
      </w:r>
      <w:r>
        <w:rPr>
          <w:spacing w:val="-3"/>
          <w:sz w:val="24"/>
        </w:rPr>
        <w:t> </w:t>
      </w:r>
      <w:r>
        <w:rPr>
          <w:sz w:val="24"/>
        </w:rPr>
        <w:t>two</w:t>
      </w:r>
      <w:r>
        <w:rPr>
          <w:spacing w:val="-4"/>
          <w:sz w:val="24"/>
        </w:rPr>
        <w:t> </w:t>
      </w:r>
      <w:r>
        <w:rPr>
          <w:sz w:val="24"/>
        </w:rPr>
        <w:t>or</w:t>
      </w:r>
      <w:r>
        <w:rPr>
          <w:spacing w:val="-3"/>
          <w:sz w:val="24"/>
        </w:rPr>
        <w:t> </w:t>
      </w:r>
      <w:r>
        <w:rPr>
          <w:sz w:val="24"/>
        </w:rPr>
        <w:t>more </w:t>
      </w:r>
      <w:r>
        <w:rPr>
          <w:spacing w:val="-2"/>
          <w:sz w:val="24"/>
        </w:rPr>
        <w:t>mistakes.</w:t>
      </w:r>
    </w:p>
    <w:p>
      <w:pPr>
        <w:spacing w:after="0" w:line="240" w:lineRule="auto"/>
        <w:jc w:val="left"/>
        <w:rPr>
          <w:sz w:val="24"/>
        </w:rPr>
        <w:sectPr>
          <w:pgSz w:w="11910" w:h="16840"/>
          <w:pgMar w:header="0" w:footer="1012" w:top="1400" w:bottom="1200" w:left="1680" w:right="280"/>
        </w:sectPr>
      </w:pPr>
    </w:p>
    <w:p>
      <w:pPr>
        <w:pStyle w:val="Heading2"/>
        <w:ind w:right="677"/>
      </w:pPr>
      <w:r>
        <w:rPr/>
        <w:t>APPENDIX</w:t>
      </w:r>
      <w:r>
        <w:rPr>
          <w:spacing w:val="-7"/>
        </w:rPr>
        <w:t> </w:t>
      </w:r>
      <w:r>
        <w:rPr>
          <w:spacing w:val="-10"/>
        </w:rPr>
        <w:t>D</w:t>
      </w:r>
    </w:p>
    <w:p>
      <w:pPr>
        <w:spacing w:line="242" w:lineRule="auto" w:before="200"/>
        <w:ind w:left="423" w:right="1099" w:firstLine="0"/>
        <w:jc w:val="center"/>
        <w:rPr>
          <w:b/>
          <w:sz w:val="24"/>
        </w:rPr>
      </w:pPr>
      <w:r>
        <w:rPr>
          <w:b/>
          <w:sz w:val="24"/>
        </w:rPr>
        <w:t>CHEMISTRY</w:t>
      </w:r>
      <w:r>
        <w:rPr>
          <w:b/>
          <w:spacing w:val="-10"/>
          <w:sz w:val="24"/>
        </w:rPr>
        <w:t> </w:t>
      </w:r>
      <w:r>
        <w:rPr>
          <w:b/>
          <w:sz w:val="24"/>
        </w:rPr>
        <w:t>SELF-EFFICACY</w:t>
      </w:r>
      <w:r>
        <w:rPr>
          <w:b/>
          <w:spacing w:val="-10"/>
          <w:sz w:val="24"/>
        </w:rPr>
        <w:t> </w:t>
      </w:r>
      <w:r>
        <w:rPr>
          <w:b/>
          <w:sz w:val="24"/>
        </w:rPr>
        <w:t>INSTRUMENT</w:t>
      </w:r>
      <w:r>
        <w:rPr>
          <w:b/>
          <w:spacing w:val="-10"/>
          <w:sz w:val="24"/>
        </w:rPr>
        <w:t> </w:t>
      </w:r>
      <w:r>
        <w:rPr>
          <w:b/>
          <w:sz w:val="24"/>
        </w:rPr>
        <w:t>FOR</w:t>
      </w:r>
      <w:r>
        <w:rPr>
          <w:b/>
          <w:spacing w:val="-9"/>
          <w:sz w:val="24"/>
        </w:rPr>
        <w:t> </w:t>
      </w:r>
      <w:r>
        <w:rPr>
          <w:b/>
          <w:sz w:val="24"/>
        </w:rPr>
        <w:t>CHEMISTRY </w:t>
      </w:r>
      <w:r>
        <w:rPr>
          <w:b/>
          <w:spacing w:val="-2"/>
          <w:sz w:val="24"/>
        </w:rPr>
        <w:t>STUDENTS</w:t>
      </w:r>
    </w:p>
    <w:p>
      <w:pPr>
        <w:pStyle w:val="BodyText"/>
        <w:spacing w:before="192"/>
        <w:jc w:val="left"/>
      </w:pPr>
      <w:r>
        <w:rPr>
          <w:color w:val="121312"/>
          <w:spacing w:val="-2"/>
        </w:rPr>
        <w:t>School:</w:t>
      </w:r>
    </w:p>
    <w:p>
      <w:pPr>
        <w:pStyle w:val="BodyText"/>
        <w:tabs>
          <w:tab w:pos="4802" w:val="left" w:leader="none"/>
        </w:tabs>
        <w:spacing w:line="360" w:lineRule="auto" w:before="136"/>
        <w:ind w:right="1192"/>
        <w:jc w:val="left"/>
      </w:pPr>
      <w:r>
        <w:rPr>
          <w:color w:val="121312"/>
          <w:spacing w:val="-2"/>
        </w:rPr>
        <w:t>………………………………………………………………………………………… </w:t>
      </w:r>
      <w:r>
        <w:rPr>
          <w:color w:val="121312"/>
        </w:rPr>
        <w:t>Sex: Male: ……………………………..</w:t>
        <w:tab/>
        <w:t>Female:</w:t>
      </w:r>
      <w:r>
        <w:rPr>
          <w:color w:val="121312"/>
          <w:spacing w:val="-15"/>
        </w:rPr>
        <w:t> </w:t>
      </w:r>
      <w:r>
        <w:rPr>
          <w:color w:val="121312"/>
        </w:rPr>
        <w:t>………………………………… Age:…………………………………………Class: …………………………………</w:t>
      </w:r>
    </w:p>
    <w:p>
      <w:pPr>
        <w:pStyle w:val="BodyText"/>
        <w:spacing w:before="2"/>
        <w:ind w:right="1153"/>
      </w:pPr>
      <w:r>
        <w:rPr/>
        <w:t>This survey contains 15 statements about your confident in doing things related to chemistry. For each</w:t>
      </w:r>
      <w:r>
        <w:rPr>
          <w:spacing w:val="-6"/>
        </w:rPr>
        <w:t> </w:t>
      </w:r>
      <w:r>
        <w:rPr/>
        <w:t>question, think about how</w:t>
      </w:r>
      <w:r>
        <w:rPr>
          <w:spacing w:val="-2"/>
        </w:rPr>
        <w:t> </w:t>
      </w:r>
      <w:r>
        <w:rPr/>
        <w:t>confident you</w:t>
      </w:r>
      <w:r>
        <w:rPr>
          <w:spacing w:val="-1"/>
        </w:rPr>
        <w:t> </w:t>
      </w:r>
      <w:r>
        <w:rPr/>
        <w:t>would be in</w:t>
      </w:r>
      <w:r>
        <w:rPr>
          <w:spacing w:val="-1"/>
        </w:rPr>
        <w:t> </w:t>
      </w:r>
      <w:r>
        <w:rPr/>
        <w:t>carrying</w:t>
      </w:r>
      <w:r>
        <w:rPr>
          <w:spacing w:val="-1"/>
        </w:rPr>
        <w:t> </w:t>
      </w:r>
      <w:r>
        <w:rPr/>
        <w:t>out a given task. There is no right or wrong answers. These are just your own thoughts</w:t>
      </w:r>
      <w:r>
        <w:rPr>
          <w:spacing w:val="40"/>
        </w:rPr>
        <w:t> </w:t>
      </w:r>
      <w:r>
        <w:rPr/>
        <w:t>and feeling about these statements for each statement in the survey, circle the letter next to</w:t>
      </w:r>
      <w:r>
        <w:rPr>
          <w:spacing w:val="80"/>
          <w:w w:val="150"/>
        </w:rPr>
        <w:t> </w:t>
      </w:r>
      <w:r>
        <w:rPr/>
        <w:t>each question. The examination has nothing to do with your result. All information you will provide will be regarded as highly confidential and will be treated as such.</w:t>
      </w:r>
    </w:p>
    <w:p>
      <w:pPr>
        <w:pStyle w:val="ListParagraph"/>
        <w:numPr>
          <w:ilvl w:val="0"/>
          <w:numId w:val="32"/>
        </w:numPr>
        <w:tabs>
          <w:tab w:pos="776" w:val="left" w:leader="none"/>
        </w:tabs>
        <w:spacing w:line="240" w:lineRule="auto" w:before="200" w:after="0"/>
        <w:ind w:left="776" w:right="0" w:hanging="296"/>
        <w:jc w:val="left"/>
        <w:rPr>
          <w:sz w:val="24"/>
        </w:rPr>
      </w:pPr>
      <w:r>
        <w:rPr>
          <w:sz w:val="24"/>
        </w:rPr>
        <w:t>if</w:t>
      </w:r>
      <w:r>
        <w:rPr>
          <w:spacing w:val="-7"/>
          <w:sz w:val="24"/>
        </w:rPr>
        <w:t> </w:t>
      </w:r>
      <w:r>
        <w:rPr>
          <w:sz w:val="24"/>
        </w:rPr>
        <w:t>you</w:t>
      </w:r>
      <w:r>
        <w:rPr>
          <w:spacing w:val="-1"/>
          <w:sz w:val="24"/>
        </w:rPr>
        <w:t> </w:t>
      </w:r>
      <w:r>
        <w:rPr>
          <w:sz w:val="24"/>
        </w:rPr>
        <w:t>are</w:t>
      </w:r>
      <w:r>
        <w:rPr>
          <w:spacing w:val="-2"/>
          <w:sz w:val="24"/>
        </w:rPr>
        <w:t> </w:t>
      </w:r>
      <w:r>
        <w:rPr>
          <w:sz w:val="24"/>
        </w:rPr>
        <w:t>TOTALLY</w:t>
      </w:r>
      <w:r>
        <w:rPr>
          <w:spacing w:val="-2"/>
          <w:sz w:val="24"/>
        </w:rPr>
        <w:t> </w:t>
      </w:r>
      <w:r>
        <w:rPr>
          <w:sz w:val="24"/>
        </w:rPr>
        <w:t>CONFIDENT that</w:t>
      </w:r>
      <w:r>
        <w:rPr>
          <w:spacing w:val="-1"/>
          <w:sz w:val="24"/>
        </w:rPr>
        <w:t> </w:t>
      </w:r>
      <w:r>
        <w:rPr>
          <w:sz w:val="24"/>
        </w:rPr>
        <w:t>you</w:t>
      </w:r>
      <w:r>
        <w:rPr>
          <w:spacing w:val="-2"/>
          <w:sz w:val="24"/>
        </w:rPr>
        <w:t> </w:t>
      </w:r>
      <w:r>
        <w:rPr>
          <w:sz w:val="24"/>
        </w:rPr>
        <w:t>can</w:t>
      </w:r>
      <w:r>
        <w:rPr>
          <w:spacing w:val="-5"/>
          <w:sz w:val="24"/>
        </w:rPr>
        <w:t> </w:t>
      </w:r>
      <w:r>
        <w:rPr>
          <w:sz w:val="24"/>
        </w:rPr>
        <w:t>do</w:t>
      </w:r>
      <w:r>
        <w:rPr>
          <w:spacing w:val="-2"/>
          <w:sz w:val="24"/>
        </w:rPr>
        <w:t> </w:t>
      </w:r>
      <w:r>
        <w:rPr>
          <w:sz w:val="24"/>
        </w:rPr>
        <w:t>the</w:t>
      </w:r>
      <w:r>
        <w:rPr>
          <w:spacing w:val="-6"/>
          <w:sz w:val="24"/>
        </w:rPr>
        <w:t> </w:t>
      </w:r>
      <w:r>
        <w:rPr>
          <w:spacing w:val="-2"/>
          <w:sz w:val="24"/>
        </w:rPr>
        <w:t>task.</w:t>
      </w:r>
    </w:p>
    <w:p>
      <w:pPr>
        <w:pStyle w:val="ListParagraph"/>
        <w:numPr>
          <w:ilvl w:val="0"/>
          <w:numId w:val="32"/>
        </w:numPr>
        <w:tabs>
          <w:tab w:pos="762" w:val="left" w:leader="none"/>
        </w:tabs>
        <w:spacing w:line="240" w:lineRule="auto" w:before="199" w:after="0"/>
        <w:ind w:left="762" w:right="0" w:hanging="282"/>
        <w:jc w:val="left"/>
        <w:rPr>
          <w:sz w:val="24"/>
        </w:rPr>
      </w:pPr>
      <w:r>
        <w:rPr>
          <w:sz w:val="24"/>
        </w:rPr>
        <w:t>if</w:t>
      </w:r>
      <w:r>
        <w:rPr>
          <w:spacing w:val="-4"/>
          <w:sz w:val="24"/>
        </w:rPr>
        <w:t> </w:t>
      </w:r>
      <w:r>
        <w:rPr>
          <w:sz w:val="24"/>
        </w:rPr>
        <w:t>you</w:t>
      </w:r>
      <w:r>
        <w:rPr>
          <w:spacing w:val="-1"/>
          <w:sz w:val="24"/>
        </w:rPr>
        <w:t> </w:t>
      </w:r>
      <w:r>
        <w:rPr>
          <w:sz w:val="24"/>
        </w:rPr>
        <w:t>are</w:t>
      </w:r>
      <w:r>
        <w:rPr>
          <w:spacing w:val="-1"/>
          <w:sz w:val="24"/>
        </w:rPr>
        <w:t> </w:t>
      </w:r>
      <w:r>
        <w:rPr>
          <w:sz w:val="24"/>
        </w:rPr>
        <w:t>VERY</w:t>
      </w:r>
      <w:r>
        <w:rPr>
          <w:spacing w:val="-2"/>
          <w:sz w:val="24"/>
        </w:rPr>
        <w:t> </w:t>
      </w:r>
      <w:r>
        <w:rPr>
          <w:sz w:val="24"/>
        </w:rPr>
        <w:t>CONFIDENT that you</w:t>
      </w:r>
      <w:r>
        <w:rPr>
          <w:spacing w:val="-1"/>
          <w:sz w:val="24"/>
        </w:rPr>
        <w:t> </w:t>
      </w:r>
      <w:r>
        <w:rPr>
          <w:sz w:val="24"/>
        </w:rPr>
        <w:t>can</w:t>
      </w:r>
      <w:r>
        <w:rPr>
          <w:spacing w:val="-5"/>
          <w:sz w:val="24"/>
        </w:rPr>
        <w:t> </w:t>
      </w:r>
      <w:r>
        <w:rPr>
          <w:sz w:val="24"/>
        </w:rPr>
        <w:t>do</w:t>
      </w:r>
      <w:r>
        <w:rPr>
          <w:spacing w:val="-1"/>
          <w:sz w:val="24"/>
        </w:rPr>
        <w:t> </w:t>
      </w:r>
      <w:r>
        <w:rPr>
          <w:sz w:val="24"/>
        </w:rPr>
        <w:t>the</w:t>
      </w:r>
      <w:r>
        <w:rPr>
          <w:spacing w:val="-1"/>
          <w:sz w:val="24"/>
        </w:rPr>
        <w:t> </w:t>
      </w:r>
      <w:r>
        <w:rPr>
          <w:spacing w:val="-2"/>
          <w:sz w:val="24"/>
        </w:rPr>
        <w:t>task.</w:t>
      </w:r>
    </w:p>
    <w:p>
      <w:pPr>
        <w:pStyle w:val="ListParagraph"/>
        <w:numPr>
          <w:ilvl w:val="0"/>
          <w:numId w:val="32"/>
        </w:numPr>
        <w:tabs>
          <w:tab w:pos="762" w:val="left" w:leader="none"/>
        </w:tabs>
        <w:spacing w:line="240" w:lineRule="auto" w:before="200" w:after="0"/>
        <w:ind w:left="762" w:right="0" w:hanging="282"/>
        <w:jc w:val="left"/>
        <w:rPr>
          <w:sz w:val="24"/>
        </w:rPr>
      </w:pPr>
      <w:r>
        <w:rPr>
          <w:sz w:val="24"/>
        </w:rPr>
        <w:t>if</w:t>
      </w:r>
      <w:r>
        <w:rPr>
          <w:spacing w:val="-4"/>
          <w:sz w:val="24"/>
        </w:rPr>
        <w:t> </w:t>
      </w:r>
      <w:r>
        <w:rPr>
          <w:sz w:val="24"/>
        </w:rPr>
        <w:t>you</w:t>
      </w:r>
      <w:r>
        <w:rPr>
          <w:spacing w:val="-1"/>
          <w:sz w:val="24"/>
        </w:rPr>
        <w:t> </w:t>
      </w:r>
      <w:r>
        <w:rPr>
          <w:sz w:val="24"/>
        </w:rPr>
        <w:t>are</w:t>
      </w:r>
      <w:r>
        <w:rPr>
          <w:spacing w:val="-2"/>
          <w:sz w:val="24"/>
        </w:rPr>
        <w:t> </w:t>
      </w:r>
      <w:r>
        <w:rPr>
          <w:sz w:val="24"/>
        </w:rPr>
        <w:t>FAIRY</w:t>
      </w:r>
      <w:r>
        <w:rPr>
          <w:spacing w:val="-2"/>
          <w:sz w:val="24"/>
        </w:rPr>
        <w:t> </w:t>
      </w:r>
      <w:r>
        <w:rPr>
          <w:sz w:val="24"/>
        </w:rPr>
        <w:t>CONFIDENT that</w:t>
      </w:r>
      <w:r>
        <w:rPr>
          <w:spacing w:val="-1"/>
          <w:sz w:val="24"/>
        </w:rPr>
        <w:t> </w:t>
      </w:r>
      <w:r>
        <w:rPr>
          <w:sz w:val="24"/>
        </w:rPr>
        <w:t>you can</w:t>
      </w:r>
      <w:r>
        <w:rPr>
          <w:spacing w:val="-6"/>
          <w:sz w:val="24"/>
        </w:rPr>
        <w:t> </w:t>
      </w:r>
      <w:r>
        <w:rPr>
          <w:sz w:val="24"/>
        </w:rPr>
        <w:t>do</w:t>
      </w:r>
      <w:r>
        <w:rPr>
          <w:spacing w:val="-6"/>
          <w:sz w:val="24"/>
        </w:rPr>
        <w:t> </w:t>
      </w:r>
      <w:r>
        <w:rPr>
          <w:sz w:val="24"/>
        </w:rPr>
        <w:t>the</w:t>
      </w:r>
      <w:r>
        <w:rPr>
          <w:spacing w:val="-1"/>
          <w:sz w:val="24"/>
        </w:rPr>
        <w:t> </w:t>
      </w:r>
      <w:r>
        <w:rPr>
          <w:spacing w:val="-2"/>
          <w:sz w:val="24"/>
        </w:rPr>
        <w:t>task.</w:t>
      </w:r>
    </w:p>
    <w:p>
      <w:pPr>
        <w:pStyle w:val="ListParagraph"/>
        <w:numPr>
          <w:ilvl w:val="0"/>
          <w:numId w:val="32"/>
        </w:numPr>
        <w:tabs>
          <w:tab w:pos="777" w:val="left" w:leader="none"/>
        </w:tabs>
        <w:spacing w:line="240" w:lineRule="auto" w:before="199" w:after="0"/>
        <w:ind w:left="777" w:right="0" w:hanging="297"/>
        <w:jc w:val="left"/>
        <w:rPr>
          <w:sz w:val="24"/>
        </w:rPr>
      </w:pPr>
      <w:r>
        <w:rPr>
          <w:sz w:val="24"/>
        </w:rPr>
        <w:t>if</w:t>
      </w:r>
      <w:r>
        <w:rPr>
          <w:spacing w:val="-4"/>
          <w:sz w:val="24"/>
        </w:rPr>
        <w:t> </w:t>
      </w:r>
      <w:r>
        <w:rPr>
          <w:sz w:val="24"/>
        </w:rPr>
        <w:t>you</w:t>
      </w:r>
      <w:r>
        <w:rPr>
          <w:spacing w:val="-1"/>
          <w:sz w:val="24"/>
        </w:rPr>
        <w:t> </w:t>
      </w:r>
      <w:r>
        <w:rPr>
          <w:sz w:val="24"/>
        </w:rPr>
        <w:t>are</w:t>
      </w:r>
      <w:r>
        <w:rPr>
          <w:spacing w:val="-1"/>
          <w:sz w:val="24"/>
        </w:rPr>
        <w:t> </w:t>
      </w:r>
      <w:r>
        <w:rPr>
          <w:sz w:val="24"/>
        </w:rPr>
        <w:t>ONLY</w:t>
      </w:r>
      <w:r>
        <w:rPr>
          <w:spacing w:val="3"/>
          <w:sz w:val="24"/>
        </w:rPr>
        <w:t> </w:t>
      </w:r>
      <w:r>
        <w:rPr>
          <w:sz w:val="24"/>
        </w:rPr>
        <w:t>A</w:t>
      </w:r>
      <w:r>
        <w:rPr>
          <w:spacing w:val="-7"/>
          <w:sz w:val="24"/>
        </w:rPr>
        <w:t> </w:t>
      </w:r>
      <w:r>
        <w:rPr>
          <w:sz w:val="24"/>
        </w:rPr>
        <w:t>LITTLE</w:t>
      </w:r>
      <w:r>
        <w:rPr>
          <w:spacing w:val="1"/>
          <w:sz w:val="24"/>
        </w:rPr>
        <w:t> </w:t>
      </w:r>
      <w:r>
        <w:rPr>
          <w:sz w:val="24"/>
        </w:rPr>
        <w:t>CONFIDENT</w:t>
      </w:r>
      <w:r>
        <w:rPr>
          <w:spacing w:val="-3"/>
          <w:sz w:val="24"/>
        </w:rPr>
        <w:t> </w:t>
      </w:r>
      <w:r>
        <w:rPr>
          <w:sz w:val="24"/>
        </w:rPr>
        <w:t>that</w:t>
      </w:r>
      <w:r>
        <w:rPr>
          <w:spacing w:val="-1"/>
          <w:sz w:val="24"/>
        </w:rPr>
        <w:t> </w:t>
      </w:r>
      <w:r>
        <w:rPr>
          <w:sz w:val="24"/>
        </w:rPr>
        <w:t>you</w:t>
      </w:r>
      <w:r>
        <w:rPr>
          <w:spacing w:val="-1"/>
          <w:sz w:val="24"/>
        </w:rPr>
        <w:t> </w:t>
      </w:r>
      <w:r>
        <w:rPr>
          <w:sz w:val="24"/>
        </w:rPr>
        <w:t>can</w:t>
      </w:r>
      <w:r>
        <w:rPr>
          <w:spacing w:val="-5"/>
          <w:sz w:val="24"/>
        </w:rPr>
        <w:t> </w:t>
      </w:r>
      <w:r>
        <w:rPr>
          <w:sz w:val="24"/>
        </w:rPr>
        <w:t>do</w:t>
      </w:r>
      <w:r>
        <w:rPr>
          <w:spacing w:val="-1"/>
          <w:sz w:val="24"/>
        </w:rPr>
        <w:t> </w:t>
      </w:r>
      <w:r>
        <w:rPr>
          <w:sz w:val="24"/>
        </w:rPr>
        <w:t>the</w:t>
      </w:r>
      <w:r>
        <w:rPr>
          <w:spacing w:val="-1"/>
          <w:sz w:val="24"/>
        </w:rPr>
        <w:t> </w:t>
      </w:r>
      <w:r>
        <w:rPr>
          <w:spacing w:val="-2"/>
          <w:sz w:val="24"/>
        </w:rPr>
        <w:t>task.</w:t>
      </w:r>
    </w:p>
    <w:p>
      <w:pPr>
        <w:pStyle w:val="ListParagraph"/>
        <w:numPr>
          <w:ilvl w:val="0"/>
          <w:numId w:val="32"/>
        </w:numPr>
        <w:tabs>
          <w:tab w:pos="751" w:val="left" w:leader="none"/>
        </w:tabs>
        <w:spacing w:line="412" w:lineRule="auto" w:before="204" w:after="0"/>
        <w:ind w:left="480" w:right="3013" w:firstLine="0"/>
        <w:jc w:val="left"/>
        <w:rPr>
          <w:sz w:val="24"/>
        </w:rPr>
      </w:pPr>
      <w:r>
        <w:rPr>
          <w:sz w:val="24"/>
        </w:rPr>
        <w:t>if</w:t>
      </w:r>
      <w:r>
        <w:rPr>
          <w:spacing w:val="-6"/>
          <w:sz w:val="24"/>
        </w:rPr>
        <w:t> </w:t>
      </w:r>
      <w:r>
        <w:rPr>
          <w:sz w:val="24"/>
        </w:rPr>
        <w:t>you</w:t>
      </w:r>
      <w:r>
        <w:rPr>
          <w:spacing w:val="-3"/>
          <w:sz w:val="24"/>
        </w:rPr>
        <w:t> </w:t>
      </w:r>
      <w:r>
        <w:rPr>
          <w:sz w:val="24"/>
        </w:rPr>
        <w:t>are</w:t>
      </w:r>
      <w:r>
        <w:rPr>
          <w:spacing w:val="-4"/>
          <w:sz w:val="24"/>
        </w:rPr>
        <w:t> </w:t>
      </w:r>
      <w:r>
        <w:rPr>
          <w:sz w:val="24"/>
        </w:rPr>
        <w:t>NOT</w:t>
      </w:r>
      <w:r>
        <w:rPr>
          <w:spacing w:val="-2"/>
          <w:sz w:val="24"/>
        </w:rPr>
        <w:t> </w:t>
      </w:r>
      <w:r>
        <w:rPr>
          <w:sz w:val="24"/>
        </w:rPr>
        <w:t>AT</w:t>
      </w:r>
      <w:r>
        <w:rPr>
          <w:spacing w:val="-2"/>
          <w:sz w:val="24"/>
        </w:rPr>
        <w:t> </w:t>
      </w:r>
      <w:r>
        <w:rPr>
          <w:sz w:val="24"/>
        </w:rPr>
        <w:t>ALL</w:t>
      </w:r>
      <w:r>
        <w:rPr>
          <w:spacing w:val="-6"/>
          <w:sz w:val="24"/>
        </w:rPr>
        <w:t> </w:t>
      </w:r>
      <w:r>
        <w:rPr>
          <w:sz w:val="24"/>
        </w:rPr>
        <w:t>CONFIDENT</w:t>
      </w:r>
      <w:r>
        <w:rPr>
          <w:spacing w:val="-6"/>
          <w:sz w:val="24"/>
        </w:rPr>
        <w:t> </w:t>
      </w:r>
      <w:r>
        <w:rPr>
          <w:sz w:val="24"/>
        </w:rPr>
        <w:t>that you</w:t>
      </w:r>
      <w:r>
        <w:rPr>
          <w:spacing w:val="-3"/>
          <w:sz w:val="24"/>
        </w:rPr>
        <w:t> </w:t>
      </w:r>
      <w:r>
        <w:rPr>
          <w:sz w:val="24"/>
        </w:rPr>
        <w:t>can</w:t>
      </w:r>
      <w:r>
        <w:rPr>
          <w:spacing w:val="-8"/>
          <w:sz w:val="24"/>
        </w:rPr>
        <w:t> </w:t>
      </w:r>
      <w:r>
        <w:rPr>
          <w:sz w:val="24"/>
        </w:rPr>
        <w:t>do</w:t>
      </w:r>
      <w:r>
        <w:rPr>
          <w:spacing w:val="-3"/>
          <w:sz w:val="24"/>
        </w:rPr>
        <w:t> </w:t>
      </w:r>
      <w:r>
        <w:rPr>
          <w:sz w:val="24"/>
        </w:rPr>
        <w:t>the</w:t>
      </w:r>
      <w:r>
        <w:rPr>
          <w:spacing w:val="-9"/>
          <w:sz w:val="24"/>
        </w:rPr>
        <w:t> </w:t>
      </w:r>
      <w:r>
        <w:rPr>
          <w:sz w:val="24"/>
        </w:rPr>
        <w:t>task. Practice item.</w:t>
      </w:r>
    </w:p>
    <w:p>
      <w:pPr>
        <w:pStyle w:val="BodyText"/>
        <w:spacing w:before="2"/>
        <w:ind w:right="1165"/>
      </w:pPr>
      <w:r>
        <w:rPr/>
        <w:t>How confident are you that you could give a presentation of how hydrogen gas is prepared in the laboratory? suppose that you were ‗‘fairy confident‘‘ that you could give a presentation about how hydrogen gas in the laboratory. You would circle the letter ‗‘C‘‘ in the box next to the question. Thank you for your participation.</w:t>
      </w:r>
    </w:p>
    <w:p>
      <w:pPr>
        <w:pStyle w:val="BodyText"/>
        <w:spacing w:before="2"/>
        <w:ind w:left="0"/>
        <w:jc w:val="left"/>
        <w:rPr>
          <w:sz w:val="18"/>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31"/>
        <w:gridCol w:w="389"/>
        <w:gridCol w:w="379"/>
        <w:gridCol w:w="374"/>
        <w:gridCol w:w="394"/>
        <w:gridCol w:w="360"/>
      </w:tblGrid>
      <w:tr>
        <w:trPr>
          <w:trHeight w:val="1027" w:hRule="atLeast"/>
        </w:trPr>
        <w:tc>
          <w:tcPr>
            <w:tcW w:w="6631" w:type="dxa"/>
          </w:tcPr>
          <w:p>
            <w:pPr>
              <w:pStyle w:val="TableParagraph"/>
              <w:ind w:left="830" w:right="100" w:hanging="360"/>
              <w:jc w:val="both"/>
              <w:rPr>
                <w:sz w:val="24"/>
              </w:rPr>
            </w:pPr>
            <w:r>
              <w:rPr>
                <w:sz w:val="24"/>
              </w:rPr>
              <w:t>1.</w:t>
            </w:r>
            <w:r>
              <w:rPr>
                <w:spacing w:val="40"/>
                <w:sz w:val="24"/>
              </w:rPr>
              <w:t> </w:t>
            </w:r>
            <w:r>
              <w:rPr>
                <w:sz w:val="24"/>
              </w:rPr>
              <w:t>How confident are you that after reading an article about chemistry experiment, you can write a summary of its</w:t>
            </w:r>
            <w:r>
              <w:rPr>
                <w:spacing w:val="40"/>
                <w:sz w:val="24"/>
              </w:rPr>
              <w:t> </w:t>
            </w:r>
            <w:r>
              <w:rPr>
                <w:sz w:val="24"/>
              </w:rPr>
              <w:t>main points?</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1027" w:hRule="atLeast"/>
        </w:trPr>
        <w:tc>
          <w:tcPr>
            <w:tcW w:w="6631" w:type="dxa"/>
          </w:tcPr>
          <w:p>
            <w:pPr>
              <w:pStyle w:val="TableParagraph"/>
              <w:ind w:left="830" w:right="108" w:hanging="360"/>
              <w:jc w:val="both"/>
              <w:rPr>
                <w:sz w:val="24"/>
              </w:rPr>
            </w:pPr>
            <w:r>
              <w:rPr>
                <w:sz w:val="24"/>
              </w:rPr>
              <w:t>2.</w:t>
            </w:r>
            <w:r>
              <w:rPr>
                <w:spacing w:val="40"/>
                <w:sz w:val="24"/>
              </w:rPr>
              <w:t> </w:t>
            </w:r>
            <w:r>
              <w:rPr>
                <w:sz w:val="24"/>
              </w:rPr>
              <w:t>How confident are you that after reading an article about chemistry experiment, you could explain its main ideas to another person?</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1026" w:hRule="atLeast"/>
        </w:trPr>
        <w:tc>
          <w:tcPr>
            <w:tcW w:w="6631" w:type="dxa"/>
          </w:tcPr>
          <w:p>
            <w:pPr>
              <w:pStyle w:val="TableParagraph"/>
              <w:ind w:left="830" w:right="101" w:hanging="360"/>
              <w:jc w:val="both"/>
              <w:rPr>
                <w:sz w:val="24"/>
              </w:rPr>
            </w:pPr>
            <w:r>
              <w:rPr>
                <w:sz w:val="24"/>
              </w:rPr>
              <w:t>3.</w:t>
            </w:r>
            <w:r>
              <w:rPr>
                <w:spacing w:val="40"/>
                <w:sz w:val="24"/>
              </w:rPr>
              <w:t> </w:t>
            </w:r>
            <w:r>
              <w:rPr>
                <w:sz w:val="24"/>
              </w:rPr>
              <w:t>How confident are you that after watching a television documentary dealing with some aspect of chemistry, you could write a summary of its main points?</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753" w:hRule="atLeast"/>
        </w:trPr>
        <w:tc>
          <w:tcPr>
            <w:tcW w:w="6631" w:type="dxa"/>
          </w:tcPr>
          <w:p>
            <w:pPr>
              <w:pStyle w:val="TableParagraph"/>
              <w:spacing w:line="242" w:lineRule="auto"/>
              <w:ind w:left="830" w:hanging="360"/>
              <w:rPr>
                <w:sz w:val="24"/>
              </w:rPr>
            </w:pPr>
            <w:r>
              <w:rPr>
                <w:sz w:val="24"/>
              </w:rPr>
              <w:t>4.</w:t>
            </w:r>
            <w:r>
              <w:rPr>
                <w:spacing w:val="80"/>
                <w:sz w:val="24"/>
              </w:rPr>
              <w:t> </w:t>
            </w:r>
            <w:r>
              <w:rPr>
                <w:sz w:val="24"/>
              </w:rPr>
              <w:t>How confident are you that you will be successful in this</w:t>
            </w:r>
            <w:r>
              <w:rPr>
                <w:spacing w:val="40"/>
                <w:sz w:val="24"/>
              </w:rPr>
              <w:t> </w:t>
            </w:r>
            <w:r>
              <w:rPr>
                <w:sz w:val="24"/>
              </w:rPr>
              <w:t>chemistry course?</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551" w:hRule="atLeast"/>
        </w:trPr>
        <w:tc>
          <w:tcPr>
            <w:tcW w:w="6631" w:type="dxa"/>
          </w:tcPr>
          <w:p>
            <w:pPr>
              <w:pStyle w:val="TableParagraph"/>
              <w:spacing w:line="268" w:lineRule="exact"/>
              <w:ind w:right="107"/>
              <w:jc w:val="right"/>
              <w:rPr>
                <w:sz w:val="24"/>
              </w:rPr>
            </w:pPr>
            <w:r>
              <w:rPr>
                <w:sz w:val="24"/>
              </w:rPr>
              <w:t>5.</w:t>
            </w:r>
            <w:r>
              <w:rPr>
                <w:spacing w:val="25"/>
                <w:sz w:val="24"/>
              </w:rPr>
              <w:t>  </w:t>
            </w:r>
            <w:r>
              <w:rPr>
                <w:sz w:val="24"/>
              </w:rPr>
              <w:t>How</w:t>
            </w:r>
            <w:r>
              <w:rPr>
                <w:spacing w:val="56"/>
                <w:sz w:val="24"/>
              </w:rPr>
              <w:t> </w:t>
            </w:r>
            <w:r>
              <w:rPr>
                <w:sz w:val="24"/>
              </w:rPr>
              <w:t>confident</w:t>
            </w:r>
            <w:r>
              <w:rPr>
                <w:spacing w:val="60"/>
                <w:sz w:val="24"/>
              </w:rPr>
              <w:t> </w:t>
            </w:r>
            <w:r>
              <w:rPr>
                <w:sz w:val="24"/>
              </w:rPr>
              <w:t>are</w:t>
            </w:r>
            <w:r>
              <w:rPr>
                <w:spacing w:val="54"/>
                <w:sz w:val="24"/>
              </w:rPr>
              <w:t> </w:t>
            </w:r>
            <w:r>
              <w:rPr>
                <w:sz w:val="24"/>
              </w:rPr>
              <w:t>you</w:t>
            </w:r>
            <w:r>
              <w:rPr>
                <w:spacing w:val="51"/>
                <w:sz w:val="24"/>
              </w:rPr>
              <w:t> </w:t>
            </w:r>
            <w:r>
              <w:rPr>
                <w:sz w:val="24"/>
              </w:rPr>
              <w:t>that</w:t>
            </w:r>
            <w:r>
              <w:rPr>
                <w:spacing w:val="60"/>
                <w:sz w:val="24"/>
              </w:rPr>
              <w:t> </w:t>
            </w:r>
            <w:r>
              <w:rPr>
                <w:sz w:val="24"/>
              </w:rPr>
              <w:t>after</w:t>
            </w:r>
            <w:r>
              <w:rPr>
                <w:spacing w:val="58"/>
                <w:sz w:val="24"/>
              </w:rPr>
              <w:t> </w:t>
            </w:r>
            <w:r>
              <w:rPr>
                <w:sz w:val="24"/>
              </w:rPr>
              <w:t>watching</w:t>
            </w:r>
            <w:r>
              <w:rPr>
                <w:spacing w:val="55"/>
                <w:sz w:val="24"/>
              </w:rPr>
              <w:t> </w:t>
            </w:r>
            <w:r>
              <w:rPr>
                <w:sz w:val="24"/>
              </w:rPr>
              <w:t>a</w:t>
            </w:r>
            <w:r>
              <w:rPr>
                <w:spacing w:val="55"/>
                <w:sz w:val="24"/>
              </w:rPr>
              <w:t> </w:t>
            </w:r>
            <w:r>
              <w:rPr>
                <w:spacing w:val="-2"/>
                <w:sz w:val="24"/>
              </w:rPr>
              <w:t>television</w:t>
            </w:r>
          </w:p>
          <w:p>
            <w:pPr>
              <w:pStyle w:val="TableParagraph"/>
              <w:spacing w:line="261" w:lineRule="exact" w:before="2"/>
              <w:ind w:right="107"/>
              <w:jc w:val="right"/>
              <w:rPr>
                <w:sz w:val="24"/>
              </w:rPr>
            </w:pPr>
            <w:r>
              <w:rPr>
                <w:sz w:val="24"/>
              </w:rPr>
              <w:t>documentary</w:t>
            </w:r>
            <w:r>
              <w:rPr>
                <w:spacing w:val="30"/>
                <w:sz w:val="24"/>
              </w:rPr>
              <w:t> </w:t>
            </w:r>
            <w:r>
              <w:rPr>
                <w:sz w:val="24"/>
              </w:rPr>
              <w:t>dealing</w:t>
            </w:r>
            <w:r>
              <w:rPr>
                <w:spacing w:val="40"/>
                <w:sz w:val="24"/>
              </w:rPr>
              <w:t> </w:t>
            </w:r>
            <w:r>
              <w:rPr>
                <w:sz w:val="24"/>
              </w:rPr>
              <w:t>with</w:t>
            </w:r>
            <w:r>
              <w:rPr>
                <w:spacing w:val="35"/>
                <w:sz w:val="24"/>
              </w:rPr>
              <w:t> </w:t>
            </w:r>
            <w:r>
              <w:rPr>
                <w:sz w:val="24"/>
              </w:rPr>
              <w:t>some</w:t>
            </w:r>
            <w:r>
              <w:rPr>
                <w:spacing w:val="39"/>
                <w:sz w:val="24"/>
              </w:rPr>
              <w:t> </w:t>
            </w:r>
            <w:r>
              <w:rPr>
                <w:sz w:val="24"/>
              </w:rPr>
              <w:t>aspect</w:t>
            </w:r>
            <w:r>
              <w:rPr>
                <w:spacing w:val="40"/>
                <w:sz w:val="24"/>
              </w:rPr>
              <w:t> </w:t>
            </w:r>
            <w:r>
              <w:rPr>
                <w:sz w:val="24"/>
              </w:rPr>
              <w:t>of</w:t>
            </w:r>
            <w:r>
              <w:rPr>
                <w:spacing w:val="32"/>
                <w:sz w:val="24"/>
              </w:rPr>
              <w:t> </w:t>
            </w:r>
            <w:r>
              <w:rPr>
                <w:sz w:val="24"/>
              </w:rPr>
              <w:t>chemistry</w:t>
            </w:r>
            <w:r>
              <w:rPr>
                <w:spacing w:val="35"/>
                <w:sz w:val="24"/>
              </w:rPr>
              <w:t> </w:t>
            </w:r>
            <w:r>
              <w:rPr>
                <w:spacing w:val="-5"/>
                <w:sz w:val="24"/>
              </w:rPr>
              <w:t>you</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bl>
    <w:p>
      <w:pPr>
        <w:spacing w:after="0" w:line="268" w:lineRule="exact"/>
        <w:jc w:val="center"/>
        <w:rPr>
          <w:sz w:val="24"/>
        </w:rPr>
        <w:sectPr>
          <w:pgSz w:w="11910" w:h="16840"/>
          <w:pgMar w:header="0" w:footer="1012" w:top="1340" w:bottom="1556" w:left="1680" w:right="280"/>
        </w:sect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31"/>
        <w:gridCol w:w="389"/>
        <w:gridCol w:w="379"/>
        <w:gridCol w:w="374"/>
        <w:gridCol w:w="394"/>
        <w:gridCol w:w="360"/>
      </w:tblGrid>
      <w:tr>
        <w:trPr>
          <w:trHeight w:val="474" w:hRule="atLeast"/>
        </w:trPr>
        <w:tc>
          <w:tcPr>
            <w:tcW w:w="6631" w:type="dxa"/>
          </w:tcPr>
          <w:p>
            <w:pPr>
              <w:pStyle w:val="TableParagraph"/>
              <w:spacing w:line="268" w:lineRule="exact"/>
              <w:ind w:right="450"/>
              <w:jc w:val="center"/>
              <w:rPr>
                <w:sz w:val="24"/>
              </w:rPr>
            </w:pPr>
            <w:r>
              <w:rPr>
                <w:sz w:val="24"/>
              </w:rPr>
              <w:t>could</w:t>
            </w:r>
            <w:r>
              <w:rPr>
                <w:spacing w:val="-3"/>
                <w:sz w:val="24"/>
              </w:rPr>
              <w:t> </w:t>
            </w:r>
            <w:r>
              <w:rPr>
                <w:sz w:val="24"/>
              </w:rPr>
              <w:t>explain</w:t>
            </w:r>
            <w:r>
              <w:rPr>
                <w:spacing w:val="-3"/>
                <w:sz w:val="24"/>
              </w:rPr>
              <w:t> </w:t>
            </w:r>
            <w:r>
              <w:rPr>
                <w:sz w:val="24"/>
              </w:rPr>
              <w:t>its</w:t>
            </w:r>
            <w:r>
              <w:rPr>
                <w:spacing w:val="-1"/>
                <w:sz w:val="24"/>
              </w:rPr>
              <w:t> </w:t>
            </w:r>
            <w:r>
              <w:rPr>
                <w:sz w:val="24"/>
              </w:rPr>
              <w:t>main</w:t>
            </w:r>
            <w:r>
              <w:rPr>
                <w:spacing w:val="-3"/>
                <w:sz w:val="24"/>
              </w:rPr>
              <w:t> </w:t>
            </w:r>
            <w:r>
              <w:rPr>
                <w:sz w:val="24"/>
              </w:rPr>
              <w:t>ideas</w:t>
            </w:r>
            <w:r>
              <w:rPr>
                <w:spacing w:val="-4"/>
                <w:sz w:val="24"/>
              </w:rPr>
              <w:t> </w:t>
            </w:r>
            <w:r>
              <w:rPr>
                <w:sz w:val="24"/>
              </w:rPr>
              <w:t>to</w:t>
            </w:r>
            <w:r>
              <w:rPr>
                <w:spacing w:val="1"/>
                <w:sz w:val="24"/>
              </w:rPr>
              <w:t> </w:t>
            </w:r>
            <w:r>
              <w:rPr>
                <w:sz w:val="24"/>
              </w:rPr>
              <w:t>another</w:t>
            </w:r>
            <w:r>
              <w:rPr>
                <w:spacing w:val="-1"/>
                <w:sz w:val="24"/>
              </w:rPr>
              <w:t> </w:t>
            </w:r>
            <w:r>
              <w:rPr>
                <w:spacing w:val="-2"/>
                <w:sz w:val="24"/>
              </w:rPr>
              <w:t>person?</w:t>
            </w:r>
          </w:p>
        </w:tc>
        <w:tc>
          <w:tcPr>
            <w:tcW w:w="389" w:type="dxa"/>
          </w:tcPr>
          <w:p>
            <w:pPr>
              <w:pStyle w:val="TableParagraph"/>
              <w:rPr>
                <w:sz w:val="24"/>
              </w:rPr>
            </w:pPr>
          </w:p>
        </w:tc>
        <w:tc>
          <w:tcPr>
            <w:tcW w:w="379" w:type="dxa"/>
          </w:tcPr>
          <w:p>
            <w:pPr>
              <w:pStyle w:val="TableParagraph"/>
              <w:rPr>
                <w:sz w:val="24"/>
              </w:rPr>
            </w:pPr>
          </w:p>
        </w:tc>
        <w:tc>
          <w:tcPr>
            <w:tcW w:w="374" w:type="dxa"/>
          </w:tcPr>
          <w:p>
            <w:pPr>
              <w:pStyle w:val="TableParagraph"/>
              <w:rPr>
                <w:sz w:val="24"/>
              </w:rPr>
            </w:pPr>
          </w:p>
        </w:tc>
        <w:tc>
          <w:tcPr>
            <w:tcW w:w="394" w:type="dxa"/>
          </w:tcPr>
          <w:p>
            <w:pPr>
              <w:pStyle w:val="TableParagraph"/>
              <w:rPr>
                <w:sz w:val="24"/>
              </w:rPr>
            </w:pPr>
          </w:p>
        </w:tc>
        <w:tc>
          <w:tcPr>
            <w:tcW w:w="360" w:type="dxa"/>
          </w:tcPr>
          <w:p>
            <w:pPr>
              <w:pStyle w:val="TableParagraph"/>
              <w:rPr>
                <w:sz w:val="24"/>
              </w:rPr>
            </w:pPr>
          </w:p>
        </w:tc>
      </w:tr>
      <w:tr>
        <w:trPr>
          <w:trHeight w:val="753" w:hRule="atLeast"/>
        </w:trPr>
        <w:tc>
          <w:tcPr>
            <w:tcW w:w="6631" w:type="dxa"/>
          </w:tcPr>
          <w:p>
            <w:pPr>
              <w:pStyle w:val="TableParagraph"/>
              <w:spacing w:line="242" w:lineRule="auto"/>
              <w:ind w:left="830" w:hanging="360"/>
              <w:rPr>
                <w:sz w:val="24"/>
              </w:rPr>
            </w:pPr>
            <w:r>
              <w:rPr>
                <w:sz w:val="24"/>
              </w:rPr>
              <w:t>6.</w:t>
            </w:r>
            <w:r>
              <w:rPr>
                <w:spacing w:val="80"/>
                <w:sz w:val="24"/>
              </w:rPr>
              <w:t> </w:t>
            </w:r>
            <w:r>
              <w:rPr>
                <w:sz w:val="24"/>
              </w:rPr>
              <w:t>How</w:t>
            </w:r>
            <w:r>
              <w:rPr>
                <w:spacing w:val="-3"/>
                <w:sz w:val="24"/>
              </w:rPr>
              <w:t> </w:t>
            </w:r>
            <w:r>
              <w:rPr>
                <w:sz w:val="24"/>
              </w:rPr>
              <w:t>confident are you</w:t>
            </w:r>
            <w:r>
              <w:rPr>
                <w:spacing w:val="-2"/>
                <w:sz w:val="24"/>
              </w:rPr>
              <w:t> </w:t>
            </w:r>
            <w:r>
              <w:rPr>
                <w:sz w:val="24"/>
              </w:rPr>
              <w:t>that you</w:t>
            </w:r>
            <w:r>
              <w:rPr>
                <w:spacing w:val="-2"/>
                <w:sz w:val="24"/>
              </w:rPr>
              <w:t> </w:t>
            </w:r>
            <w:r>
              <w:rPr>
                <w:sz w:val="24"/>
              </w:rPr>
              <w:t>will</w:t>
            </w:r>
            <w:r>
              <w:rPr>
                <w:spacing w:val="-2"/>
                <w:sz w:val="24"/>
              </w:rPr>
              <w:t> </w:t>
            </w:r>
            <w:r>
              <w:rPr>
                <w:sz w:val="24"/>
              </w:rPr>
              <w:t>be successful</w:t>
            </w:r>
            <w:r>
              <w:rPr>
                <w:spacing w:val="-2"/>
                <w:sz w:val="24"/>
              </w:rPr>
              <w:t> </w:t>
            </w:r>
            <w:r>
              <w:rPr>
                <w:sz w:val="24"/>
              </w:rPr>
              <w:t>in</w:t>
            </w:r>
            <w:r>
              <w:rPr>
                <w:spacing w:val="-2"/>
                <w:sz w:val="24"/>
              </w:rPr>
              <w:t> </w:t>
            </w:r>
            <w:r>
              <w:rPr>
                <w:sz w:val="24"/>
              </w:rPr>
              <w:t>every branch of chemistry course you are doing?</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1026" w:hRule="atLeast"/>
        </w:trPr>
        <w:tc>
          <w:tcPr>
            <w:tcW w:w="6631" w:type="dxa"/>
          </w:tcPr>
          <w:p>
            <w:pPr>
              <w:pStyle w:val="TableParagraph"/>
              <w:ind w:left="830" w:right="99" w:hanging="360"/>
              <w:jc w:val="both"/>
              <w:rPr>
                <w:sz w:val="24"/>
              </w:rPr>
            </w:pPr>
            <w:r>
              <w:rPr>
                <w:sz w:val="24"/>
              </w:rPr>
              <w:t>7.</w:t>
            </w:r>
            <w:r>
              <w:rPr>
                <w:spacing w:val="40"/>
                <w:sz w:val="24"/>
              </w:rPr>
              <w:t> </w:t>
            </w:r>
            <w:r>
              <w:rPr>
                <w:sz w:val="24"/>
              </w:rPr>
              <w:t>How confident are you that after listening to a public</w:t>
            </w:r>
            <w:r>
              <w:rPr>
                <w:spacing w:val="40"/>
                <w:sz w:val="24"/>
              </w:rPr>
              <w:t> </w:t>
            </w:r>
            <w:r>
              <w:rPr>
                <w:sz w:val="24"/>
              </w:rPr>
              <w:t>lecture regarding some chemistry</w:t>
            </w:r>
            <w:r>
              <w:rPr>
                <w:spacing w:val="-7"/>
                <w:sz w:val="24"/>
              </w:rPr>
              <w:t> </w:t>
            </w:r>
            <w:r>
              <w:rPr>
                <w:sz w:val="24"/>
              </w:rPr>
              <w:t>topics, you could write a summary of its main points?</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753" w:hRule="atLeast"/>
        </w:trPr>
        <w:tc>
          <w:tcPr>
            <w:tcW w:w="6631" w:type="dxa"/>
          </w:tcPr>
          <w:p>
            <w:pPr>
              <w:pStyle w:val="TableParagraph"/>
              <w:spacing w:line="242" w:lineRule="auto"/>
              <w:ind w:left="830" w:hanging="360"/>
              <w:rPr>
                <w:sz w:val="24"/>
              </w:rPr>
            </w:pPr>
            <w:r>
              <w:rPr>
                <w:sz w:val="24"/>
              </w:rPr>
              <w:t>8.</w:t>
            </w:r>
            <w:r>
              <w:rPr>
                <w:spacing w:val="80"/>
                <w:sz w:val="24"/>
              </w:rPr>
              <w:t> </w:t>
            </w:r>
            <w:r>
              <w:rPr>
                <w:sz w:val="24"/>
              </w:rPr>
              <w:t>How confident are you that you would be successful in an organic chemistry course?</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753" w:hRule="atLeast"/>
        </w:trPr>
        <w:tc>
          <w:tcPr>
            <w:tcW w:w="6631" w:type="dxa"/>
          </w:tcPr>
          <w:p>
            <w:pPr>
              <w:pStyle w:val="TableParagraph"/>
              <w:spacing w:line="242" w:lineRule="auto"/>
              <w:ind w:left="830" w:hanging="360"/>
              <w:rPr>
                <w:sz w:val="24"/>
              </w:rPr>
            </w:pPr>
            <w:r>
              <w:rPr>
                <w:sz w:val="24"/>
              </w:rPr>
              <w:t>9.</w:t>
            </w:r>
            <w:r>
              <w:rPr>
                <w:spacing w:val="80"/>
                <w:sz w:val="24"/>
              </w:rPr>
              <w:t> </w:t>
            </w:r>
            <w:r>
              <w:rPr>
                <w:sz w:val="24"/>
              </w:rPr>
              <w:t>How</w:t>
            </w:r>
            <w:r>
              <w:rPr>
                <w:spacing w:val="-3"/>
                <w:sz w:val="24"/>
              </w:rPr>
              <w:t> </w:t>
            </w:r>
            <w:r>
              <w:rPr>
                <w:sz w:val="24"/>
              </w:rPr>
              <w:t>confident are you</w:t>
            </w:r>
            <w:r>
              <w:rPr>
                <w:spacing w:val="-2"/>
                <w:sz w:val="24"/>
              </w:rPr>
              <w:t> </w:t>
            </w:r>
            <w:r>
              <w:rPr>
                <w:sz w:val="24"/>
              </w:rPr>
              <w:t>that you</w:t>
            </w:r>
            <w:r>
              <w:rPr>
                <w:spacing w:val="-2"/>
                <w:sz w:val="24"/>
              </w:rPr>
              <w:t> </w:t>
            </w:r>
            <w:r>
              <w:rPr>
                <w:sz w:val="24"/>
              </w:rPr>
              <w:t>could analyze a set</w:t>
            </w:r>
            <w:r>
              <w:rPr>
                <w:spacing w:val="-2"/>
                <w:sz w:val="24"/>
              </w:rPr>
              <w:t> </w:t>
            </w:r>
            <w:r>
              <w:rPr>
                <w:sz w:val="24"/>
              </w:rPr>
              <w:t>of</w:t>
            </w:r>
            <w:r>
              <w:rPr>
                <w:spacing w:val="-9"/>
                <w:sz w:val="24"/>
              </w:rPr>
              <w:t> </w:t>
            </w:r>
            <w:r>
              <w:rPr>
                <w:sz w:val="24"/>
              </w:rPr>
              <w:t>data (i.e. look at the relationship between variables)?</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1027" w:hRule="atLeast"/>
        </w:trPr>
        <w:tc>
          <w:tcPr>
            <w:tcW w:w="6631" w:type="dxa"/>
          </w:tcPr>
          <w:p>
            <w:pPr>
              <w:pStyle w:val="TableParagraph"/>
              <w:ind w:left="830" w:right="107" w:hanging="360"/>
              <w:jc w:val="both"/>
              <w:rPr>
                <w:sz w:val="24"/>
              </w:rPr>
            </w:pPr>
            <w:r>
              <w:rPr>
                <w:sz w:val="24"/>
              </w:rPr>
              <w:t>10.</w:t>
            </w:r>
            <w:r>
              <w:rPr>
                <w:spacing w:val="-3"/>
                <w:sz w:val="24"/>
              </w:rPr>
              <w:t> </w:t>
            </w:r>
            <w:r>
              <w:rPr>
                <w:sz w:val="24"/>
              </w:rPr>
              <w:t>How confident are you that after listening to a public lecture</w:t>
            </w:r>
            <w:r>
              <w:rPr>
                <w:spacing w:val="-6"/>
                <w:sz w:val="24"/>
              </w:rPr>
              <w:t> </w:t>
            </w:r>
            <w:r>
              <w:rPr>
                <w:sz w:val="24"/>
              </w:rPr>
              <w:t>regarding</w:t>
            </w:r>
            <w:r>
              <w:rPr>
                <w:spacing w:val="-2"/>
                <w:sz w:val="24"/>
              </w:rPr>
              <w:t> </w:t>
            </w:r>
            <w:r>
              <w:rPr>
                <w:sz w:val="24"/>
              </w:rPr>
              <w:t>some</w:t>
            </w:r>
            <w:r>
              <w:rPr>
                <w:spacing w:val="-6"/>
                <w:sz w:val="24"/>
              </w:rPr>
              <w:t> </w:t>
            </w:r>
            <w:r>
              <w:rPr>
                <w:sz w:val="24"/>
              </w:rPr>
              <w:t>chemistry</w:t>
            </w:r>
            <w:r>
              <w:rPr>
                <w:spacing w:val="-14"/>
                <w:sz w:val="24"/>
              </w:rPr>
              <w:t> </w:t>
            </w:r>
            <w:r>
              <w:rPr>
                <w:sz w:val="24"/>
              </w:rPr>
              <w:t>topics, you</w:t>
            </w:r>
            <w:r>
              <w:rPr>
                <w:spacing w:val="-5"/>
                <w:sz w:val="24"/>
              </w:rPr>
              <w:t> </w:t>
            </w:r>
            <w:r>
              <w:rPr>
                <w:sz w:val="24"/>
              </w:rPr>
              <w:t>could</w:t>
            </w:r>
            <w:r>
              <w:rPr>
                <w:spacing w:val="-5"/>
                <w:sz w:val="24"/>
              </w:rPr>
              <w:t> </w:t>
            </w:r>
            <w:r>
              <w:rPr>
                <w:sz w:val="24"/>
              </w:rPr>
              <w:t>explain its main ideas to another person?</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753" w:hRule="atLeast"/>
        </w:trPr>
        <w:tc>
          <w:tcPr>
            <w:tcW w:w="6631" w:type="dxa"/>
          </w:tcPr>
          <w:p>
            <w:pPr>
              <w:pStyle w:val="TableParagraph"/>
              <w:spacing w:line="242" w:lineRule="auto"/>
              <w:ind w:left="830" w:hanging="360"/>
              <w:rPr>
                <w:sz w:val="24"/>
              </w:rPr>
            </w:pPr>
            <w:r>
              <w:rPr>
                <w:sz w:val="24"/>
              </w:rPr>
              <w:t>11.</w:t>
            </w:r>
            <w:r>
              <w:rPr>
                <w:spacing w:val="-6"/>
                <w:sz w:val="24"/>
              </w:rPr>
              <w:t> </w:t>
            </w:r>
            <w:r>
              <w:rPr>
                <w:sz w:val="24"/>
              </w:rPr>
              <w:t>How</w:t>
            </w:r>
            <w:r>
              <w:rPr>
                <w:spacing w:val="-5"/>
                <w:sz w:val="24"/>
              </w:rPr>
              <w:t> </w:t>
            </w:r>
            <w:r>
              <w:rPr>
                <w:sz w:val="24"/>
              </w:rPr>
              <w:t>confident are</w:t>
            </w:r>
            <w:r>
              <w:rPr>
                <w:spacing w:val="-3"/>
                <w:sz w:val="24"/>
              </w:rPr>
              <w:t> </w:t>
            </w:r>
            <w:r>
              <w:rPr>
                <w:sz w:val="24"/>
              </w:rPr>
              <w:t>you</w:t>
            </w:r>
            <w:r>
              <w:rPr>
                <w:spacing w:val="-9"/>
                <w:sz w:val="24"/>
              </w:rPr>
              <w:t> </w:t>
            </w:r>
            <w:r>
              <w:rPr>
                <w:sz w:val="24"/>
              </w:rPr>
              <w:t>that you</w:t>
            </w:r>
            <w:r>
              <w:rPr>
                <w:spacing w:val="-4"/>
                <w:sz w:val="24"/>
              </w:rPr>
              <w:t> </w:t>
            </w:r>
            <w:r>
              <w:rPr>
                <w:sz w:val="24"/>
              </w:rPr>
              <w:t>could</w:t>
            </w:r>
            <w:r>
              <w:rPr>
                <w:spacing w:val="-2"/>
                <w:sz w:val="24"/>
              </w:rPr>
              <w:t> </w:t>
            </w:r>
            <w:r>
              <w:rPr>
                <w:sz w:val="24"/>
              </w:rPr>
              <w:t>tutor</w:t>
            </w:r>
            <w:r>
              <w:rPr>
                <w:spacing w:val="-7"/>
                <w:sz w:val="24"/>
              </w:rPr>
              <w:t> </w:t>
            </w:r>
            <w:r>
              <w:rPr>
                <w:sz w:val="24"/>
              </w:rPr>
              <w:t>another</w:t>
            </w:r>
            <w:r>
              <w:rPr>
                <w:spacing w:val="-3"/>
                <w:sz w:val="24"/>
              </w:rPr>
              <w:t> </w:t>
            </w:r>
            <w:r>
              <w:rPr>
                <w:sz w:val="24"/>
              </w:rPr>
              <w:t>student for this chemistry course you are doing?</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748" w:hRule="atLeast"/>
        </w:trPr>
        <w:tc>
          <w:tcPr>
            <w:tcW w:w="6631" w:type="dxa"/>
          </w:tcPr>
          <w:p>
            <w:pPr>
              <w:pStyle w:val="TableParagraph"/>
              <w:spacing w:line="237" w:lineRule="auto"/>
              <w:ind w:left="830" w:hanging="360"/>
              <w:rPr>
                <w:sz w:val="24"/>
              </w:rPr>
            </w:pPr>
            <w:r>
              <w:rPr>
                <w:sz w:val="24"/>
              </w:rPr>
              <w:t>12.</w:t>
            </w:r>
            <w:r>
              <w:rPr>
                <w:spacing w:val="-4"/>
                <w:sz w:val="24"/>
              </w:rPr>
              <w:t> </w:t>
            </w:r>
            <w:r>
              <w:rPr>
                <w:sz w:val="24"/>
              </w:rPr>
              <w:t>How</w:t>
            </w:r>
            <w:r>
              <w:rPr>
                <w:spacing w:val="37"/>
                <w:sz w:val="24"/>
              </w:rPr>
              <w:t> </w:t>
            </w:r>
            <w:r>
              <w:rPr>
                <w:sz w:val="24"/>
              </w:rPr>
              <w:t>confident</w:t>
            </w:r>
            <w:r>
              <w:rPr>
                <w:spacing w:val="40"/>
                <w:sz w:val="24"/>
              </w:rPr>
              <w:t> </w:t>
            </w:r>
            <w:r>
              <w:rPr>
                <w:sz w:val="24"/>
              </w:rPr>
              <w:t>are</w:t>
            </w:r>
            <w:r>
              <w:rPr>
                <w:spacing w:val="40"/>
                <w:sz w:val="24"/>
              </w:rPr>
              <w:t> </w:t>
            </w:r>
            <w:r>
              <w:rPr>
                <w:sz w:val="24"/>
              </w:rPr>
              <w:t>you</w:t>
            </w:r>
            <w:r>
              <w:rPr>
                <w:spacing w:val="34"/>
                <w:sz w:val="24"/>
              </w:rPr>
              <w:t> </w:t>
            </w:r>
            <w:r>
              <w:rPr>
                <w:sz w:val="24"/>
              </w:rPr>
              <w:t>that</w:t>
            </w:r>
            <w:r>
              <w:rPr>
                <w:spacing w:val="40"/>
                <w:sz w:val="24"/>
              </w:rPr>
              <w:t> </w:t>
            </w:r>
            <w:r>
              <w:rPr>
                <w:sz w:val="24"/>
              </w:rPr>
              <w:t>you</w:t>
            </w:r>
            <w:r>
              <w:rPr>
                <w:spacing w:val="38"/>
                <w:sz w:val="24"/>
              </w:rPr>
              <w:t> </w:t>
            </w:r>
            <w:r>
              <w:rPr>
                <w:sz w:val="24"/>
              </w:rPr>
              <w:t>would</w:t>
            </w:r>
            <w:r>
              <w:rPr>
                <w:spacing w:val="40"/>
                <w:sz w:val="24"/>
              </w:rPr>
              <w:t> </w:t>
            </w:r>
            <w:r>
              <w:rPr>
                <w:sz w:val="24"/>
              </w:rPr>
              <w:t>be</w:t>
            </w:r>
            <w:r>
              <w:rPr>
                <w:spacing w:val="37"/>
                <w:sz w:val="24"/>
              </w:rPr>
              <w:t> </w:t>
            </w:r>
            <w:r>
              <w:rPr>
                <w:sz w:val="24"/>
              </w:rPr>
              <w:t>successful</w:t>
            </w:r>
            <w:r>
              <w:rPr>
                <w:spacing w:val="35"/>
                <w:sz w:val="24"/>
              </w:rPr>
              <w:t> </w:t>
            </w:r>
            <w:r>
              <w:rPr>
                <w:sz w:val="24"/>
              </w:rPr>
              <w:t>in physical chemistry course?</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753" w:hRule="atLeast"/>
        </w:trPr>
        <w:tc>
          <w:tcPr>
            <w:tcW w:w="6631" w:type="dxa"/>
          </w:tcPr>
          <w:p>
            <w:pPr>
              <w:pStyle w:val="TableParagraph"/>
              <w:spacing w:line="237" w:lineRule="auto"/>
              <w:ind w:left="830" w:hanging="360"/>
              <w:rPr>
                <w:sz w:val="24"/>
              </w:rPr>
            </w:pPr>
            <w:r>
              <w:rPr>
                <w:sz w:val="24"/>
              </w:rPr>
              <w:t>13.</w:t>
            </w:r>
            <w:r>
              <w:rPr>
                <w:spacing w:val="-4"/>
                <w:sz w:val="24"/>
              </w:rPr>
              <w:t> </w:t>
            </w:r>
            <w:r>
              <w:rPr>
                <w:sz w:val="24"/>
              </w:rPr>
              <w:t>How</w:t>
            </w:r>
            <w:r>
              <w:rPr>
                <w:spacing w:val="34"/>
                <w:sz w:val="24"/>
              </w:rPr>
              <w:t> </w:t>
            </w:r>
            <w:r>
              <w:rPr>
                <w:sz w:val="24"/>
              </w:rPr>
              <w:t>confident</w:t>
            </w:r>
            <w:r>
              <w:rPr>
                <w:spacing w:val="38"/>
                <w:sz w:val="24"/>
              </w:rPr>
              <w:t> </w:t>
            </w:r>
            <w:r>
              <w:rPr>
                <w:sz w:val="24"/>
              </w:rPr>
              <w:t>are</w:t>
            </w:r>
            <w:r>
              <w:rPr>
                <w:spacing w:val="33"/>
                <w:sz w:val="24"/>
              </w:rPr>
              <w:t> </w:t>
            </w:r>
            <w:r>
              <w:rPr>
                <w:sz w:val="24"/>
              </w:rPr>
              <w:t>you</w:t>
            </w:r>
            <w:r>
              <w:rPr>
                <w:spacing w:val="29"/>
                <w:sz w:val="24"/>
              </w:rPr>
              <w:t> </w:t>
            </w:r>
            <w:r>
              <w:rPr>
                <w:sz w:val="24"/>
              </w:rPr>
              <w:t>that</w:t>
            </w:r>
            <w:r>
              <w:rPr>
                <w:spacing w:val="38"/>
                <w:sz w:val="24"/>
              </w:rPr>
              <w:t> </w:t>
            </w:r>
            <w:r>
              <w:rPr>
                <w:sz w:val="24"/>
              </w:rPr>
              <w:t>you</w:t>
            </w:r>
            <w:r>
              <w:rPr>
                <w:spacing w:val="34"/>
                <w:sz w:val="24"/>
              </w:rPr>
              <w:t> </w:t>
            </w:r>
            <w:r>
              <w:rPr>
                <w:sz w:val="24"/>
              </w:rPr>
              <w:t>could</w:t>
            </w:r>
            <w:r>
              <w:rPr>
                <w:spacing w:val="34"/>
                <w:sz w:val="24"/>
              </w:rPr>
              <w:t> </w:t>
            </w:r>
            <w:r>
              <w:rPr>
                <w:sz w:val="24"/>
              </w:rPr>
              <w:t>ask</w:t>
            </w:r>
            <w:r>
              <w:rPr>
                <w:spacing w:val="34"/>
                <w:sz w:val="24"/>
              </w:rPr>
              <w:t> </w:t>
            </w:r>
            <w:r>
              <w:rPr>
                <w:sz w:val="24"/>
              </w:rPr>
              <w:t>a</w:t>
            </w:r>
            <w:r>
              <w:rPr>
                <w:spacing w:val="37"/>
                <w:sz w:val="24"/>
              </w:rPr>
              <w:t> </w:t>
            </w:r>
            <w:r>
              <w:rPr>
                <w:sz w:val="24"/>
              </w:rPr>
              <w:t>meaningful question that could be answered experimentally</w:t>
            </w:r>
          </w:p>
        </w:tc>
        <w:tc>
          <w:tcPr>
            <w:tcW w:w="389" w:type="dxa"/>
          </w:tcPr>
          <w:p>
            <w:pPr>
              <w:pStyle w:val="TableParagraph"/>
              <w:spacing w:line="273" w:lineRule="exact"/>
              <w:ind w:left="5"/>
              <w:jc w:val="center"/>
              <w:rPr>
                <w:sz w:val="24"/>
              </w:rPr>
            </w:pPr>
            <w:r>
              <w:rPr>
                <w:spacing w:val="-10"/>
                <w:sz w:val="24"/>
              </w:rPr>
              <w:t>A</w:t>
            </w:r>
          </w:p>
        </w:tc>
        <w:tc>
          <w:tcPr>
            <w:tcW w:w="379" w:type="dxa"/>
          </w:tcPr>
          <w:p>
            <w:pPr>
              <w:pStyle w:val="TableParagraph"/>
              <w:spacing w:line="273" w:lineRule="exact"/>
              <w:ind w:left="12"/>
              <w:jc w:val="center"/>
              <w:rPr>
                <w:sz w:val="24"/>
              </w:rPr>
            </w:pPr>
            <w:r>
              <w:rPr>
                <w:spacing w:val="-10"/>
                <w:sz w:val="24"/>
              </w:rPr>
              <w:t>B</w:t>
            </w:r>
          </w:p>
        </w:tc>
        <w:tc>
          <w:tcPr>
            <w:tcW w:w="374" w:type="dxa"/>
          </w:tcPr>
          <w:p>
            <w:pPr>
              <w:pStyle w:val="TableParagraph"/>
              <w:spacing w:line="273" w:lineRule="exact"/>
              <w:ind w:left="8"/>
              <w:jc w:val="center"/>
              <w:rPr>
                <w:sz w:val="24"/>
              </w:rPr>
            </w:pPr>
            <w:r>
              <w:rPr>
                <w:spacing w:val="-10"/>
                <w:sz w:val="24"/>
              </w:rPr>
              <w:t>C</w:t>
            </w:r>
          </w:p>
        </w:tc>
        <w:tc>
          <w:tcPr>
            <w:tcW w:w="394" w:type="dxa"/>
          </w:tcPr>
          <w:p>
            <w:pPr>
              <w:pStyle w:val="TableParagraph"/>
              <w:spacing w:line="273" w:lineRule="exact"/>
              <w:ind w:left="11"/>
              <w:jc w:val="center"/>
              <w:rPr>
                <w:sz w:val="24"/>
              </w:rPr>
            </w:pPr>
            <w:r>
              <w:rPr>
                <w:spacing w:val="-10"/>
                <w:sz w:val="24"/>
              </w:rPr>
              <w:t>D</w:t>
            </w:r>
          </w:p>
        </w:tc>
        <w:tc>
          <w:tcPr>
            <w:tcW w:w="360" w:type="dxa"/>
          </w:tcPr>
          <w:p>
            <w:pPr>
              <w:pStyle w:val="TableParagraph"/>
              <w:spacing w:line="273" w:lineRule="exact"/>
              <w:ind w:left="9"/>
              <w:jc w:val="center"/>
              <w:rPr>
                <w:sz w:val="24"/>
              </w:rPr>
            </w:pPr>
            <w:r>
              <w:rPr>
                <w:spacing w:val="-10"/>
                <w:sz w:val="24"/>
              </w:rPr>
              <w:t>E</w:t>
            </w:r>
          </w:p>
        </w:tc>
      </w:tr>
      <w:tr>
        <w:trPr>
          <w:trHeight w:val="1027" w:hRule="atLeast"/>
        </w:trPr>
        <w:tc>
          <w:tcPr>
            <w:tcW w:w="6631" w:type="dxa"/>
          </w:tcPr>
          <w:p>
            <w:pPr>
              <w:pStyle w:val="TableParagraph"/>
              <w:ind w:left="830" w:right="103" w:hanging="360"/>
              <w:jc w:val="both"/>
              <w:rPr>
                <w:sz w:val="24"/>
              </w:rPr>
            </w:pPr>
            <w:r>
              <w:rPr>
                <w:sz w:val="24"/>
              </w:rPr>
              <w:t>14.</w:t>
            </w:r>
            <w:r>
              <w:rPr>
                <w:spacing w:val="-4"/>
                <w:sz w:val="24"/>
              </w:rPr>
              <w:t> </w:t>
            </w:r>
            <w:r>
              <w:rPr>
                <w:sz w:val="24"/>
              </w:rPr>
              <w:t>How confident are you that you could explain something that you learned in this chemistry course to another</w:t>
            </w:r>
            <w:r>
              <w:rPr>
                <w:spacing w:val="40"/>
                <w:sz w:val="24"/>
              </w:rPr>
              <w:t> </w:t>
            </w:r>
            <w:r>
              <w:rPr>
                <w:spacing w:val="-2"/>
                <w:sz w:val="24"/>
              </w:rPr>
              <w:t>person?</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r>
        <w:trPr>
          <w:trHeight w:val="753" w:hRule="atLeast"/>
        </w:trPr>
        <w:tc>
          <w:tcPr>
            <w:tcW w:w="6631" w:type="dxa"/>
          </w:tcPr>
          <w:p>
            <w:pPr>
              <w:pStyle w:val="TableParagraph"/>
              <w:spacing w:line="242" w:lineRule="auto"/>
              <w:ind w:left="830" w:hanging="360"/>
              <w:rPr>
                <w:sz w:val="24"/>
              </w:rPr>
            </w:pPr>
            <w:r>
              <w:rPr>
                <w:sz w:val="24"/>
              </w:rPr>
              <w:t>15.</w:t>
            </w:r>
            <w:r>
              <w:rPr>
                <w:spacing w:val="-4"/>
                <w:sz w:val="24"/>
              </w:rPr>
              <w:t> </w:t>
            </w:r>
            <w:r>
              <w:rPr>
                <w:sz w:val="24"/>
              </w:rPr>
              <w:t>How</w:t>
            </w:r>
            <w:r>
              <w:rPr>
                <w:spacing w:val="40"/>
                <w:sz w:val="24"/>
              </w:rPr>
              <w:t> </w:t>
            </w:r>
            <w:r>
              <w:rPr>
                <w:sz w:val="24"/>
              </w:rPr>
              <w:t>confident</w:t>
            </w:r>
            <w:r>
              <w:rPr>
                <w:spacing w:val="40"/>
                <w:sz w:val="24"/>
              </w:rPr>
              <w:t> </w:t>
            </w:r>
            <w:r>
              <w:rPr>
                <w:sz w:val="24"/>
              </w:rPr>
              <w:t>are</w:t>
            </w:r>
            <w:r>
              <w:rPr>
                <w:spacing w:val="40"/>
                <w:sz w:val="24"/>
              </w:rPr>
              <w:t> </w:t>
            </w:r>
            <w:r>
              <w:rPr>
                <w:sz w:val="24"/>
              </w:rPr>
              <w:t>you</w:t>
            </w:r>
            <w:r>
              <w:rPr>
                <w:spacing w:val="40"/>
                <w:sz w:val="24"/>
              </w:rPr>
              <w:t> </w:t>
            </w:r>
            <w:r>
              <w:rPr>
                <w:sz w:val="24"/>
              </w:rPr>
              <w:t>that</w:t>
            </w:r>
            <w:r>
              <w:rPr>
                <w:spacing w:val="40"/>
                <w:sz w:val="24"/>
              </w:rPr>
              <w:t> </w:t>
            </w:r>
            <w:r>
              <w:rPr>
                <w:sz w:val="24"/>
              </w:rPr>
              <w:t>you</w:t>
            </w:r>
            <w:r>
              <w:rPr>
                <w:spacing w:val="40"/>
                <w:sz w:val="24"/>
              </w:rPr>
              <w:t> </w:t>
            </w:r>
            <w:r>
              <w:rPr>
                <w:sz w:val="24"/>
              </w:rPr>
              <w:t>could</w:t>
            </w:r>
            <w:r>
              <w:rPr>
                <w:spacing w:val="40"/>
                <w:sz w:val="24"/>
              </w:rPr>
              <w:t> </w:t>
            </w:r>
            <w:r>
              <w:rPr>
                <w:sz w:val="24"/>
              </w:rPr>
              <w:t>use</w:t>
            </w:r>
            <w:r>
              <w:rPr>
                <w:spacing w:val="40"/>
                <w:sz w:val="24"/>
              </w:rPr>
              <w:t> </w:t>
            </w:r>
            <w:r>
              <w:rPr>
                <w:sz w:val="24"/>
              </w:rPr>
              <w:t>a</w:t>
            </w:r>
            <w:r>
              <w:rPr>
                <w:spacing w:val="40"/>
                <w:sz w:val="24"/>
              </w:rPr>
              <w:t> </w:t>
            </w:r>
            <w:r>
              <w:rPr>
                <w:sz w:val="24"/>
              </w:rPr>
              <w:t>scientific approach to solve a problem at home?</w:t>
            </w:r>
          </w:p>
        </w:tc>
        <w:tc>
          <w:tcPr>
            <w:tcW w:w="389" w:type="dxa"/>
          </w:tcPr>
          <w:p>
            <w:pPr>
              <w:pStyle w:val="TableParagraph"/>
              <w:spacing w:line="268" w:lineRule="exact"/>
              <w:ind w:left="5"/>
              <w:jc w:val="center"/>
              <w:rPr>
                <w:sz w:val="24"/>
              </w:rPr>
            </w:pPr>
            <w:r>
              <w:rPr>
                <w:spacing w:val="-10"/>
                <w:sz w:val="24"/>
              </w:rPr>
              <w:t>A</w:t>
            </w:r>
          </w:p>
        </w:tc>
        <w:tc>
          <w:tcPr>
            <w:tcW w:w="379" w:type="dxa"/>
          </w:tcPr>
          <w:p>
            <w:pPr>
              <w:pStyle w:val="TableParagraph"/>
              <w:spacing w:line="268" w:lineRule="exact"/>
              <w:ind w:left="12"/>
              <w:jc w:val="center"/>
              <w:rPr>
                <w:sz w:val="24"/>
              </w:rPr>
            </w:pPr>
            <w:r>
              <w:rPr>
                <w:spacing w:val="-10"/>
                <w:sz w:val="24"/>
              </w:rPr>
              <w:t>B</w:t>
            </w:r>
          </w:p>
        </w:tc>
        <w:tc>
          <w:tcPr>
            <w:tcW w:w="374" w:type="dxa"/>
          </w:tcPr>
          <w:p>
            <w:pPr>
              <w:pStyle w:val="TableParagraph"/>
              <w:spacing w:line="268" w:lineRule="exact"/>
              <w:ind w:left="8"/>
              <w:jc w:val="center"/>
              <w:rPr>
                <w:sz w:val="24"/>
              </w:rPr>
            </w:pPr>
            <w:r>
              <w:rPr>
                <w:spacing w:val="-10"/>
                <w:sz w:val="24"/>
              </w:rPr>
              <w:t>C</w:t>
            </w:r>
          </w:p>
        </w:tc>
        <w:tc>
          <w:tcPr>
            <w:tcW w:w="394" w:type="dxa"/>
          </w:tcPr>
          <w:p>
            <w:pPr>
              <w:pStyle w:val="TableParagraph"/>
              <w:spacing w:line="268" w:lineRule="exact"/>
              <w:ind w:left="11"/>
              <w:jc w:val="center"/>
              <w:rPr>
                <w:sz w:val="24"/>
              </w:rPr>
            </w:pPr>
            <w:r>
              <w:rPr>
                <w:spacing w:val="-10"/>
                <w:sz w:val="24"/>
              </w:rPr>
              <w:t>D</w:t>
            </w:r>
          </w:p>
        </w:tc>
        <w:tc>
          <w:tcPr>
            <w:tcW w:w="360" w:type="dxa"/>
          </w:tcPr>
          <w:p>
            <w:pPr>
              <w:pStyle w:val="TableParagraph"/>
              <w:spacing w:line="268" w:lineRule="exact"/>
              <w:ind w:left="9"/>
              <w:jc w:val="center"/>
              <w:rPr>
                <w:sz w:val="24"/>
              </w:rPr>
            </w:pPr>
            <w:r>
              <w:rPr>
                <w:spacing w:val="-10"/>
                <w:sz w:val="24"/>
              </w:rPr>
              <w:t>E</w:t>
            </w:r>
          </w:p>
        </w:tc>
      </w:tr>
    </w:tbl>
    <w:p>
      <w:pPr>
        <w:spacing w:after="0" w:line="268" w:lineRule="exact"/>
        <w:jc w:val="center"/>
        <w:rPr>
          <w:sz w:val="24"/>
        </w:rPr>
        <w:sectPr>
          <w:type w:val="continuous"/>
          <w:pgSz w:w="11910" w:h="16840"/>
          <w:pgMar w:header="0" w:footer="1012" w:top="1400" w:bottom="1200" w:left="1680" w:right="280"/>
        </w:sectPr>
      </w:pPr>
    </w:p>
    <w:p>
      <w:pPr>
        <w:pStyle w:val="Heading2"/>
        <w:spacing w:line="275" w:lineRule="exact"/>
        <w:ind w:right="680"/>
      </w:pPr>
      <w:r>
        <w:rPr/>
        <w:t>APPENDIX</w:t>
      </w:r>
      <w:r>
        <w:rPr>
          <w:spacing w:val="-7"/>
        </w:rPr>
        <w:t> </w:t>
      </w:r>
      <w:r>
        <w:rPr>
          <w:spacing w:val="-10"/>
        </w:rPr>
        <w:t>E</w:t>
      </w:r>
    </w:p>
    <w:p>
      <w:pPr>
        <w:spacing w:line="275" w:lineRule="exact" w:before="0"/>
        <w:ind w:left="0" w:right="680" w:firstLine="0"/>
        <w:jc w:val="center"/>
        <w:rPr>
          <w:b/>
          <w:sz w:val="24"/>
        </w:rPr>
      </w:pPr>
      <w:r>
        <w:rPr>
          <w:b/>
          <w:sz w:val="24"/>
        </w:rPr>
        <w:t>DESCRIPTIVE</w:t>
      </w:r>
      <w:r>
        <w:rPr>
          <w:b/>
          <w:spacing w:val="-6"/>
          <w:sz w:val="24"/>
        </w:rPr>
        <w:t> </w:t>
      </w:r>
      <w:r>
        <w:rPr>
          <w:b/>
          <w:sz w:val="24"/>
        </w:rPr>
        <w:t>STATISTICS</w:t>
      </w:r>
      <w:r>
        <w:rPr>
          <w:b/>
          <w:spacing w:val="-1"/>
          <w:sz w:val="24"/>
        </w:rPr>
        <w:t> </w:t>
      </w:r>
      <w:r>
        <w:rPr>
          <w:b/>
          <w:sz w:val="24"/>
        </w:rPr>
        <w:t>OF</w:t>
      </w:r>
      <w:r>
        <w:rPr>
          <w:b/>
          <w:spacing w:val="-4"/>
          <w:sz w:val="24"/>
        </w:rPr>
        <w:t> </w:t>
      </w:r>
      <w:r>
        <w:rPr>
          <w:b/>
          <w:sz w:val="24"/>
        </w:rPr>
        <w:t>MALE</w:t>
      </w:r>
      <w:r>
        <w:rPr>
          <w:b/>
          <w:spacing w:val="-3"/>
          <w:sz w:val="24"/>
        </w:rPr>
        <w:t> </w:t>
      </w:r>
      <w:r>
        <w:rPr>
          <w:b/>
          <w:sz w:val="24"/>
        </w:rPr>
        <w:t>AND</w:t>
      </w:r>
      <w:r>
        <w:rPr>
          <w:b/>
          <w:spacing w:val="-2"/>
          <w:sz w:val="24"/>
        </w:rPr>
        <w:t> FEMALE</w:t>
      </w:r>
    </w:p>
    <w:p>
      <w:pPr>
        <w:spacing w:line="226" w:lineRule="exact" w:before="233"/>
        <w:ind w:left="480" w:right="0" w:firstLine="0"/>
        <w:jc w:val="left"/>
        <w:rPr>
          <w:rFonts w:ascii="Courier New"/>
          <w:sz w:val="20"/>
        </w:rPr>
      </w:pPr>
      <w:r>
        <w:rPr>
          <w:rFonts w:ascii="Courier New"/>
          <w:spacing w:val="-2"/>
          <w:sz w:val="20"/>
        </w:rPr>
        <w:t>CORRELATIONS</w:t>
      </w:r>
    </w:p>
    <w:p>
      <w:pPr>
        <w:spacing w:before="0"/>
        <w:ind w:left="721" w:right="0" w:firstLine="0"/>
        <w:jc w:val="left"/>
        <w:rPr>
          <w:rFonts w:ascii="Courier New"/>
          <w:sz w:val="20"/>
        </w:rPr>
      </w:pPr>
      <w:r>
        <w:rPr>
          <w:rFonts w:ascii="Courier New"/>
          <w:sz w:val="20"/>
        </w:rPr>
        <w:t>/VARIABLES=temint</w:t>
      </w:r>
      <w:r>
        <w:rPr>
          <w:rFonts w:ascii="Courier New"/>
          <w:spacing w:val="-13"/>
          <w:sz w:val="20"/>
        </w:rPr>
        <w:t> </w:t>
      </w:r>
      <w:r>
        <w:rPr>
          <w:rFonts w:ascii="Courier New"/>
          <w:sz w:val="20"/>
        </w:rPr>
        <w:t>tresability</w:t>
      </w:r>
      <w:r>
        <w:rPr>
          <w:rFonts w:ascii="Courier New"/>
          <w:spacing w:val="-13"/>
          <w:sz w:val="20"/>
        </w:rPr>
        <w:t> </w:t>
      </w:r>
      <w:r>
        <w:rPr>
          <w:rFonts w:ascii="Courier New"/>
          <w:sz w:val="20"/>
        </w:rPr>
        <w:t>tsefficacy</w:t>
      </w:r>
      <w:r>
        <w:rPr>
          <w:rFonts w:ascii="Courier New"/>
          <w:spacing w:val="-12"/>
          <w:sz w:val="20"/>
        </w:rPr>
        <w:t> </w:t>
      </w:r>
      <w:r>
        <w:rPr>
          <w:rFonts w:ascii="Courier New"/>
          <w:spacing w:val="-2"/>
          <w:sz w:val="20"/>
        </w:rPr>
        <w:t>ChemistryAtest</w:t>
      </w:r>
    </w:p>
    <w:p>
      <w:pPr>
        <w:spacing w:line="226" w:lineRule="exact" w:before="4"/>
        <w:ind w:left="721" w:right="0" w:firstLine="0"/>
        <w:jc w:val="left"/>
        <w:rPr>
          <w:rFonts w:ascii="Courier New"/>
          <w:sz w:val="20"/>
        </w:rPr>
      </w:pPr>
      <w:r>
        <w:rPr>
          <w:rFonts w:ascii="Courier New"/>
          <w:sz w:val="20"/>
        </w:rPr>
        <w:t>/PRINT=TWOTAIL</w:t>
      </w:r>
      <w:r>
        <w:rPr>
          <w:rFonts w:ascii="Courier New"/>
          <w:spacing w:val="-14"/>
          <w:sz w:val="20"/>
        </w:rPr>
        <w:t> </w:t>
      </w:r>
      <w:r>
        <w:rPr>
          <w:rFonts w:ascii="Courier New"/>
          <w:spacing w:val="-2"/>
          <w:sz w:val="20"/>
        </w:rPr>
        <w:t>NOSIG</w:t>
      </w:r>
    </w:p>
    <w:p>
      <w:pPr>
        <w:spacing w:line="226" w:lineRule="exact" w:before="0"/>
        <w:ind w:left="721" w:right="0" w:firstLine="0"/>
        <w:jc w:val="left"/>
        <w:rPr>
          <w:rFonts w:ascii="Courier New"/>
          <w:sz w:val="20"/>
        </w:rPr>
      </w:pPr>
      <w:r>
        <w:rPr>
          <w:rFonts w:ascii="Courier New"/>
          <w:sz w:val="20"/>
        </w:rPr>
        <w:t>/STATISTICS</w:t>
      </w:r>
      <w:r>
        <w:rPr>
          <w:rFonts w:ascii="Courier New"/>
          <w:spacing w:val="-11"/>
          <w:sz w:val="20"/>
        </w:rPr>
        <w:t> </w:t>
      </w:r>
      <w:r>
        <w:rPr>
          <w:rFonts w:ascii="Courier New"/>
          <w:spacing w:val="-2"/>
          <w:sz w:val="20"/>
        </w:rPr>
        <w:t>DESCRIPTIVES</w:t>
      </w:r>
    </w:p>
    <w:p>
      <w:pPr>
        <w:spacing w:line="226" w:lineRule="exact" w:before="0"/>
        <w:ind w:left="721" w:right="0" w:firstLine="0"/>
        <w:jc w:val="left"/>
        <w:rPr>
          <w:rFonts w:ascii="Courier New"/>
          <w:sz w:val="20"/>
        </w:rPr>
      </w:pPr>
      <w:r>
        <w:rPr>
          <w:rFonts w:ascii="Courier New"/>
          <w:spacing w:val="-2"/>
          <w:sz w:val="20"/>
        </w:rPr>
        <w:t>/MISSING=PAIRWISE.</w:t>
      </w:r>
    </w:p>
    <w:p>
      <w:pPr>
        <w:pStyle w:val="BodyText"/>
        <w:spacing w:before="60"/>
        <w:ind w:left="0"/>
        <w:jc w:val="left"/>
        <w:rPr>
          <w:rFonts w:ascii="Courier New"/>
          <w:sz w:val="20"/>
        </w:rPr>
      </w:pPr>
    </w:p>
    <w:p>
      <w:pPr>
        <w:pStyle w:val="Heading1"/>
      </w:pPr>
      <w:r>
        <w:rPr>
          <w:spacing w:val="-2"/>
        </w:rPr>
        <w:t>Correlations</w:t>
      </w:r>
    </w:p>
    <w:p>
      <w:pPr>
        <w:pStyle w:val="BodyText"/>
        <w:ind w:left="0"/>
        <w:jc w:val="left"/>
        <w:rPr>
          <w:rFonts w:ascii="Arial"/>
          <w:b/>
          <w:sz w:val="20"/>
        </w:rPr>
      </w:pPr>
    </w:p>
    <w:p>
      <w:pPr>
        <w:pStyle w:val="BodyText"/>
        <w:spacing w:before="49" w:after="1"/>
        <w:ind w:left="0"/>
        <w:jc w:val="left"/>
        <w:rPr>
          <w:rFonts w:ascii="Arial"/>
          <w:b/>
          <w:sz w:val="20"/>
        </w:rPr>
      </w:pPr>
    </w:p>
    <w:tbl>
      <w:tblPr>
        <w:tblW w:w="0" w:type="auto"/>
        <w:jc w:val="left"/>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2"/>
        <w:gridCol w:w="980"/>
        <w:gridCol w:w="1569"/>
        <w:gridCol w:w="817"/>
      </w:tblGrid>
      <w:tr>
        <w:trPr>
          <w:trHeight w:val="211" w:hRule="atLeast"/>
        </w:trPr>
        <w:tc>
          <w:tcPr>
            <w:tcW w:w="5888" w:type="dxa"/>
            <w:gridSpan w:val="4"/>
            <w:tcBorders>
              <w:bottom w:val="double" w:sz="8" w:space="0" w:color="000000"/>
            </w:tcBorders>
          </w:tcPr>
          <w:p>
            <w:pPr>
              <w:pStyle w:val="TableParagraph"/>
              <w:spacing w:line="192" w:lineRule="exact"/>
              <w:ind w:left="17"/>
              <w:jc w:val="center"/>
              <w:rPr>
                <w:rFonts w:ascii="Arial"/>
                <w:b/>
                <w:sz w:val="18"/>
              </w:rPr>
            </w:pPr>
            <w:r>
              <w:rPr>
                <w:rFonts w:ascii="Arial"/>
                <w:b/>
                <w:sz w:val="18"/>
              </w:rPr>
              <w:t>Descriptive</w:t>
            </w:r>
            <w:r>
              <w:rPr>
                <w:rFonts w:ascii="Arial"/>
                <w:b/>
                <w:spacing w:val="-4"/>
                <w:sz w:val="18"/>
              </w:rPr>
              <w:t> </w:t>
            </w:r>
            <w:r>
              <w:rPr>
                <w:rFonts w:ascii="Arial"/>
                <w:b/>
                <w:spacing w:val="-2"/>
                <w:sz w:val="18"/>
              </w:rPr>
              <w:t>Statistics</w:t>
            </w:r>
          </w:p>
        </w:tc>
      </w:tr>
      <w:tr>
        <w:trPr>
          <w:trHeight w:val="317" w:hRule="atLeast"/>
        </w:trPr>
        <w:tc>
          <w:tcPr>
            <w:tcW w:w="2522" w:type="dxa"/>
            <w:tcBorders>
              <w:top w:val="double" w:sz="8" w:space="0" w:color="000000"/>
              <w:bottom w:val="single" w:sz="18" w:space="0" w:color="000000"/>
            </w:tcBorders>
          </w:tcPr>
          <w:p>
            <w:pPr>
              <w:pStyle w:val="TableParagraph"/>
              <w:rPr>
                <w:sz w:val="18"/>
              </w:rPr>
            </w:pPr>
          </w:p>
        </w:tc>
        <w:tc>
          <w:tcPr>
            <w:tcW w:w="980" w:type="dxa"/>
            <w:tcBorders>
              <w:top w:val="double" w:sz="8" w:space="0" w:color="000000"/>
              <w:bottom w:val="single" w:sz="18" w:space="0" w:color="000000"/>
            </w:tcBorders>
          </w:tcPr>
          <w:p>
            <w:pPr>
              <w:pStyle w:val="TableParagraph"/>
              <w:spacing w:line="194" w:lineRule="exact" w:before="103"/>
              <w:ind w:left="200"/>
              <w:rPr>
                <w:rFonts w:ascii="Arial MT"/>
                <w:sz w:val="18"/>
              </w:rPr>
            </w:pPr>
            <w:r>
              <w:rPr>
                <w:rFonts w:ascii="Arial MT"/>
                <w:spacing w:val="-4"/>
                <w:sz w:val="18"/>
              </w:rPr>
              <w:t>Mean</w:t>
            </w:r>
          </w:p>
        </w:tc>
        <w:tc>
          <w:tcPr>
            <w:tcW w:w="1569" w:type="dxa"/>
            <w:tcBorders>
              <w:top w:val="double" w:sz="8" w:space="0" w:color="000000"/>
              <w:bottom w:val="single" w:sz="18" w:space="0" w:color="000000"/>
            </w:tcBorders>
          </w:tcPr>
          <w:p>
            <w:pPr>
              <w:pStyle w:val="TableParagraph"/>
              <w:spacing w:line="194" w:lineRule="exact" w:before="103"/>
              <w:ind w:left="104"/>
              <w:rPr>
                <w:rFonts w:ascii="Arial MT"/>
                <w:sz w:val="18"/>
              </w:rPr>
            </w:pPr>
            <w:r>
              <w:rPr>
                <w:rFonts w:ascii="Arial MT"/>
                <w:sz w:val="18"/>
              </w:rPr>
              <w:t>Std. </w:t>
            </w:r>
            <w:r>
              <w:rPr>
                <w:rFonts w:ascii="Arial MT"/>
                <w:spacing w:val="-2"/>
                <w:sz w:val="18"/>
              </w:rPr>
              <w:t>Deviation</w:t>
            </w:r>
          </w:p>
        </w:tc>
        <w:tc>
          <w:tcPr>
            <w:tcW w:w="817" w:type="dxa"/>
            <w:tcBorders>
              <w:top w:val="double" w:sz="8" w:space="0" w:color="000000"/>
              <w:bottom w:val="single" w:sz="18" w:space="0" w:color="000000"/>
            </w:tcBorders>
          </w:tcPr>
          <w:p>
            <w:pPr>
              <w:pStyle w:val="TableParagraph"/>
              <w:spacing w:line="194" w:lineRule="exact" w:before="103"/>
              <w:ind w:left="249"/>
              <w:rPr>
                <w:rFonts w:ascii="Arial MT"/>
                <w:sz w:val="18"/>
              </w:rPr>
            </w:pPr>
            <w:r>
              <w:rPr>
                <w:rFonts w:ascii="Arial MT"/>
                <w:spacing w:val="-10"/>
                <w:sz w:val="18"/>
              </w:rPr>
              <w:t>N</w:t>
            </w:r>
          </w:p>
        </w:tc>
      </w:tr>
      <w:tr>
        <w:trPr>
          <w:trHeight w:val="367" w:hRule="atLeast"/>
        </w:trPr>
        <w:tc>
          <w:tcPr>
            <w:tcW w:w="2522" w:type="dxa"/>
            <w:tcBorders>
              <w:top w:val="single" w:sz="18" w:space="0" w:color="000000"/>
            </w:tcBorders>
          </w:tcPr>
          <w:p>
            <w:pPr>
              <w:pStyle w:val="TableParagraph"/>
              <w:spacing w:before="101"/>
              <w:ind w:left="76"/>
              <w:rPr>
                <w:rFonts w:ascii="Arial MT"/>
                <w:sz w:val="18"/>
              </w:rPr>
            </w:pPr>
            <w:r>
              <w:rPr>
                <w:rFonts w:ascii="Arial MT"/>
                <w:sz w:val="18"/>
              </w:rPr>
              <w:t>total</w:t>
            </w:r>
            <w:r>
              <w:rPr>
                <w:rFonts w:ascii="Arial MT"/>
                <w:spacing w:val="-5"/>
                <w:sz w:val="18"/>
              </w:rPr>
              <w:t> </w:t>
            </w:r>
            <w:r>
              <w:rPr>
                <w:rFonts w:ascii="Arial MT"/>
                <w:sz w:val="18"/>
              </w:rPr>
              <w:t>emotional</w:t>
            </w:r>
            <w:r>
              <w:rPr>
                <w:rFonts w:ascii="Arial MT"/>
                <w:spacing w:val="-4"/>
                <w:sz w:val="18"/>
              </w:rPr>
              <w:t> </w:t>
            </w:r>
            <w:r>
              <w:rPr>
                <w:rFonts w:ascii="Arial MT"/>
                <w:spacing w:val="-2"/>
                <w:sz w:val="18"/>
              </w:rPr>
              <w:t>intelligence</w:t>
            </w:r>
          </w:p>
        </w:tc>
        <w:tc>
          <w:tcPr>
            <w:tcW w:w="980" w:type="dxa"/>
            <w:tcBorders>
              <w:top w:val="single" w:sz="18" w:space="0" w:color="000000"/>
            </w:tcBorders>
          </w:tcPr>
          <w:p>
            <w:pPr>
              <w:pStyle w:val="TableParagraph"/>
              <w:spacing w:before="101"/>
              <w:ind w:right="99"/>
              <w:jc w:val="right"/>
              <w:rPr>
                <w:rFonts w:ascii="Arial MT"/>
                <w:sz w:val="18"/>
              </w:rPr>
            </w:pPr>
            <w:r>
              <w:rPr>
                <w:rFonts w:ascii="Arial MT"/>
                <w:spacing w:val="-2"/>
                <w:sz w:val="18"/>
              </w:rPr>
              <w:t>130.18</w:t>
            </w:r>
          </w:p>
        </w:tc>
        <w:tc>
          <w:tcPr>
            <w:tcW w:w="1569" w:type="dxa"/>
            <w:tcBorders>
              <w:top w:val="single" w:sz="18" w:space="0" w:color="000000"/>
            </w:tcBorders>
          </w:tcPr>
          <w:p>
            <w:pPr>
              <w:pStyle w:val="TableParagraph"/>
              <w:spacing w:before="101"/>
              <w:ind w:right="242"/>
              <w:jc w:val="right"/>
              <w:rPr>
                <w:rFonts w:ascii="Arial MT"/>
                <w:sz w:val="18"/>
              </w:rPr>
            </w:pPr>
            <w:r>
              <w:rPr>
                <w:rFonts w:ascii="Arial MT"/>
                <w:spacing w:val="-2"/>
                <w:sz w:val="18"/>
              </w:rPr>
              <w:t>32.401</w:t>
            </w:r>
          </w:p>
        </w:tc>
        <w:tc>
          <w:tcPr>
            <w:tcW w:w="817" w:type="dxa"/>
            <w:tcBorders>
              <w:top w:val="single" w:sz="18" w:space="0" w:color="000000"/>
            </w:tcBorders>
          </w:tcPr>
          <w:p>
            <w:pPr>
              <w:pStyle w:val="TableParagraph"/>
              <w:spacing w:before="101"/>
              <w:ind w:right="58"/>
              <w:jc w:val="right"/>
              <w:rPr>
                <w:rFonts w:ascii="Arial MT"/>
                <w:sz w:val="18"/>
              </w:rPr>
            </w:pPr>
            <w:r>
              <w:rPr>
                <w:rFonts w:ascii="Arial MT"/>
                <w:spacing w:val="-5"/>
                <w:sz w:val="18"/>
              </w:rPr>
              <w:t>152</w:t>
            </w:r>
          </w:p>
        </w:tc>
      </w:tr>
      <w:tr>
        <w:trPr>
          <w:trHeight w:val="321" w:hRule="atLeast"/>
        </w:trPr>
        <w:tc>
          <w:tcPr>
            <w:tcW w:w="2522" w:type="dxa"/>
          </w:tcPr>
          <w:p>
            <w:pPr>
              <w:pStyle w:val="TableParagraph"/>
              <w:spacing w:before="55"/>
              <w:ind w:left="76"/>
              <w:rPr>
                <w:rFonts w:ascii="Arial MT"/>
                <w:sz w:val="18"/>
              </w:rPr>
            </w:pPr>
            <w:r>
              <w:rPr>
                <w:rFonts w:ascii="Arial MT"/>
                <w:sz w:val="18"/>
              </w:rPr>
              <w:t>total</w:t>
            </w:r>
            <w:r>
              <w:rPr>
                <w:rFonts w:ascii="Arial MT"/>
                <w:spacing w:val="-4"/>
                <w:sz w:val="18"/>
              </w:rPr>
              <w:t> </w:t>
            </w:r>
            <w:r>
              <w:rPr>
                <w:rFonts w:ascii="Arial MT"/>
                <w:sz w:val="18"/>
              </w:rPr>
              <w:t>reasoning</w:t>
            </w:r>
            <w:r>
              <w:rPr>
                <w:rFonts w:ascii="Arial MT"/>
                <w:spacing w:val="-6"/>
                <w:sz w:val="18"/>
              </w:rPr>
              <w:t> </w:t>
            </w:r>
            <w:r>
              <w:rPr>
                <w:rFonts w:ascii="Arial MT"/>
                <w:spacing w:val="-2"/>
                <w:sz w:val="18"/>
              </w:rPr>
              <w:t>ability</w:t>
            </w:r>
          </w:p>
        </w:tc>
        <w:tc>
          <w:tcPr>
            <w:tcW w:w="980" w:type="dxa"/>
          </w:tcPr>
          <w:p>
            <w:pPr>
              <w:pStyle w:val="TableParagraph"/>
              <w:spacing w:before="55"/>
              <w:ind w:right="100"/>
              <w:jc w:val="right"/>
              <w:rPr>
                <w:rFonts w:ascii="Arial MT"/>
                <w:sz w:val="18"/>
              </w:rPr>
            </w:pPr>
            <w:r>
              <w:rPr>
                <w:rFonts w:ascii="Arial MT"/>
                <w:spacing w:val="-4"/>
                <w:sz w:val="18"/>
              </w:rPr>
              <w:t>4.53</w:t>
            </w:r>
          </w:p>
        </w:tc>
        <w:tc>
          <w:tcPr>
            <w:tcW w:w="1569" w:type="dxa"/>
          </w:tcPr>
          <w:p>
            <w:pPr>
              <w:pStyle w:val="TableParagraph"/>
              <w:spacing w:before="55"/>
              <w:ind w:right="242"/>
              <w:jc w:val="right"/>
              <w:rPr>
                <w:rFonts w:ascii="Arial MT"/>
                <w:sz w:val="18"/>
              </w:rPr>
            </w:pPr>
            <w:r>
              <w:rPr>
                <w:rFonts w:ascii="Arial MT"/>
                <w:spacing w:val="-2"/>
                <w:sz w:val="18"/>
              </w:rPr>
              <w:t>1.675</w:t>
            </w:r>
          </w:p>
        </w:tc>
        <w:tc>
          <w:tcPr>
            <w:tcW w:w="817" w:type="dxa"/>
          </w:tcPr>
          <w:p>
            <w:pPr>
              <w:pStyle w:val="TableParagraph"/>
              <w:spacing w:before="55"/>
              <w:ind w:right="58"/>
              <w:jc w:val="right"/>
              <w:rPr>
                <w:rFonts w:ascii="Arial MT"/>
                <w:sz w:val="18"/>
              </w:rPr>
            </w:pPr>
            <w:r>
              <w:rPr>
                <w:rFonts w:ascii="Arial MT"/>
                <w:spacing w:val="-5"/>
                <w:sz w:val="18"/>
              </w:rPr>
              <w:t>152</w:t>
            </w:r>
          </w:p>
        </w:tc>
      </w:tr>
      <w:tr>
        <w:trPr>
          <w:trHeight w:val="319" w:hRule="atLeast"/>
        </w:trPr>
        <w:tc>
          <w:tcPr>
            <w:tcW w:w="2522" w:type="dxa"/>
          </w:tcPr>
          <w:p>
            <w:pPr>
              <w:pStyle w:val="TableParagraph"/>
              <w:spacing w:before="55"/>
              <w:ind w:left="76"/>
              <w:rPr>
                <w:rFonts w:ascii="Arial MT"/>
                <w:sz w:val="18"/>
              </w:rPr>
            </w:pPr>
            <w:r>
              <w:rPr>
                <w:rFonts w:ascii="Arial MT"/>
                <w:sz w:val="18"/>
              </w:rPr>
              <w:t>total</w:t>
            </w:r>
            <w:r>
              <w:rPr>
                <w:rFonts w:ascii="Arial MT"/>
                <w:spacing w:val="-2"/>
                <w:sz w:val="18"/>
              </w:rPr>
              <w:t> </w:t>
            </w:r>
            <w:r>
              <w:rPr>
                <w:rFonts w:ascii="Arial MT"/>
                <w:sz w:val="18"/>
              </w:rPr>
              <w:t>self</w:t>
            </w:r>
            <w:r>
              <w:rPr>
                <w:rFonts w:ascii="Arial MT"/>
                <w:spacing w:val="-3"/>
                <w:sz w:val="18"/>
              </w:rPr>
              <w:t> </w:t>
            </w:r>
            <w:r>
              <w:rPr>
                <w:rFonts w:ascii="Arial MT"/>
                <w:spacing w:val="-2"/>
                <w:sz w:val="18"/>
              </w:rPr>
              <w:t>efficacy</w:t>
            </w:r>
          </w:p>
        </w:tc>
        <w:tc>
          <w:tcPr>
            <w:tcW w:w="980" w:type="dxa"/>
          </w:tcPr>
          <w:p>
            <w:pPr>
              <w:pStyle w:val="TableParagraph"/>
              <w:spacing w:before="55"/>
              <w:ind w:right="100"/>
              <w:jc w:val="right"/>
              <w:rPr>
                <w:rFonts w:ascii="Arial MT"/>
                <w:sz w:val="18"/>
              </w:rPr>
            </w:pPr>
            <w:r>
              <w:rPr>
                <w:rFonts w:ascii="Arial MT"/>
                <w:spacing w:val="-2"/>
                <w:sz w:val="18"/>
              </w:rPr>
              <w:t>34.32</w:t>
            </w:r>
          </w:p>
        </w:tc>
        <w:tc>
          <w:tcPr>
            <w:tcW w:w="1569" w:type="dxa"/>
          </w:tcPr>
          <w:p>
            <w:pPr>
              <w:pStyle w:val="TableParagraph"/>
              <w:spacing w:before="55"/>
              <w:ind w:right="242"/>
              <w:jc w:val="right"/>
              <w:rPr>
                <w:rFonts w:ascii="Arial MT"/>
                <w:sz w:val="18"/>
              </w:rPr>
            </w:pPr>
            <w:r>
              <w:rPr>
                <w:rFonts w:ascii="Arial MT"/>
                <w:spacing w:val="-2"/>
                <w:sz w:val="18"/>
              </w:rPr>
              <w:t>9.657</w:t>
            </w:r>
          </w:p>
        </w:tc>
        <w:tc>
          <w:tcPr>
            <w:tcW w:w="817" w:type="dxa"/>
          </w:tcPr>
          <w:p>
            <w:pPr>
              <w:pStyle w:val="TableParagraph"/>
              <w:spacing w:before="55"/>
              <w:ind w:right="58"/>
              <w:jc w:val="right"/>
              <w:rPr>
                <w:rFonts w:ascii="Arial MT"/>
                <w:sz w:val="18"/>
              </w:rPr>
            </w:pPr>
            <w:r>
              <w:rPr>
                <w:rFonts w:ascii="Arial MT"/>
                <w:spacing w:val="-5"/>
                <w:sz w:val="18"/>
              </w:rPr>
              <w:t>152</w:t>
            </w:r>
          </w:p>
        </w:tc>
      </w:tr>
      <w:tr>
        <w:trPr>
          <w:trHeight w:val="268" w:hRule="atLeast"/>
        </w:trPr>
        <w:tc>
          <w:tcPr>
            <w:tcW w:w="2522" w:type="dxa"/>
            <w:tcBorders>
              <w:bottom w:val="double" w:sz="8" w:space="0" w:color="000000"/>
            </w:tcBorders>
          </w:tcPr>
          <w:p>
            <w:pPr>
              <w:pStyle w:val="TableParagraph"/>
              <w:spacing w:line="196" w:lineRule="exact" w:before="52"/>
              <w:ind w:left="76"/>
              <w:rPr>
                <w:rFonts w:ascii="Arial MT"/>
                <w:sz w:val="18"/>
              </w:rPr>
            </w:pPr>
            <w:r>
              <w:rPr>
                <w:rFonts w:ascii="Arial MT"/>
                <w:spacing w:val="-2"/>
                <w:sz w:val="18"/>
              </w:rPr>
              <w:t>ChemistryAtest</w:t>
            </w:r>
          </w:p>
        </w:tc>
        <w:tc>
          <w:tcPr>
            <w:tcW w:w="980" w:type="dxa"/>
            <w:tcBorders>
              <w:bottom w:val="double" w:sz="8" w:space="0" w:color="000000"/>
            </w:tcBorders>
          </w:tcPr>
          <w:p>
            <w:pPr>
              <w:pStyle w:val="TableParagraph"/>
              <w:spacing w:line="196" w:lineRule="exact" w:before="52"/>
              <w:ind w:right="100"/>
              <w:jc w:val="right"/>
              <w:rPr>
                <w:rFonts w:ascii="Arial MT"/>
                <w:sz w:val="18"/>
              </w:rPr>
            </w:pPr>
            <w:r>
              <w:rPr>
                <w:rFonts w:ascii="Arial MT"/>
                <w:spacing w:val="-2"/>
                <w:sz w:val="18"/>
              </w:rPr>
              <w:t>47.95</w:t>
            </w:r>
          </w:p>
        </w:tc>
        <w:tc>
          <w:tcPr>
            <w:tcW w:w="1569" w:type="dxa"/>
            <w:tcBorders>
              <w:bottom w:val="double" w:sz="8" w:space="0" w:color="000000"/>
            </w:tcBorders>
          </w:tcPr>
          <w:p>
            <w:pPr>
              <w:pStyle w:val="TableParagraph"/>
              <w:spacing w:line="196" w:lineRule="exact" w:before="52"/>
              <w:ind w:right="242"/>
              <w:jc w:val="right"/>
              <w:rPr>
                <w:rFonts w:ascii="Arial MT"/>
                <w:sz w:val="18"/>
              </w:rPr>
            </w:pPr>
            <w:r>
              <w:rPr>
                <w:rFonts w:ascii="Arial MT"/>
                <w:spacing w:val="-2"/>
                <w:sz w:val="18"/>
              </w:rPr>
              <w:t>8.432</w:t>
            </w:r>
          </w:p>
        </w:tc>
        <w:tc>
          <w:tcPr>
            <w:tcW w:w="817" w:type="dxa"/>
            <w:tcBorders>
              <w:bottom w:val="double" w:sz="8" w:space="0" w:color="000000"/>
            </w:tcBorders>
          </w:tcPr>
          <w:p>
            <w:pPr>
              <w:pStyle w:val="TableParagraph"/>
              <w:spacing w:line="196" w:lineRule="exact" w:before="52"/>
              <w:ind w:right="58"/>
              <w:jc w:val="right"/>
              <w:rPr>
                <w:rFonts w:ascii="Arial MT"/>
                <w:sz w:val="18"/>
              </w:rPr>
            </w:pPr>
            <w:r>
              <w:rPr>
                <w:rFonts w:ascii="Arial MT"/>
                <w:spacing w:val="-5"/>
                <w:sz w:val="18"/>
              </w:rPr>
              <w:t>152</w:t>
            </w:r>
          </w:p>
        </w:tc>
      </w:tr>
    </w:tbl>
    <w:p>
      <w:pPr>
        <w:pStyle w:val="BodyText"/>
        <w:ind w:left="0"/>
        <w:jc w:val="left"/>
        <w:rPr>
          <w:rFonts w:ascii="Arial"/>
          <w:b/>
          <w:sz w:val="20"/>
        </w:rPr>
      </w:pPr>
    </w:p>
    <w:p>
      <w:pPr>
        <w:pStyle w:val="BodyText"/>
        <w:ind w:left="0"/>
        <w:jc w:val="left"/>
        <w:rPr>
          <w:rFonts w:ascii="Arial"/>
          <w:b/>
          <w:sz w:val="20"/>
        </w:rPr>
      </w:pPr>
    </w:p>
    <w:p>
      <w:pPr>
        <w:pStyle w:val="BodyText"/>
        <w:ind w:left="0"/>
        <w:jc w:val="left"/>
        <w:rPr>
          <w:rFonts w:ascii="Arial"/>
          <w:b/>
          <w:sz w:val="20"/>
        </w:rPr>
      </w:pPr>
    </w:p>
    <w:p>
      <w:pPr>
        <w:pStyle w:val="BodyText"/>
        <w:spacing w:before="2"/>
        <w:ind w:left="0"/>
        <w:jc w:val="left"/>
        <w:rPr>
          <w:rFonts w:ascii="Arial"/>
          <w:b/>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0"/>
        <w:gridCol w:w="2257"/>
        <w:gridCol w:w="1028"/>
        <w:gridCol w:w="1318"/>
        <w:gridCol w:w="1183"/>
        <w:gridCol w:w="1260"/>
      </w:tblGrid>
      <w:tr>
        <w:trPr>
          <w:trHeight w:val="211" w:hRule="atLeast"/>
        </w:trPr>
        <w:tc>
          <w:tcPr>
            <w:tcW w:w="9026" w:type="dxa"/>
            <w:gridSpan w:val="6"/>
            <w:tcBorders>
              <w:bottom w:val="double" w:sz="8" w:space="0" w:color="000000"/>
            </w:tcBorders>
          </w:tcPr>
          <w:p>
            <w:pPr>
              <w:pStyle w:val="TableParagraph"/>
              <w:spacing w:line="192" w:lineRule="exact"/>
              <w:ind w:left="10"/>
              <w:jc w:val="center"/>
              <w:rPr>
                <w:rFonts w:ascii="Arial"/>
                <w:b/>
                <w:sz w:val="18"/>
              </w:rPr>
            </w:pPr>
            <w:r>
              <w:rPr>
                <w:rFonts w:ascii="Arial"/>
                <w:b/>
                <w:spacing w:val="-2"/>
                <w:sz w:val="18"/>
              </w:rPr>
              <w:t>Correlations</w:t>
            </w:r>
          </w:p>
        </w:tc>
      </w:tr>
      <w:tr>
        <w:trPr>
          <w:trHeight w:val="955" w:hRule="atLeast"/>
        </w:trPr>
        <w:tc>
          <w:tcPr>
            <w:tcW w:w="1980" w:type="dxa"/>
            <w:tcBorders>
              <w:top w:val="double" w:sz="8" w:space="0" w:color="000000"/>
              <w:bottom w:val="single" w:sz="18" w:space="0" w:color="000000"/>
            </w:tcBorders>
          </w:tcPr>
          <w:p>
            <w:pPr>
              <w:pStyle w:val="TableParagraph"/>
              <w:rPr>
                <w:sz w:val="18"/>
              </w:rPr>
            </w:pPr>
          </w:p>
        </w:tc>
        <w:tc>
          <w:tcPr>
            <w:tcW w:w="3285" w:type="dxa"/>
            <w:gridSpan w:val="2"/>
            <w:tcBorders>
              <w:top w:val="double" w:sz="8" w:space="0" w:color="000000"/>
              <w:bottom w:val="single" w:sz="18" w:space="0" w:color="000000"/>
            </w:tcBorders>
          </w:tcPr>
          <w:p>
            <w:pPr>
              <w:pStyle w:val="TableParagraph"/>
              <w:spacing w:line="322" w:lineRule="exact"/>
              <w:ind w:left="2096" w:right="283" w:hanging="3"/>
              <w:jc w:val="center"/>
              <w:rPr>
                <w:rFonts w:ascii="Arial MT"/>
                <w:sz w:val="18"/>
              </w:rPr>
            </w:pPr>
            <w:r>
              <w:rPr>
                <w:rFonts w:ascii="Arial MT"/>
                <w:spacing w:val="-2"/>
                <w:sz w:val="18"/>
              </w:rPr>
              <w:t>total emotional intelligence</w:t>
            </w:r>
          </w:p>
        </w:tc>
        <w:tc>
          <w:tcPr>
            <w:tcW w:w="1318" w:type="dxa"/>
            <w:tcBorders>
              <w:top w:val="double" w:sz="8" w:space="0" w:color="000000"/>
              <w:bottom w:val="single" w:sz="18" w:space="0" w:color="000000"/>
            </w:tcBorders>
          </w:tcPr>
          <w:p>
            <w:pPr>
              <w:pStyle w:val="TableParagraph"/>
              <w:spacing w:line="322" w:lineRule="exact"/>
              <w:ind w:left="151" w:right="367" w:hanging="3"/>
              <w:jc w:val="center"/>
              <w:rPr>
                <w:rFonts w:ascii="Arial MT"/>
                <w:sz w:val="18"/>
              </w:rPr>
            </w:pPr>
            <w:r>
              <w:rPr>
                <w:rFonts w:ascii="Arial MT"/>
                <w:spacing w:val="-2"/>
                <w:sz w:val="18"/>
              </w:rPr>
              <w:t>total reasoning ability</w:t>
            </w:r>
          </w:p>
        </w:tc>
        <w:tc>
          <w:tcPr>
            <w:tcW w:w="1183" w:type="dxa"/>
            <w:tcBorders>
              <w:top w:val="double" w:sz="8" w:space="0" w:color="000000"/>
              <w:bottom w:val="single" w:sz="18" w:space="0" w:color="000000"/>
            </w:tcBorders>
          </w:tcPr>
          <w:p>
            <w:pPr>
              <w:pStyle w:val="TableParagraph"/>
              <w:spacing w:before="88"/>
              <w:rPr>
                <w:rFonts w:ascii="Arial"/>
                <w:b/>
                <w:sz w:val="18"/>
              </w:rPr>
            </w:pPr>
          </w:p>
          <w:p>
            <w:pPr>
              <w:pStyle w:val="TableParagraph"/>
              <w:spacing w:line="320" w:lineRule="atLeast"/>
              <w:ind w:left="211" w:right="323" w:hanging="29"/>
              <w:rPr>
                <w:rFonts w:ascii="Arial MT"/>
                <w:sz w:val="18"/>
              </w:rPr>
            </w:pPr>
            <w:r>
              <w:rPr>
                <w:rFonts w:ascii="Arial MT"/>
                <w:sz w:val="18"/>
              </w:rPr>
              <w:t>total</w:t>
            </w:r>
            <w:r>
              <w:rPr>
                <w:rFonts w:ascii="Arial MT"/>
                <w:spacing w:val="-13"/>
                <w:sz w:val="18"/>
              </w:rPr>
              <w:t> </w:t>
            </w:r>
            <w:r>
              <w:rPr>
                <w:rFonts w:ascii="Arial MT"/>
                <w:sz w:val="18"/>
              </w:rPr>
              <w:t>self </w:t>
            </w:r>
            <w:r>
              <w:rPr>
                <w:rFonts w:ascii="Arial MT"/>
                <w:spacing w:val="-2"/>
                <w:sz w:val="18"/>
              </w:rPr>
              <w:t>efficacy</w:t>
            </w:r>
          </w:p>
        </w:tc>
        <w:tc>
          <w:tcPr>
            <w:tcW w:w="1260" w:type="dxa"/>
            <w:tcBorders>
              <w:top w:val="double" w:sz="8" w:space="0" w:color="000000"/>
              <w:bottom w:val="single" w:sz="18" w:space="0" w:color="000000"/>
            </w:tcBorders>
          </w:tcPr>
          <w:p>
            <w:pPr>
              <w:pStyle w:val="TableParagraph"/>
              <w:spacing w:before="88"/>
              <w:rPr>
                <w:rFonts w:ascii="Arial"/>
                <w:b/>
                <w:sz w:val="18"/>
              </w:rPr>
            </w:pPr>
          </w:p>
          <w:p>
            <w:pPr>
              <w:pStyle w:val="TableParagraph"/>
              <w:spacing w:line="320" w:lineRule="atLeast"/>
              <w:ind w:left="551" w:right="15" w:hanging="471"/>
              <w:rPr>
                <w:rFonts w:ascii="Arial MT"/>
                <w:sz w:val="18"/>
              </w:rPr>
            </w:pPr>
            <w:r>
              <w:rPr>
                <w:rFonts w:ascii="Arial MT"/>
                <w:spacing w:val="-2"/>
                <w:sz w:val="18"/>
              </w:rPr>
              <w:t>ChemistryAte </w:t>
            </w:r>
            <w:r>
              <w:rPr>
                <w:rFonts w:ascii="Arial MT"/>
                <w:spacing w:val="-6"/>
                <w:sz w:val="18"/>
              </w:rPr>
              <w:t>st</w:t>
            </w:r>
          </w:p>
        </w:tc>
      </w:tr>
      <w:tr>
        <w:trPr>
          <w:trHeight w:val="381" w:hRule="atLeast"/>
        </w:trPr>
        <w:tc>
          <w:tcPr>
            <w:tcW w:w="1980" w:type="dxa"/>
            <w:vMerge w:val="restart"/>
            <w:tcBorders>
              <w:top w:val="single" w:sz="18" w:space="0" w:color="000000"/>
            </w:tcBorders>
          </w:tcPr>
          <w:p>
            <w:pPr>
              <w:pStyle w:val="TableParagraph"/>
              <w:spacing w:line="318" w:lineRule="exact" w:before="10"/>
              <w:ind w:left="62" w:right="740"/>
              <w:rPr>
                <w:rFonts w:ascii="Arial MT"/>
                <w:sz w:val="18"/>
              </w:rPr>
            </w:pPr>
            <w:r>
              <w:rPr>
                <w:rFonts w:ascii="Arial MT"/>
                <w:sz w:val="18"/>
              </w:rPr>
              <w:t>total</w:t>
            </w:r>
            <w:r>
              <w:rPr>
                <w:rFonts w:ascii="Arial MT"/>
                <w:spacing w:val="-13"/>
                <w:sz w:val="18"/>
              </w:rPr>
              <w:t> </w:t>
            </w:r>
            <w:r>
              <w:rPr>
                <w:rFonts w:ascii="Arial MT"/>
                <w:sz w:val="18"/>
              </w:rPr>
              <w:t>emotional </w:t>
            </w:r>
            <w:r>
              <w:rPr>
                <w:rFonts w:ascii="Arial MT"/>
                <w:spacing w:val="-2"/>
                <w:sz w:val="18"/>
              </w:rPr>
              <w:t>intelligence</w:t>
            </w:r>
          </w:p>
        </w:tc>
        <w:tc>
          <w:tcPr>
            <w:tcW w:w="2257" w:type="dxa"/>
            <w:tcBorders>
              <w:top w:val="single" w:sz="18" w:space="0" w:color="000000"/>
            </w:tcBorders>
          </w:tcPr>
          <w:p>
            <w:pPr>
              <w:pStyle w:val="TableParagraph"/>
              <w:spacing w:before="95"/>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28" w:type="dxa"/>
            <w:tcBorders>
              <w:top w:val="single" w:sz="18" w:space="0" w:color="000000"/>
            </w:tcBorders>
          </w:tcPr>
          <w:p>
            <w:pPr>
              <w:pStyle w:val="TableParagraph"/>
              <w:spacing w:before="95"/>
              <w:ind w:right="153"/>
              <w:jc w:val="right"/>
              <w:rPr>
                <w:rFonts w:ascii="Arial MT"/>
                <w:sz w:val="18"/>
              </w:rPr>
            </w:pPr>
            <w:r>
              <w:rPr>
                <w:rFonts w:ascii="Arial MT"/>
                <w:spacing w:val="-10"/>
                <w:sz w:val="18"/>
              </w:rPr>
              <w:t>1</w:t>
            </w:r>
          </w:p>
        </w:tc>
        <w:tc>
          <w:tcPr>
            <w:tcW w:w="1318" w:type="dxa"/>
            <w:tcBorders>
              <w:top w:val="single" w:sz="18" w:space="0" w:color="000000"/>
            </w:tcBorders>
          </w:tcPr>
          <w:p>
            <w:pPr>
              <w:pStyle w:val="TableParagraph"/>
              <w:spacing w:before="95"/>
              <w:ind w:right="186"/>
              <w:jc w:val="right"/>
              <w:rPr>
                <w:rFonts w:ascii="Arial MT"/>
                <w:sz w:val="18"/>
              </w:rPr>
            </w:pPr>
            <w:r>
              <w:rPr>
                <w:rFonts w:ascii="Arial MT"/>
                <w:spacing w:val="-2"/>
                <w:sz w:val="18"/>
              </w:rPr>
              <w:t>.698</w:t>
            </w:r>
            <w:r>
              <w:rPr>
                <w:rFonts w:ascii="Arial MT"/>
                <w:spacing w:val="-2"/>
                <w:sz w:val="18"/>
                <w:vertAlign w:val="superscript"/>
              </w:rPr>
              <w:t>**</w:t>
            </w:r>
          </w:p>
        </w:tc>
        <w:tc>
          <w:tcPr>
            <w:tcW w:w="1183" w:type="dxa"/>
            <w:tcBorders>
              <w:top w:val="single" w:sz="18" w:space="0" w:color="000000"/>
            </w:tcBorders>
          </w:tcPr>
          <w:p>
            <w:pPr>
              <w:pStyle w:val="TableParagraph"/>
              <w:spacing w:before="95"/>
              <w:ind w:right="81"/>
              <w:jc w:val="right"/>
              <w:rPr>
                <w:rFonts w:ascii="Arial MT"/>
                <w:sz w:val="18"/>
              </w:rPr>
            </w:pPr>
            <w:r>
              <w:rPr>
                <w:rFonts w:ascii="Arial MT"/>
                <w:spacing w:val="-2"/>
                <w:sz w:val="18"/>
              </w:rPr>
              <w:t>.728</w:t>
            </w:r>
            <w:r>
              <w:rPr>
                <w:rFonts w:ascii="Arial MT"/>
                <w:spacing w:val="-2"/>
                <w:sz w:val="18"/>
                <w:vertAlign w:val="superscript"/>
              </w:rPr>
              <w:t>**</w:t>
            </w:r>
          </w:p>
        </w:tc>
        <w:tc>
          <w:tcPr>
            <w:tcW w:w="1260" w:type="dxa"/>
            <w:tcBorders>
              <w:top w:val="single" w:sz="18" w:space="0" w:color="000000"/>
            </w:tcBorders>
          </w:tcPr>
          <w:p>
            <w:pPr>
              <w:pStyle w:val="TableParagraph"/>
              <w:spacing w:before="95"/>
              <w:ind w:right="54"/>
              <w:jc w:val="right"/>
              <w:rPr>
                <w:rFonts w:ascii="Arial MT"/>
                <w:sz w:val="18"/>
              </w:rPr>
            </w:pPr>
            <w:r>
              <w:rPr>
                <w:rFonts w:ascii="Arial MT"/>
                <w:spacing w:val="-2"/>
                <w:sz w:val="18"/>
              </w:rPr>
              <w:t>.803</w:t>
            </w:r>
            <w:r>
              <w:rPr>
                <w:rFonts w:ascii="Arial MT"/>
                <w:spacing w:val="-2"/>
                <w:sz w:val="18"/>
                <w:vertAlign w:val="superscript"/>
              </w:rPr>
              <w:t>**</w:t>
            </w:r>
          </w:p>
        </w:tc>
      </w:tr>
      <w:tr>
        <w:trPr>
          <w:trHeight w:val="360" w:hRule="atLeast"/>
        </w:trPr>
        <w:tc>
          <w:tcPr>
            <w:tcW w:w="1980" w:type="dxa"/>
            <w:vMerge/>
            <w:tcBorders>
              <w:top w:val="nil"/>
            </w:tcBorders>
          </w:tcPr>
          <w:p>
            <w:pPr>
              <w:rPr>
                <w:sz w:val="2"/>
                <w:szCs w:val="2"/>
              </w:rPr>
            </w:pPr>
          </w:p>
        </w:tc>
        <w:tc>
          <w:tcPr>
            <w:tcW w:w="2257" w:type="dxa"/>
          </w:tcPr>
          <w:p>
            <w:pPr>
              <w:pStyle w:val="TableParagraph"/>
              <w:spacing w:before="74"/>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28" w:type="dxa"/>
          </w:tcPr>
          <w:p>
            <w:pPr>
              <w:pStyle w:val="TableParagraph"/>
              <w:rPr>
                <w:sz w:val="18"/>
              </w:rPr>
            </w:pPr>
          </w:p>
        </w:tc>
        <w:tc>
          <w:tcPr>
            <w:tcW w:w="1318" w:type="dxa"/>
          </w:tcPr>
          <w:p>
            <w:pPr>
              <w:pStyle w:val="TableParagraph"/>
              <w:spacing w:before="74"/>
              <w:ind w:right="179"/>
              <w:jc w:val="right"/>
              <w:rPr>
                <w:rFonts w:ascii="Arial MT"/>
                <w:sz w:val="18"/>
              </w:rPr>
            </w:pPr>
            <w:r>
              <w:rPr>
                <w:rFonts w:ascii="Arial MT"/>
                <w:spacing w:val="-4"/>
                <w:sz w:val="18"/>
              </w:rPr>
              <w:t>.000</w:t>
            </w:r>
          </w:p>
        </w:tc>
        <w:tc>
          <w:tcPr>
            <w:tcW w:w="1183" w:type="dxa"/>
          </w:tcPr>
          <w:p>
            <w:pPr>
              <w:pStyle w:val="TableParagraph"/>
              <w:spacing w:before="74"/>
              <w:ind w:right="75"/>
              <w:jc w:val="right"/>
              <w:rPr>
                <w:rFonts w:ascii="Arial MT"/>
                <w:sz w:val="18"/>
              </w:rPr>
            </w:pPr>
            <w:r>
              <w:rPr>
                <w:rFonts w:ascii="Arial MT"/>
                <w:spacing w:val="-4"/>
                <w:sz w:val="18"/>
              </w:rPr>
              <w:t>.000</w:t>
            </w:r>
          </w:p>
        </w:tc>
        <w:tc>
          <w:tcPr>
            <w:tcW w:w="1260" w:type="dxa"/>
          </w:tcPr>
          <w:p>
            <w:pPr>
              <w:pStyle w:val="TableParagraph"/>
              <w:spacing w:before="74"/>
              <w:ind w:right="48"/>
              <w:jc w:val="right"/>
              <w:rPr>
                <w:rFonts w:ascii="Arial MT"/>
                <w:sz w:val="18"/>
              </w:rPr>
            </w:pPr>
            <w:r>
              <w:rPr>
                <w:rFonts w:ascii="Arial MT"/>
                <w:spacing w:val="-4"/>
                <w:sz w:val="18"/>
              </w:rPr>
              <w:t>.000</w:t>
            </w:r>
          </w:p>
        </w:tc>
      </w:tr>
      <w:tr>
        <w:trPr>
          <w:trHeight w:val="286" w:hRule="atLeast"/>
        </w:trPr>
        <w:tc>
          <w:tcPr>
            <w:tcW w:w="1980" w:type="dxa"/>
            <w:tcBorders>
              <w:bottom w:val="single" w:sz="8" w:space="0" w:color="000000"/>
            </w:tcBorders>
          </w:tcPr>
          <w:p>
            <w:pPr>
              <w:pStyle w:val="TableParagraph"/>
              <w:rPr>
                <w:sz w:val="18"/>
              </w:rPr>
            </w:pPr>
          </w:p>
        </w:tc>
        <w:tc>
          <w:tcPr>
            <w:tcW w:w="2257" w:type="dxa"/>
            <w:tcBorders>
              <w:bottom w:val="single" w:sz="8" w:space="0" w:color="000000"/>
            </w:tcBorders>
          </w:tcPr>
          <w:p>
            <w:pPr>
              <w:pStyle w:val="TableParagraph"/>
              <w:spacing w:line="192" w:lineRule="exact" w:before="74"/>
              <w:ind w:left="224"/>
              <w:rPr>
                <w:rFonts w:ascii="Arial MT"/>
                <w:sz w:val="18"/>
              </w:rPr>
            </w:pPr>
            <w:r>
              <w:rPr>
                <w:rFonts w:ascii="Arial MT"/>
                <w:spacing w:val="-10"/>
                <w:sz w:val="18"/>
              </w:rPr>
              <w:t>N</w:t>
            </w:r>
          </w:p>
        </w:tc>
        <w:tc>
          <w:tcPr>
            <w:tcW w:w="1028" w:type="dxa"/>
            <w:tcBorders>
              <w:bottom w:val="single" w:sz="8" w:space="0" w:color="000000"/>
            </w:tcBorders>
          </w:tcPr>
          <w:p>
            <w:pPr>
              <w:pStyle w:val="TableParagraph"/>
              <w:spacing w:line="192" w:lineRule="exact" w:before="74"/>
              <w:ind w:right="155"/>
              <w:jc w:val="right"/>
              <w:rPr>
                <w:rFonts w:ascii="Arial MT"/>
                <w:sz w:val="18"/>
              </w:rPr>
            </w:pPr>
            <w:r>
              <w:rPr>
                <w:rFonts w:ascii="Arial MT"/>
                <w:spacing w:val="-5"/>
                <w:sz w:val="18"/>
              </w:rPr>
              <w:t>152</w:t>
            </w:r>
          </w:p>
        </w:tc>
        <w:tc>
          <w:tcPr>
            <w:tcW w:w="1318" w:type="dxa"/>
            <w:tcBorders>
              <w:bottom w:val="single" w:sz="8" w:space="0" w:color="000000"/>
            </w:tcBorders>
          </w:tcPr>
          <w:p>
            <w:pPr>
              <w:pStyle w:val="TableParagraph"/>
              <w:spacing w:line="192" w:lineRule="exact" w:before="74"/>
              <w:ind w:right="186"/>
              <w:jc w:val="right"/>
              <w:rPr>
                <w:rFonts w:ascii="Arial MT"/>
                <w:sz w:val="18"/>
              </w:rPr>
            </w:pPr>
            <w:r>
              <w:rPr>
                <w:rFonts w:ascii="Arial MT"/>
                <w:spacing w:val="-5"/>
                <w:sz w:val="18"/>
              </w:rPr>
              <w:t>152</w:t>
            </w:r>
          </w:p>
        </w:tc>
        <w:tc>
          <w:tcPr>
            <w:tcW w:w="1183" w:type="dxa"/>
            <w:tcBorders>
              <w:bottom w:val="single" w:sz="8" w:space="0" w:color="000000"/>
            </w:tcBorders>
          </w:tcPr>
          <w:p>
            <w:pPr>
              <w:pStyle w:val="TableParagraph"/>
              <w:spacing w:line="192" w:lineRule="exact" w:before="74"/>
              <w:ind w:right="81"/>
              <w:jc w:val="right"/>
              <w:rPr>
                <w:rFonts w:ascii="Arial MT"/>
                <w:sz w:val="18"/>
              </w:rPr>
            </w:pPr>
            <w:r>
              <w:rPr>
                <w:rFonts w:ascii="Arial MT"/>
                <w:spacing w:val="-5"/>
                <w:sz w:val="18"/>
              </w:rPr>
              <w:t>152</w:t>
            </w:r>
          </w:p>
        </w:tc>
        <w:tc>
          <w:tcPr>
            <w:tcW w:w="1260" w:type="dxa"/>
            <w:tcBorders>
              <w:bottom w:val="single" w:sz="8" w:space="0" w:color="000000"/>
            </w:tcBorders>
          </w:tcPr>
          <w:p>
            <w:pPr>
              <w:pStyle w:val="TableParagraph"/>
              <w:spacing w:line="192" w:lineRule="exact" w:before="74"/>
              <w:ind w:right="54"/>
              <w:jc w:val="right"/>
              <w:rPr>
                <w:rFonts w:ascii="Arial MT"/>
                <w:sz w:val="18"/>
              </w:rPr>
            </w:pPr>
            <w:r>
              <w:rPr>
                <w:rFonts w:ascii="Arial MT"/>
                <w:spacing w:val="-5"/>
                <w:sz w:val="18"/>
              </w:rPr>
              <w:t>152</w:t>
            </w:r>
          </w:p>
        </w:tc>
      </w:tr>
      <w:tr>
        <w:trPr>
          <w:trHeight w:val="380" w:hRule="atLeast"/>
        </w:trPr>
        <w:tc>
          <w:tcPr>
            <w:tcW w:w="1980" w:type="dxa"/>
            <w:tcBorders>
              <w:top w:val="single" w:sz="8" w:space="0" w:color="000000"/>
            </w:tcBorders>
          </w:tcPr>
          <w:p>
            <w:pPr>
              <w:pStyle w:val="TableParagraph"/>
              <w:spacing w:before="104"/>
              <w:ind w:left="62"/>
              <w:rPr>
                <w:rFonts w:ascii="Arial MT"/>
                <w:sz w:val="18"/>
              </w:rPr>
            </w:pPr>
            <w:r>
              <w:rPr>
                <w:rFonts w:ascii="Arial MT"/>
                <w:sz w:val="18"/>
              </w:rPr>
              <w:t>total</w:t>
            </w:r>
            <w:r>
              <w:rPr>
                <w:rFonts w:ascii="Arial MT"/>
                <w:spacing w:val="-3"/>
                <w:sz w:val="18"/>
              </w:rPr>
              <w:t> </w:t>
            </w:r>
            <w:r>
              <w:rPr>
                <w:rFonts w:ascii="Arial MT"/>
                <w:sz w:val="18"/>
              </w:rPr>
              <w:t>reasoning</w:t>
            </w:r>
            <w:r>
              <w:rPr>
                <w:rFonts w:ascii="Arial MT"/>
                <w:spacing w:val="-6"/>
                <w:sz w:val="18"/>
              </w:rPr>
              <w:t> </w:t>
            </w:r>
            <w:r>
              <w:rPr>
                <w:rFonts w:ascii="Arial MT"/>
                <w:spacing w:val="-2"/>
                <w:sz w:val="18"/>
              </w:rPr>
              <w:t>ability</w:t>
            </w:r>
          </w:p>
        </w:tc>
        <w:tc>
          <w:tcPr>
            <w:tcW w:w="2257" w:type="dxa"/>
            <w:tcBorders>
              <w:top w:val="single" w:sz="8" w:space="0" w:color="000000"/>
            </w:tcBorders>
          </w:tcPr>
          <w:p>
            <w:pPr>
              <w:pStyle w:val="TableParagraph"/>
              <w:spacing w:before="104"/>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28" w:type="dxa"/>
            <w:tcBorders>
              <w:top w:val="single" w:sz="8" w:space="0" w:color="000000"/>
            </w:tcBorders>
          </w:tcPr>
          <w:p>
            <w:pPr>
              <w:pStyle w:val="TableParagraph"/>
              <w:spacing w:before="104"/>
              <w:ind w:right="155"/>
              <w:jc w:val="right"/>
              <w:rPr>
                <w:rFonts w:ascii="Arial MT"/>
                <w:sz w:val="18"/>
              </w:rPr>
            </w:pPr>
            <w:r>
              <w:rPr>
                <w:rFonts w:ascii="Arial MT"/>
                <w:spacing w:val="-2"/>
                <w:sz w:val="18"/>
              </w:rPr>
              <w:t>.698</w:t>
            </w:r>
            <w:r>
              <w:rPr>
                <w:rFonts w:ascii="Arial MT"/>
                <w:spacing w:val="-2"/>
                <w:sz w:val="18"/>
                <w:vertAlign w:val="superscript"/>
              </w:rPr>
              <w:t>**</w:t>
            </w:r>
          </w:p>
        </w:tc>
        <w:tc>
          <w:tcPr>
            <w:tcW w:w="1318" w:type="dxa"/>
            <w:tcBorders>
              <w:top w:val="single" w:sz="8" w:space="0" w:color="000000"/>
            </w:tcBorders>
          </w:tcPr>
          <w:p>
            <w:pPr>
              <w:pStyle w:val="TableParagraph"/>
              <w:spacing w:before="104"/>
              <w:ind w:right="184"/>
              <w:jc w:val="right"/>
              <w:rPr>
                <w:rFonts w:ascii="Arial MT"/>
                <w:sz w:val="18"/>
              </w:rPr>
            </w:pPr>
            <w:r>
              <w:rPr>
                <w:rFonts w:ascii="Arial MT"/>
                <w:spacing w:val="-10"/>
                <w:sz w:val="18"/>
              </w:rPr>
              <w:t>1</w:t>
            </w:r>
          </w:p>
        </w:tc>
        <w:tc>
          <w:tcPr>
            <w:tcW w:w="1183" w:type="dxa"/>
            <w:tcBorders>
              <w:top w:val="single" w:sz="8" w:space="0" w:color="000000"/>
            </w:tcBorders>
          </w:tcPr>
          <w:p>
            <w:pPr>
              <w:pStyle w:val="TableParagraph"/>
              <w:spacing w:before="104"/>
              <w:ind w:right="81"/>
              <w:jc w:val="right"/>
              <w:rPr>
                <w:rFonts w:ascii="Arial MT"/>
                <w:sz w:val="18"/>
              </w:rPr>
            </w:pPr>
            <w:r>
              <w:rPr>
                <w:rFonts w:ascii="Arial MT"/>
                <w:spacing w:val="-2"/>
                <w:sz w:val="18"/>
              </w:rPr>
              <w:t>.659</w:t>
            </w:r>
            <w:r>
              <w:rPr>
                <w:rFonts w:ascii="Arial MT"/>
                <w:spacing w:val="-2"/>
                <w:sz w:val="18"/>
                <w:vertAlign w:val="superscript"/>
              </w:rPr>
              <w:t>**</w:t>
            </w:r>
          </w:p>
        </w:tc>
        <w:tc>
          <w:tcPr>
            <w:tcW w:w="1260" w:type="dxa"/>
            <w:tcBorders>
              <w:top w:val="single" w:sz="8" w:space="0" w:color="000000"/>
            </w:tcBorders>
          </w:tcPr>
          <w:p>
            <w:pPr>
              <w:pStyle w:val="TableParagraph"/>
              <w:spacing w:before="104"/>
              <w:ind w:right="54"/>
              <w:jc w:val="right"/>
              <w:rPr>
                <w:rFonts w:ascii="Arial MT"/>
                <w:sz w:val="18"/>
              </w:rPr>
            </w:pPr>
            <w:r>
              <w:rPr>
                <w:rFonts w:ascii="Arial MT"/>
                <w:spacing w:val="-2"/>
                <w:sz w:val="18"/>
              </w:rPr>
              <w:t>.797</w:t>
            </w:r>
            <w:r>
              <w:rPr>
                <w:rFonts w:ascii="Arial MT"/>
                <w:spacing w:val="-2"/>
                <w:sz w:val="18"/>
                <w:vertAlign w:val="superscript"/>
              </w:rPr>
              <w:t>**</w:t>
            </w:r>
          </w:p>
        </w:tc>
      </w:tr>
      <w:tr>
        <w:trPr>
          <w:trHeight w:val="340" w:hRule="atLeast"/>
        </w:trPr>
        <w:tc>
          <w:tcPr>
            <w:tcW w:w="1980" w:type="dxa"/>
          </w:tcPr>
          <w:p>
            <w:pPr>
              <w:pStyle w:val="TableParagraph"/>
              <w:rPr>
                <w:sz w:val="18"/>
              </w:rPr>
            </w:pPr>
          </w:p>
        </w:tc>
        <w:tc>
          <w:tcPr>
            <w:tcW w:w="2257" w:type="dxa"/>
          </w:tcPr>
          <w:p>
            <w:pPr>
              <w:pStyle w:val="TableParagraph"/>
              <w:spacing w:before="64"/>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28" w:type="dxa"/>
          </w:tcPr>
          <w:p>
            <w:pPr>
              <w:pStyle w:val="TableParagraph"/>
              <w:spacing w:before="64"/>
              <w:ind w:right="148"/>
              <w:jc w:val="right"/>
              <w:rPr>
                <w:rFonts w:ascii="Arial MT"/>
                <w:sz w:val="18"/>
              </w:rPr>
            </w:pPr>
            <w:r>
              <w:rPr>
                <w:rFonts w:ascii="Arial MT"/>
                <w:spacing w:val="-4"/>
                <w:sz w:val="18"/>
              </w:rPr>
              <w:t>.000</w:t>
            </w:r>
          </w:p>
        </w:tc>
        <w:tc>
          <w:tcPr>
            <w:tcW w:w="1318" w:type="dxa"/>
          </w:tcPr>
          <w:p>
            <w:pPr>
              <w:pStyle w:val="TableParagraph"/>
              <w:rPr>
                <w:sz w:val="18"/>
              </w:rPr>
            </w:pPr>
          </w:p>
        </w:tc>
        <w:tc>
          <w:tcPr>
            <w:tcW w:w="1183" w:type="dxa"/>
          </w:tcPr>
          <w:p>
            <w:pPr>
              <w:pStyle w:val="TableParagraph"/>
              <w:spacing w:before="64"/>
              <w:ind w:right="75"/>
              <w:jc w:val="right"/>
              <w:rPr>
                <w:rFonts w:ascii="Arial MT"/>
                <w:sz w:val="18"/>
              </w:rPr>
            </w:pPr>
            <w:r>
              <w:rPr>
                <w:rFonts w:ascii="Arial MT"/>
                <w:spacing w:val="-4"/>
                <w:sz w:val="18"/>
              </w:rPr>
              <w:t>.000</w:t>
            </w:r>
          </w:p>
        </w:tc>
        <w:tc>
          <w:tcPr>
            <w:tcW w:w="1260" w:type="dxa"/>
          </w:tcPr>
          <w:p>
            <w:pPr>
              <w:pStyle w:val="TableParagraph"/>
              <w:spacing w:before="64"/>
              <w:ind w:right="48"/>
              <w:jc w:val="right"/>
              <w:rPr>
                <w:rFonts w:ascii="Arial MT"/>
                <w:sz w:val="18"/>
              </w:rPr>
            </w:pPr>
            <w:r>
              <w:rPr>
                <w:rFonts w:ascii="Arial MT"/>
                <w:spacing w:val="-4"/>
                <w:sz w:val="18"/>
              </w:rPr>
              <w:t>.000</w:t>
            </w:r>
          </w:p>
        </w:tc>
      </w:tr>
      <w:tr>
        <w:trPr>
          <w:trHeight w:val="281" w:hRule="atLeast"/>
        </w:trPr>
        <w:tc>
          <w:tcPr>
            <w:tcW w:w="1980" w:type="dxa"/>
            <w:tcBorders>
              <w:bottom w:val="single" w:sz="8" w:space="0" w:color="000000"/>
            </w:tcBorders>
          </w:tcPr>
          <w:p>
            <w:pPr>
              <w:pStyle w:val="TableParagraph"/>
              <w:rPr>
                <w:sz w:val="18"/>
              </w:rPr>
            </w:pPr>
          </w:p>
        </w:tc>
        <w:tc>
          <w:tcPr>
            <w:tcW w:w="2257" w:type="dxa"/>
            <w:tcBorders>
              <w:bottom w:val="single" w:sz="8" w:space="0" w:color="000000"/>
            </w:tcBorders>
          </w:tcPr>
          <w:p>
            <w:pPr>
              <w:pStyle w:val="TableParagraph"/>
              <w:spacing w:line="196" w:lineRule="exact" w:before="64"/>
              <w:ind w:left="224"/>
              <w:rPr>
                <w:rFonts w:ascii="Arial MT"/>
                <w:sz w:val="18"/>
              </w:rPr>
            </w:pPr>
            <w:r>
              <w:rPr>
                <w:rFonts w:ascii="Arial MT"/>
                <w:spacing w:val="-10"/>
                <w:sz w:val="18"/>
              </w:rPr>
              <w:t>N</w:t>
            </w:r>
          </w:p>
        </w:tc>
        <w:tc>
          <w:tcPr>
            <w:tcW w:w="1028" w:type="dxa"/>
            <w:tcBorders>
              <w:bottom w:val="single" w:sz="8" w:space="0" w:color="000000"/>
            </w:tcBorders>
          </w:tcPr>
          <w:p>
            <w:pPr>
              <w:pStyle w:val="TableParagraph"/>
              <w:spacing w:line="196" w:lineRule="exact" w:before="64"/>
              <w:ind w:right="155"/>
              <w:jc w:val="right"/>
              <w:rPr>
                <w:rFonts w:ascii="Arial MT"/>
                <w:sz w:val="18"/>
              </w:rPr>
            </w:pPr>
            <w:r>
              <w:rPr>
                <w:rFonts w:ascii="Arial MT"/>
                <w:spacing w:val="-5"/>
                <w:sz w:val="18"/>
              </w:rPr>
              <w:t>152</w:t>
            </w:r>
          </w:p>
        </w:tc>
        <w:tc>
          <w:tcPr>
            <w:tcW w:w="1318" w:type="dxa"/>
            <w:tcBorders>
              <w:bottom w:val="single" w:sz="8" w:space="0" w:color="000000"/>
            </w:tcBorders>
          </w:tcPr>
          <w:p>
            <w:pPr>
              <w:pStyle w:val="TableParagraph"/>
              <w:spacing w:line="196" w:lineRule="exact" w:before="64"/>
              <w:ind w:right="186"/>
              <w:jc w:val="right"/>
              <w:rPr>
                <w:rFonts w:ascii="Arial MT"/>
                <w:sz w:val="18"/>
              </w:rPr>
            </w:pPr>
            <w:r>
              <w:rPr>
                <w:rFonts w:ascii="Arial MT"/>
                <w:spacing w:val="-5"/>
                <w:sz w:val="18"/>
              </w:rPr>
              <w:t>152</w:t>
            </w:r>
          </w:p>
        </w:tc>
        <w:tc>
          <w:tcPr>
            <w:tcW w:w="1183" w:type="dxa"/>
            <w:tcBorders>
              <w:bottom w:val="single" w:sz="8" w:space="0" w:color="000000"/>
            </w:tcBorders>
          </w:tcPr>
          <w:p>
            <w:pPr>
              <w:pStyle w:val="TableParagraph"/>
              <w:spacing w:line="196" w:lineRule="exact" w:before="64"/>
              <w:ind w:right="81"/>
              <w:jc w:val="right"/>
              <w:rPr>
                <w:rFonts w:ascii="Arial MT"/>
                <w:sz w:val="18"/>
              </w:rPr>
            </w:pPr>
            <w:r>
              <w:rPr>
                <w:rFonts w:ascii="Arial MT"/>
                <w:spacing w:val="-5"/>
                <w:sz w:val="18"/>
              </w:rPr>
              <w:t>152</w:t>
            </w:r>
          </w:p>
        </w:tc>
        <w:tc>
          <w:tcPr>
            <w:tcW w:w="1260" w:type="dxa"/>
            <w:tcBorders>
              <w:bottom w:val="single" w:sz="8" w:space="0" w:color="000000"/>
            </w:tcBorders>
          </w:tcPr>
          <w:p>
            <w:pPr>
              <w:pStyle w:val="TableParagraph"/>
              <w:spacing w:line="196" w:lineRule="exact" w:before="64"/>
              <w:ind w:right="54"/>
              <w:jc w:val="right"/>
              <w:rPr>
                <w:rFonts w:ascii="Arial MT"/>
                <w:sz w:val="18"/>
              </w:rPr>
            </w:pPr>
            <w:r>
              <w:rPr>
                <w:rFonts w:ascii="Arial MT"/>
                <w:spacing w:val="-5"/>
                <w:sz w:val="18"/>
              </w:rPr>
              <w:t>152</w:t>
            </w:r>
          </w:p>
        </w:tc>
      </w:tr>
      <w:tr>
        <w:trPr>
          <w:trHeight w:val="380" w:hRule="atLeast"/>
        </w:trPr>
        <w:tc>
          <w:tcPr>
            <w:tcW w:w="1980" w:type="dxa"/>
            <w:tcBorders>
              <w:top w:val="single" w:sz="8" w:space="0" w:color="000000"/>
            </w:tcBorders>
          </w:tcPr>
          <w:p>
            <w:pPr>
              <w:pStyle w:val="TableParagraph"/>
              <w:spacing w:before="105"/>
              <w:ind w:left="62"/>
              <w:rPr>
                <w:rFonts w:ascii="Arial MT"/>
                <w:sz w:val="18"/>
              </w:rPr>
            </w:pPr>
            <w:r>
              <w:rPr>
                <w:rFonts w:ascii="Arial MT"/>
                <w:sz w:val="18"/>
              </w:rPr>
              <w:t>total</w:t>
            </w:r>
            <w:r>
              <w:rPr>
                <w:rFonts w:ascii="Arial MT"/>
                <w:spacing w:val="-2"/>
                <w:sz w:val="18"/>
              </w:rPr>
              <w:t> </w:t>
            </w:r>
            <w:r>
              <w:rPr>
                <w:rFonts w:ascii="Arial MT"/>
                <w:sz w:val="18"/>
              </w:rPr>
              <w:t>self</w:t>
            </w:r>
            <w:r>
              <w:rPr>
                <w:rFonts w:ascii="Arial MT"/>
                <w:spacing w:val="-3"/>
                <w:sz w:val="18"/>
              </w:rPr>
              <w:t> </w:t>
            </w:r>
            <w:r>
              <w:rPr>
                <w:rFonts w:ascii="Arial MT"/>
                <w:spacing w:val="-2"/>
                <w:sz w:val="18"/>
              </w:rPr>
              <w:t>efficacy</w:t>
            </w:r>
          </w:p>
        </w:tc>
        <w:tc>
          <w:tcPr>
            <w:tcW w:w="2257" w:type="dxa"/>
            <w:tcBorders>
              <w:top w:val="single" w:sz="8" w:space="0" w:color="000000"/>
            </w:tcBorders>
          </w:tcPr>
          <w:p>
            <w:pPr>
              <w:pStyle w:val="TableParagraph"/>
              <w:spacing w:before="105"/>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28" w:type="dxa"/>
            <w:tcBorders>
              <w:top w:val="single" w:sz="8" w:space="0" w:color="000000"/>
            </w:tcBorders>
          </w:tcPr>
          <w:p>
            <w:pPr>
              <w:pStyle w:val="TableParagraph"/>
              <w:spacing w:before="105"/>
              <w:ind w:right="155"/>
              <w:jc w:val="right"/>
              <w:rPr>
                <w:rFonts w:ascii="Arial MT"/>
                <w:sz w:val="18"/>
              </w:rPr>
            </w:pPr>
            <w:r>
              <w:rPr>
                <w:rFonts w:ascii="Arial MT"/>
                <w:spacing w:val="-2"/>
                <w:sz w:val="18"/>
              </w:rPr>
              <w:t>.728</w:t>
            </w:r>
            <w:r>
              <w:rPr>
                <w:rFonts w:ascii="Arial MT"/>
                <w:spacing w:val="-2"/>
                <w:sz w:val="18"/>
                <w:vertAlign w:val="superscript"/>
              </w:rPr>
              <w:t>**</w:t>
            </w:r>
          </w:p>
        </w:tc>
        <w:tc>
          <w:tcPr>
            <w:tcW w:w="1318" w:type="dxa"/>
            <w:tcBorders>
              <w:top w:val="single" w:sz="8" w:space="0" w:color="000000"/>
            </w:tcBorders>
          </w:tcPr>
          <w:p>
            <w:pPr>
              <w:pStyle w:val="TableParagraph"/>
              <w:spacing w:before="105"/>
              <w:ind w:right="186"/>
              <w:jc w:val="right"/>
              <w:rPr>
                <w:rFonts w:ascii="Arial MT"/>
                <w:sz w:val="18"/>
              </w:rPr>
            </w:pPr>
            <w:r>
              <w:rPr>
                <w:rFonts w:ascii="Arial MT"/>
                <w:spacing w:val="-2"/>
                <w:sz w:val="18"/>
              </w:rPr>
              <w:t>.659</w:t>
            </w:r>
            <w:r>
              <w:rPr>
                <w:rFonts w:ascii="Arial MT"/>
                <w:spacing w:val="-2"/>
                <w:sz w:val="18"/>
                <w:vertAlign w:val="superscript"/>
              </w:rPr>
              <w:t>**</w:t>
            </w:r>
          </w:p>
        </w:tc>
        <w:tc>
          <w:tcPr>
            <w:tcW w:w="1183" w:type="dxa"/>
            <w:tcBorders>
              <w:top w:val="single" w:sz="8" w:space="0" w:color="000000"/>
            </w:tcBorders>
          </w:tcPr>
          <w:p>
            <w:pPr>
              <w:pStyle w:val="TableParagraph"/>
              <w:spacing w:before="105"/>
              <w:ind w:right="80"/>
              <w:jc w:val="right"/>
              <w:rPr>
                <w:rFonts w:ascii="Arial MT"/>
                <w:sz w:val="18"/>
              </w:rPr>
            </w:pPr>
            <w:r>
              <w:rPr>
                <w:rFonts w:ascii="Arial MT"/>
                <w:spacing w:val="-10"/>
                <w:sz w:val="18"/>
              </w:rPr>
              <w:t>1</w:t>
            </w:r>
          </w:p>
        </w:tc>
        <w:tc>
          <w:tcPr>
            <w:tcW w:w="1260" w:type="dxa"/>
            <w:tcBorders>
              <w:top w:val="single" w:sz="8" w:space="0" w:color="000000"/>
            </w:tcBorders>
          </w:tcPr>
          <w:p>
            <w:pPr>
              <w:pStyle w:val="TableParagraph"/>
              <w:spacing w:before="105"/>
              <w:ind w:right="54"/>
              <w:jc w:val="right"/>
              <w:rPr>
                <w:rFonts w:ascii="Arial MT"/>
                <w:sz w:val="18"/>
              </w:rPr>
            </w:pPr>
            <w:r>
              <w:rPr>
                <w:rFonts w:ascii="Arial MT"/>
                <w:spacing w:val="-2"/>
                <w:sz w:val="18"/>
              </w:rPr>
              <w:t>.851</w:t>
            </w:r>
            <w:r>
              <w:rPr>
                <w:rFonts w:ascii="Arial MT"/>
                <w:spacing w:val="-2"/>
                <w:sz w:val="18"/>
                <w:vertAlign w:val="superscript"/>
              </w:rPr>
              <w:t>**</w:t>
            </w:r>
          </w:p>
        </w:tc>
      </w:tr>
      <w:tr>
        <w:trPr>
          <w:trHeight w:val="340" w:hRule="atLeast"/>
        </w:trPr>
        <w:tc>
          <w:tcPr>
            <w:tcW w:w="1980" w:type="dxa"/>
          </w:tcPr>
          <w:p>
            <w:pPr>
              <w:pStyle w:val="TableParagraph"/>
              <w:rPr>
                <w:sz w:val="18"/>
              </w:rPr>
            </w:pPr>
          </w:p>
        </w:tc>
        <w:tc>
          <w:tcPr>
            <w:tcW w:w="2257" w:type="dxa"/>
          </w:tcPr>
          <w:p>
            <w:pPr>
              <w:pStyle w:val="TableParagraph"/>
              <w:spacing w:before="64"/>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28" w:type="dxa"/>
          </w:tcPr>
          <w:p>
            <w:pPr>
              <w:pStyle w:val="TableParagraph"/>
              <w:spacing w:before="64"/>
              <w:ind w:right="148"/>
              <w:jc w:val="right"/>
              <w:rPr>
                <w:rFonts w:ascii="Arial MT"/>
                <w:sz w:val="18"/>
              </w:rPr>
            </w:pPr>
            <w:r>
              <w:rPr>
                <w:rFonts w:ascii="Arial MT"/>
                <w:spacing w:val="-4"/>
                <w:sz w:val="18"/>
              </w:rPr>
              <w:t>.000</w:t>
            </w:r>
          </w:p>
        </w:tc>
        <w:tc>
          <w:tcPr>
            <w:tcW w:w="1318" w:type="dxa"/>
          </w:tcPr>
          <w:p>
            <w:pPr>
              <w:pStyle w:val="TableParagraph"/>
              <w:spacing w:before="64"/>
              <w:ind w:right="179"/>
              <w:jc w:val="right"/>
              <w:rPr>
                <w:rFonts w:ascii="Arial MT"/>
                <w:sz w:val="18"/>
              </w:rPr>
            </w:pPr>
            <w:r>
              <w:rPr>
                <w:rFonts w:ascii="Arial MT"/>
                <w:spacing w:val="-4"/>
                <w:sz w:val="18"/>
              </w:rPr>
              <w:t>.000</w:t>
            </w:r>
          </w:p>
        </w:tc>
        <w:tc>
          <w:tcPr>
            <w:tcW w:w="1183" w:type="dxa"/>
          </w:tcPr>
          <w:p>
            <w:pPr>
              <w:pStyle w:val="TableParagraph"/>
              <w:rPr>
                <w:sz w:val="18"/>
              </w:rPr>
            </w:pPr>
          </w:p>
        </w:tc>
        <w:tc>
          <w:tcPr>
            <w:tcW w:w="1260" w:type="dxa"/>
          </w:tcPr>
          <w:p>
            <w:pPr>
              <w:pStyle w:val="TableParagraph"/>
              <w:spacing w:before="64"/>
              <w:ind w:right="48"/>
              <w:jc w:val="right"/>
              <w:rPr>
                <w:rFonts w:ascii="Arial MT"/>
                <w:sz w:val="18"/>
              </w:rPr>
            </w:pPr>
            <w:r>
              <w:rPr>
                <w:rFonts w:ascii="Arial MT"/>
                <w:spacing w:val="-4"/>
                <w:sz w:val="18"/>
              </w:rPr>
              <w:t>.000</w:t>
            </w:r>
          </w:p>
        </w:tc>
      </w:tr>
      <w:tr>
        <w:trPr>
          <w:trHeight w:val="276" w:hRule="atLeast"/>
        </w:trPr>
        <w:tc>
          <w:tcPr>
            <w:tcW w:w="1980" w:type="dxa"/>
            <w:tcBorders>
              <w:bottom w:val="single" w:sz="8" w:space="0" w:color="000000"/>
            </w:tcBorders>
          </w:tcPr>
          <w:p>
            <w:pPr>
              <w:pStyle w:val="TableParagraph"/>
              <w:rPr>
                <w:sz w:val="18"/>
              </w:rPr>
            </w:pPr>
          </w:p>
        </w:tc>
        <w:tc>
          <w:tcPr>
            <w:tcW w:w="2257" w:type="dxa"/>
            <w:tcBorders>
              <w:bottom w:val="single" w:sz="8" w:space="0" w:color="000000"/>
            </w:tcBorders>
          </w:tcPr>
          <w:p>
            <w:pPr>
              <w:pStyle w:val="TableParagraph"/>
              <w:spacing w:line="192" w:lineRule="exact" w:before="64"/>
              <w:ind w:left="224"/>
              <w:rPr>
                <w:rFonts w:ascii="Arial MT"/>
                <w:sz w:val="18"/>
              </w:rPr>
            </w:pPr>
            <w:r>
              <w:rPr>
                <w:rFonts w:ascii="Arial MT"/>
                <w:spacing w:val="-10"/>
                <w:sz w:val="18"/>
              </w:rPr>
              <w:t>N</w:t>
            </w:r>
          </w:p>
        </w:tc>
        <w:tc>
          <w:tcPr>
            <w:tcW w:w="1028" w:type="dxa"/>
            <w:tcBorders>
              <w:bottom w:val="single" w:sz="8" w:space="0" w:color="000000"/>
            </w:tcBorders>
          </w:tcPr>
          <w:p>
            <w:pPr>
              <w:pStyle w:val="TableParagraph"/>
              <w:spacing w:line="192" w:lineRule="exact" w:before="64"/>
              <w:ind w:right="155"/>
              <w:jc w:val="right"/>
              <w:rPr>
                <w:rFonts w:ascii="Arial MT"/>
                <w:sz w:val="18"/>
              </w:rPr>
            </w:pPr>
            <w:r>
              <w:rPr>
                <w:rFonts w:ascii="Arial MT"/>
                <w:spacing w:val="-5"/>
                <w:sz w:val="18"/>
              </w:rPr>
              <w:t>152</w:t>
            </w:r>
          </w:p>
        </w:tc>
        <w:tc>
          <w:tcPr>
            <w:tcW w:w="1318" w:type="dxa"/>
            <w:tcBorders>
              <w:bottom w:val="single" w:sz="8" w:space="0" w:color="000000"/>
            </w:tcBorders>
          </w:tcPr>
          <w:p>
            <w:pPr>
              <w:pStyle w:val="TableParagraph"/>
              <w:spacing w:line="192" w:lineRule="exact" w:before="64"/>
              <w:ind w:right="186"/>
              <w:jc w:val="right"/>
              <w:rPr>
                <w:rFonts w:ascii="Arial MT"/>
                <w:sz w:val="18"/>
              </w:rPr>
            </w:pPr>
            <w:r>
              <w:rPr>
                <w:rFonts w:ascii="Arial MT"/>
                <w:spacing w:val="-5"/>
                <w:sz w:val="18"/>
              </w:rPr>
              <w:t>152</w:t>
            </w:r>
          </w:p>
        </w:tc>
        <w:tc>
          <w:tcPr>
            <w:tcW w:w="1183" w:type="dxa"/>
            <w:tcBorders>
              <w:bottom w:val="single" w:sz="8" w:space="0" w:color="000000"/>
            </w:tcBorders>
          </w:tcPr>
          <w:p>
            <w:pPr>
              <w:pStyle w:val="TableParagraph"/>
              <w:spacing w:line="192" w:lineRule="exact" w:before="64"/>
              <w:ind w:right="81"/>
              <w:jc w:val="right"/>
              <w:rPr>
                <w:rFonts w:ascii="Arial MT"/>
                <w:sz w:val="18"/>
              </w:rPr>
            </w:pPr>
            <w:r>
              <w:rPr>
                <w:rFonts w:ascii="Arial MT"/>
                <w:spacing w:val="-5"/>
                <w:sz w:val="18"/>
              </w:rPr>
              <w:t>152</w:t>
            </w:r>
          </w:p>
        </w:tc>
        <w:tc>
          <w:tcPr>
            <w:tcW w:w="1260" w:type="dxa"/>
            <w:tcBorders>
              <w:bottom w:val="single" w:sz="8" w:space="0" w:color="000000"/>
            </w:tcBorders>
          </w:tcPr>
          <w:p>
            <w:pPr>
              <w:pStyle w:val="TableParagraph"/>
              <w:spacing w:line="192" w:lineRule="exact" w:before="64"/>
              <w:ind w:right="54"/>
              <w:jc w:val="right"/>
              <w:rPr>
                <w:rFonts w:ascii="Arial MT"/>
                <w:sz w:val="18"/>
              </w:rPr>
            </w:pPr>
            <w:r>
              <w:rPr>
                <w:rFonts w:ascii="Arial MT"/>
                <w:spacing w:val="-5"/>
                <w:sz w:val="18"/>
              </w:rPr>
              <w:t>152</w:t>
            </w:r>
          </w:p>
        </w:tc>
      </w:tr>
      <w:tr>
        <w:trPr>
          <w:trHeight w:val="401" w:hRule="atLeast"/>
        </w:trPr>
        <w:tc>
          <w:tcPr>
            <w:tcW w:w="1980" w:type="dxa"/>
            <w:tcBorders>
              <w:top w:val="single" w:sz="8" w:space="0" w:color="000000"/>
            </w:tcBorders>
          </w:tcPr>
          <w:p>
            <w:pPr>
              <w:pStyle w:val="TableParagraph"/>
              <w:spacing w:before="104"/>
              <w:ind w:left="62"/>
              <w:rPr>
                <w:rFonts w:ascii="Arial MT"/>
                <w:sz w:val="18"/>
              </w:rPr>
            </w:pPr>
            <w:r>
              <w:rPr>
                <w:rFonts w:ascii="Arial MT"/>
                <w:spacing w:val="-2"/>
                <w:sz w:val="18"/>
              </w:rPr>
              <w:t>ChemistryAtest</w:t>
            </w:r>
          </w:p>
        </w:tc>
        <w:tc>
          <w:tcPr>
            <w:tcW w:w="2257" w:type="dxa"/>
            <w:tcBorders>
              <w:top w:val="single" w:sz="8" w:space="0" w:color="000000"/>
            </w:tcBorders>
          </w:tcPr>
          <w:p>
            <w:pPr>
              <w:pStyle w:val="TableParagraph"/>
              <w:spacing w:before="104"/>
              <w:ind w:left="224"/>
              <w:rPr>
                <w:rFonts w:ascii="Arial MT"/>
                <w:sz w:val="18"/>
              </w:rPr>
            </w:pPr>
            <w:r>
              <w:rPr>
                <w:rFonts w:ascii="Arial MT"/>
                <w:sz w:val="18"/>
              </w:rPr>
              <w:t>Pearson</w:t>
            </w:r>
            <w:r>
              <w:rPr>
                <w:rFonts w:ascii="Arial MT"/>
                <w:spacing w:val="-2"/>
                <w:sz w:val="18"/>
              </w:rPr>
              <w:t> Correlation</w:t>
            </w:r>
          </w:p>
        </w:tc>
        <w:tc>
          <w:tcPr>
            <w:tcW w:w="1028" w:type="dxa"/>
            <w:tcBorders>
              <w:top w:val="single" w:sz="8" w:space="0" w:color="000000"/>
            </w:tcBorders>
          </w:tcPr>
          <w:p>
            <w:pPr>
              <w:pStyle w:val="TableParagraph"/>
              <w:spacing w:before="104"/>
              <w:ind w:right="155"/>
              <w:jc w:val="right"/>
              <w:rPr>
                <w:rFonts w:ascii="Arial MT"/>
                <w:sz w:val="18"/>
              </w:rPr>
            </w:pPr>
            <w:r>
              <w:rPr>
                <w:rFonts w:ascii="Arial MT"/>
                <w:spacing w:val="-2"/>
                <w:sz w:val="18"/>
              </w:rPr>
              <w:t>.803</w:t>
            </w:r>
            <w:r>
              <w:rPr>
                <w:rFonts w:ascii="Arial MT"/>
                <w:spacing w:val="-2"/>
                <w:sz w:val="18"/>
                <w:vertAlign w:val="superscript"/>
              </w:rPr>
              <w:t>**</w:t>
            </w:r>
          </w:p>
        </w:tc>
        <w:tc>
          <w:tcPr>
            <w:tcW w:w="1318" w:type="dxa"/>
            <w:tcBorders>
              <w:top w:val="single" w:sz="8" w:space="0" w:color="000000"/>
            </w:tcBorders>
          </w:tcPr>
          <w:p>
            <w:pPr>
              <w:pStyle w:val="TableParagraph"/>
              <w:spacing w:before="104"/>
              <w:ind w:right="186"/>
              <w:jc w:val="right"/>
              <w:rPr>
                <w:rFonts w:ascii="Arial MT"/>
                <w:sz w:val="18"/>
              </w:rPr>
            </w:pPr>
            <w:r>
              <w:rPr>
                <w:rFonts w:ascii="Arial MT"/>
                <w:spacing w:val="-2"/>
                <w:sz w:val="18"/>
              </w:rPr>
              <w:t>.797</w:t>
            </w:r>
            <w:r>
              <w:rPr>
                <w:rFonts w:ascii="Arial MT"/>
                <w:spacing w:val="-2"/>
                <w:sz w:val="18"/>
                <w:vertAlign w:val="superscript"/>
              </w:rPr>
              <w:t>**</w:t>
            </w:r>
          </w:p>
        </w:tc>
        <w:tc>
          <w:tcPr>
            <w:tcW w:w="1183" w:type="dxa"/>
            <w:tcBorders>
              <w:top w:val="single" w:sz="8" w:space="0" w:color="000000"/>
            </w:tcBorders>
          </w:tcPr>
          <w:p>
            <w:pPr>
              <w:pStyle w:val="TableParagraph"/>
              <w:spacing w:before="104"/>
              <w:ind w:right="81"/>
              <w:jc w:val="right"/>
              <w:rPr>
                <w:rFonts w:ascii="Arial MT"/>
                <w:sz w:val="18"/>
              </w:rPr>
            </w:pPr>
            <w:r>
              <w:rPr>
                <w:rFonts w:ascii="Arial MT"/>
                <w:spacing w:val="-2"/>
                <w:sz w:val="18"/>
              </w:rPr>
              <w:t>.851</w:t>
            </w:r>
            <w:r>
              <w:rPr>
                <w:rFonts w:ascii="Arial MT"/>
                <w:spacing w:val="-2"/>
                <w:sz w:val="18"/>
                <w:vertAlign w:val="superscript"/>
              </w:rPr>
              <w:t>**</w:t>
            </w:r>
          </w:p>
        </w:tc>
        <w:tc>
          <w:tcPr>
            <w:tcW w:w="1260" w:type="dxa"/>
            <w:tcBorders>
              <w:top w:val="single" w:sz="8" w:space="0" w:color="000000"/>
            </w:tcBorders>
          </w:tcPr>
          <w:p>
            <w:pPr>
              <w:pStyle w:val="TableParagraph"/>
              <w:spacing w:before="104"/>
              <w:ind w:right="53"/>
              <w:jc w:val="right"/>
              <w:rPr>
                <w:rFonts w:ascii="Arial MT"/>
                <w:sz w:val="18"/>
              </w:rPr>
            </w:pPr>
            <w:r>
              <w:rPr>
                <w:rFonts w:ascii="Arial MT"/>
                <w:spacing w:val="-10"/>
                <w:sz w:val="18"/>
              </w:rPr>
              <w:t>1</w:t>
            </w:r>
          </w:p>
        </w:tc>
      </w:tr>
      <w:tr>
        <w:trPr>
          <w:trHeight w:val="381" w:hRule="atLeast"/>
        </w:trPr>
        <w:tc>
          <w:tcPr>
            <w:tcW w:w="1980" w:type="dxa"/>
          </w:tcPr>
          <w:p>
            <w:pPr>
              <w:pStyle w:val="TableParagraph"/>
              <w:rPr>
                <w:sz w:val="18"/>
              </w:rPr>
            </w:pPr>
          </w:p>
        </w:tc>
        <w:tc>
          <w:tcPr>
            <w:tcW w:w="2257" w:type="dxa"/>
          </w:tcPr>
          <w:p>
            <w:pPr>
              <w:pStyle w:val="TableParagraph"/>
              <w:spacing w:before="86"/>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28" w:type="dxa"/>
          </w:tcPr>
          <w:p>
            <w:pPr>
              <w:pStyle w:val="TableParagraph"/>
              <w:spacing w:before="86"/>
              <w:ind w:right="148"/>
              <w:jc w:val="right"/>
              <w:rPr>
                <w:rFonts w:ascii="Arial MT"/>
                <w:sz w:val="18"/>
              </w:rPr>
            </w:pPr>
            <w:r>
              <w:rPr>
                <w:rFonts w:ascii="Arial MT"/>
                <w:spacing w:val="-4"/>
                <w:sz w:val="18"/>
              </w:rPr>
              <w:t>.000</w:t>
            </w:r>
          </w:p>
        </w:tc>
        <w:tc>
          <w:tcPr>
            <w:tcW w:w="1318" w:type="dxa"/>
          </w:tcPr>
          <w:p>
            <w:pPr>
              <w:pStyle w:val="TableParagraph"/>
              <w:spacing w:before="86"/>
              <w:ind w:right="179"/>
              <w:jc w:val="right"/>
              <w:rPr>
                <w:rFonts w:ascii="Arial MT"/>
                <w:sz w:val="18"/>
              </w:rPr>
            </w:pPr>
            <w:r>
              <w:rPr>
                <w:rFonts w:ascii="Arial MT"/>
                <w:spacing w:val="-4"/>
                <w:sz w:val="18"/>
              </w:rPr>
              <w:t>.000</w:t>
            </w:r>
          </w:p>
        </w:tc>
        <w:tc>
          <w:tcPr>
            <w:tcW w:w="1183" w:type="dxa"/>
          </w:tcPr>
          <w:p>
            <w:pPr>
              <w:pStyle w:val="TableParagraph"/>
              <w:spacing w:before="86"/>
              <w:ind w:right="75"/>
              <w:jc w:val="right"/>
              <w:rPr>
                <w:rFonts w:ascii="Arial MT"/>
                <w:sz w:val="18"/>
              </w:rPr>
            </w:pPr>
            <w:r>
              <w:rPr>
                <w:rFonts w:ascii="Arial MT"/>
                <w:spacing w:val="-4"/>
                <w:sz w:val="18"/>
              </w:rPr>
              <w:t>.000</w:t>
            </w:r>
          </w:p>
        </w:tc>
        <w:tc>
          <w:tcPr>
            <w:tcW w:w="1260" w:type="dxa"/>
          </w:tcPr>
          <w:p>
            <w:pPr>
              <w:pStyle w:val="TableParagraph"/>
              <w:rPr>
                <w:sz w:val="18"/>
              </w:rPr>
            </w:pPr>
          </w:p>
        </w:tc>
      </w:tr>
      <w:tr>
        <w:trPr>
          <w:trHeight w:val="295" w:hRule="atLeast"/>
        </w:trPr>
        <w:tc>
          <w:tcPr>
            <w:tcW w:w="1980" w:type="dxa"/>
            <w:tcBorders>
              <w:bottom w:val="double" w:sz="8" w:space="0" w:color="000000"/>
            </w:tcBorders>
          </w:tcPr>
          <w:p>
            <w:pPr>
              <w:pStyle w:val="TableParagraph"/>
              <w:rPr>
                <w:sz w:val="18"/>
              </w:rPr>
            </w:pPr>
          </w:p>
        </w:tc>
        <w:tc>
          <w:tcPr>
            <w:tcW w:w="2257" w:type="dxa"/>
            <w:tcBorders>
              <w:bottom w:val="double" w:sz="8" w:space="0" w:color="000000"/>
            </w:tcBorders>
          </w:tcPr>
          <w:p>
            <w:pPr>
              <w:pStyle w:val="TableParagraph"/>
              <w:spacing w:line="191" w:lineRule="exact" w:before="84"/>
              <w:ind w:left="224"/>
              <w:rPr>
                <w:rFonts w:ascii="Arial MT"/>
                <w:sz w:val="18"/>
              </w:rPr>
            </w:pPr>
            <w:r>
              <w:rPr>
                <w:rFonts w:ascii="Arial MT"/>
                <w:spacing w:val="-10"/>
                <w:sz w:val="18"/>
              </w:rPr>
              <w:t>N</w:t>
            </w:r>
          </w:p>
        </w:tc>
        <w:tc>
          <w:tcPr>
            <w:tcW w:w="1028" w:type="dxa"/>
            <w:tcBorders>
              <w:bottom w:val="double" w:sz="8" w:space="0" w:color="000000"/>
            </w:tcBorders>
          </w:tcPr>
          <w:p>
            <w:pPr>
              <w:pStyle w:val="TableParagraph"/>
              <w:spacing w:line="191" w:lineRule="exact" w:before="84"/>
              <w:ind w:right="155"/>
              <w:jc w:val="right"/>
              <w:rPr>
                <w:rFonts w:ascii="Arial MT"/>
                <w:sz w:val="18"/>
              </w:rPr>
            </w:pPr>
            <w:r>
              <w:rPr>
                <w:rFonts w:ascii="Arial MT"/>
                <w:spacing w:val="-5"/>
                <w:sz w:val="18"/>
              </w:rPr>
              <w:t>152</w:t>
            </w:r>
          </w:p>
        </w:tc>
        <w:tc>
          <w:tcPr>
            <w:tcW w:w="1318" w:type="dxa"/>
            <w:tcBorders>
              <w:bottom w:val="double" w:sz="8" w:space="0" w:color="000000"/>
            </w:tcBorders>
          </w:tcPr>
          <w:p>
            <w:pPr>
              <w:pStyle w:val="TableParagraph"/>
              <w:spacing w:line="191" w:lineRule="exact" w:before="84"/>
              <w:ind w:right="186"/>
              <w:jc w:val="right"/>
              <w:rPr>
                <w:rFonts w:ascii="Arial MT"/>
                <w:sz w:val="18"/>
              </w:rPr>
            </w:pPr>
            <w:r>
              <w:rPr>
                <w:rFonts w:ascii="Arial MT"/>
                <w:spacing w:val="-5"/>
                <w:sz w:val="18"/>
              </w:rPr>
              <w:t>152</w:t>
            </w:r>
          </w:p>
        </w:tc>
        <w:tc>
          <w:tcPr>
            <w:tcW w:w="1183" w:type="dxa"/>
            <w:tcBorders>
              <w:bottom w:val="double" w:sz="8" w:space="0" w:color="000000"/>
            </w:tcBorders>
          </w:tcPr>
          <w:p>
            <w:pPr>
              <w:pStyle w:val="TableParagraph"/>
              <w:spacing w:line="191" w:lineRule="exact" w:before="84"/>
              <w:ind w:right="81"/>
              <w:jc w:val="right"/>
              <w:rPr>
                <w:rFonts w:ascii="Arial MT"/>
                <w:sz w:val="18"/>
              </w:rPr>
            </w:pPr>
            <w:r>
              <w:rPr>
                <w:rFonts w:ascii="Arial MT"/>
                <w:spacing w:val="-5"/>
                <w:sz w:val="18"/>
              </w:rPr>
              <w:t>152</w:t>
            </w:r>
          </w:p>
        </w:tc>
        <w:tc>
          <w:tcPr>
            <w:tcW w:w="1260" w:type="dxa"/>
            <w:tcBorders>
              <w:bottom w:val="double" w:sz="8" w:space="0" w:color="000000"/>
            </w:tcBorders>
          </w:tcPr>
          <w:p>
            <w:pPr>
              <w:pStyle w:val="TableParagraph"/>
              <w:spacing w:line="191" w:lineRule="exact" w:before="84"/>
              <w:ind w:right="54"/>
              <w:jc w:val="right"/>
              <w:rPr>
                <w:rFonts w:ascii="Arial MT"/>
                <w:sz w:val="18"/>
              </w:rPr>
            </w:pPr>
            <w:r>
              <w:rPr>
                <w:rFonts w:ascii="Arial MT"/>
                <w:spacing w:val="-5"/>
                <w:sz w:val="18"/>
              </w:rPr>
              <w:t>152</w:t>
            </w:r>
          </w:p>
        </w:tc>
      </w:tr>
      <w:tr>
        <w:trPr>
          <w:trHeight w:val="315" w:hRule="atLeast"/>
        </w:trPr>
        <w:tc>
          <w:tcPr>
            <w:tcW w:w="5265" w:type="dxa"/>
            <w:gridSpan w:val="3"/>
            <w:tcBorders>
              <w:top w:val="double" w:sz="8" w:space="0" w:color="000000"/>
            </w:tcBorders>
          </w:tcPr>
          <w:p>
            <w:pPr>
              <w:pStyle w:val="TableParagraph"/>
              <w:spacing w:line="187" w:lineRule="exact" w:before="108"/>
              <w:ind w:left="62"/>
              <w:rPr>
                <w:rFonts w:ascii="Arial MT"/>
                <w:sz w:val="18"/>
              </w:rPr>
            </w:pPr>
            <w:r>
              <w:rPr>
                <w:rFonts w:ascii="Arial MT"/>
                <w:sz w:val="18"/>
              </w:rPr>
              <w:t>**.</w:t>
            </w:r>
            <w:r>
              <w:rPr>
                <w:rFonts w:ascii="Arial MT"/>
                <w:spacing w:val="-4"/>
                <w:sz w:val="18"/>
              </w:rPr>
              <w:t> </w:t>
            </w:r>
            <w:r>
              <w:rPr>
                <w:rFonts w:ascii="Arial MT"/>
                <w:sz w:val="18"/>
              </w:rPr>
              <w:t>Correlation</w:t>
            </w:r>
            <w:r>
              <w:rPr>
                <w:rFonts w:ascii="Arial MT"/>
                <w:spacing w:val="-5"/>
                <w:sz w:val="18"/>
              </w:rPr>
              <w:t> </w:t>
            </w:r>
            <w:r>
              <w:rPr>
                <w:rFonts w:ascii="Arial MT"/>
                <w:sz w:val="18"/>
              </w:rPr>
              <w:t>is</w:t>
            </w:r>
            <w:r>
              <w:rPr>
                <w:rFonts w:ascii="Arial MT"/>
                <w:spacing w:val="-5"/>
                <w:sz w:val="18"/>
              </w:rPr>
              <w:t> </w:t>
            </w:r>
            <w:r>
              <w:rPr>
                <w:rFonts w:ascii="Arial MT"/>
                <w:sz w:val="18"/>
              </w:rPr>
              <w:t>significant</w:t>
            </w:r>
            <w:r>
              <w:rPr>
                <w:rFonts w:ascii="Arial MT"/>
                <w:spacing w:val="-4"/>
                <w:sz w:val="18"/>
              </w:rPr>
              <w:t> </w:t>
            </w:r>
            <w:r>
              <w:rPr>
                <w:rFonts w:ascii="Arial MT"/>
                <w:sz w:val="18"/>
              </w:rPr>
              <w:t>at</w:t>
            </w:r>
            <w:r>
              <w:rPr>
                <w:rFonts w:ascii="Arial MT"/>
                <w:spacing w:val="-3"/>
                <w:sz w:val="18"/>
              </w:rPr>
              <w:t> </w:t>
            </w:r>
            <w:r>
              <w:rPr>
                <w:rFonts w:ascii="Arial MT"/>
                <w:sz w:val="18"/>
              </w:rPr>
              <w:t>the</w:t>
            </w:r>
            <w:r>
              <w:rPr>
                <w:rFonts w:ascii="Arial MT"/>
                <w:spacing w:val="-5"/>
                <w:sz w:val="18"/>
              </w:rPr>
              <w:t> </w:t>
            </w:r>
            <w:r>
              <w:rPr>
                <w:rFonts w:ascii="Arial MT"/>
                <w:sz w:val="18"/>
              </w:rPr>
              <w:t>0.05</w:t>
            </w:r>
            <w:r>
              <w:rPr>
                <w:rFonts w:ascii="Arial MT"/>
                <w:spacing w:val="-7"/>
                <w:sz w:val="18"/>
              </w:rPr>
              <w:t> </w:t>
            </w:r>
            <w:r>
              <w:rPr>
                <w:rFonts w:ascii="Arial MT"/>
                <w:sz w:val="18"/>
              </w:rPr>
              <w:t>level</w:t>
            </w:r>
            <w:r>
              <w:rPr>
                <w:rFonts w:ascii="Arial MT"/>
                <w:spacing w:val="2"/>
                <w:sz w:val="18"/>
              </w:rPr>
              <w:t> </w:t>
            </w:r>
            <w:r>
              <w:rPr>
                <w:rFonts w:ascii="Arial MT"/>
                <w:sz w:val="18"/>
              </w:rPr>
              <w:t>(2-</w:t>
            </w:r>
            <w:r>
              <w:rPr>
                <w:rFonts w:ascii="Arial MT"/>
                <w:spacing w:val="-2"/>
                <w:sz w:val="18"/>
              </w:rPr>
              <w:t>tailed).</w:t>
            </w:r>
          </w:p>
        </w:tc>
        <w:tc>
          <w:tcPr>
            <w:tcW w:w="1318" w:type="dxa"/>
            <w:tcBorders>
              <w:top w:val="double" w:sz="8" w:space="0" w:color="000000"/>
            </w:tcBorders>
          </w:tcPr>
          <w:p>
            <w:pPr>
              <w:pStyle w:val="TableParagraph"/>
              <w:rPr>
                <w:sz w:val="18"/>
              </w:rPr>
            </w:pPr>
          </w:p>
        </w:tc>
        <w:tc>
          <w:tcPr>
            <w:tcW w:w="1183" w:type="dxa"/>
            <w:tcBorders>
              <w:top w:val="double" w:sz="8" w:space="0" w:color="000000"/>
            </w:tcBorders>
          </w:tcPr>
          <w:p>
            <w:pPr>
              <w:pStyle w:val="TableParagraph"/>
              <w:rPr>
                <w:sz w:val="18"/>
              </w:rPr>
            </w:pPr>
          </w:p>
        </w:tc>
        <w:tc>
          <w:tcPr>
            <w:tcW w:w="1260" w:type="dxa"/>
            <w:tcBorders>
              <w:top w:val="double" w:sz="8" w:space="0" w:color="000000"/>
            </w:tcBorders>
          </w:tcPr>
          <w:p>
            <w:pPr>
              <w:pStyle w:val="TableParagraph"/>
              <w:rPr>
                <w:sz w:val="18"/>
              </w:rPr>
            </w:pPr>
          </w:p>
        </w:tc>
      </w:tr>
    </w:tbl>
    <w:p>
      <w:pPr>
        <w:spacing w:after="0"/>
        <w:rPr>
          <w:sz w:val="18"/>
        </w:rPr>
        <w:sectPr>
          <w:pgSz w:w="11910" w:h="16840"/>
          <w:pgMar w:header="0" w:footer="1012" w:top="1340" w:bottom="1200" w:left="1680" w:right="280"/>
        </w:sectPr>
      </w:pPr>
    </w:p>
    <w:p>
      <w:pPr>
        <w:spacing w:before="78"/>
        <w:ind w:left="0" w:right="672" w:firstLine="0"/>
        <w:jc w:val="center"/>
        <w:rPr>
          <w:b/>
          <w:sz w:val="22"/>
        </w:rPr>
      </w:pPr>
      <w:r>
        <w:rPr>
          <w:b/>
          <w:sz w:val="22"/>
        </w:rPr>
        <w:t>APPENDIX</w:t>
      </w:r>
      <w:r>
        <w:rPr>
          <w:b/>
          <w:spacing w:val="-4"/>
          <w:sz w:val="22"/>
        </w:rPr>
        <w:t> </w:t>
      </w:r>
      <w:r>
        <w:rPr>
          <w:b/>
          <w:spacing w:val="-10"/>
          <w:sz w:val="22"/>
        </w:rPr>
        <w:t>F</w:t>
      </w:r>
    </w:p>
    <w:p>
      <w:pPr>
        <w:pStyle w:val="Heading2"/>
        <w:spacing w:before="2"/>
        <w:ind w:left="425" w:right="1099"/>
      </w:pPr>
      <w:r>
        <w:rPr/>
        <w:t>DESCRIPTIVE</w:t>
      </w:r>
      <w:r>
        <w:rPr>
          <w:spacing w:val="-6"/>
        </w:rPr>
        <w:t> </w:t>
      </w:r>
      <w:r>
        <w:rPr/>
        <w:t>STATISTICS</w:t>
      </w:r>
      <w:r>
        <w:rPr>
          <w:spacing w:val="-3"/>
        </w:rPr>
        <w:t> </w:t>
      </w:r>
      <w:r>
        <w:rPr/>
        <w:t>OF</w:t>
      </w:r>
      <w:r>
        <w:rPr>
          <w:spacing w:val="-5"/>
        </w:rPr>
        <w:t> </w:t>
      </w:r>
      <w:r>
        <w:rPr>
          <w:spacing w:val="-4"/>
        </w:rPr>
        <w:t>MALE</w:t>
      </w:r>
    </w:p>
    <w:p>
      <w:pPr>
        <w:pStyle w:val="BodyText"/>
        <w:spacing w:before="183"/>
        <w:ind w:left="0"/>
        <w:jc w:val="left"/>
        <w:rPr>
          <w:b/>
        </w:rPr>
      </w:pPr>
    </w:p>
    <w:p>
      <w:pPr>
        <w:spacing w:line="226" w:lineRule="exact" w:before="0"/>
        <w:ind w:left="480" w:right="0" w:firstLine="0"/>
        <w:jc w:val="left"/>
        <w:rPr>
          <w:rFonts w:ascii="Courier New"/>
          <w:sz w:val="20"/>
        </w:rPr>
      </w:pPr>
      <w:r>
        <w:rPr>
          <w:rFonts w:ascii="Courier New"/>
          <w:spacing w:val="-2"/>
          <w:sz w:val="20"/>
        </w:rPr>
        <w:t>CORRELATIONS</w:t>
      </w:r>
    </w:p>
    <w:p>
      <w:pPr>
        <w:spacing w:line="226" w:lineRule="exact" w:before="0"/>
        <w:ind w:left="721" w:right="0" w:firstLine="0"/>
        <w:jc w:val="left"/>
        <w:rPr>
          <w:rFonts w:ascii="Courier New"/>
          <w:sz w:val="20"/>
        </w:rPr>
      </w:pPr>
      <w:r>
        <w:rPr>
          <w:rFonts w:ascii="Courier New"/>
          <w:sz w:val="20"/>
        </w:rPr>
        <w:t>/VARIABLES=ChemistryAtest</w:t>
      </w:r>
      <w:r>
        <w:rPr>
          <w:rFonts w:ascii="Courier New"/>
          <w:spacing w:val="-16"/>
          <w:sz w:val="20"/>
        </w:rPr>
        <w:t> </w:t>
      </w:r>
      <w:r>
        <w:rPr>
          <w:rFonts w:ascii="Courier New"/>
          <w:sz w:val="20"/>
        </w:rPr>
        <w:t>temint</w:t>
      </w:r>
      <w:r>
        <w:rPr>
          <w:rFonts w:ascii="Courier New"/>
          <w:spacing w:val="-14"/>
          <w:sz w:val="20"/>
        </w:rPr>
        <w:t> </w:t>
      </w:r>
      <w:r>
        <w:rPr>
          <w:rFonts w:ascii="Courier New"/>
          <w:sz w:val="20"/>
        </w:rPr>
        <w:t>tresability</w:t>
      </w:r>
      <w:r>
        <w:rPr>
          <w:rFonts w:ascii="Courier New"/>
          <w:spacing w:val="-14"/>
          <w:sz w:val="20"/>
        </w:rPr>
        <w:t> </w:t>
      </w:r>
      <w:r>
        <w:rPr>
          <w:rFonts w:ascii="Courier New"/>
          <w:spacing w:val="-2"/>
          <w:sz w:val="20"/>
        </w:rPr>
        <w:t>tsefficacy</w:t>
      </w:r>
    </w:p>
    <w:p>
      <w:pPr>
        <w:spacing w:line="226" w:lineRule="exact" w:before="0"/>
        <w:ind w:left="721" w:right="0" w:firstLine="0"/>
        <w:jc w:val="left"/>
        <w:rPr>
          <w:rFonts w:ascii="Courier New"/>
          <w:sz w:val="20"/>
        </w:rPr>
      </w:pPr>
      <w:r>
        <w:rPr>
          <w:rFonts w:ascii="Courier New"/>
          <w:sz w:val="20"/>
        </w:rPr>
        <w:t>/PRINT=TWOTAIL</w:t>
      </w:r>
      <w:r>
        <w:rPr>
          <w:rFonts w:ascii="Courier New"/>
          <w:spacing w:val="-14"/>
          <w:sz w:val="20"/>
        </w:rPr>
        <w:t> </w:t>
      </w:r>
      <w:r>
        <w:rPr>
          <w:rFonts w:ascii="Courier New"/>
          <w:spacing w:val="-2"/>
          <w:sz w:val="20"/>
        </w:rPr>
        <w:t>NOSIG</w:t>
      </w:r>
    </w:p>
    <w:p>
      <w:pPr>
        <w:spacing w:line="226" w:lineRule="exact" w:before="0"/>
        <w:ind w:left="721" w:right="0" w:firstLine="0"/>
        <w:jc w:val="left"/>
        <w:rPr>
          <w:rFonts w:ascii="Courier New"/>
          <w:sz w:val="20"/>
        </w:rPr>
      </w:pPr>
      <w:r>
        <w:rPr>
          <w:rFonts w:ascii="Courier New"/>
          <w:sz w:val="20"/>
        </w:rPr>
        <w:t>/STATISTICS</w:t>
      </w:r>
      <w:r>
        <w:rPr>
          <w:rFonts w:ascii="Courier New"/>
          <w:spacing w:val="-11"/>
          <w:sz w:val="20"/>
        </w:rPr>
        <w:t> </w:t>
      </w:r>
      <w:r>
        <w:rPr>
          <w:rFonts w:ascii="Courier New"/>
          <w:spacing w:val="-2"/>
          <w:sz w:val="20"/>
        </w:rPr>
        <w:t>DESCRIPTIVES</w:t>
      </w:r>
    </w:p>
    <w:p>
      <w:pPr>
        <w:spacing w:line="226" w:lineRule="exact" w:before="0"/>
        <w:ind w:left="721" w:right="0" w:firstLine="0"/>
        <w:jc w:val="left"/>
        <w:rPr>
          <w:rFonts w:ascii="Courier New"/>
          <w:sz w:val="20"/>
        </w:rPr>
      </w:pPr>
      <w:r>
        <w:rPr>
          <w:rFonts w:ascii="Courier New"/>
          <w:spacing w:val="-2"/>
          <w:sz w:val="20"/>
        </w:rPr>
        <w:t>/MISSING=PAIRWISE.</w:t>
      </w:r>
    </w:p>
    <w:p>
      <w:pPr>
        <w:pStyle w:val="Heading1"/>
        <w:spacing w:before="219"/>
      </w:pPr>
      <w:r>
        <w:rPr>
          <w:spacing w:val="-2"/>
        </w:rPr>
        <w:t>Correlations</w:t>
      </w:r>
    </w:p>
    <w:p>
      <w:pPr>
        <w:spacing w:before="9"/>
        <w:ind w:left="480" w:right="0" w:firstLine="0"/>
        <w:jc w:val="left"/>
        <w:rPr>
          <w:rFonts w:ascii="Courier New"/>
          <w:sz w:val="20"/>
        </w:rPr>
      </w:pPr>
      <w:r>
        <w:rPr>
          <w:rFonts w:ascii="Courier New"/>
          <w:sz w:val="20"/>
        </w:rPr>
        <w:t>[DataSet1]</w:t>
      </w:r>
      <w:r>
        <w:rPr>
          <w:rFonts w:ascii="Courier New"/>
          <w:spacing w:val="-16"/>
          <w:sz w:val="20"/>
        </w:rPr>
        <w:t> </w:t>
      </w:r>
      <w:r>
        <w:rPr>
          <w:rFonts w:ascii="Courier New"/>
          <w:sz w:val="20"/>
        </w:rPr>
        <w:t>C:\Users\umar\Documents\Amos</w:t>
      </w:r>
      <w:r>
        <w:rPr>
          <w:rFonts w:ascii="Courier New"/>
          <w:spacing w:val="-15"/>
          <w:sz w:val="20"/>
        </w:rPr>
        <w:t> </w:t>
      </w:r>
      <w:r>
        <w:rPr>
          <w:rFonts w:ascii="Courier New"/>
          <w:sz w:val="20"/>
        </w:rPr>
        <w:t>Kwasau's</w:t>
      </w:r>
      <w:r>
        <w:rPr>
          <w:rFonts w:ascii="Courier New"/>
          <w:spacing w:val="-15"/>
          <w:sz w:val="20"/>
        </w:rPr>
        <w:t> </w:t>
      </w:r>
      <w:r>
        <w:rPr>
          <w:rFonts w:ascii="Courier New"/>
          <w:spacing w:val="-2"/>
          <w:sz w:val="20"/>
        </w:rPr>
        <w:t>Data.sav</w:t>
      </w:r>
    </w:p>
    <w:p>
      <w:pPr>
        <w:pStyle w:val="BodyText"/>
        <w:spacing w:before="65"/>
        <w:ind w:left="0"/>
        <w:jc w:val="left"/>
        <w:rPr>
          <w:rFonts w:ascii="Courier New"/>
          <w:sz w:val="20"/>
        </w:rPr>
      </w:pPr>
    </w:p>
    <w:p>
      <w:pPr>
        <w:pStyle w:val="Heading1"/>
      </w:pPr>
      <w:r>
        <w:rPr/>
        <w:t>sex</w:t>
      </w:r>
      <w:r>
        <w:rPr>
          <w:spacing w:val="-4"/>
        </w:rPr>
        <w:t> </w:t>
      </w:r>
      <w:r>
        <w:rPr/>
        <w:t>=</w:t>
      </w:r>
      <w:r>
        <w:rPr>
          <w:spacing w:val="-2"/>
        </w:rPr>
        <w:t> </w:t>
      </w:r>
      <w:r>
        <w:rPr>
          <w:spacing w:val="-4"/>
        </w:rPr>
        <w:t>male</w:t>
      </w:r>
    </w:p>
    <w:p>
      <w:pPr>
        <w:pStyle w:val="BodyText"/>
        <w:ind w:left="0"/>
        <w:jc w:val="left"/>
        <w:rPr>
          <w:rFonts w:ascii="Arial"/>
          <w:b/>
          <w:sz w:val="20"/>
        </w:rPr>
      </w:pPr>
    </w:p>
    <w:p>
      <w:pPr>
        <w:pStyle w:val="BodyText"/>
        <w:spacing w:before="19" w:after="1"/>
        <w:ind w:left="0"/>
        <w:jc w:val="left"/>
        <w:rPr>
          <w:rFonts w:ascii="Arial"/>
          <w:b/>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8"/>
        <w:gridCol w:w="981"/>
        <w:gridCol w:w="1570"/>
        <w:gridCol w:w="818"/>
      </w:tblGrid>
      <w:tr>
        <w:trPr>
          <w:trHeight w:val="246" w:hRule="atLeast"/>
        </w:trPr>
        <w:tc>
          <w:tcPr>
            <w:tcW w:w="5877" w:type="dxa"/>
            <w:gridSpan w:val="4"/>
            <w:tcBorders>
              <w:bottom w:val="double" w:sz="8" w:space="0" w:color="000000"/>
            </w:tcBorders>
          </w:tcPr>
          <w:p>
            <w:pPr>
              <w:pStyle w:val="TableParagraph"/>
              <w:spacing w:line="196" w:lineRule="exact" w:before="31"/>
              <w:jc w:val="center"/>
              <w:rPr>
                <w:rFonts w:ascii="Arial"/>
                <w:b/>
                <w:sz w:val="18"/>
              </w:rPr>
            </w:pPr>
            <w:r>
              <w:rPr>
                <w:rFonts w:ascii="Arial"/>
                <w:b/>
                <w:sz w:val="18"/>
              </w:rPr>
              <w:t>Descriptive</w:t>
            </w:r>
            <w:r>
              <w:rPr>
                <w:rFonts w:ascii="Arial"/>
                <w:b/>
                <w:spacing w:val="-4"/>
                <w:sz w:val="18"/>
              </w:rPr>
              <w:t> </w:t>
            </w:r>
            <w:r>
              <w:rPr>
                <w:rFonts w:ascii="Arial"/>
                <w:b/>
                <w:spacing w:val="-2"/>
                <w:sz w:val="18"/>
              </w:rPr>
              <w:t>Statistics</w:t>
            </w:r>
            <w:r>
              <w:rPr>
                <w:rFonts w:ascii="Arial"/>
                <w:b/>
                <w:spacing w:val="-2"/>
                <w:sz w:val="18"/>
                <w:vertAlign w:val="superscript"/>
              </w:rPr>
              <w:t>a</w:t>
            </w:r>
          </w:p>
        </w:tc>
      </w:tr>
      <w:tr>
        <w:trPr>
          <w:trHeight w:val="317" w:hRule="atLeast"/>
        </w:trPr>
        <w:tc>
          <w:tcPr>
            <w:tcW w:w="2508" w:type="dxa"/>
            <w:tcBorders>
              <w:top w:val="double" w:sz="8" w:space="0" w:color="000000"/>
              <w:bottom w:val="single" w:sz="18" w:space="0" w:color="000000"/>
            </w:tcBorders>
          </w:tcPr>
          <w:p>
            <w:pPr>
              <w:pStyle w:val="TableParagraph"/>
              <w:rPr>
                <w:sz w:val="18"/>
              </w:rPr>
            </w:pPr>
          </w:p>
        </w:tc>
        <w:tc>
          <w:tcPr>
            <w:tcW w:w="981" w:type="dxa"/>
            <w:tcBorders>
              <w:top w:val="double" w:sz="8" w:space="0" w:color="000000"/>
              <w:bottom w:val="single" w:sz="18" w:space="0" w:color="000000"/>
            </w:tcBorders>
          </w:tcPr>
          <w:p>
            <w:pPr>
              <w:pStyle w:val="TableParagraph"/>
              <w:spacing w:line="194" w:lineRule="exact" w:before="104"/>
              <w:ind w:left="200"/>
              <w:rPr>
                <w:rFonts w:ascii="Arial MT"/>
                <w:sz w:val="18"/>
              </w:rPr>
            </w:pPr>
            <w:r>
              <w:rPr>
                <w:rFonts w:ascii="Arial MT"/>
                <w:spacing w:val="-4"/>
                <w:sz w:val="18"/>
              </w:rPr>
              <w:t>Mean</w:t>
            </w:r>
          </w:p>
        </w:tc>
        <w:tc>
          <w:tcPr>
            <w:tcW w:w="1570" w:type="dxa"/>
            <w:tcBorders>
              <w:top w:val="double" w:sz="8" w:space="0" w:color="000000"/>
              <w:bottom w:val="single" w:sz="18" w:space="0" w:color="000000"/>
            </w:tcBorders>
          </w:tcPr>
          <w:p>
            <w:pPr>
              <w:pStyle w:val="TableParagraph"/>
              <w:spacing w:line="194" w:lineRule="exact" w:before="104"/>
              <w:ind w:left="102"/>
              <w:rPr>
                <w:rFonts w:ascii="Arial MT"/>
                <w:sz w:val="18"/>
              </w:rPr>
            </w:pPr>
            <w:r>
              <w:rPr>
                <w:rFonts w:ascii="Arial MT"/>
                <w:sz w:val="18"/>
              </w:rPr>
              <w:t>Std.</w:t>
            </w:r>
            <w:r>
              <w:rPr>
                <w:rFonts w:ascii="Arial MT"/>
                <w:spacing w:val="1"/>
                <w:sz w:val="18"/>
              </w:rPr>
              <w:t> </w:t>
            </w:r>
            <w:r>
              <w:rPr>
                <w:rFonts w:ascii="Arial MT"/>
                <w:spacing w:val="-2"/>
                <w:sz w:val="18"/>
              </w:rPr>
              <w:t>Deviation</w:t>
            </w:r>
          </w:p>
        </w:tc>
        <w:tc>
          <w:tcPr>
            <w:tcW w:w="818" w:type="dxa"/>
            <w:tcBorders>
              <w:top w:val="double" w:sz="8" w:space="0" w:color="000000"/>
              <w:bottom w:val="single" w:sz="18" w:space="0" w:color="000000"/>
            </w:tcBorders>
          </w:tcPr>
          <w:p>
            <w:pPr>
              <w:pStyle w:val="TableParagraph"/>
              <w:spacing w:line="194" w:lineRule="exact" w:before="104"/>
              <w:ind w:left="246"/>
              <w:rPr>
                <w:rFonts w:ascii="Arial MT"/>
                <w:sz w:val="18"/>
              </w:rPr>
            </w:pPr>
            <w:r>
              <w:rPr>
                <w:rFonts w:ascii="Arial MT"/>
                <w:spacing w:val="-10"/>
                <w:sz w:val="18"/>
              </w:rPr>
              <w:t>N</w:t>
            </w:r>
          </w:p>
        </w:tc>
      </w:tr>
      <w:tr>
        <w:trPr>
          <w:trHeight w:val="367" w:hRule="atLeast"/>
        </w:trPr>
        <w:tc>
          <w:tcPr>
            <w:tcW w:w="2508" w:type="dxa"/>
            <w:tcBorders>
              <w:top w:val="single" w:sz="18" w:space="0" w:color="000000"/>
            </w:tcBorders>
          </w:tcPr>
          <w:p>
            <w:pPr>
              <w:pStyle w:val="TableParagraph"/>
              <w:spacing w:before="101"/>
              <w:ind w:left="62"/>
              <w:rPr>
                <w:rFonts w:ascii="Arial MT"/>
                <w:sz w:val="18"/>
              </w:rPr>
            </w:pPr>
            <w:r>
              <w:rPr>
                <w:rFonts w:ascii="Arial MT"/>
                <w:spacing w:val="-2"/>
                <w:sz w:val="18"/>
              </w:rPr>
              <w:t>ChemistryAtest</w:t>
            </w:r>
          </w:p>
        </w:tc>
        <w:tc>
          <w:tcPr>
            <w:tcW w:w="981" w:type="dxa"/>
            <w:tcBorders>
              <w:top w:val="single" w:sz="18" w:space="0" w:color="000000"/>
            </w:tcBorders>
          </w:tcPr>
          <w:p>
            <w:pPr>
              <w:pStyle w:val="TableParagraph"/>
              <w:spacing w:before="101"/>
              <w:ind w:right="101"/>
              <w:jc w:val="right"/>
              <w:rPr>
                <w:rFonts w:ascii="Arial MT"/>
                <w:sz w:val="18"/>
              </w:rPr>
            </w:pPr>
            <w:r>
              <w:rPr>
                <w:rFonts w:ascii="Arial MT"/>
                <w:spacing w:val="-2"/>
                <w:sz w:val="18"/>
              </w:rPr>
              <w:t>47.49</w:t>
            </w:r>
          </w:p>
        </w:tc>
        <w:tc>
          <w:tcPr>
            <w:tcW w:w="1570" w:type="dxa"/>
            <w:tcBorders>
              <w:top w:val="single" w:sz="18" w:space="0" w:color="000000"/>
            </w:tcBorders>
          </w:tcPr>
          <w:p>
            <w:pPr>
              <w:pStyle w:val="TableParagraph"/>
              <w:spacing w:before="101"/>
              <w:ind w:right="245"/>
              <w:jc w:val="right"/>
              <w:rPr>
                <w:rFonts w:ascii="Arial MT"/>
                <w:sz w:val="18"/>
              </w:rPr>
            </w:pPr>
            <w:r>
              <w:rPr>
                <w:rFonts w:ascii="Arial MT"/>
                <w:spacing w:val="-2"/>
                <w:sz w:val="18"/>
              </w:rPr>
              <w:t>8.301</w:t>
            </w:r>
          </w:p>
        </w:tc>
        <w:tc>
          <w:tcPr>
            <w:tcW w:w="818" w:type="dxa"/>
            <w:tcBorders>
              <w:top w:val="single" w:sz="18" w:space="0" w:color="000000"/>
            </w:tcBorders>
          </w:tcPr>
          <w:p>
            <w:pPr>
              <w:pStyle w:val="TableParagraph"/>
              <w:spacing w:before="101"/>
              <w:ind w:right="59"/>
              <w:jc w:val="right"/>
              <w:rPr>
                <w:rFonts w:ascii="Arial MT"/>
                <w:sz w:val="18"/>
              </w:rPr>
            </w:pPr>
            <w:r>
              <w:rPr>
                <w:rFonts w:ascii="Arial MT"/>
                <w:spacing w:val="-5"/>
                <w:sz w:val="18"/>
              </w:rPr>
              <w:t>89</w:t>
            </w:r>
          </w:p>
        </w:tc>
      </w:tr>
      <w:tr>
        <w:trPr>
          <w:trHeight w:val="321" w:hRule="atLeast"/>
        </w:trPr>
        <w:tc>
          <w:tcPr>
            <w:tcW w:w="2508" w:type="dxa"/>
          </w:tcPr>
          <w:p>
            <w:pPr>
              <w:pStyle w:val="TableParagraph"/>
              <w:spacing w:before="55"/>
              <w:ind w:left="62"/>
              <w:rPr>
                <w:rFonts w:ascii="Arial MT"/>
                <w:sz w:val="18"/>
              </w:rPr>
            </w:pPr>
            <w:r>
              <w:rPr>
                <w:rFonts w:ascii="Arial MT"/>
                <w:sz w:val="18"/>
              </w:rPr>
              <w:t>total</w:t>
            </w:r>
            <w:r>
              <w:rPr>
                <w:rFonts w:ascii="Arial MT"/>
                <w:spacing w:val="-5"/>
                <w:sz w:val="18"/>
              </w:rPr>
              <w:t> </w:t>
            </w:r>
            <w:r>
              <w:rPr>
                <w:rFonts w:ascii="Arial MT"/>
                <w:sz w:val="18"/>
              </w:rPr>
              <w:t>emotional</w:t>
            </w:r>
            <w:r>
              <w:rPr>
                <w:rFonts w:ascii="Arial MT"/>
                <w:spacing w:val="-4"/>
                <w:sz w:val="18"/>
              </w:rPr>
              <w:t> </w:t>
            </w:r>
            <w:r>
              <w:rPr>
                <w:rFonts w:ascii="Arial MT"/>
                <w:spacing w:val="-2"/>
                <w:sz w:val="18"/>
              </w:rPr>
              <w:t>intelligence</w:t>
            </w:r>
          </w:p>
        </w:tc>
        <w:tc>
          <w:tcPr>
            <w:tcW w:w="981" w:type="dxa"/>
          </w:tcPr>
          <w:p>
            <w:pPr>
              <w:pStyle w:val="TableParagraph"/>
              <w:spacing w:before="55"/>
              <w:ind w:right="101"/>
              <w:jc w:val="right"/>
              <w:rPr>
                <w:rFonts w:ascii="Arial MT"/>
                <w:sz w:val="18"/>
              </w:rPr>
            </w:pPr>
            <w:r>
              <w:rPr>
                <w:rFonts w:ascii="Arial MT"/>
                <w:spacing w:val="-2"/>
                <w:sz w:val="18"/>
              </w:rPr>
              <w:t>129.60</w:t>
            </w:r>
          </w:p>
        </w:tc>
        <w:tc>
          <w:tcPr>
            <w:tcW w:w="1570" w:type="dxa"/>
          </w:tcPr>
          <w:p>
            <w:pPr>
              <w:pStyle w:val="TableParagraph"/>
              <w:spacing w:before="55"/>
              <w:ind w:right="245"/>
              <w:jc w:val="right"/>
              <w:rPr>
                <w:rFonts w:ascii="Arial MT"/>
                <w:sz w:val="18"/>
              </w:rPr>
            </w:pPr>
            <w:r>
              <w:rPr>
                <w:rFonts w:ascii="Arial MT"/>
                <w:spacing w:val="-2"/>
                <w:sz w:val="18"/>
              </w:rPr>
              <w:t>34.121</w:t>
            </w:r>
          </w:p>
        </w:tc>
        <w:tc>
          <w:tcPr>
            <w:tcW w:w="818" w:type="dxa"/>
          </w:tcPr>
          <w:p>
            <w:pPr>
              <w:pStyle w:val="TableParagraph"/>
              <w:spacing w:before="55"/>
              <w:ind w:right="59"/>
              <w:jc w:val="right"/>
              <w:rPr>
                <w:rFonts w:ascii="Arial MT"/>
                <w:sz w:val="18"/>
              </w:rPr>
            </w:pPr>
            <w:r>
              <w:rPr>
                <w:rFonts w:ascii="Arial MT"/>
                <w:spacing w:val="-5"/>
                <w:sz w:val="18"/>
              </w:rPr>
              <w:t>89</w:t>
            </w:r>
          </w:p>
        </w:tc>
      </w:tr>
      <w:tr>
        <w:trPr>
          <w:trHeight w:val="319" w:hRule="atLeast"/>
        </w:trPr>
        <w:tc>
          <w:tcPr>
            <w:tcW w:w="2508" w:type="dxa"/>
          </w:tcPr>
          <w:p>
            <w:pPr>
              <w:pStyle w:val="TableParagraph"/>
              <w:spacing w:before="55"/>
              <w:ind w:left="62"/>
              <w:rPr>
                <w:rFonts w:ascii="Arial MT"/>
                <w:sz w:val="18"/>
              </w:rPr>
            </w:pPr>
            <w:r>
              <w:rPr>
                <w:rFonts w:ascii="Arial MT"/>
                <w:sz w:val="18"/>
              </w:rPr>
              <w:t>total</w:t>
            </w:r>
            <w:r>
              <w:rPr>
                <w:rFonts w:ascii="Arial MT"/>
                <w:spacing w:val="-4"/>
                <w:sz w:val="18"/>
              </w:rPr>
              <w:t> </w:t>
            </w:r>
            <w:r>
              <w:rPr>
                <w:rFonts w:ascii="Arial MT"/>
                <w:sz w:val="18"/>
              </w:rPr>
              <w:t>reasoning</w:t>
            </w:r>
            <w:r>
              <w:rPr>
                <w:rFonts w:ascii="Arial MT"/>
                <w:spacing w:val="-6"/>
                <w:sz w:val="18"/>
              </w:rPr>
              <w:t> </w:t>
            </w:r>
            <w:r>
              <w:rPr>
                <w:rFonts w:ascii="Arial MT"/>
                <w:spacing w:val="-2"/>
                <w:sz w:val="18"/>
              </w:rPr>
              <w:t>ability</w:t>
            </w:r>
          </w:p>
        </w:tc>
        <w:tc>
          <w:tcPr>
            <w:tcW w:w="981" w:type="dxa"/>
          </w:tcPr>
          <w:p>
            <w:pPr>
              <w:pStyle w:val="TableParagraph"/>
              <w:spacing w:before="55"/>
              <w:ind w:right="101"/>
              <w:jc w:val="right"/>
              <w:rPr>
                <w:rFonts w:ascii="Arial MT"/>
                <w:sz w:val="18"/>
              </w:rPr>
            </w:pPr>
            <w:r>
              <w:rPr>
                <w:rFonts w:ascii="Arial MT"/>
                <w:spacing w:val="-4"/>
                <w:sz w:val="18"/>
              </w:rPr>
              <w:t>4.45</w:t>
            </w:r>
          </w:p>
        </w:tc>
        <w:tc>
          <w:tcPr>
            <w:tcW w:w="1570" w:type="dxa"/>
          </w:tcPr>
          <w:p>
            <w:pPr>
              <w:pStyle w:val="TableParagraph"/>
              <w:spacing w:before="55"/>
              <w:ind w:right="245"/>
              <w:jc w:val="right"/>
              <w:rPr>
                <w:rFonts w:ascii="Arial MT"/>
                <w:sz w:val="18"/>
              </w:rPr>
            </w:pPr>
            <w:r>
              <w:rPr>
                <w:rFonts w:ascii="Arial MT"/>
                <w:spacing w:val="-2"/>
                <w:sz w:val="18"/>
              </w:rPr>
              <w:t>1.752</w:t>
            </w:r>
          </w:p>
        </w:tc>
        <w:tc>
          <w:tcPr>
            <w:tcW w:w="818" w:type="dxa"/>
          </w:tcPr>
          <w:p>
            <w:pPr>
              <w:pStyle w:val="TableParagraph"/>
              <w:spacing w:before="55"/>
              <w:ind w:right="59"/>
              <w:jc w:val="right"/>
              <w:rPr>
                <w:rFonts w:ascii="Arial MT"/>
                <w:sz w:val="18"/>
              </w:rPr>
            </w:pPr>
            <w:r>
              <w:rPr>
                <w:rFonts w:ascii="Arial MT"/>
                <w:spacing w:val="-5"/>
                <w:sz w:val="18"/>
              </w:rPr>
              <w:t>89</w:t>
            </w:r>
          </w:p>
        </w:tc>
      </w:tr>
      <w:tr>
        <w:trPr>
          <w:trHeight w:val="268" w:hRule="atLeast"/>
        </w:trPr>
        <w:tc>
          <w:tcPr>
            <w:tcW w:w="2508" w:type="dxa"/>
            <w:tcBorders>
              <w:bottom w:val="double" w:sz="8" w:space="0" w:color="000000"/>
            </w:tcBorders>
          </w:tcPr>
          <w:p>
            <w:pPr>
              <w:pStyle w:val="TableParagraph"/>
              <w:spacing w:line="196" w:lineRule="exact" w:before="52"/>
              <w:ind w:left="62"/>
              <w:rPr>
                <w:rFonts w:ascii="Arial MT"/>
                <w:sz w:val="18"/>
              </w:rPr>
            </w:pPr>
            <w:r>
              <w:rPr>
                <w:rFonts w:ascii="Arial MT"/>
                <w:sz w:val="18"/>
              </w:rPr>
              <w:t>total</w:t>
            </w:r>
            <w:r>
              <w:rPr>
                <w:rFonts w:ascii="Arial MT"/>
                <w:spacing w:val="-2"/>
                <w:sz w:val="18"/>
              </w:rPr>
              <w:t> </w:t>
            </w:r>
            <w:r>
              <w:rPr>
                <w:rFonts w:ascii="Arial MT"/>
                <w:sz w:val="18"/>
              </w:rPr>
              <w:t>self</w:t>
            </w:r>
            <w:r>
              <w:rPr>
                <w:rFonts w:ascii="Arial MT"/>
                <w:spacing w:val="-3"/>
                <w:sz w:val="18"/>
              </w:rPr>
              <w:t> </w:t>
            </w:r>
            <w:r>
              <w:rPr>
                <w:rFonts w:ascii="Arial MT"/>
                <w:spacing w:val="-2"/>
                <w:sz w:val="18"/>
              </w:rPr>
              <w:t>efficacy</w:t>
            </w:r>
          </w:p>
        </w:tc>
        <w:tc>
          <w:tcPr>
            <w:tcW w:w="981" w:type="dxa"/>
            <w:tcBorders>
              <w:bottom w:val="double" w:sz="8" w:space="0" w:color="000000"/>
            </w:tcBorders>
          </w:tcPr>
          <w:p>
            <w:pPr>
              <w:pStyle w:val="TableParagraph"/>
              <w:spacing w:line="196" w:lineRule="exact" w:before="52"/>
              <w:ind w:right="101"/>
              <w:jc w:val="right"/>
              <w:rPr>
                <w:rFonts w:ascii="Arial MT"/>
                <w:sz w:val="18"/>
              </w:rPr>
            </w:pPr>
            <w:r>
              <w:rPr>
                <w:rFonts w:ascii="Arial MT"/>
                <w:spacing w:val="-2"/>
                <w:sz w:val="18"/>
              </w:rPr>
              <w:t>33.67</w:t>
            </w:r>
          </w:p>
        </w:tc>
        <w:tc>
          <w:tcPr>
            <w:tcW w:w="1570" w:type="dxa"/>
            <w:tcBorders>
              <w:bottom w:val="double" w:sz="8" w:space="0" w:color="000000"/>
            </w:tcBorders>
          </w:tcPr>
          <w:p>
            <w:pPr>
              <w:pStyle w:val="TableParagraph"/>
              <w:spacing w:line="196" w:lineRule="exact" w:before="52"/>
              <w:ind w:right="245"/>
              <w:jc w:val="right"/>
              <w:rPr>
                <w:rFonts w:ascii="Arial MT"/>
                <w:sz w:val="18"/>
              </w:rPr>
            </w:pPr>
            <w:r>
              <w:rPr>
                <w:rFonts w:ascii="Arial MT"/>
                <w:spacing w:val="-2"/>
                <w:sz w:val="18"/>
              </w:rPr>
              <w:t>9.546</w:t>
            </w:r>
          </w:p>
        </w:tc>
        <w:tc>
          <w:tcPr>
            <w:tcW w:w="818" w:type="dxa"/>
            <w:tcBorders>
              <w:bottom w:val="double" w:sz="8" w:space="0" w:color="000000"/>
            </w:tcBorders>
          </w:tcPr>
          <w:p>
            <w:pPr>
              <w:pStyle w:val="TableParagraph"/>
              <w:spacing w:line="196" w:lineRule="exact" w:before="52"/>
              <w:ind w:right="59"/>
              <w:jc w:val="right"/>
              <w:rPr>
                <w:rFonts w:ascii="Arial MT"/>
                <w:sz w:val="18"/>
              </w:rPr>
            </w:pPr>
            <w:r>
              <w:rPr>
                <w:rFonts w:ascii="Arial MT"/>
                <w:spacing w:val="-5"/>
                <w:sz w:val="18"/>
              </w:rPr>
              <w:t>89</w:t>
            </w:r>
          </w:p>
        </w:tc>
      </w:tr>
      <w:tr>
        <w:trPr>
          <w:trHeight w:val="316" w:hRule="atLeast"/>
        </w:trPr>
        <w:tc>
          <w:tcPr>
            <w:tcW w:w="2508" w:type="dxa"/>
            <w:tcBorders>
              <w:top w:val="double" w:sz="8" w:space="0" w:color="000000"/>
            </w:tcBorders>
          </w:tcPr>
          <w:p>
            <w:pPr>
              <w:pStyle w:val="TableParagraph"/>
              <w:spacing w:line="187" w:lineRule="exact" w:before="108"/>
              <w:ind w:left="62"/>
              <w:rPr>
                <w:rFonts w:ascii="Arial MT"/>
                <w:sz w:val="18"/>
              </w:rPr>
            </w:pPr>
            <w:r>
              <w:rPr>
                <w:rFonts w:ascii="Arial MT"/>
                <w:sz w:val="18"/>
              </w:rPr>
              <w:t>a.</w:t>
            </w:r>
            <w:r>
              <w:rPr>
                <w:rFonts w:ascii="Arial MT"/>
                <w:spacing w:val="-2"/>
                <w:sz w:val="18"/>
              </w:rPr>
              <w:t> </w:t>
            </w:r>
            <w:r>
              <w:rPr>
                <w:rFonts w:ascii="Arial MT"/>
                <w:sz w:val="18"/>
              </w:rPr>
              <w:t>sex</w:t>
            </w:r>
            <w:r>
              <w:rPr>
                <w:rFonts w:ascii="Arial MT"/>
                <w:spacing w:val="-3"/>
                <w:sz w:val="18"/>
              </w:rPr>
              <w:t> </w:t>
            </w:r>
            <w:r>
              <w:rPr>
                <w:rFonts w:ascii="Arial MT"/>
                <w:sz w:val="18"/>
              </w:rPr>
              <w:t>= 1</w:t>
            </w:r>
            <w:r>
              <w:rPr>
                <w:rFonts w:ascii="Arial MT"/>
                <w:spacing w:val="-3"/>
                <w:sz w:val="18"/>
              </w:rPr>
              <w:t> </w:t>
            </w:r>
            <w:r>
              <w:rPr>
                <w:rFonts w:ascii="Arial MT"/>
                <w:spacing w:val="-4"/>
                <w:sz w:val="18"/>
              </w:rPr>
              <w:t>male</w:t>
            </w:r>
          </w:p>
        </w:tc>
        <w:tc>
          <w:tcPr>
            <w:tcW w:w="981" w:type="dxa"/>
            <w:tcBorders>
              <w:top w:val="double" w:sz="8" w:space="0" w:color="000000"/>
            </w:tcBorders>
          </w:tcPr>
          <w:p>
            <w:pPr>
              <w:pStyle w:val="TableParagraph"/>
              <w:rPr>
                <w:sz w:val="18"/>
              </w:rPr>
            </w:pPr>
          </w:p>
        </w:tc>
        <w:tc>
          <w:tcPr>
            <w:tcW w:w="1570" w:type="dxa"/>
            <w:tcBorders>
              <w:top w:val="double" w:sz="8" w:space="0" w:color="000000"/>
            </w:tcBorders>
          </w:tcPr>
          <w:p>
            <w:pPr>
              <w:pStyle w:val="TableParagraph"/>
              <w:rPr>
                <w:sz w:val="18"/>
              </w:rPr>
            </w:pPr>
          </w:p>
        </w:tc>
        <w:tc>
          <w:tcPr>
            <w:tcW w:w="818" w:type="dxa"/>
            <w:tcBorders>
              <w:top w:val="double" w:sz="8" w:space="0" w:color="000000"/>
            </w:tcBorders>
          </w:tcPr>
          <w:p>
            <w:pPr>
              <w:pStyle w:val="TableParagraph"/>
              <w:rPr>
                <w:sz w:val="18"/>
              </w:rPr>
            </w:pPr>
          </w:p>
        </w:tc>
      </w:tr>
    </w:tbl>
    <w:p>
      <w:pPr>
        <w:pStyle w:val="BodyText"/>
        <w:ind w:left="0"/>
        <w:jc w:val="left"/>
        <w:rPr>
          <w:rFonts w:ascii="Arial"/>
          <w:b/>
          <w:sz w:val="20"/>
        </w:rPr>
      </w:pPr>
    </w:p>
    <w:p>
      <w:pPr>
        <w:pStyle w:val="BodyText"/>
        <w:spacing w:before="25"/>
        <w:ind w:left="0"/>
        <w:jc w:val="left"/>
        <w:rPr>
          <w:rFonts w:ascii="Arial"/>
          <w:b/>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0"/>
        <w:gridCol w:w="2258"/>
        <w:gridCol w:w="1003"/>
        <w:gridCol w:w="1315"/>
        <w:gridCol w:w="1320"/>
        <w:gridCol w:w="1158"/>
      </w:tblGrid>
      <w:tr>
        <w:trPr>
          <w:trHeight w:val="241" w:hRule="atLeast"/>
        </w:trPr>
        <w:tc>
          <w:tcPr>
            <w:tcW w:w="9034" w:type="dxa"/>
            <w:gridSpan w:val="6"/>
            <w:tcBorders>
              <w:bottom w:val="double" w:sz="8" w:space="0" w:color="000000"/>
            </w:tcBorders>
          </w:tcPr>
          <w:p>
            <w:pPr>
              <w:pStyle w:val="TableParagraph"/>
              <w:spacing w:line="191" w:lineRule="exact" w:before="31"/>
              <w:ind w:left="2"/>
              <w:jc w:val="center"/>
              <w:rPr>
                <w:rFonts w:ascii="Arial"/>
                <w:b/>
                <w:sz w:val="18"/>
              </w:rPr>
            </w:pPr>
            <w:r>
              <w:rPr>
                <w:rFonts w:ascii="Arial"/>
                <w:b/>
                <w:spacing w:val="-2"/>
                <w:sz w:val="18"/>
              </w:rPr>
              <w:t>Correlations</w:t>
            </w:r>
            <w:r>
              <w:rPr>
                <w:rFonts w:ascii="Arial"/>
                <w:b/>
                <w:spacing w:val="-2"/>
                <w:sz w:val="18"/>
                <w:vertAlign w:val="superscript"/>
              </w:rPr>
              <w:t>a</w:t>
            </w:r>
          </w:p>
        </w:tc>
      </w:tr>
      <w:tr>
        <w:trPr>
          <w:trHeight w:val="960" w:hRule="atLeast"/>
        </w:trPr>
        <w:tc>
          <w:tcPr>
            <w:tcW w:w="1980" w:type="dxa"/>
            <w:tcBorders>
              <w:top w:val="double" w:sz="8" w:space="0" w:color="000000"/>
              <w:bottom w:val="single" w:sz="18" w:space="0" w:color="000000"/>
            </w:tcBorders>
          </w:tcPr>
          <w:p>
            <w:pPr>
              <w:pStyle w:val="TableParagraph"/>
              <w:rPr>
                <w:sz w:val="18"/>
              </w:rPr>
            </w:pPr>
          </w:p>
        </w:tc>
        <w:tc>
          <w:tcPr>
            <w:tcW w:w="3261" w:type="dxa"/>
            <w:gridSpan w:val="2"/>
            <w:tcBorders>
              <w:top w:val="double" w:sz="8" w:space="0" w:color="000000"/>
              <w:bottom w:val="single" w:sz="18" w:space="0" w:color="000000"/>
            </w:tcBorders>
          </w:tcPr>
          <w:p>
            <w:pPr>
              <w:pStyle w:val="TableParagraph"/>
              <w:spacing w:before="93"/>
              <w:rPr>
                <w:rFonts w:ascii="Arial"/>
                <w:b/>
                <w:sz w:val="18"/>
              </w:rPr>
            </w:pPr>
          </w:p>
          <w:p>
            <w:pPr>
              <w:pStyle w:val="TableParagraph"/>
              <w:spacing w:line="320" w:lineRule="atLeast"/>
              <w:ind w:left="2476" w:right="91" w:hanging="471"/>
              <w:rPr>
                <w:rFonts w:ascii="Arial MT"/>
                <w:sz w:val="18"/>
              </w:rPr>
            </w:pPr>
            <w:r>
              <w:rPr>
                <w:rFonts w:ascii="Arial MT"/>
                <w:spacing w:val="-2"/>
                <w:sz w:val="18"/>
              </w:rPr>
              <w:t>ChemistryAte </w:t>
            </w:r>
            <w:r>
              <w:rPr>
                <w:rFonts w:ascii="Arial MT"/>
                <w:spacing w:val="-6"/>
                <w:sz w:val="18"/>
              </w:rPr>
              <w:t>st</w:t>
            </w:r>
          </w:p>
        </w:tc>
        <w:tc>
          <w:tcPr>
            <w:tcW w:w="1315" w:type="dxa"/>
            <w:tcBorders>
              <w:top w:val="double" w:sz="8" w:space="0" w:color="000000"/>
              <w:bottom w:val="single" w:sz="18" w:space="0" w:color="000000"/>
            </w:tcBorders>
          </w:tcPr>
          <w:p>
            <w:pPr>
              <w:pStyle w:val="TableParagraph"/>
              <w:spacing w:line="367" w:lineRule="auto" w:before="108"/>
              <w:ind w:left="179" w:right="349" w:firstLine="1"/>
              <w:jc w:val="center"/>
              <w:rPr>
                <w:rFonts w:ascii="Arial MT"/>
                <w:sz w:val="18"/>
              </w:rPr>
            </w:pPr>
            <w:r>
              <w:rPr>
                <w:rFonts w:ascii="Arial MT"/>
                <w:spacing w:val="-2"/>
                <w:sz w:val="18"/>
              </w:rPr>
              <w:t>total emotional</w:t>
            </w:r>
          </w:p>
          <w:p>
            <w:pPr>
              <w:pStyle w:val="TableParagraph"/>
              <w:spacing w:line="194" w:lineRule="exact" w:before="5"/>
              <w:ind w:right="165"/>
              <w:jc w:val="center"/>
              <w:rPr>
                <w:rFonts w:ascii="Arial MT"/>
                <w:sz w:val="18"/>
              </w:rPr>
            </w:pPr>
            <w:r>
              <w:rPr>
                <w:rFonts w:ascii="Arial MT"/>
                <w:spacing w:val="-2"/>
                <w:sz w:val="18"/>
              </w:rPr>
              <w:t>intelligence</w:t>
            </w:r>
          </w:p>
        </w:tc>
        <w:tc>
          <w:tcPr>
            <w:tcW w:w="1320" w:type="dxa"/>
            <w:tcBorders>
              <w:top w:val="double" w:sz="8" w:space="0" w:color="000000"/>
              <w:bottom w:val="single" w:sz="18" w:space="0" w:color="000000"/>
            </w:tcBorders>
          </w:tcPr>
          <w:p>
            <w:pPr>
              <w:pStyle w:val="TableParagraph"/>
              <w:spacing w:line="367" w:lineRule="auto" w:before="108"/>
              <w:ind w:left="147" w:firstLine="226"/>
              <w:rPr>
                <w:rFonts w:ascii="Arial MT"/>
                <w:sz w:val="18"/>
              </w:rPr>
            </w:pPr>
            <w:r>
              <w:rPr>
                <w:rFonts w:ascii="Arial MT"/>
                <w:spacing w:val="-2"/>
                <w:sz w:val="18"/>
              </w:rPr>
              <w:t>total reasoning</w:t>
            </w:r>
          </w:p>
          <w:p>
            <w:pPr>
              <w:pStyle w:val="TableParagraph"/>
              <w:spacing w:line="194" w:lineRule="exact" w:before="5"/>
              <w:ind w:left="315"/>
              <w:rPr>
                <w:rFonts w:ascii="Arial MT"/>
                <w:sz w:val="18"/>
              </w:rPr>
            </w:pPr>
            <w:r>
              <w:rPr>
                <w:rFonts w:ascii="Arial MT"/>
                <w:spacing w:val="-2"/>
                <w:sz w:val="18"/>
              </w:rPr>
              <w:t>ability</w:t>
            </w:r>
          </w:p>
        </w:tc>
        <w:tc>
          <w:tcPr>
            <w:tcW w:w="1158" w:type="dxa"/>
            <w:tcBorders>
              <w:top w:val="double" w:sz="8" w:space="0" w:color="000000"/>
              <w:bottom w:val="single" w:sz="18" w:space="0" w:color="000000"/>
            </w:tcBorders>
          </w:tcPr>
          <w:p>
            <w:pPr>
              <w:pStyle w:val="TableParagraph"/>
              <w:spacing w:before="93"/>
              <w:rPr>
                <w:rFonts w:ascii="Arial"/>
                <w:b/>
                <w:sz w:val="18"/>
              </w:rPr>
            </w:pPr>
          </w:p>
          <w:p>
            <w:pPr>
              <w:pStyle w:val="TableParagraph"/>
              <w:spacing w:line="320" w:lineRule="atLeast"/>
              <w:ind w:left="205" w:right="304" w:hanging="29"/>
              <w:rPr>
                <w:rFonts w:ascii="Arial MT"/>
                <w:sz w:val="18"/>
              </w:rPr>
            </w:pPr>
            <w:r>
              <w:rPr>
                <w:rFonts w:ascii="Arial MT"/>
                <w:sz w:val="18"/>
              </w:rPr>
              <w:t>total</w:t>
            </w:r>
            <w:r>
              <w:rPr>
                <w:rFonts w:ascii="Arial MT"/>
                <w:spacing w:val="-13"/>
                <w:sz w:val="18"/>
              </w:rPr>
              <w:t> </w:t>
            </w:r>
            <w:r>
              <w:rPr>
                <w:rFonts w:ascii="Arial MT"/>
                <w:sz w:val="18"/>
              </w:rPr>
              <w:t>self </w:t>
            </w:r>
            <w:r>
              <w:rPr>
                <w:rFonts w:ascii="Arial MT"/>
                <w:spacing w:val="-2"/>
                <w:sz w:val="18"/>
              </w:rPr>
              <w:t>efficacy</w:t>
            </w:r>
          </w:p>
        </w:tc>
      </w:tr>
      <w:tr>
        <w:trPr>
          <w:trHeight w:val="387" w:hRule="atLeast"/>
        </w:trPr>
        <w:tc>
          <w:tcPr>
            <w:tcW w:w="1980" w:type="dxa"/>
            <w:tcBorders>
              <w:top w:val="single" w:sz="18" w:space="0" w:color="000000"/>
            </w:tcBorders>
          </w:tcPr>
          <w:p>
            <w:pPr>
              <w:pStyle w:val="TableParagraph"/>
              <w:spacing w:before="101"/>
              <w:ind w:left="62"/>
              <w:rPr>
                <w:rFonts w:ascii="Arial MT"/>
                <w:sz w:val="18"/>
              </w:rPr>
            </w:pPr>
            <w:r>
              <w:rPr>
                <w:rFonts w:ascii="Arial MT"/>
                <w:spacing w:val="-2"/>
                <w:sz w:val="18"/>
              </w:rPr>
              <w:t>ChemistryAtest</w:t>
            </w:r>
          </w:p>
        </w:tc>
        <w:tc>
          <w:tcPr>
            <w:tcW w:w="2258" w:type="dxa"/>
            <w:tcBorders>
              <w:top w:val="single" w:sz="18" w:space="0" w:color="000000"/>
            </w:tcBorders>
          </w:tcPr>
          <w:p>
            <w:pPr>
              <w:pStyle w:val="TableParagraph"/>
              <w:spacing w:before="101"/>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03" w:type="dxa"/>
            <w:tcBorders>
              <w:top w:val="single" w:sz="18" w:space="0" w:color="000000"/>
            </w:tcBorders>
          </w:tcPr>
          <w:p>
            <w:pPr>
              <w:pStyle w:val="TableParagraph"/>
              <w:spacing w:before="101"/>
              <w:ind w:right="129"/>
              <w:jc w:val="right"/>
              <w:rPr>
                <w:rFonts w:ascii="Arial MT"/>
                <w:sz w:val="18"/>
              </w:rPr>
            </w:pPr>
            <w:r>
              <w:rPr>
                <w:rFonts w:ascii="Arial MT"/>
                <w:spacing w:val="-10"/>
                <w:sz w:val="18"/>
              </w:rPr>
              <w:t>1</w:t>
            </w:r>
          </w:p>
        </w:tc>
        <w:tc>
          <w:tcPr>
            <w:tcW w:w="1315" w:type="dxa"/>
            <w:tcBorders>
              <w:top w:val="single" w:sz="18" w:space="0" w:color="000000"/>
            </w:tcBorders>
          </w:tcPr>
          <w:p>
            <w:pPr>
              <w:pStyle w:val="TableParagraph"/>
              <w:spacing w:before="101"/>
              <w:ind w:right="159"/>
              <w:jc w:val="right"/>
              <w:rPr>
                <w:rFonts w:ascii="Arial MT"/>
                <w:sz w:val="18"/>
              </w:rPr>
            </w:pPr>
            <w:r>
              <w:rPr>
                <w:rFonts w:ascii="Arial MT"/>
                <w:spacing w:val="-2"/>
                <w:sz w:val="18"/>
              </w:rPr>
              <w:t>.804</w:t>
            </w:r>
            <w:r>
              <w:rPr>
                <w:rFonts w:ascii="Arial MT"/>
                <w:spacing w:val="-2"/>
                <w:sz w:val="18"/>
                <w:vertAlign w:val="superscript"/>
              </w:rPr>
              <w:t>**</w:t>
            </w:r>
          </w:p>
        </w:tc>
        <w:tc>
          <w:tcPr>
            <w:tcW w:w="1320" w:type="dxa"/>
            <w:tcBorders>
              <w:top w:val="single" w:sz="18" w:space="0" w:color="000000"/>
            </w:tcBorders>
          </w:tcPr>
          <w:p>
            <w:pPr>
              <w:pStyle w:val="TableParagraph"/>
              <w:spacing w:before="101"/>
              <w:ind w:right="191"/>
              <w:jc w:val="right"/>
              <w:rPr>
                <w:rFonts w:ascii="Arial MT"/>
                <w:sz w:val="18"/>
              </w:rPr>
            </w:pPr>
            <w:r>
              <w:rPr>
                <w:rFonts w:ascii="Arial MT"/>
                <w:spacing w:val="-2"/>
                <w:sz w:val="18"/>
              </w:rPr>
              <w:t>.800</w:t>
            </w:r>
            <w:r>
              <w:rPr>
                <w:rFonts w:ascii="Arial MT"/>
                <w:spacing w:val="-2"/>
                <w:sz w:val="18"/>
                <w:vertAlign w:val="superscript"/>
              </w:rPr>
              <w:t>**</w:t>
            </w:r>
          </w:p>
        </w:tc>
        <w:tc>
          <w:tcPr>
            <w:tcW w:w="1158" w:type="dxa"/>
            <w:tcBorders>
              <w:top w:val="single" w:sz="18" w:space="0" w:color="000000"/>
            </w:tcBorders>
          </w:tcPr>
          <w:p>
            <w:pPr>
              <w:pStyle w:val="TableParagraph"/>
              <w:spacing w:before="101"/>
              <w:ind w:right="62"/>
              <w:jc w:val="right"/>
              <w:rPr>
                <w:rFonts w:ascii="Arial MT"/>
                <w:sz w:val="18"/>
              </w:rPr>
            </w:pPr>
            <w:r>
              <w:rPr>
                <w:rFonts w:ascii="Arial MT"/>
                <w:spacing w:val="-2"/>
                <w:sz w:val="18"/>
              </w:rPr>
              <w:t>.813</w:t>
            </w:r>
            <w:r>
              <w:rPr>
                <w:rFonts w:ascii="Arial MT"/>
                <w:spacing w:val="-2"/>
                <w:sz w:val="18"/>
                <w:vertAlign w:val="superscript"/>
              </w:rPr>
              <w:t>**</w:t>
            </w:r>
          </w:p>
        </w:tc>
      </w:tr>
      <w:tr>
        <w:trPr>
          <w:trHeight w:val="360" w:hRule="atLeast"/>
        </w:trPr>
        <w:tc>
          <w:tcPr>
            <w:tcW w:w="1980" w:type="dxa"/>
          </w:tcPr>
          <w:p>
            <w:pPr>
              <w:pStyle w:val="TableParagraph"/>
              <w:rPr>
                <w:sz w:val="18"/>
              </w:rPr>
            </w:pPr>
          </w:p>
        </w:tc>
        <w:tc>
          <w:tcPr>
            <w:tcW w:w="2258" w:type="dxa"/>
          </w:tcPr>
          <w:p>
            <w:pPr>
              <w:pStyle w:val="TableParagraph"/>
              <w:spacing w:before="74"/>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03" w:type="dxa"/>
          </w:tcPr>
          <w:p>
            <w:pPr>
              <w:pStyle w:val="TableParagraph"/>
              <w:rPr>
                <w:sz w:val="18"/>
              </w:rPr>
            </w:pPr>
          </w:p>
        </w:tc>
        <w:tc>
          <w:tcPr>
            <w:tcW w:w="1315" w:type="dxa"/>
          </w:tcPr>
          <w:p>
            <w:pPr>
              <w:pStyle w:val="TableParagraph"/>
              <w:spacing w:before="74"/>
              <w:ind w:right="152"/>
              <w:jc w:val="right"/>
              <w:rPr>
                <w:rFonts w:ascii="Arial MT"/>
                <w:sz w:val="18"/>
              </w:rPr>
            </w:pPr>
            <w:r>
              <w:rPr>
                <w:rFonts w:ascii="Arial MT"/>
                <w:spacing w:val="-4"/>
                <w:sz w:val="18"/>
              </w:rPr>
              <w:t>.000</w:t>
            </w:r>
          </w:p>
        </w:tc>
        <w:tc>
          <w:tcPr>
            <w:tcW w:w="1320" w:type="dxa"/>
          </w:tcPr>
          <w:p>
            <w:pPr>
              <w:pStyle w:val="TableParagraph"/>
              <w:spacing w:before="74"/>
              <w:ind w:right="185"/>
              <w:jc w:val="right"/>
              <w:rPr>
                <w:rFonts w:ascii="Arial MT"/>
                <w:sz w:val="18"/>
              </w:rPr>
            </w:pPr>
            <w:r>
              <w:rPr>
                <w:rFonts w:ascii="Arial MT"/>
                <w:spacing w:val="-4"/>
                <w:sz w:val="18"/>
              </w:rPr>
              <w:t>.000</w:t>
            </w:r>
          </w:p>
        </w:tc>
        <w:tc>
          <w:tcPr>
            <w:tcW w:w="1158" w:type="dxa"/>
          </w:tcPr>
          <w:p>
            <w:pPr>
              <w:pStyle w:val="TableParagraph"/>
              <w:spacing w:before="74"/>
              <w:ind w:right="56"/>
              <w:jc w:val="right"/>
              <w:rPr>
                <w:rFonts w:ascii="Arial MT"/>
                <w:sz w:val="18"/>
              </w:rPr>
            </w:pPr>
            <w:r>
              <w:rPr>
                <w:rFonts w:ascii="Arial MT"/>
                <w:spacing w:val="-4"/>
                <w:sz w:val="18"/>
              </w:rPr>
              <w:t>.000</w:t>
            </w:r>
          </w:p>
        </w:tc>
      </w:tr>
      <w:tr>
        <w:trPr>
          <w:trHeight w:val="290" w:hRule="atLeast"/>
        </w:trPr>
        <w:tc>
          <w:tcPr>
            <w:tcW w:w="1980" w:type="dxa"/>
            <w:tcBorders>
              <w:bottom w:val="single" w:sz="8" w:space="0" w:color="000000"/>
            </w:tcBorders>
          </w:tcPr>
          <w:p>
            <w:pPr>
              <w:pStyle w:val="TableParagraph"/>
              <w:rPr>
                <w:sz w:val="18"/>
              </w:rPr>
            </w:pPr>
          </w:p>
        </w:tc>
        <w:tc>
          <w:tcPr>
            <w:tcW w:w="2258" w:type="dxa"/>
            <w:tcBorders>
              <w:bottom w:val="single" w:sz="8" w:space="0" w:color="000000"/>
            </w:tcBorders>
          </w:tcPr>
          <w:p>
            <w:pPr>
              <w:pStyle w:val="TableParagraph"/>
              <w:spacing w:line="196" w:lineRule="exact" w:before="74"/>
              <w:ind w:left="224"/>
              <w:rPr>
                <w:rFonts w:ascii="Arial MT"/>
                <w:sz w:val="18"/>
              </w:rPr>
            </w:pPr>
            <w:r>
              <w:rPr>
                <w:rFonts w:ascii="Arial MT"/>
                <w:spacing w:val="-10"/>
                <w:sz w:val="18"/>
              </w:rPr>
              <w:t>N</w:t>
            </w:r>
          </w:p>
        </w:tc>
        <w:tc>
          <w:tcPr>
            <w:tcW w:w="1003" w:type="dxa"/>
            <w:tcBorders>
              <w:bottom w:val="single" w:sz="8" w:space="0" w:color="000000"/>
            </w:tcBorders>
          </w:tcPr>
          <w:p>
            <w:pPr>
              <w:pStyle w:val="TableParagraph"/>
              <w:spacing w:line="196" w:lineRule="exact" w:before="74"/>
              <w:ind w:right="131"/>
              <w:jc w:val="right"/>
              <w:rPr>
                <w:rFonts w:ascii="Arial MT"/>
                <w:sz w:val="18"/>
              </w:rPr>
            </w:pPr>
            <w:r>
              <w:rPr>
                <w:rFonts w:ascii="Arial MT"/>
                <w:spacing w:val="-5"/>
                <w:sz w:val="18"/>
              </w:rPr>
              <w:t>89</w:t>
            </w:r>
          </w:p>
        </w:tc>
        <w:tc>
          <w:tcPr>
            <w:tcW w:w="1315" w:type="dxa"/>
            <w:tcBorders>
              <w:bottom w:val="single" w:sz="8" w:space="0" w:color="000000"/>
            </w:tcBorders>
          </w:tcPr>
          <w:p>
            <w:pPr>
              <w:pStyle w:val="TableParagraph"/>
              <w:spacing w:line="196" w:lineRule="exact" w:before="74"/>
              <w:ind w:right="159"/>
              <w:jc w:val="right"/>
              <w:rPr>
                <w:rFonts w:ascii="Arial MT"/>
                <w:sz w:val="18"/>
              </w:rPr>
            </w:pPr>
            <w:r>
              <w:rPr>
                <w:rFonts w:ascii="Arial MT"/>
                <w:spacing w:val="-5"/>
                <w:sz w:val="18"/>
              </w:rPr>
              <w:t>89</w:t>
            </w:r>
          </w:p>
        </w:tc>
        <w:tc>
          <w:tcPr>
            <w:tcW w:w="1320" w:type="dxa"/>
            <w:tcBorders>
              <w:bottom w:val="single" w:sz="8" w:space="0" w:color="000000"/>
            </w:tcBorders>
          </w:tcPr>
          <w:p>
            <w:pPr>
              <w:pStyle w:val="TableParagraph"/>
              <w:spacing w:line="196" w:lineRule="exact" w:before="74"/>
              <w:ind w:right="191"/>
              <w:jc w:val="right"/>
              <w:rPr>
                <w:rFonts w:ascii="Arial MT"/>
                <w:sz w:val="18"/>
              </w:rPr>
            </w:pPr>
            <w:r>
              <w:rPr>
                <w:rFonts w:ascii="Arial MT"/>
                <w:spacing w:val="-5"/>
                <w:sz w:val="18"/>
              </w:rPr>
              <w:t>89</w:t>
            </w:r>
          </w:p>
        </w:tc>
        <w:tc>
          <w:tcPr>
            <w:tcW w:w="1158" w:type="dxa"/>
            <w:tcBorders>
              <w:bottom w:val="single" w:sz="8" w:space="0" w:color="000000"/>
            </w:tcBorders>
          </w:tcPr>
          <w:p>
            <w:pPr>
              <w:pStyle w:val="TableParagraph"/>
              <w:spacing w:line="196" w:lineRule="exact" w:before="74"/>
              <w:ind w:right="62"/>
              <w:jc w:val="right"/>
              <w:rPr>
                <w:rFonts w:ascii="Arial MT"/>
                <w:sz w:val="18"/>
              </w:rPr>
            </w:pPr>
            <w:r>
              <w:rPr>
                <w:rFonts w:ascii="Arial MT"/>
                <w:spacing w:val="-5"/>
                <w:sz w:val="18"/>
              </w:rPr>
              <w:t>89</w:t>
            </w:r>
          </w:p>
        </w:tc>
      </w:tr>
      <w:tr>
        <w:trPr>
          <w:trHeight w:val="380" w:hRule="atLeast"/>
        </w:trPr>
        <w:tc>
          <w:tcPr>
            <w:tcW w:w="1980" w:type="dxa"/>
            <w:vMerge w:val="restart"/>
            <w:tcBorders>
              <w:top w:val="single" w:sz="8" w:space="0" w:color="000000"/>
            </w:tcBorders>
          </w:tcPr>
          <w:p>
            <w:pPr>
              <w:pStyle w:val="TableParagraph"/>
              <w:spacing w:line="322" w:lineRule="exact" w:before="15"/>
              <w:ind w:left="62" w:right="740"/>
              <w:rPr>
                <w:rFonts w:ascii="Arial MT"/>
                <w:sz w:val="18"/>
              </w:rPr>
            </w:pPr>
            <w:r>
              <w:rPr>
                <w:rFonts w:ascii="Arial MT"/>
                <w:sz w:val="18"/>
              </w:rPr>
              <w:t>total</w:t>
            </w:r>
            <w:r>
              <w:rPr>
                <w:rFonts w:ascii="Arial MT"/>
                <w:spacing w:val="-13"/>
                <w:sz w:val="18"/>
              </w:rPr>
              <w:t> </w:t>
            </w:r>
            <w:r>
              <w:rPr>
                <w:rFonts w:ascii="Arial MT"/>
                <w:sz w:val="18"/>
              </w:rPr>
              <w:t>emotional </w:t>
            </w:r>
            <w:r>
              <w:rPr>
                <w:rFonts w:ascii="Arial MT"/>
                <w:spacing w:val="-2"/>
                <w:sz w:val="18"/>
              </w:rPr>
              <w:t>intelligence</w:t>
            </w:r>
          </w:p>
        </w:tc>
        <w:tc>
          <w:tcPr>
            <w:tcW w:w="2258" w:type="dxa"/>
            <w:tcBorders>
              <w:top w:val="single" w:sz="8" w:space="0" w:color="000000"/>
            </w:tcBorders>
          </w:tcPr>
          <w:p>
            <w:pPr>
              <w:pStyle w:val="TableParagraph"/>
              <w:spacing w:before="104"/>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03" w:type="dxa"/>
            <w:tcBorders>
              <w:top w:val="single" w:sz="8" w:space="0" w:color="000000"/>
            </w:tcBorders>
          </w:tcPr>
          <w:p>
            <w:pPr>
              <w:pStyle w:val="TableParagraph"/>
              <w:spacing w:before="104"/>
              <w:ind w:right="131"/>
              <w:jc w:val="right"/>
              <w:rPr>
                <w:rFonts w:ascii="Arial MT"/>
                <w:sz w:val="18"/>
              </w:rPr>
            </w:pPr>
            <w:r>
              <w:rPr>
                <w:rFonts w:ascii="Arial MT"/>
                <w:spacing w:val="-2"/>
                <w:sz w:val="18"/>
              </w:rPr>
              <w:t>.804</w:t>
            </w:r>
            <w:r>
              <w:rPr>
                <w:rFonts w:ascii="Arial MT"/>
                <w:spacing w:val="-2"/>
                <w:sz w:val="18"/>
                <w:vertAlign w:val="superscript"/>
              </w:rPr>
              <w:t>**</w:t>
            </w:r>
          </w:p>
        </w:tc>
        <w:tc>
          <w:tcPr>
            <w:tcW w:w="1315" w:type="dxa"/>
            <w:tcBorders>
              <w:top w:val="single" w:sz="8" w:space="0" w:color="000000"/>
            </w:tcBorders>
          </w:tcPr>
          <w:p>
            <w:pPr>
              <w:pStyle w:val="TableParagraph"/>
              <w:spacing w:before="104"/>
              <w:ind w:right="157"/>
              <w:jc w:val="right"/>
              <w:rPr>
                <w:rFonts w:ascii="Arial MT"/>
                <w:sz w:val="18"/>
              </w:rPr>
            </w:pPr>
            <w:r>
              <w:rPr>
                <w:rFonts w:ascii="Arial MT"/>
                <w:spacing w:val="-10"/>
                <w:sz w:val="18"/>
              </w:rPr>
              <w:t>1</w:t>
            </w:r>
          </w:p>
        </w:tc>
        <w:tc>
          <w:tcPr>
            <w:tcW w:w="1320" w:type="dxa"/>
            <w:tcBorders>
              <w:top w:val="single" w:sz="8" w:space="0" w:color="000000"/>
            </w:tcBorders>
          </w:tcPr>
          <w:p>
            <w:pPr>
              <w:pStyle w:val="TableParagraph"/>
              <w:spacing w:before="104"/>
              <w:ind w:right="191"/>
              <w:jc w:val="right"/>
              <w:rPr>
                <w:rFonts w:ascii="Arial MT"/>
                <w:sz w:val="18"/>
              </w:rPr>
            </w:pPr>
            <w:r>
              <w:rPr>
                <w:rFonts w:ascii="Arial MT"/>
                <w:spacing w:val="-2"/>
                <w:sz w:val="18"/>
              </w:rPr>
              <w:t>.701</w:t>
            </w:r>
            <w:r>
              <w:rPr>
                <w:rFonts w:ascii="Arial MT"/>
                <w:spacing w:val="-2"/>
                <w:sz w:val="18"/>
                <w:vertAlign w:val="superscript"/>
              </w:rPr>
              <w:t>**</w:t>
            </w:r>
          </w:p>
        </w:tc>
        <w:tc>
          <w:tcPr>
            <w:tcW w:w="1158" w:type="dxa"/>
            <w:tcBorders>
              <w:top w:val="single" w:sz="8" w:space="0" w:color="000000"/>
            </w:tcBorders>
          </w:tcPr>
          <w:p>
            <w:pPr>
              <w:pStyle w:val="TableParagraph"/>
              <w:spacing w:before="104"/>
              <w:ind w:right="62"/>
              <w:jc w:val="right"/>
              <w:rPr>
                <w:rFonts w:ascii="Arial MT"/>
                <w:sz w:val="18"/>
              </w:rPr>
            </w:pPr>
            <w:r>
              <w:rPr>
                <w:rFonts w:ascii="Arial MT"/>
                <w:spacing w:val="-2"/>
                <w:sz w:val="18"/>
              </w:rPr>
              <w:t>.682</w:t>
            </w:r>
            <w:r>
              <w:rPr>
                <w:rFonts w:ascii="Arial MT"/>
                <w:spacing w:val="-2"/>
                <w:sz w:val="18"/>
                <w:vertAlign w:val="superscript"/>
              </w:rPr>
              <w:t>**</w:t>
            </w:r>
          </w:p>
        </w:tc>
      </w:tr>
      <w:tr>
        <w:trPr>
          <w:trHeight w:val="341" w:hRule="atLeast"/>
        </w:trPr>
        <w:tc>
          <w:tcPr>
            <w:tcW w:w="1980" w:type="dxa"/>
            <w:vMerge/>
            <w:tcBorders>
              <w:top w:val="nil"/>
            </w:tcBorders>
          </w:tcPr>
          <w:p>
            <w:pPr>
              <w:rPr>
                <w:sz w:val="2"/>
                <w:szCs w:val="2"/>
              </w:rPr>
            </w:pPr>
          </w:p>
        </w:tc>
        <w:tc>
          <w:tcPr>
            <w:tcW w:w="2258" w:type="dxa"/>
          </w:tcPr>
          <w:p>
            <w:pPr>
              <w:pStyle w:val="TableParagraph"/>
              <w:spacing w:before="65"/>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03" w:type="dxa"/>
          </w:tcPr>
          <w:p>
            <w:pPr>
              <w:pStyle w:val="TableParagraph"/>
              <w:spacing w:before="65"/>
              <w:ind w:right="124"/>
              <w:jc w:val="right"/>
              <w:rPr>
                <w:rFonts w:ascii="Arial MT"/>
                <w:sz w:val="18"/>
              </w:rPr>
            </w:pPr>
            <w:r>
              <w:rPr>
                <w:rFonts w:ascii="Arial MT"/>
                <w:spacing w:val="-4"/>
                <w:sz w:val="18"/>
              </w:rPr>
              <w:t>.000</w:t>
            </w:r>
          </w:p>
        </w:tc>
        <w:tc>
          <w:tcPr>
            <w:tcW w:w="1315" w:type="dxa"/>
          </w:tcPr>
          <w:p>
            <w:pPr>
              <w:pStyle w:val="TableParagraph"/>
              <w:rPr>
                <w:sz w:val="18"/>
              </w:rPr>
            </w:pPr>
          </w:p>
        </w:tc>
        <w:tc>
          <w:tcPr>
            <w:tcW w:w="1320" w:type="dxa"/>
          </w:tcPr>
          <w:p>
            <w:pPr>
              <w:pStyle w:val="TableParagraph"/>
              <w:spacing w:before="65"/>
              <w:ind w:right="185"/>
              <w:jc w:val="right"/>
              <w:rPr>
                <w:rFonts w:ascii="Arial MT"/>
                <w:sz w:val="18"/>
              </w:rPr>
            </w:pPr>
            <w:r>
              <w:rPr>
                <w:rFonts w:ascii="Arial MT"/>
                <w:spacing w:val="-4"/>
                <w:sz w:val="18"/>
              </w:rPr>
              <w:t>.000</w:t>
            </w:r>
          </w:p>
        </w:tc>
        <w:tc>
          <w:tcPr>
            <w:tcW w:w="1158" w:type="dxa"/>
          </w:tcPr>
          <w:p>
            <w:pPr>
              <w:pStyle w:val="TableParagraph"/>
              <w:spacing w:before="65"/>
              <w:ind w:right="56"/>
              <w:jc w:val="right"/>
              <w:rPr>
                <w:rFonts w:ascii="Arial MT"/>
                <w:sz w:val="18"/>
              </w:rPr>
            </w:pPr>
            <w:r>
              <w:rPr>
                <w:rFonts w:ascii="Arial MT"/>
                <w:spacing w:val="-4"/>
                <w:sz w:val="18"/>
              </w:rPr>
              <w:t>.000</w:t>
            </w:r>
          </w:p>
        </w:tc>
      </w:tr>
      <w:tr>
        <w:trPr>
          <w:trHeight w:val="276" w:hRule="atLeast"/>
        </w:trPr>
        <w:tc>
          <w:tcPr>
            <w:tcW w:w="1980" w:type="dxa"/>
            <w:tcBorders>
              <w:bottom w:val="single" w:sz="8" w:space="0" w:color="000000"/>
            </w:tcBorders>
          </w:tcPr>
          <w:p>
            <w:pPr>
              <w:pStyle w:val="TableParagraph"/>
              <w:rPr>
                <w:sz w:val="18"/>
              </w:rPr>
            </w:pPr>
          </w:p>
        </w:tc>
        <w:tc>
          <w:tcPr>
            <w:tcW w:w="2258" w:type="dxa"/>
            <w:tcBorders>
              <w:bottom w:val="single" w:sz="8" w:space="0" w:color="000000"/>
            </w:tcBorders>
          </w:tcPr>
          <w:p>
            <w:pPr>
              <w:pStyle w:val="TableParagraph"/>
              <w:spacing w:line="192" w:lineRule="exact" w:before="64"/>
              <w:ind w:left="224"/>
              <w:rPr>
                <w:rFonts w:ascii="Arial MT"/>
                <w:sz w:val="18"/>
              </w:rPr>
            </w:pPr>
            <w:r>
              <w:rPr>
                <w:rFonts w:ascii="Arial MT"/>
                <w:spacing w:val="-10"/>
                <w:sz w:val="18"/>
              </w:rPr>
              <w:t>N</w:t>
            </w:r>
          </w:p>
        </w:tc>
        <w:tc>
          <w:tcPr>
            <w:tcW w:w="1003" w:type="dxa"/>
            <w:tcBorders>
              <w:bottom w:val="single" w:sz="8" w:space="0" w:color="000000"/>
            </w:tcBorders>
          </w:tcPr>
          <w:p>
            <w:pPr>
              <w:pStyle w:val="TableParagraph"/>
              <w:spacing w:line="192" w:lineRule="exact" w:before="64"/>
              <w:ind w:right="131"/>
              <w:jc w:val="right"/>
              <w:rPr>
                <w:rFonts w:ascii="Arial MT"/>
                <w:sz w:val="18"/>
              </w:rPr>
            </w:pPr>
            <w:r>
              <w:rPr>
                <w:rFonts w:ascii="Arial MT"/>
                <w:spacing w:val="-5"/>
                <w:sz w:val="18"/>
              </w:rPr>
              <w:t>89</w:t>
            </w:r>
          </w:p>
        </w:tc>
        <w:tc>
          <w:tcPr>
            <w:tcW w:w="1315" w:type="dxa"/>
            <w:tcBorders>
              <w:bottom w:val="single" w:sz="8" w:space="0" w:color="000000"/>
            </w:tcBorders>
          </w:tcPr>
          <w:p>
            <w:pPr>
              <w:pStyle w:val="TableParagraph"/>
              <w:spacing w:line="192" w:lineRule="exact" w:before="64"/>
              <w:ind w:right="159"/>
              <w:jc w:val="right"/>
              <w:rPr>
                <w:rFonts w:ascii="Arial MT"/>
                <w:sz w:val="18"/>
              </w:rPr>
            </w:pPr>
            <w:r>
              <w:rPr>
                <w:rFonts w:ascii="Arial MT"/>
                <w:spacing w:val="-5"/>
                <w:sz w:val="18"/>
              </w:rPr>
              <w:t>89</w:t>
            </w:r>
          </w:p>
        </w:tc>
        <w:tc>
          <w:tcPr>
            <w:tcW w:w="1320" w:type="dxa"/>
            <w:tcBorders>
              <w:bottom w:val="single" w:sz="8" w:space="0" w:color="000000"/>
            </w:tcBorders>
          </w:tcPr>
          <w:p>
            <w:pPr>
              <w:pStyle w:val="TableParagraph"/>
              <w:spacing w:line="192" w:lineRule="exact" w:before="64"/>
              <w:ind w:right="191"/>
              <w:jc w:val="right"/>
              <w:rPr>
                <w:rFonts w:ascii="Arial MT"/>
                <w:sz w:val="18"/>
              </w:rPr>
            </w:pPr>
            <w:r>
              <w:rPr>
                <w:rFonts w:ascii="Arial MT"/>
                <w:spacing w:val="-5"/>
                <w:sz w:val="18"/>
              </w:rPr>
              <w:t>89</w:t>
            </w:r>
          </w:p>
        </w:tc>
        <w:tc>
          <w:tcPr>
            <w:tcW w:w="1158" w:type="dxa"/>
            <w:tcBorders>
              <w:bottom w:val="single" w:sz="8" w:space="0" w:color="000000"/>
            </w:tcBorders>
          </w:tcPr>
          <w:p>
            <w:pPr>
              <w:pStyle w:val="TableParagraph"/>
              <w:spacing w:line="192" w:lineRule="exact" w:before="64"/>
              <w:ind w:right="62"/>
              <w:jc w:val="right"/>
              <w:rPr>
                <w:rFonts w:ascii="Arial MT"/>
                <w:sz w:val="18"/>
              </w:rPr>
            </w:pPr>
            <w:r>
              <w:rPr>
                <w:rFonts w:ascii="Arial MT"/>
                <w:spacing w:val="-5"/>
                <w:sz w:val="18"/>
              </w:rPr>
              <w:t>89</w:t>
            </w:r>
          </w:p>
        </w:tc>
      </w:tr>
      <w:tr>
        <w:trPr>
          <w:trHeight w:val="380" w:hRule="atLeast"/>
        </w:trPr>
        <w:tc>
          <w:tcPr>
            <w:tcW w:w="1980" w:type="dxa"/>
            <w:tcBorders>
              <w:top w:val="single" w:sz="8" w:space="0" w:color="000000"/>
            </w:tcBorders>
          </w:tcPr>
          <w:p>
            <w:pPr>
              <w:pStyle w:val="TableParagraph"/>
              <w:spacing w:before="104"/>
              <w:ind w:left="62"/>
              <w:rPr>
                <w:rFonts w:ascii="Arial MT"/>
                <w:sz w:val="18"/>
              </w:rPr>
            </w:pPr>
            <w:r>
              <w:rPr>
                <w:rFonts w:ascii="Arial MT"/>
                <w:sz w:val="18"/>
              </w:rPr>
              <w:t>total</w:t>
            </w:r>
            <w:r>
              <w:rPr>
                <w:rFonts w:ascii="Arial MT"/>
                <w:spacing w:val="-4"/>
                <w:sz w:val="18"/>
              </w:rPr>
              <w:t> </w:t>
            </w:r>
            <w:r>
              <w:rPr>
                <w:rFonts w:ascii="Arial MT"/>
                <w:sz w:val="18"/>
              </w:rPr>
              <w:t>reasoning</w:t>
            </w:r>
            <w:r>
              <w:rPr>
                <w:rFonts w:ascii="Arial MT"/>
                <w:spacing w:val="-6"/>
                <w:sz w:val="18"/>
              </w:rPr>
              <w:t> </w:t>
            </w:r>
            <w:r>
              <w:rPr>
                <w:rFonts w:ascii="Arial MT"/>
                <w:spacing w:val="-2"/>
                <w:sz w:val="18"/>
              </w:rPr>
              <w:t>ability</w:t>
            </w:r>
          </w:p>
        </w:tc>
        <w:tc>
          <w:tcPr>
            <w:tcW w:w="2258" w:type="dxa"/>
            <w:tcBorders>
              <w:top w:val="single" w:sz="8" w:space="0" w:color="000000"/>
            </w:tcBorders>
          </w:tcPr>
          <w:p>
            <w:pPr>
              <w:pStyle w:val="TableParagraph"/>
              <w:spacing w:before="104"/>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03" w:type="dxa"/>
            <w:tcBorders>
              <w:top w:val="single" w:sz="8" w:space="0" w:color="000000"/>
            </w:tcBorders>
          </w:tcPr>
          <w:p>
            <w:pPr>
              <w:pStyle w:val="TableParagraph"/>
              <w:spacing w:before="104"/>
              <w:ind w:right="131"/>
              <w:jc w:val="right"/>
              <w:rPr>
                <w:rFonts w:ascii="Arial MT"/>
                <w:sz w:val="18"/>
              </w:rPr>
            </w:pPr>
            <w:r>
              <w:rPr>
                <w:rFonts w:ascii="Arial MT"/>
                <w:spacing w:val="-2"/>
                <w:sz w:val="18"/>
              </w:rPr>
              <w:t>.800</w:t>
            </w:r>
            <w:r>
              <w:rPr>
                <w:rFonts w:ascii="Arial MT"/>
                <w:spacing w:val="-2"/>
                <w:sz w:val="18"/>
                <w:vertAlign w:val="superscript"/>
              </w:rPr>
              <w:t>**</w:t>
            </w:r>
          </w:p>
        </w:tc>
        <w:tc>
          <w:tcPr>
            <w:tcW w:w="1315" w:type="dxa"/>
            <w:tcBorders>
              <w:top w:val="single" w:sz="8" w:space="0" w:color="000000"/>
            </w:tcBorders>
          </w:tcPr>
          <w:p>
            <w:pPr>
              <w:pStyle w:val="TableParagraph"/>
              <w:spacing w:before="104"/>
              <w:ind w:right="159"/>
              <w:jc w:val="right"/>
              <w:rPr>
                <w:rFonts w:ascii="Arial MT"/>
                <w:sz w:val="18"/>
              </w:rPr>
            </w:pPr>
            <w:r>
              <w:rPr>
                <w:rFonts w:ascii="Arial MT"/>
                <w:spacing w:val="-2"/>
                <w:sz w:val="18"/>
              </w:rPr>
              <w:t>.701</w:t>
            </w:r>
            <w:r>
              <w:rPr>
                <w:rFonts w:ascii="Arial MT"/>
                <w:spacing w:val="-2"/>
                <w:sz w:val="18"/>
                <w:vertAlign w:val="superscript"/>
              </w:rPr>
              <w:t>**</w:t>
            </w:r>
          </w:p>
        </w:tc>
        <w:tc>
          <w:tcPr>
            <w:tcW w:w="1320" w:type="dxa"/>
            <w:tcBorders>
              <w:top w:val="single" w:sz="8" w:space="0" w:color="000000"/>
            </w:tcBorders>
          </w:tcPr>
          <w:p>
            <w:pPr>
              <w:pStyle w:val="TableParagraph"/>
              <w:spacing w:before="104"/>
              <w:ind w:right="190"/>
              <w:jc w:val="right"/>
              <w:rPr>
                <w:rFonts w:ascii="Arial MT"/>
                <w:sz w:val="18"/>
              </w:rPr>
            </w:pPr>
            <w:r>
              <w:rPr>
                <w:rFonts w:ascii="Arial MT"/>
                <w:spacing w:val="-10"/>
                <w:sz w:val="18"/>
              </w:rPr>
              <w:t>1</w:t>
            </w:r>
          </w:p>
        </w:tc>
        <w:tc>
          <w:tcPr>
            <w:tcW w:w="1158" w:type="dxa"/>
            <w:tcBorders>
              <w:top w:val="single" w:sz="8" w:space="0" w:color="000000"/>
            </w:tcBorders>
          </w:tcPr>
          <w:p>
            <w:pPr>
              <w:pStyle w:val="TableParagraph"/>
              <w:spacing w:before="104"/>
              <w:ind w:right="62"/>
              <w:jc w:val="right"/>
              <w:rPr>
                <w:rFonts w:ascii="Arial MT"/>
                <w:sz w:val="18"/>
              </w:rPr>
            </w:pPr>
            <w:r>
              <w:rPr>
                <w:rFonts w:ascii="Arial MT"/>
                <w:spacing w:val="-2"/>
                <w:sz w:val="18"/>
              </w:rPr>
              <w:t>.614</w:t>
            </w:r>
            <w:r>
              <w:rPr>
                <w:rFonts w:ascii="Arial MT"/>
                <w:spacing w:val="-2"/>
                <w:sz w:val="18"/>
                <w:vertAlign w:val="superscript"/>
              </w:rPr>
              <w:t>**</w:t>
            </w:r>
          </w:p>
        </w:tc>
      </w:tr>
      <w:tr>
        <w:trPr>
          <w:trHeight w:val="340" w:hRule="atLeast"/>
        </w:trPr>
        <w:tc>
          <w:tcPr>
            <w:tcW w:w="1980" w:type="dxa"/>
          </w:tcPr>
          <w:p>
            <w:pPr>
              <w:pStyle w:val="TableParagraph"/>
              <w:rPr>
                <w:sz w:val="18"/>
              </w:rPr>
            </w:pPr>
          </w:p>
        </w:tc>
        <w:tc>
          <w:tcPr>
            <w:tcW w:w="2258" w:type="dxa"/>
          </w:tcPr>
          <w:p>
            <w:pPr>
              <w:pStyle w:val="TableParagraph"/>
              <w:spacing w:before="64"/>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03" w:type="dxa"/>
          </w:tcPr>
          <w:p>
            <w:pPr>
              <w:pStyle w:val="TableParagraph"/>
              <w:spacing w:before="64"/>
              <w:ind w:right="124"/>
              <w:jc w:val="right"/>
              <w:rPr>
                <w:rFonts w:ascii="Arial MT"/>
                <w:sz w:val="18"/>
              </w:rPr>
            </w:pPr>
            <w:r>
              <w:rPr>
                <w:rFonts w:ascii="Arial MT"/>
                <w:spacing w:val="-4"/>
                <w:sz w:val="18"/>
              </w:rPr>
              <w:t>.000</w:t>
            </w:r>
          </w:p>
        </w:tc>
        <w:tc>
          <w:tcPr>
            <w:tcW w:w="1315" w:type="dxa"/>
          </w:tcPr>
          <w:p>
            <w:pPr>
              <w:pStyle w:val="TableParagraph"/>
              <w:spacing w:before="64"/>
              <w:ind w:right="152"/>
              <w:jc w:val="right"/>
              <w:rPr>
                <w:rFonts w:ascii="Arial MT"/>
                <w:sz w:val="18"/>
              </w:rPr>
            </w:pPr>
            <w:r>
              <w:rPr>
                <w:rFonts w:ascii="Arial MT"/>
                <w:spacing w:val="-4"/>
                <w:sz w:val="18"/>
              </w:rPr>
              <w:t>.000</w:t>
            </w:r>
          </w:p>
        </w:tc>
        <w:tc>
          <w:tcPr>
            <w:tcW w:w="1320" w:type="dxa"/>
          </w:tcPr>
          <w:p>
            <w:pPr>
              <w:pStyle w:val="TableParagraph"/>
              <w:rPr>
                <w:sz w:val="18"/>
              </w:rPr>
            </w:pPr>
          </w:p>
        </w:tc>
        <w:tc>
          <w:tcPr>
            <w:tcW w:w="1158" w:type="dxa"/>
          </w:tcPr>
          <w:p>
            <w:pPr>
              <w:pStyle w:val="TableParagraph"/>
              <w:spacing w:before="64"/>
              <w:ind w:right="56"/>
              <w:jc w:val="right"/>
              <w:rPr>
                <w:rFonts w:ascii="Arial MT"/>
                <w:sz w:val="18"/>
              </w:rPr>
            </w:pPr>
            <w:r>
              <w:rPr>
                <w:rFonts w:ascii="Arial MT"/>
                <w:spacing w:val="-4"/>
                <w:sz w:val="18"/>
              </w:rPr>
              <w:t>.000</w:t>
            </w:r>
          </w:p>
        </w:tc>
      </w:tr>
      <w:tr>
        <w:trPr>
          <w:trHeight w:val="281" w:hRule="atLeast"/>
        </w:trPr>
        <w:tc>
          <w:tcPr>
            <w:tcW w:w="1980" w:type="dxa"/>
            <w:tcBorders>
              <w:bottom w:val="single" w:sz="8" w:space="0" w:color="000000"/>
            </w:tcBorders>
          </w:tcPr>
          <w:p>
            <w:pPr>
              <w:pStyle w:val="TableParagraph"/>
              <w:rPr>
                <w:sz w:val="18"/>
              </w:rPr>
            </w:pPr>
          </w:p>
        </w:tc>
        <w:tc>
          <w:tcPr>
            <w:tcW w:w="2258" w:type="dxa"/>
            <w:tcBorders>
              <w:bottom w:val="single" w:sz="8" w:space="0" w:color="000000"/>
            </w:tcBorders>
          </w:tcPr>
          <w:p>
            <w:pPr>
              <w:pStyle w:val="TableParagraph"/>
              <w:spacing w:line="196" w:lineRule="exact" w:before="65"/>
              <w:ind w:left="224"/>
              <w:rPr>
                <w:rFonts w:ascii="Arial MT"/>
                <w:sz w:val="18"/>
              </w:rPr>
            </w:pPr>
            <w:r>
              <w:rPr>
                <w:rFonts w:ascii="Arial MT"/>
                <w:spacing w:val="-10"/>
                <w:sz w:val="18"/>
              </w:rPr>
              <w:t>N</w:t>
            </w:r>
          </w:p>
        </w:tc>
        <w:tc>
          <w:tcPr>
            <w:tcW w:w="1003" w:type="dxa"/>
            <w:tcBorders>
              <w:bottom w:val="single" w:sz="8" w:space="0" w:color="000000"/>
            </w:tcBorders>
          </w:tcPr>
          <w:p>
            <w:pPr>
              <w:pStyle w:val="TableParagraph"/>
              <w:spacing w:line="196" w:lineRule="exact" w:before="65"/>
              <w:ind w:right="131"/>
              <w:jc w:val="right"/>
              <w:rPr>
                <w:rFonts w:ascii="Arial MT"/>
                <w:sz w:val="18"/>
              </w:rPr>
            </w:pPr>
            <w:r>
              <w:rPr>
                <w:rFonts w:ascii="Arial MT"/>
                <w:spacing w:val="-5"/>
                <w:sz w:val="18"/>
              </w:rPr>
              <w:t>89</w:t>
            </w:r>
          </w:p>
        </w:tc>
        <w:tc>
          <w:tcPr>
            <w:tcW w:w="1315" w:type="dxa"/>
            <w:tcBorders>
              <w:bottom w:val="single" w:sz="8" w:space="0" w:color="000000"/>
            </w:tcBorders>
          </w:tcPr>
          <w:p>
            <w:pPr>
              <w:pStyle w:val="TableParagraph"/>
              <w:spacing w:line="196" w:lineRule="exact" w:before="65"/>
              <w:ind w:right="159"/>
              <w:jc w:val="right"/>
              <w:rPr>
                <w:rFonts w:ascii="Arial MT"/>
                <w:sz w:val="18"/>
              </w:rPr>
            </w:pPr>
            <w:r>
              <w:rPr>
                <w:rFonts w:ascii="Arial MT"/>
                <w:spacing w:val="-5"/>
                <w:sz w:val="18"/>
              </w:rPr>
              <w:t>89</w:t>
            </w:r>
          </w:p>
        </w:tc>
        <w:tc>
          <w:tcPr>
            <w:tcW w:w="1320" w:type="dxa"/>
            <w:tcBorders>
              <w:bottom w:val="single" w:sz="8" w:space="0" w:color="000000"/>
            </w:tcBorders>
          </w:tcPr>
          <w:p>
            <w:pPr>
              <w:pStyle w:val="TableParagraph"/>
              <w:spacing w:line="196" w:lineRule="exact" w:before="65"/>
              <w:ind w:right="191"/>
              <w:jc w:val="right"/>
              <w:rPr>
                <w:rFonts w:ascii="Arial MT"/>
                <w:sz w:val="18"/>
              </w:rPr>
            </w:pPr>
            <w:r>
              <w:rPr>
                <w:rFonts w:ascii="Arial MT"/>
                <w:spacing w:val="-5"/>
                <w:sz w:val="18"/>
              </w:rPr>
              <w:t>89</w:t>
            </w:r>
          </w:p>
        </w:tc>
        <w:tc>
          <w:tcPr>
            <w:tcW w:w="1158" w:type="dxa"/>
            <w:tcBorders>
              <w:bottom w:val="single" w:sz="8" w:space="0" w:color="000000"/>
            </w:tcBorders>
          </w:tcPr>
          <w:p>
            <w:pPr>
              <w:pStyle w:val="TableParagraph"/>
              <w:spacing w:line="196" w:lineRule="exact" w:before="65"/>
              <w:ind w:right="62"/>
              <w:jc w:val="right"/>
              <w:rPr>
                <w:rFonts w:ascii="Arial MT"/>
                <w:sz w:val="18"/>
              </w:rPr>
            </w:pPr>
            <w:r>
              <w:rPr>
                <w:rFonts w:ascii="Arial MT"/>
                <w:spacing w:val="-5"/>
                <w:sz w:val="18"/>
              </w:rPr>
              <w:t>89</w:t>
            </w:r>
          </w:p>
        </w:tc>
      </w:tr>
      <w:tr>
        <w:trPr>
          <w:trHeight w:val="399" w:hRule="atLeast"/>
        </w:trPr>
        <w:tc>
          <w:tcPr>
            <w:tcW w:w="1980" w:type="dxa"/>
            <w:tcBorders>
              <w:top w:val="single" w:sz="8" w:space="0" w:color="000000"/>
            </w:tcBorders>
          </w:tcPr>
          <w:p>
            <w:pPr>
              <w:pStyle w:val="TableParagraph"/>
              <w:spacing w:before="104"/>
              <w:ind w:left="62"/>
              <w:rPr>
                <w:rFonts w:ascii="Arial MT"/>
                <w:sz w:val="18"/>
              </w:rPr>
            </w:pPr>
            <w:r>
              <w:rPr>
                <w:rFonts w:ascii="Arial MT"/>
                <w:sz w:val="18"/>
              </w:rPr>
              <w:t>total</w:t>
            </w:r>
            <w:r>
              <w:rPr>
                <w:rFonts w:ascii="Arial MT"/>
                <w:spacing w:val="-2"/>
                <w:sz w:val="18"/>
              </w:rPr>
              <w:t> </w:t>
            </w:r>
            <w:r>
              <w:rPr>
                <w:rFonts w:ascii="Arial MT"/>
                <w:sz w:val="18"/>
              </w:rPr>
              <w:t>self</w:t>
            </w:r>
            <w:r>
              <w:rPr>
                <w:rFonts w:ascii="Arial MT"/>
                <w:spacing w:val="-3"/>
                <w:sz w:val="18"/>
              </w:rPr>
              <w:t> </w:t>
            </w:r>
            <w:r>
              <w:rPr>
                <w:rFonts w:ascii="Arial MT"/>
                <w:spacing w:val="-2"/>
                <w:sz w:val="18"/>
              </w:rPr>
              <w:t>efficacy</w:t>
            </w:r>
          </w:p>
        </w:tc>
        <w:tc>
          <w:tcPr>
            <w:tcW w:w="2258" w:type="dxa"/>
            <w:tcBorders>
              <w:top w:val="single" w:sz="8" w:space="0" w:color="000000"/>
            </w:tcBorders>
          </w:tcPr>
          <w:p>
            <w:pPr>
              <w:pStyle w:val="TableParagraph"/>
              <w:spacing w:before="104"/>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03" w:type="dxa"/>
            <w:tcBorders>
              <w:top w:val="single" w:sz="8" w:space="0" w:color="000000"/>
            </w:tcBorders>
          </w:tcPr>
          <w:p>
            <w:pPr>
              <w:pStyle w:val="TableParagraph"/>
              <w:spacing w:before="104"/>
              <w:ind w:right="131"/>
              <w:jc w:val="right"/>
              <w:rPr>
                <w:rFonts w:ascii="Arial MT"/>
                <w:sz w:val="18"/>
              </w:rPr>
            </w:pPr>
            <w:r>
              <w:rPr>
                <w:rFonts w:ascii="Arial MT"/>
                <w:spacing w:val="-2"/>
                <w:sz w:val="18"/>
              </w:rPr>
              <w:t>.813</w:t>
            </w:r>
            <w:r>
              <w:rPr>
                <w:rFonts w:ascii="Arial MT"/>
                <w:spacing w:val="-2"/>
                <w:sz w:val="18"/>
                <w:vertAlign w:val="superscript"/>
              </w:rPr>
              <w:t>**</w:t>
            </w:r>
          </w:p>
        </w:tc>
        <w:tc>
          <w:tcPr>
            <w:tcW w:w="1315" w:type="dxa"/>
            <w:tcBorders>
              <w:top w:val="single" w:sz="8" w:space="0" w:color="000000"/>
            </w:tcBorders>
          </w:tcPr>
          <w:p>
            <w:pPr>
              <w:pStyle w:val="TableParagraph"/>
              <w:spacing w:before="104"/>
              <w:ind w:right="159"/>
              <w:jc w:val="right"/>
              <w:rPr>
                <w:rFonts w:ascii="Arial MT"/>
                <w:sz w:val="18"/>
              </w:rPr>
            </w:pPr>
            <w:r>
              <w:rPr>
                <w:rFonts w:ascii="Arial MT"/>
                <w:spacing w:val="-2"/>
                <w:sz w:val="18"/>
              </w:rPr>
              <w:t>.682</w:t>
            </w:r>
            <w:r>
              <w:rPr>
                <w:rFonts w:ascii="Arial MT"/>
                <w:spacing w:val="-2"/>
                <w:sz w:val="18"/>
                <w:vertAlign w:val="superscript"/>
              </w:rPr>
              <w:t>**</w:t>
            </w:r>
          </w:p>
        </w:tc>
        <w:tc>
          <w:tcPr>
            <w:tcW w:w="1320" w:type="dxa"/>
            <w:tcBorders>
              <w:top w:val="single" w:sz="8" w:space="0" w:color="000000"/>
            </w:tcBorders>
          </w:tcPr>
          <w:p>
            <w:pPr>
              <w:pStyle w:val="TableParagraph"/>
              <w:spacing w:before="104"/>
              <w:ind w:right="191"/>
              <w:jc w:val="right"/>
              <w:rPr>
                <w:rFonts w:ascii="Arial MT"/>
                <w:sz w:val="18"/>
              </w:rPr>
            </w:pPr>
            <w:r>
              <w:rPr>
                <w:rFonts w:ascii="Arial MT"/>
                <w:spacing w:val="-2"/>
                <w:sz w:val="18"/>
              </w:rPr>
              <w:t>.614</w:t>
            </w:r>
            <w:r>
              <w:rPr>
                <w:rFonts w:ascii="Arial MT"/>
                <w:spacing w:val="-2"/>
                <w:sz w:val="18"/>
                <w:vertAlign w:val="superscript"/>
              </w:rPr>
              <w:t>**</w:t>
            </w:r>
          </w:p>
        </w:tc>
        <w:tc>
          <w:tcPr>
            <w:tcW w:w="1158" w:type="dxa"/>
            <w:tcBorders>
              <w:top w:val="single" w:sz="8" w:space="0" w:color="000000"/>
            </w:tcBorders>
          </w:tcPr>
          <w:p>
            <w:pPr>
              <w:pStyle w:val="TableParagraph"/>
              <w:spacing w:before="104"/>
              <w:ind w:right="61"/>
              <w:jc w:val="right"/>
              <w:rPr>
                <w:rFonts w:ascii="Arial MT"/>
                <w:sz w:val="18"/>
              </w:rPr>
            </w:pPr>
            <w:r>
              <w:rPr>
                <w:rFonts w:ascii="Arial MT"/>
                <w:spacing w:val="-10"/>
                <w:sz w:val="18"/>
              </w:rPr>
              <w:t>1</w:t>
            </w:r>
          </w:p>
        </w:tc>
      </w:tr>
      <w:tr>
        <w:trPr>
          <w:trHeight w:val="379" w:hRule="atLeast"/>
        </w:trPr>
        <w:tc>
          <w:tcPr>
            <w:tcW w:w="1980" w:type="dxa"/>
          </w:tcPr>
          <w:p>
            <w:pPr>
              <w:pStyle w:val="TableParagraph"/>
              <w:rPr>
                <w:sz w:val="18"/>
              </w:rPr>
            </w:pPr>
          </w:p>
        </w:tc>
        <w:tc>
          <w:tcPr>
            <w:tcW w:w="2258" w:type="dxa"/>
          </w:tcPr>
          <w:p>
            <w:pPr>
              <w:pStyle w:val="TableParagraph"/>
              <w:spacing w:before="84"/>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03" w:type="dxa"/>
          </w:tcPr>
          <w:p>
            <w:pPr>
              <w:pStyle w:val="TableParagraph"/>
              <w:spacing w:before="84"/>
              <w:ind w:right="124"/>
              <w:jc w:val="right"/>
              <w:rPr>
                <w:rFonts w:ascii="Arial MT"/>
                <w:sz w:val="18"/>
              </w:rPr>
            </w:pPr>
            <w:r>
              <w:rPr>
                <w:rFonts w:ascii="Arial MT"/>
                <w:spacing w:val="-4"/>
                <w:sz w:val="18"/>
              </w:rPr>
              <w:t>.000</w:t>
            </w:r>
          </w:p>
        </w:tc>
        <w:tc>
          <w:tcPr>
            <w:tcW w:w="1315" w:type="dxa"/>
          </w:tcPr>
          <w:p>
            <w:pPr>
              <w:pStyle w:val="TableParagraph"/>
              <w:spacing w:before="84"/>
              <w:ind w:right="152"/>
              <w:jc w:val="right"/>
              <w:rPr>
                <w:rFonts w:ascii="Arial MT"/>
                <w:sz w:val="18"/>
              </w:rPr>
            </w:pPr>
            <w:r>
              <w:rPr>
                <w:rFonts w:ascii="Arial MT"/>
                <w:spacing w:val="-4"/>
                <w:sz w:val="18"/>
              </w:rPr>
              <w:t>.000</w:t>
            </w:r>
          </w:p>
        </w:tc>
        <w:tc>
          <w:tcPr>
            <w:tcW w:w="1320" w:type="dxa"/>
          </w:tcPr>
          <w:p>
            <w:pPr>
              <w:pStyle w:val="TableParagraph"/>
              <w:spacing w:before="84"/>
              <w:ind w:right="185"/>
              <w:jc w:val="right"/>
              <w:rPr>
                <w:rFonts w:ascii="Arial MT"/>
                <w:sz w:val="18"/>
              </w:rPr>
            </w:pPr>
            <w:r>
              <w:rPr>
                <w:rFonts w:ascii="Arial MT"/>
                <w:spacing w:val="-4"/>
                <w:sz w:val="18"/>
              </w:rPr>
              <w:t>.000</w:t>
            </w:r>
          </w:p>
        </w:tc>
        <w:tc>
          <w:tcPr>
            <w:tcW w:w="1158" w:type="dxa"/>
          </w:tcPr>
          <w:p>
            <w:pPr>
              <w:pStyle w:val="TableParagraph"/>
              <w:rPr>
                <w:sz w:val="18"/>
              </w:rPr>
            </w:pPr>
          </w:p>
        </w:tc>
      </w:tr>
      <w:tr>
        <w:trPr>
          <w:trHeight w:val="299" w:hRule="atLeast"/>
        </w:trPr>
        <w:tc>
          <w:tcPr>
            <w:tcW w:w="1980" w:type="dxa"/>
            <w:tcBorders>
              <w:bottom w:val="double" w:sz="8" w:space="0" w:color="000000"/>
            </w:tcBorders>
          </w:tcPr>
          <w:p>
            <w:pPr>
              <w:pStyle w:val="TableParagraph"/>
              <w:rPr>
                <w:sz w:val="18"/>
              </w:rPr>
            </w:pPr>
          </w:p>
        </w:tc>
        <w:tc>
          <w:tcPr>
            <w:tcW w:w="2258" w:type="dxa"/>
            <w:tcBorders>
              <w:bottom w:val="double" w:sz="8" w:space="0" w:color="000000"/>
            </w:tcBorders>
          </w:tcPr>
          <w:p>
            <w:pPr>
              <w:pStyle w:val="TableParagraph"/>
              <w:spacing w:line="196" w:lineRule="exact" w:before="84"/>
              <w:ind w:left="224"/>
              <w:rPr>
                <w:rFonts w:ascii="Arial MT"/>
                <w:sz w:val="18"/>
              </w:rPr>
            </w:pPr>
            <w:r>
              <w:rPr>
                <w:rFonts w:ascii="Arial MT"/>
                <w:spacing w:val="-10"/>
                <w:sz w:val="18"/>
              </w:rPr>
              <w:t>N</w:t>
            </w:r>
          </w:p>
        </w:tc>
        <w:tc>
          <w:tcPr>
            <w:tcW w:w="1003" w:type="dxa"/>
            <w:tcBorders>
              <w:bottom w:val="double" w:sz="8" w:space="0" w:color="000000"/>
            </w:tcBorders>
          </w:tcPr>
          <w:p>
            <w:pPr>
              <w:pStyle w:val="TableParagraph"/>
              <w:spacing w:line="196" w:lineRule="exact" w:before="84"/>
              <w:ind w:right="131"/>
              <w:jc w:val="right"/>
              <w:rPr>
                <w:rFonts w:ascii="Arial MT"/>
                <w:sz w:val="18"/>
              </w:rPr>
            </w:pPr>
            <w:r>
              <w:rPr>
                <w:rFonts w:ascii="Arial MT"/>
                <w:spacing w:val="-5"/>
                <w:sz w:val="18"/>
              </w:rPr>
              <w:t>89</w:t>
            </w:r>
          </w:p>
        </w:tc>
        <w:tc>
          <w:tcPr>
            <w:tcW w:w="1315" w:type="dxa"/>
            <w:tcBorders>
              <w:bottom w:val="double" w:sz="8" w:space="0" w:color="000000"/>
            </w:tcBorders>
          </w:tcPr>
          <w:p>
            <w:pPr>
              <w:pStyle w:val="TableParagraph"/>
              <w:spacing w:line="196" w:lineRule="exact" w:before="84"/>
              <w:ind w:right="159"/>
              <w:jc w:val="right"/>
              <w:rPr>
                <w:rFonts w:ascii="Arial MT"/>
                <w:sz w:val="18"/>
              </w:rPr>
            </w:pPr>
            <w:r>
              <w:rPr>
                <w:rFonts w:ascii="Arial MT"/>
                <w:spacing w:val="-5"/>
                <w:sz w:val="18"/>
              </w:rPr>
              <w:t>89</w:t>
            </w:r>
          </w:p>
        </w:tc>
        <w:tc>
          <w:tcPr>
            <w:tcW w:w="1320" w:type="dxa"/>
            <w:tcBorders>
              <w:bottom w:val="double" w:sz="8" w:space="0" w:color="000000"/>
            </w:tcBorders>
          </w:tcPr>
          <w:p>
            <w:pPr>
              <w:pStyle w:val="TableParagraph"/>
              <w:spacing w:line="196" w:lineRule="exact" w:before="84"/>
              <w:ind w:right="191"/>
              <w:jc w:val="right"/>
              <w:rPr>
                <w:rFonts w:ascii="Arial MT"/>
                <w:sz w:val="18"/>
              </w:rPr>
            </w:pPr>
            <w:r>
              <w:rPr>
                <w:rFonts w:ascii="Arial MT"/>
                <w:spacing w:val="-5"/>
                <w:sz w:val="18"/>
              </w:rPr>
              <w:t>89</w:t>
            </w:r>
          </w:p>
        </w:tc>
        <w:tc>
          <w:tcPr>
            <w:tcW w:w="1158" w:type="dxa"/>
            <w:tcBorders>
              <w:bottom w:val="double" w:sz="8" w:space="0" w:color="000000"/>
            </w:tcBorders>
          </w:tcPr>
          <w:p>
            <w:pPr>
              <w:pStyle w:val="TableParagraph"/>
              <w:spacing w:line="196" w:lineRule="exact" w:before="84"/>
              <w:ind w:right="62"/>
              <w:jc w:val="right"/>
              <w:rPr>
                <w:rFonts w:ascii="Arial MT"/>
                <w:sz w:val="18"/>
              </w:rPr>
            </w:pPr>
            <w:r>
              <w:rPr>
                <w:rFonts w:ascii="Arial MT"/>
                <w:spacing w:val="-5"/>
                <w:sz w:val="18"/>
              </w:rPr>
              <w:t>89</w:t>
            </w:r>
          </w:p>
        </w:tc>
      </w:tr>
      <w:tr>
        <w:trPr>
          <w:trHeight w:val="633" w:hRule="atLeast"/>
        </w:trPr>
        <w:tc>
          <w:tcPr>
            <w:tcW w:w="5241" w:type="dxa"/>
            <w:gridSpan w:val="3"/>
            <w:tcBorders>
              <w:top w:val="double" w:sz="8" w:space="0" w:color="000000"/>
            </w:tcBorders>
          </w:tcPr>
          <w:p>
            <w:pPr>
              <w:pStyle w:val="TableParagraph"/>
              <w:spacing w:before="103"/>
              <w:ind w:left="62"/>
              <w:rPr>
                <w:rFonts w:ascii="Arial MT"/>
                <w:sz w:val="18"/>
              </w:rPr>
            </w:pPr>
            <w:r>
              <w:rPr>
                <w:rFonts w:ascii="Arial MT"/>
                <w:sz w:val="18"/>
              </w:rPr>
              <w:t>**.</w:t>
            </w:r>
            <w:r>
              <w:rPr>
                <w:rFonts w:ascii="Arial MT"/>
                <w:spacing w:val="-3"/>
                <w:sz w:val="18"/>
              </w:rPr>
              <w:t> </w:t>
            </w:r>
            <w:r>
              <w:rPr>
                <w:rFonts w:ascii="Arial MT"/>
                <w:sz w:val="18"/>
              </w:rPr>
              <w:t>Correlation</w:t>
            </w:r>
            <w:r>
              <w:rPr>
                <w:rFonts w:ascii="Arial MT"/>
                <w:spacing w:val="-5"/>
                <w:sz w:val="18"/>
              </w:rPr>
              <w:t> </w:t>
            </w:r>
            <w:r>
              <w:rPr>
                <w:rFonts w:ascii="Arial MT"/>
                <w:sz w:val="18"/>
              </w:rPr>
              <w:t>is</w:t>
            </w:r>
            <w:r>
              <w:rPr>
                <w:rFonts w:ascii="Arial MT"/>
                <w:spacing w:val="-6"/>
                <w:sz w:val="18"/>
              </w:rPr>
              <w:t> </w:t>
            </w:r>
            <w:r>
              <w:rPr>
                <w:rFonts w:ascii="Arial MT"/>
                <w:sz w:val="18"/>
              </w:rPr>
              <w:t>significant</w:t>
            </w:r>
            <w:r>
              <w:rPr>
                <w:rFonts w:ascii="Arial MT"/>
                <w:spacing w:val="-3"/>
                <w:sz w:val="18"/>
              </w:rPr>
              <w:t> </w:t>
            </w:r>
            <w:r>
              <w:rPr>
                <w:rFonts w:ascii="Arial MT"/>
                <w:sz w:val="18"/>
              </w:rPr>
              <w:t>at</w:t>
            </w:r>
            <w:r>
              <w:rPr>
                <w:rFonts w:ascii="Arial MT"/>
                <w:spacing w:val="-4"/>
                <w:sz w:val="18"/>
              </w:rPr>
              <w:t> </w:t>
            </w:r>
            <w:r>
              <w:rPr>
                <w:rFonts w:ascii="Arial MT"/>
                <w:sz w:val="18"/>
              </w:rPr>
              <w:t>the</w:t>
            </w:r>
            <w:r>
              <w:rPr>
                <w:rFonts w:ascii="Arial MT"/>
                <w:spacing w:val="-5"/>
                <w:sz w:val="18"/>
              </w:rPr>
              <w:t> </w:t>
            </w:r>
            <w:r>
              <w:rPr>
                <w:rFonts w:ascii="Arial MT"/>
                <w:sz w:val="18"/>
              </w:rPr>
              <w:t>0.05</w:t>
            </w:r>
            <w:r>
              <w:rPr>
                <w:rFonts w:ascii="Arial MT"/>
                <w:spacing w:val="-7"/>
                <w:sz w:val="18"/>
              </w:rPr>
              <w:t> </w:t>
            </w:r>
            <w:r>
              <w:rPr>
                <w:rFonts w:ascii="Arial MT"/>
                <w:sz w:val="18"/>
              </w:rPr>
              <w:t>level</w:t>
            </w:r>
            <w:r>
              <w:rPr>
                <w:rFonts w:ascii="Arial MT"/>
                <w:spacing w:val="2"/>
                <w:sz w:val="18"/>
              </w:rPr>
              <w:t> </w:t>
            </w:r>
            <w:r>
              <w:rPr>
                <w:rFonts w:ascii="Arial MT"/>
                <w:sz w:val="18"/>
              </w:rPr>
              <w:t>(2-</w:t>
            </w:r>
            <w:r>
              <w:rPr>
                <w:rFonts w:ascii="Arial MT"/>
                <w:spacing w:val="-2"/>
                <w:sz w:val="18"/>
              </w:rPr>
              <w:t>tailed).</w:t>
            </w:r>
          </w:p>
          <w:p>
            <w:pPr>
              <w:pStyle w:val="TableParagraph"/>
              <w:spacing w:line="187" w:lineRule="exact" w:before="115"/>
              <w:ind w:left="62"/>
              <w:rPr>
                <w:rFonts w:ascii="Arial MT"/>
                <w:sz w:val="18"/>
              </w:rPr>
            </w:pPr>
            <w:r>
              <w:rPr>
                <w:rFonts w:ascii="Arial MT"/>
                <w:sz w:val="18"/>
              </w:rPr>
              <w:t>a.</w:t>
            </w:r>
            <w:r>
              <w:rPr>
                <w:rFonts w:ascii="Arial MT"/>
                <w:spacing w:val="-2"/>
                <w:sz w:val="18"/>
              </w:rPr>
              <w:t> </w:t>
            </w:r>
            <w:r>
              <w:rPr>
                <w:rFonts w:ascii="Arial MT"/>
                <w:sz w:val="18"/>
              </w:rPr>
              <w:t>sex</w:t>
            </w:r>
            <w:r>
              <w:rPr>
                <w:rFonts w:ascii="Arial MT"/>
                <w:spacing w:val="-3"/>
                <w:sz w:val="18"/>
              </w:rPr>
              <w:t> </w:t>
            </w:r>
            <w:r>
              <w:rPr>
                <w:rFonts w:ascii="Arial MT"/>
                <w:sz w:val="18"/>
              </w:rPr>
              <w:t>= 1</w:t>
            </w:r>
            <w:r>
              <w:rPr>
                <w:rFonts w:ascii="Arial MT"/>
                <w:spacing w:val="-3"/>
                <w:sz w:val="18"/>
              </w:rPr>
              <w:t> </w:t>
            </w:r>
            <w:r>
              <w:rPr>
                <w:rFonts w:ascii="Arial MT"/>
                <w:spacing w:val="-4"/>
                <w:sz w:val="18"/>
              </w:rPr>
              <w:t>male</w:t>
            </w:r>
          </w:p>
        </w:tc>
        <w:tc>
          <w:tcPr>
            <w:tcW w:w="1315" w:type="dxa"/>
            <w:tcBorders>
              <w:top w:val="double" w:sz="8" w:space="0" w:color="000000"/>
            </w:tcBorders>
          </w:tcPr>
          <w:p>
            <w:pPr>
              <w:pStyle w:val="TableParagraph"/>
              <w:rPr>
                <w:sz w:val="18"/>
              </w:rPr>
            </w:pPr>
          </w:p>
        </w:tc>
        <w:tc>
          <w:tcPr>
            <w:tcW w:w="1320" w:type="dxa"/>
            <w:tcBorders>
              <w:top w:val="double" w:sz="8" w:space="0" w:color="000000"/>
            </w:tcBorders>
          </w:tcPr>
          <w:p>
            <w:pPr>
              <w:pStyle w:val="TableParagraph"/>
              <w:rPr>
                <w:sz w:val="18"/>
              </w:rPr>
            </w:pPr>
          </w:p>
        </w:tc>
        <w:tc>
          <w:tcPr>
            <w:tcW w:w="1158" w:type="dxa"/>
            <w:tcBorders>
              <w:top w:val="double" w:sz="8" w:space="0" w:color="000000"/>
            </w:tcBorders>
          </w:tcPr>
          <w:p>
            <w:pPr>
              <w:pStyle w:val="TableParagraph"/>
              <w:rPr>
                <w:sz w:val="18"/>
              </w:rPr>
            </w:pPr>
          </w:p>
        </w:tc>
      </w:tr>
    </w:tbl>
    <w:p>
      <w:pPr>
        <w:spacing w:after="0"/>
        <w:rPr>
          <w:sz w:val="18"/>
        </w:rPr>
        <w:sectPr>
          <w:pgSz w:w="11910" w:h="16840"/>
          <w:pgMar w:header="0" w:footer="1012" w:top="1340" w:bottom="1200" w:left="1680" w:right="280"/>
        </w:sectPr>
      </w:pPr>
    </w:p>
    <w:p>
      <w:pPr>
        <w:pStyle w:val="Heading2"/>
        <w:spacing w:line="242" w:lineRule="auto" w:before="64"/>
        <w:ind w:left="2338" w:right="2953" w:firstLine="1551"/>
        <w:jc w:val="left"/>
      </w:pPr>
      <w:r>
        <w:rPr/>
        <w:t>APPENDIX G DESCRIPTIVE</w:t>
      </w:r>
      <w:r>
        <w:rPr>
          <w:spacing w:val="-15"/>
        </w:rPr>
        <w:t> </w:t>
      </w:r>
      <w:r>
        <w:rPr/>
        <w:t>STATISTICS</w:t>
      </w:r>
      <w:r>
        <w:rPr>
          <w:spacing w:val="-13"/>
        </w:rPr>
        <w:t> </w:t>
      </w:r>
      <w:r>
        <w:rPr/>
        <w:t>OF</w:t>
      </w:r>
      <w:r>
        <w:rPr>
          <w:spacing w:val="-15"/>
        </w:rPr>
        <w:t> </w:t>
      </w:r>
      <w:r>
        <w:rPr/>
        <w:t>FEMALE</w:t>
      </w:r>
    </w:p>
    <w:p>
      <w:pPr>
        <w:pStyle w:val="BodyText"/>
        <w:spacing w:before="180"/>
        <w:ind w:left="0"/>
        <w:jc w:val="left"/>
        <w:rPr>
          <w:b/>
        </w:rPr>
      </w:pPr>
    </w:p>
    <w:p>
      <w:pPr>
        <w:spacing w:line="226" w:lineRule="exact" w:before="0"/>
        <w:ind w:left="480" w:right="0" w:firstLine="0"/>
        <w:jc w:val="left"/>
        <w:rPr>
          <w:rFonts w:ascii="Courier New"/>
          <w:sz w:val="20"/>
        </w:rPr>
      </w:pPr>
      <w:r>
        <w:rPr>
          <w:rFonts w:ascii="Courier New"/>
          <w:spacing w:val="-2"/>
          <w:sz w:val="20"/>
        </w:rPr>
        <w:t>CORRELATIONS</w:t>
      </w:r>
    </w:p>
    <w:p>
      <w:pPr>
        <w:spacing w:line="226" w:lineRule="exact" w:before="0"/>
        <w:ind w:left="721" w:right="0" w:firstLine="0"/>
        <w:jc w:val="left"/>
        <w:rPr>
          <w:rFonts w:ascii="Courier New"/>
          <w:sz w:val="20"/>
        </w:rPr>
      </w:pPr>
      <w:r>
        <w:rPr>
          <w:rFonts w:ascii="Courier New"/>
          <w:sz w:val="20"/>
        </w:rPr>
        <w:t>/VARIABLES=ChemistryAtest</w:t>
      </w:r>
      <w:r>
        <w:rPr>
          <w:rFonts w:ascii="Courier New"/>
          <w:spacing w:val="-16"/>
          <w:sz w:val="20"/>
        </w:rPr>
        <w:t> </w:t>
      </w:r>
      <w:r>
        <w:rPr>
          <w:rFonts w:ascii="Courier New"/>
          <w:sz w:val="20"/>
        </w:rPr>
        <w:t>temint</w:t>
      </w:r>
      <w:r>
        <w:rPr>
          <w:rFonts w:ascii="Courier New"/>
          <w:spacing w:val="-14"/>
          <w:sz w:val="20"/>
        </w:rPr>
        <w:t> </w:t>
      </w:r>
      <w:r>
        <w:rPr>
          <w:rFonts w:ascii="Courier New"/>
          <w:sz w:val="20"/>
        </w:rPr>
        <w:t>tresability</w:t>
      </w:r>
      <w:r>
        <w:rPr>
          <w:rFonts w:ascii="Courier New"/>
          <w:spacing w:val="-14"/>
          <w:sz w:val="20"/>
        </w:rPr>
        <w:t> </w:t>
      </w:r>
      <w:r>
        <w:rPr>
          <w:rFonts w:ascii="Courier New"/>
          <w:spacing w:val="-2"/>
          <w:sz w:val="20"/>
        </w:rPr>
        <w:t>tsefficacy</w:t>
      </w:r>
    </w:p>
    <w:p>
      <w:pPr>
        <w:spacing w:line="226" w:lineRule="exact" w:before="0"/>
        <w:ind w:left="721" w:right="0" w:firstLine="0"/>
        <w:jc w:val="left"/>
        <w:rPr>
          <w:rFonts w:ascii="Courier New"/>
          <w:sz w:val="20"/>
        </w:rPr>
      </w:pPr>
      <w:r>
        <w:rPr>
          <w:rFonts w:ascii="Courier New"/>
          <w:sz w:val="20"/>
        </w:rPr>
        <w:t>/PRINT=TWOTAIL</w:t>
      </w:r>
      <w:r>
        <w:rPr>
          <w:rFonts w:ascii="Courier New"/>
          <w:spacing w:val="-14"/>
          <w:sz w:val="20"/>
        </w:rPr>
        <w:t> </w:t>
      </w:r>
      <w:r>
        <w:rPr>
          <w:rFonts w:ascii="Courier New"/>
          <w:spacing w:val="-2"/>
          <w:sz w:val="20"/>
        </w:rPr>
        <w:t>NOSIG</w:t>
      </w:r>
    </w:p>
    <w:p>
      <w:pPr>
        <w:spacing w:line="226" w:lineRule="exact" w:before="0"/>
        <w:ind w:left="721" w:right="0" w:firstLine="0"/>
        <w:jc w:val="left"/>
        <w:rPr>
          <w:rFonts w:ascii="Courier New"/>
          <w:sz w:val="20"/>
        </w:rPr>
      </w:pPr>
      <w:r>
        <w:rPr>
          <w:rFonts w:ascii="Courier New"/>
          <w:sz w:val="20"/>
        </w:rPr>
        <w:t>/STATISTICS</w:t>
      </w:r>
      <w:r>
        <w:rPr>
          <w:rFonts w:ascii="Courier New"/>
          <w:spacing w:val="-11"/>
          <w:sz w:val="20"/>
        </w:rPr>
        <w:t> </w:t>
      </w:r>
      <w:r>
        <w:rPr>
          <w:rFonts w:ascii="Courier New"/>
          <w:spacing w:val="-2"/>
          <w:sz w:val="20"/>
        </w:rPr>
        <w:t>DESCRIPTIVES</w:t>
      </w:r>
    </w:p>
    <w:p>
      <w:pPr>
        <w:spacing w:line="226" w:lineRule="exact" w:before="0"/>
        <w:ind w:left="721" w:right="0" w:firstLine="0"/>
        <w:jc w:val="left"/>
        <w:rPr>
          <w:rFonts w:ascii="Courier New"/>
          <w:sz w:val="20"/>
        </w:rPr>
      </w:pPr>
      <w:r>
        <w:rPr>
          <w:rFonts w:ascii="Courier New"/>
          <w:spacing w:val="-2"/>
          <w:sz w:val="20"/>
        </w:rPr>
        <w:t>/MISSING=PAIRWISE.</w:t>
      </w:r>
    </w:p>
    <w:p>
      <w:pPr>
        <w:pStyle w:val="BodyText"/>
        <w:spacing w:before="65"/>
        <w:ind w:left="0"/>
        <w:jc w:val="left"/>
        <w:rPr>
          <w:rFonts w:ascii="Courier New"/>
          <w:sz w:val="20"/>
        </w:rPr>
      </w:pPr>
    </w:p>
    <w:p>
      <w:pPr>
        <w:pStyle w:val="Heading1"/>
      </w:pPr>
      <w:r>
        <w:rPr>
          <w:spacing w:val="-2"/>
        </w:rPr>
        <w:t>Correlations</w:t>
      </w:r>
    </w:p>
    <w:p>
      <w:pPr>
        <w:spacing w:before="9"/>
        <w:ind w:left="480" w:right="0" w:firstLine="0"/>
        <w:jc w:val="left"/>
        <w:rPr>
          <w:rFonts w:ascii="Courier New"/>
          <w:sz w:val="20"/>
        </w:rPr>
      </w:pPr>
      <w:r>
        <w:rPr>
          <w:rFonts w:ascii="Courier New"/>
          <w:sz w:val="20"/>
        </w:rPr>
        <w:t>[DataSet1]</w:t>
      </w:r>
      <w:r>
        <w:rPr>
          <w:rFonts w:ascii="Courier New"/>
          <w:spacing w:val="-16"/>
          <w:sz w:val="20"/>
        </w:rPr>
        <w:t> </w:t>
      </w:r>
      <w:r>
        <w:rPr>
          <w:rFonts w:ascii="Courier New"/>
          <w:sz w:val="20"/>
        </w:rPr>
        <w:t>C:\Users\umar\Documents\Amos</w:t>
      </w:r>
      <w:r>
        <w:rPr>
          <w:rFonts w:ascii="Courier New"/>
          <w:spacing w:val="-15"/>
          <w:sz w:val="20"/>
        </w:rPr>
        <w:t> </w:t>
      </w:r>
      <w:r>
        <w:rPr>
          <w:rFonts w:ascii="Courier New"/>
          <w:sz w:val="20"/>
        </w:rPr>
        <w:t>Kwasau's</w:t>
      </w:r>
      <w:r>
        <w:rPr>
          <w:rFonts w:ascii="Courier New"/>
          <w:spacing w:val="-15"/>
          <w:sz w:val="20"/>
        </w:rPr>
        <w:t> </w:t>
      </w:r>
      <w:r>
        <w:rPr>
          <w:rFonts w:ascii="Courier New"/>
          <w:spacing w:val="-2"/>
          <w:sz w:val="20"/>
        </w:rPr>
        <w:t>Data.sav</w:t>
      </w:r>
    </w:p>
    <w:p>
      <w:pPr>
        <w:pStyle w:val="BodyText"/>
        <w:spacing w:before="64"/>
        <w:ind w:left="0"/>
        <w:jc w:val="left"/>
        <w:rPr>
          <w:rFonts w:ascii="Courier New"/>
          <w:sz w:val="20"/>
        </w:rPr>
      </w:pPr>
    </w:p>
    <w:p>
      <w:pPr>
        <w:pStyle w:val="Heading1"/>
        <w:spacing w:before="1"/>
      </w:pPr>
      <w:r>
        <w:rPr/>
        <w:t>sex</w:t>
      </w:r>
      <w:r>
        <w:rPr>
          <w:spacing w:val="-4"/>
        </w:rPr>
        <w:t> </w:t>
      </w:r>
      <w:r>
        <w:rPr/>
        <w:t>=</w:t>
      </w:r>
      <w:r>
        <w:rPr>
          <w:spacing w:val="-2"/>
        </w:rPr>
        <w:t> female</w:t>
      </w:r>
    </w:p>
    <w:p>
      <w:pPr>
        <w:pStyle w:val="BodyText"/>
        <w:ind w:left="0"/>
        <w:jc w:val="left"/>
        <w:rPr>
          <w:rFonts w:ascii="Arial"/>
          <w:b/>
          <w:sz w:val="20"/>
        </w:rPr>
      </w:pPr>
    </w:p>
    <w:p>
      <w:pPr>
        <w:pStyle w:val="BodyText"/>
        <w:spacing w:before="19"/>
        <w:ind w:left="0"/>
        <w:jc w:val="left"/>
        <w:rPr>
          <w:rFonts w:ascii="Arial"/>
          <w:b/>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8"/>
        <w:gridCol w:w="981"/>
        <w:gridCol w:w="1570"/>
        <w:gridCol w:w="818"/>
      </w:tblGrid>
      <w:tr>
        <w:trPr>
          <w:trHeight w:val="247" w:hRule="atLeast"/>
        </w:trPr>
        <w:tc>
          <w:tcPr>
            <w:tcW w:w="5877" w:type="dxa"/>
            <w:gridSpan w:val="4"/>
            <w:tcBorders>
              <w:bottom w:val="double" w:sz="8" w:space="0" w:color="000000"/>
            </w:tcBorders>
          </w:tcPr>
          <w:p>
            <w:pPr>
              <w:pStyle w:val="TableParagraph"/>
              <w:spacing w:line="196" w:lineRule="exact" w:before="31"/>
              <w:jc w:val="center"/>
              <w:rPr>
                <w:rFonts w:ascii="Arial"/>
                <w:b/>
                <w:sz w:val="18"/>
              </w:rPr>
            </w:pPr>
            <w:r>
              <w:rPr>
                <w:rFonts w:ascii="Arial"/>
                <w:b/>
                <w:sz w:val="18"/>
              </w:rPr>
              <w:t>Descriptive</w:t>
            </w:r>
            <w:r>
              <w:rPr>
                <w:rFonts w:ascii="Arial"/>
                <w:b/>
                <w:spacing w:val="-4"/>
                <w:sz w:val="18"/>
              </w:rPr>
              <w:t> </w:t>
            </w:r>
            <w:r>
              <w:rPr>
                <w:rFonts w:ascii="Arial"/>
                <w:b/>
                <w:spacing w:val="-2"/>
                <w:sz w:val="18"/>
              </w:rPr>
              <w:t>Statistics</w:t>
            </w:r>
            <w:r>
              <w:rPr>
                <w:rFonts w:ascii="Arial"/>
                <w:b/>
                <w:spacing w:val="-2"/>
                <w:sz w:val="18"/>
                <w:vertAlign w:val="superscript"/>
              </w:rPr>
              <w:t>a</w:t>
            </w:r>
          </w:p>
        </w:tc>
      </w:tr>
      <w:tr>
        <w:trPr>
          <w:trHeight w:val="317" w:hRule="atLeast"/>
        </w:trPr>
        <w:tc>
          <w:tcPr>
            <w:tcW w:w="2508" w:type="dxa"/>
            <w:tcBorders>
              <w:top w:val="double" w:sz="8" w:space="0" w:color="000000"/>
              <w:bottom w:val="single" w:sz="18" w:space="0" w:color="000000"/>
            </w:tcBorders>
          </w:tcPr>
          <w:p>
            <w:pPr>
              <w:pStyle w:val="TableParagraph"/>
              <w:rPr>
                <w:sz w:val="18"/>
              </w:rPr>
            </w:pPr>
          </w:p>
        </w:tc>
        <w:tc>
          <w:tcPr>
            <w:tcW w:w="981" w:type="dxa"/>
            <w:tcBorders>
              <w:top w:val="double" w:sz="8" w:space="0" w:color="000000"/>
              <w:bottom w:val="single" w:sz="18" w:space="0" w:color="000000"/>
            </w:tcBorders>
          </w:tcPr>
          <w:p>
            <w:pPr>
              <w:pStyle w:val="TableParagraph"/>
              <w:spacing w:line="194" w:lineRule="exact" w:before="103"/>
              <w:ind w:left="200"/>
              <w:rPr>
                <w:rFonts w:ascii="Arial MT"/>
                <w:sz w:val="18"/>
              </w:rPr>
            </w:pPr>
            <w:r>
              <w:rPr>
                <w:rFonts w:ascii="Arial MT"/>
                <w:spacing w:val="-4"/>
                <w:sz w:val="18"/>
              </w:rPr>
              <w:t>Mean</w:t>
            </w:r>
          </w:p>
        </w:tc>
        <w:tc>
          <w:tcPr>
            <w:tcW w:w="1570" w:type="dxa"/>
            <w:tcBorders>
              <w:top w:val="double" w:sz="8" w:space="0" w:color="000000"/>
              <w:bottom w:val="single" w:sz="18" w:space="0" w:color="000000"/>
            </w:tcBorders>
          </w:tcPr>
          <w:p>
            <w:pPr>
              <w:pStyle w:val="TableParagraph"/>
              <w:spacing w:line="194" w:lineRule="exact" w:before="103"/>
              <w:ind w:left="102"/>
              <w:rPr>
                <w:rFonts w:ascii="Arial MT"/>
                <w:sz w:val="18"/>
              </w:rPr>
            </w:pPr>
            <w:r>
              <w:rPr>
                <w:rFonts w:ascii="Arial MT"/>
                <w:sz w:val="18"/>
              </w:rPr>
              <w:t>Std. </w:t>
            </w:r>
            <w:r>
              <w:rPr>
                <w:rFonts w:ascii="Arial MT"/>
                <w:spacing w:val="-2"/>
                <w:sz w:val="18"/>
              </w:rPr>
              <w:t>Deviation</w:t>
            </w:r>
          </w:p>
        </w:tc>
        <w:tc>
          <w:tcPr>
            <w:tcW w:w="818" w:type="dxa"/>
            <w:tcBorders>
              <w:top w:val="double" w:sz="8" w:space="0" w:color="000000"/>
              <w:bottom w:val="single" w:sz="18" w:space="0" w:color="000000"/>
            </w:tcBorders>
          </w:tcPr>
          <w:p>
            <w:pPr>
              <w:pStyle w:val="TableParagraph"/>
              <w:spacing w:line="194" w:lineRule="exact" w:before="103"/>
              <w:ind w:left="246"/>
              <w:rPr>
                <w:rFonts w:ascii="Arial MT"/>
                <w:sz w:val="18"/>
              </w:rPr>
            </w:pPr>
            <w:r>
              <w:rPr>
                <w:rFonts w:ascii="Arial MT"/>
                <w:spacing w:val="-10"/>
                <w:sz w:val="18"/>
              </w:rPr>
              <w:t>N</w:t>
            </w:r>
          </w:p>
        </w:tc>
      </w:tr>
      <w:tr>
        <w:trPr>
          <w:trHeight w:val="367" w:hRule="atLeast"/>
        </w:trPr>
        <w:tc>
          <w:tcPr>
            <w:tcW w:w="2508" w:type="dxa"/>
            <w:tcBorders>
              <w:top w:val="single" w:sz="18" w:space="0" w:color="000000"/>
            </w:tcBorders>
          </w:tcPr>
          <w:p>
            <w:pPr>
              <w:pStyle w:val="TableParagraph"/>
              <w:spacing w:before="101"/>
              <w:ind w:left="62"/>
              <w:rPr>
                <w:rFonts w:ascii="Arial MT"/>
                <w:sz w:val="18"/>
              </w:rPr>
            </w:pPr>
            <w:r>
              <w:rPr>
                <w:rFonts w:ascii="Arial MT"/>
                <w:spacing w:val="-2"/>
                <w:sz w:val="18"/>
              </w:rPr>
              <w:t>ChemistryAtest</w:t>
            </w:r>
          </w:p>
        </w:tc>
        <w:tc>
          <w:tcPr>
            <w:tcW w:w="981" w:type="dxa"/>
            <w:tcBorders>
              <w:top w:val="single" w:sz="18" w:space="0" w:color="000000"/>
            </w:tcBorders>
          </w:tcPr>
          <w:p>
            <w:pPr>
              <w:pStyle w:val="TableParagraph"/>
              <w:spacing w:before="101"/>
              <w:ind w:right="101"/>
              <w:jc w:val="right"/>
              <w:rPr>
                <w:rFonts w:ascii="Arial MT"/>
                <w:sz w:val="18"/>
              </w:rPr>
            </w:pPr>
            <w:r>
              <w:rPr>
                <w:rFonts w:ascii="Arial MT"/>
                <w:spacing w:val="-2"/>
                <w:sz w:val="18"/>
              </w:rPr>
              <w:t>48.60</w:t>
            </w:r>
          </w:p>
        </w:tc>
        <w:tc>
          <w:tcPr>
            <w:tcW w:w="1570" w:type="dxa"/>
            <w:tcBorders>
              <w:top w:val="single" w:sz="18" w:space="0" w:color="000000"/>
            </w:tcBorders>
          </w:tcPr>
          <w:p>
            <w:pPr>
              <w:pStyle w:val="TableParagraph"/>
              <w:spacing w:before="101"/>
              <w:ind w:right="245"/>
              <w:jc w:val="right"/>
              <w:rPr>
                <w:rFonts w:ascii="Arial MT"/>
                <w:sz w:val="18"/>
              </w:rPr>
            </w:pPr>
            <w:r>
              <w:rPr>
                <w:rFonts w:ascii="Arial MT"/>
                <w:spacing w:val="-2"/>
                <w:sz w:val="18"/>
              </w:rPr>
              <w:t>8.637</w:t>
            </w:r>
          </w:p>
        </w:tc>
        <w:tc>
          <w:tcPr>
            <w:tcW w:w="818" w:type="dxa"/>
            <w:tcBorders>
              <w:top w:val="single" w:sz="18" w:space="0" w:color="000000"/>
            </w:tcBorders>
          </w:tcPr>
          <w:p>
            <w:pPr>
              <w:pStyle w:val="TableParagraph"/>
              <w:spacing w:before="101"/>
              <w:ind w:right="59"/>
              <w:jc w:val="right"/>
              <w:rPr>
                <w:rFonts w:ascii="Arial MT"/>
                <w:sz w:val="18"/>
              </w:rPr>
            </w:pPr>
            <w:r>
              <w:rPr>
                <w:rFonts w:ascii="Arial MT"/>
                <w:spacing w:val="-5"/>
                <w:sz w:val="18"/>
              </w:rPr>
              <w:t>63</w:t>
            </w:r>
          </w:p>
        </w:tc>
      </w:tr>
      <w:tr>
        <w:trPr>
          <w:trHeight w:val="321" w:hRule="atLeast"/>
        </w:trPr>
        <w:tc>
          <w:tcPr>
            <w:tcW w:w="2508" w:type="dxa"/>
          </w:tcPr>
          <w:p>
            <w:pPr>
              <w:pStyle w:val="TableParagraph"/>
              <w:spacing w:before="55"/>
              <w:ind w:left="62"/>
              <w:rPr>
                <w:rFonts w:ascii="Arial MT"/>
                <w:sz w:val="18"/>
              </w:rPr>
            </w:pPr>
            <w:r>
              <w:rPr>
                <w:rFonts w:ascii="Arial MT"/>
                <w:sz w:val="18"/>
              </w:rPr>
              <w:t>total</w:t>
            </w:r>
            <w:r>
              <w:rPr>
                <w:rFonts w:ascii="Arial MT"/>
                <w:spacing w:val="-5"/>
                <w:sz w:val="18"/>
              </w:rPr>
              <w:t> </w:t>
            </w:r>
            <w:r>
              <w:rPr>
                <w:rFonts w:ascii="Arial MT"/>
                <w:sz w:val="18"/>
              </w:rPr>
              <w:t>emotional</w:t>
            </w:r>
            <w:r>
              <w:rPr>
                <w:rFonts w:ascii="Arial MT"/>
                <w:spacing w:val="-4"/>
                <w:sz w:val="18"/>
              </w:rPr>
              <w:t> </w:t>
            </w:r>
            <w:r>
              <w:rPr>
                <w:rFonts w:ascii="Arial MT"/>
                <w:spacing w:val="-2"/>
                <w:sz w:val="18"/>
              </w:rPr>
              <w:t>intelligence</w:t>
            </w:r>
          </w:p>
        </w:tc>
        <w:tc>
          <w:tcPr>
            <w:tcW w:w="981" w:type="dxa"/>
          </w:tcPr>
          <w:p>
            <w:pPr>
              <w:pStyle w:val="TableParagraph"/>
              <w:spacing w:before="55"/>
              <w:ind w:right="101"/>
              <w:jc w:val="right"/>
              <w:rPr>
                <w:rFonts w:ascii="Arial MT"/>
                <w:sz w:val="18"/>
              </w:rPr>
            </w:pPr>
            <w:r>
              <w:rPr>
                <w:rFonts w:ascii="Arial MT"/>
                <w:spacing w:val="-2"/>
                <w:sz w:val="18"/>
              </w:rPr>
              <w:t>131.00</w:t>
            </w:r>
          </w:p>
        </w:tc>
        <w:tc>
          <w:tcPr>
            <w:tcW w:w="1570" w:type="dxa"/>
          </w:tcPr>
          <w:p>
            <w:pPr>
              <w:pStyle w:val="TableParagraph"/>
              <w:spacing w:before="55"/>
              <w:ind w:right="245"/>
              <w:jc w:val="right"/>
              <w:rPr>
                <w:rFonts w:ascii="Arial MT"/>
                <w:sz w:val="18"/>
              </w:rPr>
            </w:pPr>
            <w:r>
              <w:rPr>
                <w:rFonts w:ascii="Arial MT"/>
                <w:spacing w:val="-2"/>
                <w:sz w:val="18"/>
              </w:rPr>
              <w:t>30.054</w:t>
            </w:r>
          </w:p>
        </w:tc>
        <w:tc>
          <w:tcPr>
            <w:tcW w:w="818" w:type="dxa"/>
          </w:tcPr>
          <w:p>
            <w:pPr>
              <w:pStyle w:val="TableParagraph"/>
              <w:spacing w:before="55"/>
              <w:ind w:right="59"/>
              <w:jc w:val="right"/>
              <w:rPr>
                <w:rFonts w:ascii="Arial MT"/>
                <w:sz w:val="18"/>
              </w:rPr>
            </w:pPr>
            <w:r>
              <w:rPr>
                <w:rFonts w:ascii="Arial MT"/>
                <w:spacing w:val="-5"/>
                <w:sz w:val="18"/>
              </w:rPr>
              <w:t>63</w:t>
            </w:r>
          </w:p>
        </w:tc>
      </w:tr>
      <w:tr>
        <w:trPr>
          <w:trHeight w:val="319" w:hRule="atLeast"/>
        </w:trPr>
        <w:tc>
          <w:tcPr>
            <w:tcW w:w="2508" w:type="dxa"/>
          </w:tcPr>
          <w:p>
            <w:pPr>
              <w:pStyle w:val="TableParagraph"/>
              <w:spacing w:before="55"/>
              <w:ind w:left="62"/>
              <w:rPr>
                <w:rFonts w:ascii="Arial MT"/>
                <w:sz w:val="18"/>
              </w:rPr>
            </w:pPr>
            <w:r>
              <w:rPr>
                <w:rFonts w:ascii="Arial MT"/>
                <w:sz w:val="18"/>
              </w:rPr>
              <w:t>total</w:t>
            </w:r>
            <w:r>
              <w:rPr>
                <w:rFonts w:ascii="Arial MT"/>
                <w:spacing w:val="-4"/>
                <w:sz w:val="18"/>
              </w:rPr>
              <w:t> </w:t>
            </w:r>
            <w:r>
              <w:rPr>
                <w:rFonts w:ascii="Arial MT"/>
                <w:sz w:val="18"/>
              </w:rPr>
              <w:t>reasoning</w:t>
            </w:r>
            <w:r>
              <w:rPr>
                <w:rFonts w:ascii="Arial MT"/>
                <w:spacing w:val="-5"/>
                <w:sz w:val="18"/>
              </w:rPr>
              <w:t> </w:t>
            </w:r>
            <w:r>
              <w:rPr>
                <w:rFonts w:ascii="Arial MT"/>
                <w:spacing w:val="-2"/>
                <w:sz w:val="18"/>
              </w:rPr>
              <w:t>ability</w:t>
            </w:r>
          </w:p>
        </w:tc>
        <w:tc>
          <w:tcPr>
            <w:tcW w:w="981" w:type="dxa"/>
          </w:tcPr>
          <w:p>
            <w:pPr>
              <w:pStyle w:val="TableParagraph"/>
              <w:spacing w:before="55"/>
              <w:ind w:right="101"/>
              <w:jc w:val="right"/>
              <w:rPr>
                <w:rFonts w:ascii="Arial MT"/>
                <w:sz w:val="18"/>
              </w:rPr>
            </w:pPr>
            <w:r>
              <w:rPr>
                <w:rFonts w:ascii="Arial MT"/>
                <w:spacing w:val="-4"/>
                <w:sz w:val="18"/>
              </w:rPr>
              <w:t>4.63</w:t>
            </w:r>
          </w:p>
        </w:tc>
        <w:tc>
          <w:tcPr>
            <w:tcW w:w="1570" w:type="dxa"/>
          </w:tcPr>
          <w:p>
            <w:pPr>
              <w:pStyle w:val="TableParagraph"/>
              <w:spacing w:before="55"/>
              <w:ind w:right="245"/>
              <w:jc w:val="right"/>
              <w:rPr>
                <w:rFonts w:ascii="Arial MT"/>
                <w:sz w:val="18"/>
              </w:rPr>
            </w:pPr>
            <w:r>
              <w:rPr>
                <w:rFonts w:ascii="Arial MT"/>
                <w:spacing w:val="-2"/>
                <w:sz w:val="18"/>
              </w:rPr>
              <w:t>1.569</w:t>
            </w:r>
          </w:p>
        </w:tc>
        <w:tc>
          <w:tcPr>
            <w:tcW w:w="818" w:type="dxa"/>
          </w:tcPr>
          <w:p>
            <w:pPr>
              <w:pStyle w:val="TableParagraph"/>
              <w:spacing w:before="55"/>
              <w:ind w:right="59"/>
              <w:jc w:val="right"/>
              <w:rPr>
                <w:rFonts w:ascii="Arial MT"/>
                <w:sz w:val="18"/>
              </w:rPr>
            </w:pPr>
            <w:r>
              <w:rPr>
                <w:rFonts w:ascii="Arial MT"/>
                <w:spacing w:val="-5"/>
                <w:sz w:val="18"/>
              </w:rPr>
              <w:t>63</w:t>
            </w:r>
          </w:p>
        </w:tc>
      </w:tr>
      <w:tr>
        <w:trPr>
          <w:trHeight w:val="268" w:hRule="atLeast"/>
        </w:trPr>
        <w:tc>
          <w:tcPr>
            <w:tcW w:w="2508" w:type="dxa"/>
            <w:tcBorders>
              <w:bottom w:val="double" w:sz="8" w:space="0" w:color="000000"/>
            </w:tcBorders>
          </w:tcPr>
          <w:p>
            <w:pPr>
              <w:pStyle w:val="TableParagraph"/>
              <w:spacing w:line="196" w:lineRule="exact" w:before="53"/>
              <w:ind w:left="62"/>
              <w:rPr>
                <w:rFonts w:ascii="Arial MT"/>
                <w:sz w:val="18"/>
              </w:rPr>
            </w:pPr>
            <w:r>
              <w:rPr>
                <w:rFonts w:ascii="Arial MT"/>
                <w:sz w:val="18"/>
              </w:rPr>
              <w:t>total</w:t>
            </w:r>
            <w:r>
              <w:rPr>
                <w:rFonts w:ascii="Arial MT"/>
                <w:spacing w:val="-2"/>
                <w:sz w:val="18"/>
              </w:rPr>
              <w:t> </w:t>
            </w:r>
            <w:r>
              <w:rPr>
                <w:rFonts w:ascii="Arial MT"/>
                <w:sz w:val="18"/>
              </w:rPr>
              <w:t>self</w:t>
            </w:r>
            <w:r>
              <w:rPr>
                <w:rFonts w:ascii="Arial MT"/>
                <w:spacing w:val="-3"/>
                <w:sz w:val="18"/>
              </w:rPr>
              <w:t> </w:t>
            </w:r>
            <w:r>
              <w:rPr>
                <w:rFonts w:ascii="Arial MT"/>
                <w:spacing w:val="-2"/>
                <w:sz w:val="18"/>
              </w:rPr>
              <w:t>efficacy</w:t>
            </w:r>
          </w:p>
        </w:tc>
        <w:tc>
          <w:tcPr>
            <w:tcW w:w="981" w:type="dxa"/>
            <w:tcBorders>
              <w:bottom w:val="double" w:sz="8" w:space="0" w:color="000000"/>
            </w:tcBorders>
          </w:tcPr>
          <w:p>
            <w:pPr>
              <w:pStyle w:val="TableParagraph"/>
              <w:spacing w:line="196" w:lineRule="exact" w:before="53"/>
              <w:ind w:right="101"/>
              <w:jc w:val="right"/>
              <w:rPr>
                <w:rFonts w:ascii="Arial MT"/>
                <w:sz w:val="18"/>
              </w:rPr>
            </w:pPr>
            <w:r>
              <w:rPr>
                <w:rFonts w:ascii="Arial MT"/>
                <w:spacing w:val="-2"/>
                <w:sz w:val="18"/>
              </w:rPr>
              <w:t>35.24</w:t>
            </w:r>
          </w:p>
        </w:tc>
        <w:tc>
          <w:tcPr>
            <w:tcW w:w="1570" w:type="dxa"/>
            <w:tcBorders>
              <w:bottom w:val="double" w:sz="8" w:space="0" w:color="000000"/>
            </w:tcBorders>
          </w:tcPr>
          <w:p>
            <w:pPr>
              <w:pStyle w:val="TableParagraph"/>
              <w:spacing w:line="196" w:lineRule="exact" w:before="53"/>
              <w:ind w:right="245"/>
              <w:jc w:val="right"/>
              <w:rPr>
                <w:rFonts w:ascii="Arial MT"/>
                <w:sz w:val="18"/>
              </w:rPr>
            </w:pPr>
            <w:r>
              <w:rPr>
                <w:rFonts w:ascii="Arial MT"/>
                <w:spacing w:val="-2"/>
                <w:sz w:val="18"/>
              </w:rPr>
              <w:t>9.816</w:t>
            </w:r>
          </w:p>
        </w:tc>
        <w:tc>
          <w:tcPr>
            <w:tcW w:w="818" w:type="dxa"/>
            <w:tcBorders>
              <w:bottom w:val="double" w:sz="8" w:space="0" w:color="000000"/>
            </w:tcBorders>
          </w:tcPr>
          <w:p>
            <w:pPr>
              <w:pStyle w:val="TableParagraph"/>
              <w:spacing w:line="196" w:lineRule="exact" w:before="53"/>
              <w:ind w:right="59"/>
              <w:jc w:val="right"/>
              <w:rPr>
                <w:rFonts w:ascii="Arial MT"/>
                <w:sz w:val="18"/>
              </w:rPr>
            </w:pPr>
            <w:r>
              <w:rPr>
                <w:rFonts w:ascii="Arial MT"/>
                <w:spacing w:val="-5"/>
                <w:sz w:val="18"/>
              </w:rPr>
              <w:t>63</w:t>
            </w:r>
          </w:p>
        </w:tc>
      </w:tr>
      <w:tr>
        <w:trPr>
          <w:trHeight w:val="315" w:hRule="atLeast"/>
        </w:trPr>
        <w:tc>
          <w:tcPr>
            <w:tcW w:w="2508" w:type="dxa"/>
            <w:tcBorders>
              <w:top w:val="double" w:sz="8" w:space="0" w:color="000000"/>
            </w:tcBorders>
          </w:tcPr>
          <w:p>
            <w:pPr>
              <w:pStyle w:val="TableParagraph"/>
              <w:spacing w:line="187" w:lineRule="exact" w:before="108"/>
              <w:ind w:left="62"/>
              <w:rPr>
                <w:rFonts w:ascii="Arial MT"/>
                <w:sz w:val="18"/>
              </w:rPr>
            </w:pPr>
            <w:r>
              <w:rPr>
                <w:rFonts w:ascii="Arial MT"/>
                <w:sz w:val="18"/>
              </w:rPr>
              <w:t>a.</w:t>
            </w:r>
            <w:r>
              <w:rPr>
                <w:rFonts w:ascii="Arial MT"/>
                <w:spacing w:val="-2"/>
                <w:sz w:val="18"/>
              </w:rPr>
              <w:t> </w:t>
            </w:r>
            <w:r>
              <w:rPr>
                <w:rFonts w:ascii="Arial MT"/>
                <w:sz w:val="18"/>
              </w:rPr>
              <w:t>sex</w:t>
            </w:r>
            <w:r>
              <w:rPr>
                <w:rFonts w:ascii="Arial MT"/>
                <w:spacing w:val="-3"/>
                <w:sz w:val="18"/>
              </w:rPr>
              <w:t> </w:t>
            </w:r>
            <w:r>
              <w:rPr>
                <w:rFonts w:ascii="Arial MT"/>
                <w:sz w:val="18"/>
              </w:rPr>
              <w:t>= 2</w:t>
            </w:r>
            <w:r>
              <w:rPr>
                <w:rFonts w:ascii="Arial MT"/>
                <w:spacing w:val="-3"/>
                <w:sz w:val="18"/>
              </w:rPr>
              <w:t> </w:t>
            </w:r>
            <w:r>
              <w:rPr>
                <w:rFonts w:ascii="Arial MT"/>
                <w:spacing w:val="-2"/>
                <w:sz w:val="18"/>
              </w:rPr>
              <w:t>female</w:t>
            </w:r>
          </w:p>
        </w:tc>
        <w:tc>
          <w:tcPr>
            <w:tcW w:w="981" w:type="dxa"/>
            <w:tcBorders>
              <w:top w:val="double" w:sz="8" w:space="0" w:color="000000"/>
            </w:tcBorders>
          </w:tcPr>
          <w:p>
            <w:pPr>
              <w:pStyle w:val="TableParagraph"/>
              <w:rPr>
                <w:sz w:val="18"/>
              </w:rPr>
            </w:pPr>
          </w:p>
        </w:tc>
        <w:tc>
          <w:tcPr>
            <w:tcW w:w="1570" w:type="dxa"/>
            <w:tcBorders>
              <w:top w:val="double" w:sz="8" w:space="0" w:color="000000"/>
            </w:tcBorders>
          </w:tcPr>
          <w:p>
            <w:pPr>
              <w:pStyle w:val="TableParagraph"/>
              <w:rPr>
                <w:sz w:val="18"/>
              </w:rPr>
            </w:pPr>
          </w:p>
        </w:tc>
        <w:tc>
          <w:tcPr>
            <w:tcW w:w="818" w:type="dxa"/>
            <w:tcBorders>
              <w:top w:val="double" w:sz="8" w:space="0" w:color="000000"/>
            </w:tcBorders>
          </w:tcPr>
          <w:p>
            <w:pPr>
              <w:pStyle w:val="TableParagraph"/>
              <w:rPr>
                <w:sz w:val="18"/>
              </w:rPr>
            </w:pPr>
          </w:p>
        </w:tc>
      </w:tr>
    </w:tbl>
    <w:p>
      <w:pPr>
        <w:pStyle w:val="BodyText"/>
        <w:ind w:left="0"/>
        <w:jc w:val="left"/>
        <w:rPr>
          <w:rFonts w:ascii="Arial"/>
          <w:b/>
          <w:sz w:val="20"/>
        </w:rPr>
      </w:pPr>
    </w:p>
    <w:p>
      <w:pPr>
        <w:pStyle w:val="BodyText"/>
        <w:spacing w:before="25"/>
        <w:ind w:left="0"/>
        <w:jc w:val="left"/>
        <w:rPr>
          <w:rFonts w:ascii="Arial"/>
          <w:b/>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0"/>
        <w:gridCol w:w="2258"/>
        <w:gridCol w:w="1003"/>
        <w:gridCol w:w="1315"/>
        <w:gridCol w:w="1320"/>
        <w:gridCol w:w="1158"/>
      </w:tblGrid>
      <w:tr>
        <w:trPr>
          <w:trHeight w:val="241" w:hRule="atLeast"/>
        </w:trPr>
        <w:tc>
          <w:tcPr>
            <w:tcW w:w="9034" w:type="dxa"/>
            <w:gridSpan w:val="6"/>
            <w:tcBorders>
              <w:bottom w:val="double" w:sz="8" w:space="0" w:color="000000"/>
            </w:tcBorders>
          </w:tcPr>
          <w:p>
            <w:pPr>
              <w:pStyle w:val="TableParagraph"/>
              <w:spacing w:line="191" w:lineRule="exact" w:before="31"/>
              <w:ind w:left="2"/>
              <w:jc w:val="center"/>
              <w:rPr>
                <w:rFonts w:ascii="Arial"/>
                <w:b/>
                <w:sz w:val="18"/>
              </w:rPr>
            </w:pPr>
            <w:r>
              <w:rPr>
                <w:rFonts w:ascii="Arial"/>
                <w:b/>
                <w:spacing w:val="-2"/>
                <w:sz w:val="18"/>
              </w:rPr>
              <w:t>Correlations</w:t>
            </w:r>
            <w:r>
              <w:rPr>
                <w:rFonts w:ascii="Arial"/>
                <w:b/>
                <w:spacing w:val="-2"/>
                <w:sz w:val="18"/>
                <w:vertAlign w:val="superscript"/>
              </w:rPr>
              <w:t>a</w:t>
            </w:r>
          </w:p>
        </w:tc>
      </w:tr>
      <w:tr>
        <w:trPr>
          <w:trHeight w:val="960" w:hRule="atLeast"/>
        </w:trPr>
        <w:tc>
          <w:tcPr>
            <w:tcW w:w="1980" w:type="dxa"/>
            <w:tcBorders>
              <w:top w:val="double" w:sz="8" w:space="0" w:color="000000"/>
              <w:bottom w:val="single" w:sz="18" w:space="0" w:color="000000"/>
            </w:tcBorders>
          </w:tcPr>
          <w:p>
            <w:pPr>
              <w:pStyle w:val="TableParagraph"/>
              <w:rPr>
                <w:sz w:val="18"/>
              </w:rPr>
            </w:pPr>
          </w:p>
        </w:tc>
        <w:tc>
          <w:tcPr>
            <w:tcW w:w="3261" w:type="dxa"/>
            <w:gridSpan w:val="2"/>
            <w:tcBorders>
              <w:top w:val="double" w:sz="8" w:space="0" w:color="000000"/>
              <w:bottom w:val="single" w:sz="18" w:space="0" w:color="000000"/>
            </w:tcBorders>
          </w:tcPr>
          <w:p>
            <w:pPr>
              <w:pStyle w:val="TableParagraph"/>
              <w:spacing w:before="93"/>
              <w:rPr>
                <w:rFonts w:ascii="Arial"/>
                <w:b/>
                <w:sz w:val="18"/>
              </w:rPr>
            </w:pPr>
          </w:p>
          <w:p>
            <w:pPr>
              <w:pStyle w:val="TableParagraph"/>
              <w:spacing w:line="320" w:lineRule="atLeast"/>
              <w:ind w:left="2476" w:right="91" w:hanging="471"/>
              <w:rPr>
                <w:rFonts w:ascii="Arial MT"/>
                <w:sz w:val="18"/>
              </w:rPr>
            </w:pPr>
            <w:r>
              <w:rPr>
                <w:rFonts w:ascii="Arial MT"/>
                <w:spacing w:val="-2"/>
                <w:sz w:val="18"/>
              </w:rPr>
              <w:t>ChemistryAte </w:t>
            </w:r>
            <w:r>
              <w:rPr>
                <w:rFonts w:ascii="Arial MT"/>
                <w:spacing w:val="-6"/>
                <w:sz w:val="18"/>
              </w:rPr>
              <w:t>st</w:t>
            </w:r>
          </w:p>
        </w:tc>
        <w:tc>
          <w:tcPr>
            <w:tcW w:w="1315" w:type="dxa"/>
            <w:tcBorders>
              <w:top w:val="double" w:sz="8" w:space="0" w:color="000000"/>
              <w:bottom w:val="single" w:sz="18" w:space="0" w:color="000000"/>
            </w:tcBorders>
          </w:tcPr>
          <w:p>
            <w:pPr>
              <w:pStyle w:val="TableParagraph"/>
              <w:spacing w:line="367" w:lineRule="auto" w:before="108"/>
              <w:ind w:left="179" w:right="349" w:firstLine="1"/>
              <w:jc w:val="center"/>
              <w:rPr>
                <w:rFonts w:ascii="Arial MT"/>
                <w:sz w:val="18"/>
              </w:rPr>
            </w:pPr>
            <w:r>
              <w:rPr>
                <w:rFonts w:ascii="Arial MT"/>
                <w:spacing w:val="-2"/>
                <w:sz w:val="18"/>
              </w:rPr>
              <w:t>total emotional</w:t>
            </w:r>
          </w:p>
          <w:p>
            <w:pPr>
              <w:pStyle w:val="TableParagraph"/>
              <w:spacing w:line="194" w:lineRule="exact" w:before="5"/>
              <w:ind w:right="165"/>
              <w:jc w:val="center"/>
              <w:rPr>
                <w:rFonts w:ascii="Arial MT"/>
                <w:sz w:val="18"/>
              </w:rPr>
            </w:pPr>
            <w:r>
              <w:rPr>
                <w:rFonts w:ascii="Arial MT"/>
                <w:spacing w:val="-2"/>
                <w:sz w:val="18"/>
              </w:rPr>
              <w:t>intelligence</w:t>
            </w:r>
          </w:p>
        </w:tc>
        <w:tc>
          <w:tcPr>
            <w:tcW w:w="1320" w:type="dxa"/>
            <w:tcBorders>
              <w:top w:val="double" w:sz="8" w:space="0" w:color="000000"/>
              <w:bottom w:val="single" w:sz="18" w:space="0" w:color="000000"/>
            </w:tcBorders>
          </w:tcPr>
          <w:p>
            <w:pPr>
              <w:pStyle w:val="TableParagraph"/>
              <w:spacing w:line="367" w:lineRule="auto" w:before="108"/>
              <w:ind w:left="147" w:firstLine="226"/>
              <w:rPr>
                <w:rFonts w:ascii="Arial MT"/>
                <w:sz w:val="18"/>
              </w:rPr>
            </w:pPr>
            <w:r>
              <w:rPr>
                <w:rFonts w:ascii="Arial MT"/>
                <w:spacing w:val="-2"/>
                <w:sz w:val="18"/>
              </w:rPr>
              <w:t>total reasoning</w:t>
            </w:r>
          </w:p>
          <w:p>
            <w:pPr>
              <w:pStyle w:val="TableParagraph"/>
              <w:spacing w:line="194" w:lineRule="exact" w:before="5"/>
              <w:ind w:left="315"/>
              <w:rPr>
                <w:rFonts w:ascii="Arial MT"/>
                <w:sz w:val="18"/>
              </w:rPr>
            </w:pPr>
            <w:r>
              <w:rPr>
                <w:rFonts w:ascii="Arial MT"/>
                <w:spacing w:val="-2"/>
                <w:sz w:val="18"/>
              </w:rPr>
              <w:t>ability</w:t>
            </w:r>
          </w:p>
        </w:tc>
        <w:tc>
          <w:tcPr>
            <w:tcW w:w="1158" w:type="dxa"/>
            <w:tcBorders>
              <w:top w:val="double" w:sz="8" w:space="0" w:color="000000"/>
              <w:bottom w:val="single" w:sz="18" w:space="0" w:color="000000"/>
            </w:tcBorders>
          </w:tcPr>
          <w:p>
            <w:pPr>
              <w:pStyle w:val="TableParagraph"/>
              <w:spacing w:before="93"/>
              <w:rPr>
                <w:rFonts w:ascii="Arial"/>
                <w:b/>
                <w:sz w:val="18"/>
              </w:rPr>
            </w:pPr>
          </w:p>
          <w:p>
            <w:pPr>
              <w:pStyle w:val="TableParagraph"/>
              <w:spacing w:line="320" w:lineRule="atLeast"/>
              <w:ind w:left="205" w:right="304" w:hanging="29"/>
              <w:rPr>
                <w:rFonts w:ascii="Arial MT"/>
                <w:sz w:val="18"/>
              </w:rPr>
            </w:pPr>
            <w:r>
              <w:rPr>
                <w:rFonts w:ascii="Arial MT"/>
                <w:sz w:val="18"/>
              </w:rPr>
              <w:t>total</w:t>
            </w:r>
            <w:r>
              <w:rPr>
                <w:rFonts w:ascii="Arial MT"/>
                <w:spacing w:val="-13"/>
                <w:sz w:val="18"/>
              </w:rPr>
              <w:t> </w:t>
            </w:r>
            <w:r>
              <w:rPr>
                <w:rFonts w:ascii="Arial MT"/>
                <w:sz w:val="18"/>
              </w:rPr>
              <w:t>self </w:t>
            </w:r>
            <w:r>
              <w:rPr>
                <w:rFonts w:ascii="Arial MT"/>
                <w:spacing w:val="-2"/>
                <w:sz w:val="18"/>
              </w:rPr>
              <w:t>efficacy</w:t>
            </w:r>
          </w:p>
        </w:tc>
      </w:tr>
      <w:tr>
        <w:trPr>
          <w:trHeight w:val="387" w:hRule="atLeast"/>
        </w:trPr>
        <w:tc>
          <w:tcPr>
            <w:tcW w:w="1980" w:type="dxa"/>
            <w:tcBorders>
              <w:top w:val="single" w:sz="18" w:space="0" w:color="000000"/>
            </w:tcBorders>
          </w:tcPr>
          <w:p>
            <w:pPr>
              <w:pStyle w:val="TableParagraph"/>
              <w:spacing w:before="101"/>
              <w:ind w:left="62"/>
              <w:rPr>
                <w:rFonts w:ascii="Arial MT"/>
                <w:sz w:val="18"/>
              </w:rPr>
            </w:pPr>
            <w:r>
              <w:rPr>
                <w:rFonts w:ascii="Arial MT"/>
                <w:spacing w:val="-2"/>
                <w:sz w:val="18"/>
              </w:rPr>
              <w:t>ChemistryAtest</w:t>
            </w:r>
          </w:p>
        </w:tc>
        <w:tc>
          <w:tcPr>
            <w:tcW w:w="2258" w:type="dxa"/>
            <w:tcBorders>
              <w:top w:val="single" w:sz="18" w:space="0" w:color="000000"/>
            </w:tcBorders>
          </w:tcPr>
          <w:p>
            <w:pPr>
              <w:pStyle w:val="TableParagraph"/>
              <w:spacing w:before="101"/>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03" w:type="dxa"/>
            <w:tcBorders>
              <w:top w:val="single" w:sz="18" w:space="0" w:color="000000"/>
            </w:tcBorders>
          </w:tcPr>
          <w:p>
            <w:pPr>
              <w:pStyle w:val="TableParagraph"/>
              <w:spacing w:before="101"/>
              <w:ind w:right="129"/>
              <w:jc w:val="right"/>
              <w:rPr>
                <w:rFonts w:ascii="Arial MT"/>
                <w:sz w:val="18"/>
              </w:rPr>
            </w:pPr>
            <w:r>
              <w:rPr>
                <w:rFonts w:ascii="Arial MT"/>
                <w:spacing w:val="-10"/>
                <w:sz w:val="18"/>
              </w:rPr>
              <w:t>1</w:t>
            </w:r>
          </w:p>
        </w:tc>
        <w:tc>
          <w:tcPr>
            <w:tcW w:w="1315" w:type="dxa"/>
            <w:tcBorders>
              <w:top w:val="single" w:sz="18" w:space="0" w:color="000000"/>
            </w:tcBorders>
          </w:tcPr>
          <w:p>
            <w:pPr>
              <w:pStyle w:val="TableParagraph"/>
              <w:spacing w:before="101"/>
              <w:ind w:right="159"/>
              <w:jc w:val="right"/>
              <w:rPr>
                <w:rFonts w:ascii="Arial MT"/>
                <w:sz w:val="18"/>
              </w:rPr>
            </w:pPr>
            <w:r>
              <w:rPr>
                <w:rFonts w:ascii="Arial MT"/>
                <w:spacing w:val="-2"/>
                <w:sz w:val="18"/>
              </w:rPr>
              <w:t>.810</w:t>
            </w:r>
            <w:r>
              <w:rPr>
                <w:rFonts w:ascii="Arial MT"/>
                <w:spacing w:val="-2"/>
                <w:sz w:val="18"/>
                <w:vertAlign w:val="superscript"/>
              </w:rPr>
              <w:t>**</w:t>
            </w:r>
          </w:p>
        </w:tc>
        <w:tc>
          <w:tcPr>
            <w:tcW w:w="1320" w:type="dxa"/>
            <w:tcBorders>
              <w:top w:val="single" w:sz="18" w:space="0" w:color="000000"/>
            </w:tcBorders>
          </w:tcPr>
          <w:p>
            <w:pPr>
              <w:pStyle w:val="TableParagraph"/>
              <w:spacing w:before="101"/>
              <w:ind w:right="191"/>
              <w:jc w:val="right"/>
              <w:rPr>
                <w:rFonts w:ascii="Arial MT"/>
                <w:sz w:val="18"/>
              </w:rPr>
            </w:pPr>
            <w:r>
              <w:rPr>
                <w:rFonts w:ascii="Arial MT"/>
                <w:spacing w:val="-2"/>
                <w:sz w:val="18"/>
              </w:rPr>
              <w:t>.796</w:t>
            </w:r>
            <w:r>
              <w:rPr>
                <w:rFonts w:ascii="Arial MT"/>
                <w:spacing w:val="-2"/>
                <w:sz w:val="18"/>
                <w:vertAlign w:val="superscript"/>
              </w:rPr>
              <w:t>**</w:t>
            </w:r>
          </w:p>
        </w:tc>
        <w:tc>
          <w:tcPr>
            <w:tcW w:w="1158" w:type="dxa"/>
            <w:tcBorders>
              <w:top w:val="single" w:sz="18" w:space="0" w:color="000000"/>
            </w:tcBorders>
          </w:tcPr>
          <w:p>
            <w:pPr>
              <w:pStyle w:val="TableParagraph"/>
              <w:spacing w:before="101"/>
              <w:ind w:right="62"/>
              <w:jc w:val="right"/>
              <w:rPr>
                <w:rFonts w:ascii="Arial MT"/>
                <w:sz w:val="18"/>
              </w:rPr>
            </w:pPr>
            <w:r>
              <w:rPr>
                <w:rFonts w:ascii="Arial MT"/>
                <w:spacing w:val="-2"/>
                <w:sz w:val="18"/>
              </w:rPr>
              <w:t>.899</w:t>
            </w:r>
            <w:r>
              <w:rPr>
                <w:rFonts w:ascii="Arial MT"/>
                <w:spacing w:val="-2"/>
                <w:sz w:val="18"/>
                <w:vertAlign w:val="superscript"/>
              </w:rPr>
              <w:t>**</w:t>
            </w:r>
          </w:p>
        </w:tc>
      </w:tr>
      <w:tr>
        <w:trPr>
          <w:trHeight w:val="360" w:hRule="atLeast"/>
        </w:trPr>
        <w:tc>
          <w:tcPr>
            <w:tcW w:w="1980" w:type="dxa"/>
          </w:tcPr>
          <w:p>
            <w:pPr>
              <w:pStyle w:val="TableParagraph"/>
              <w:rPr>
                <w:sz w:val="18"/>
              </w:rPr>
            </w:pPr>
          </w:p>
        </w:tc>
        <w:tc>
          <w:tcPr>
            <w:tcW w:w="2258" w:type="dxa"/>
          </w:tcPr>
          <w:p>
            <w:pPr>
              <w:pStyle w:val="TableParagraph"/>
              <w:spacing w:before="74"/>
              <w:ind w:left="224"/>
              <w:rPr>
                <w:rFonts w:ascii="Arial MT"/>
                <w:sz w:val="18"/>
              </w:rPr>
            </w:pPr>
            <w:r>
              <w:rPr>
                <w:rFonts w:ascii="Arial MT"/>
                <w:sz w:val="18"/>
              </w:rPr>
              <w:t>Sig.</w:t>
            </w:r>
            <w:r>
              <w:rPr>
                <w:rFonts w:ascii="Arial MT"/>
                <w:spacing w:val="-5"/>
                <w:sz w:val="18"/>
              </w:rPr>
              <w:t> </w:t>
            </w:r>
            <w:r>
              <w:rPr>
                <w:rFonts w:ascii="Arial MT"/>
                <w:sz w:val="18"/>
              </w:rPr>
              <w:t>(2-</w:t>
            </w:r>
            <w:r>
              <w:rPr>
                <w:rFonts w:ascii="Arial MT"/>
                <w:spacing w:val="-2"/>
                <w:sz w:val="18"/>
              </w:rPr>
              <w:t>tailed)</w:t>
            </w:r>
          </w:p>
        </w:tc>
        <w:tc>
          <w:tcPr>
            <w:tcW w:w="1003" w:type="dxa"/>
          </w:tcPr>
          <w:p>
            <w:pPr>
              <w:pStyle w:val="TableParagraph"/>
              <w:rPr>
                <w:sz w:val="18"/>
              </w:rPr>
            </w:pPr>
          </w:p>
        </w:tc>
        <w:tc>
          <w:tcPr>
            <w:tcW w:w="1315" w:type="dxa"/>
          </w:tcPr>
          <w:p>
            <w:pPr>
              <w:pStyle w:val="TableParagraph"/>
              <w:spacing w:before="74"/>
              <w:ind w:right="152"/>
              <w:jc w:val="right"/>
              <w:rPr>
                <w:rFonts w:ascii="Arial MT"/>
                <w:sz w:val="18"/>
              </w:rPr>
            </w:pPr>
            <w:r>
              <w:rPr>
                <w:rFonts w:ascii="Arial MT"/>
                <w:spacing w:val="-4"/>
                <w:sz w:val="18"/>
              </w:rPr>
              <w:t>.000</w:t>
            </w:r>
          </w:p>
        </w:tc>
        <w:tc>
          <w:tcPr>
            <w:tcW w:w="1320" w:type="dxa"/>
          </w:tcPr>
          <w:p>
            <w:pPr>
              <w:pStyle w:val="TableParagraph"/>
              <w:spacing w:before="74"/>
              <w:ind w:right="185"/>
              <w:jc w:val="right"/>
              <w:rPr>
                <w:rFonts w:ascii="Arial MT"/>
                <w:sz w:val="18"/>
              </w:rPr>
            </w:pPr>
            <w:r>
              <w:rPr>
                <w:rFonts w:ascii="Arial MT"/>
                <w:spacing w:val="-4"/>
                <w:sz w:val="18"/>
              </w:rPr>
              <w:t>.000</w:t>
            </w:r>
          </w:p>
        </w:tc>
        <w:tc>
          <w:tcPr>
            <w:tcW w:w="1158" w:type="dxa"/>
          </w:tcPr>
          <w:p>
            <w:pPr>
              <w:pStyle w:val="TableParagraph"/>
              <w:spacing w:before="74"/>
              <w:ind w:right="56"/>
              <w:jc w:val="right"/>
              <w:rPr>
                <w:rFonts w:ascii="Arial MT"/>
                <w:sz w:val="18"/>
              </w:rPr>
            </w:pPr>
            <w:r>
              <w:rPr>
                <w:rFonts w:ascii="Arial MT"/>
                <w:spacing w:val="-4"/>
                <w:sz w:val="18"/>
              </w:rPr>
              <w:t>.000</w:t>
            </w:r>
          </w:p>
        </w:tc>
      </w:tr>
      <w:tr>
        <w:trPr>
          <w:trHeight w:val="291" w:hRule="atLeast"/>
        </w:trPr>
        <w:tc>
          <w:tcPr>
            <w:tcW w:w="1980" w:type="dxa"/>
            <w:tcBorders>
              <w:bottom w:val="single" w:sz="8" w:space="0" w:color="000000"/>
            </w:tcBorders>
          </w:tcPr>
          <w:p>
            <w:pPr>
              <w:pStyle w:val="TableParagraph"/>
              <w:rPr>
                <w:sz w:val="18"/>
              </w:rPr>
            </w:pPr>
          </w:p>
        </w:tc>
        <w:tc>
          <w:tcPr>
            <w:tcW w:w="2258" w:type="dxa"/>
            <w:tcBorders>
              <w:bottom w:val="single" w:sz="8" w:space="0" w:color="000000"/>
            </w:tcBorders>
          </w:tcPr>
          <w:p>
            <w:pPr>
              <w:pStyle w:val="TableParagraph"/>
              <w:spacing w:line="197" w:lineRule="exact" w:before="74"/>
              <w:ind w:left="224"/>
              <w:rPr>
                <w:rFonts w:ascii="Arial MT"/>
                <w:sz w:val="18"/>
              </w:rPr>
            </w:pPr>
            <w:r>
              <w:rPr>
                <w:rFonts w:ascii="Arial MT"/>
                <w:spacing w:val="-10"/>
                <w:sz w:val="18"/>
              </w:rPr>
              <w:t>N</w:t>
            </w:r>
          </w:p>
        </w:tc>
        <w:tc>
          <w:tcPr>
            <w:tcW w:w="1003" w:type="dxa"/>
            <w:tcBorders>
              <w:bottom w:val="single" w:sz="8" w:space="0" w:color="000000"/>
            </w:tcBorders>
          </w:tcPr>
          <w:p>
            <w:pPr>
              <w:pStyle w:val="TableParagraph"/>
              <w:spacing w:line="197" w:lineRule="exact" w:before="74"/>
              <w:ind w:right="131"/>
              <w:jc w:val="right"/>
              <w:rPr>
                <w:rFonts w:ascii="Arial MT"/>
                <w:sz w:val="18"/>
              </w:rPr>
            </w:pPr>
            <w:r>
              <w:rPr>
                <w:rFonts w:ascii="Arial MT"/>
                <w:spacing w:val="-5"/>
                <w:sz w:val="18"/>
              </w:rPr>
              <w:t>63</w:t>
            </w:r>
          </w:p>
        </w:tc>
        <w:tc>
          <w:tcPr>
            <w:tcW w:w="1315" w:type="dxa"/>
            <w:tcBorders>
              <w:bottom w:val="single" w:sz="8" w:space="0" w:color="000000"/>
            </w:tcBorders>
          </w:tcPr>
          <w:p>
            <w:pPr>
              <w:pStyle w:val="TableParagraph"/>
              <w:spacing w:line="197" w:lineRule="exact" w:before="74"/>
              <w:ind w:right="159"/>
              <w:jc w:val="right"/>
              <w:rPr>
                <w:rFonts w:ascii="Arial MT"/>
                <w:sz w:val="18"/>
              </w:rPr>
            </w:pPr>
            <w:r>
              <w:rPr>
                <w:rFonts w:ascii="Arial MT"/>
                <w:spacing w:val="-5"/>
                <w:sz w:val="18"/>
              </w:rPr>
              <w:t>63</w:t>
            </w:r>
          </w:p>
        </w:tc>
        <w:tc>
          <w:tcPr>
            <w:tcW w:w="1320" w:type="dxa"/>
            <w:tcBorders>
              <w:bottom w:val="single" w:sz="8" w:space="0" w:color="000000"/>
            </w:tcBorders>
          </w:tcPr>
          <w:p>
            <w:pPr>
              <w:pStyle w:val="TableParagraph"/>
              <w:spacing w:line="197" w:lineRule="exact" w:before="74"/>
              <w:ind w:right="191"/>
              <w:jc w:val="right"/>
              <w:rPr>
                <w:rFonts w:ascii="Arial MT"/>
                <w:sz w:val="18"/>
              </w:rPr>
            </w:pPr>
            <w:r>
              <w:rPr>
                <w:rFonts w:ascii="Arial MT"/>
                <w:spacing w:val="-5"/>
                <w:sz w:val="18"/>
              </w:rPr>
              <w:t>63</w:t>
            </w:r>
          </w:p>
        </w:tc>
        <w:tc>
          <w:tcPr>
            <w:tcW w:w="1158" w:type="dxa"/>
            <w:tcBorders>
              <w:bottom w:val="single" w:sz="8" w:space="0" w:color="000000"/>
            </w:tcBorders>
          </w:tcPr>
          <w:p>
            <w:pPr>
              <w:pStyle w:val="TableParagraph"/>
              <w:spacing w:line="197" w:lineRule="exact" w:before="74"/>
              <w:ind w:right="62"/>
              <w:jc w:val="right"/>
              <w:rPr>
                <w:rFonts w:ascii="Arial MT"/>
                <w:sz w:val="18"/>
              </w:rPr>
            </w:pPr>
            <w:r>
              <w:rPr>
                <w:rFonts w:ascii="Arial MT"/>
                <w:spacing w:val="-5"/>
                <w:sz w:val="18"/>
              </w:rPr>
              <w:t>63</w:t>
            </w:r>
          </w:p>
        </w:tc>
      </w:tr>
      <w:tr>
        <w:trPr>
          <w:trHeight w:val="380" w:hRule="atLeast"/>
        </w:trPr>
        <w:tc>
          <w:tcPr>
            <w:tcW w:w="1980" w:type="dxa"/>
            <w:vMerge w:val="restart"/>
            <w:tcBorders>
              <w:top w:val="single" w:sz="8" w:space="0" w:color="000000"/>
            </w:tcBorders>
          </w:tcPr>
          <w:p>
            <w:pPr>
              <w:pStyle w:val="TableParagraph"/>
              <w:spacing w:line="322" w:lineRule="exact" w:before="15"/>
              <w:ind w:left="62" w:right="740"/>
              <w:rPr>
                <w:rFonts w:ascii="Arial MT"/>
                <w:sz w:val="18"/>
              </w:rPr>
            </w:pPr>
            <w:r>
              <w:rPr>
                <w:rFonts w:ascii="Arial MT"/>
                <w:sz w:val="18"/>
              </w:rPr>
              <w:t>total</w:t>
            </w:r>
            <w:r>
              <w:rPr>
                <w:rFonts w:ascii="Arial MT"/>
                <w:spacing w:val="-13"/>
                <w:sz w:val="18"/>
              </w:rPr>
              <w:t> </w:t>
            </w:r>
            <w:r>
              <w:rPr>
                <w:rFonts w:ascii="Arial MT"/>
                <w:sz w:val="18"/>
              </w:rPr>
              <w:t>emotional </w:t>
            </w:r>
            <w:r>
              <w:rPr>
                <w:rFonts w:ascii="Arial MT"/>
                <w:spacing w:val="-2"/>
                <w:sz w:val="18"/>
              </w:rPr>
              <w:t>intelligence</w:t>
            </w:r>
          </w:p>
        </w:tc>
        <w:tc>
          <w:tcPr>
            <w:tcW w:w="2258" w:type="dxa"/>
            <w:tcBorders>
              <w:top w:val="single" w:sz="8" w:space="0" w:color="000000"/>
            </w:tcBorders>
          </w:tcPr>
          <w:p>
            <w:pPr>
              <w:pStyle w:val="TableParagraph"/>
              <w:spacing w:before="104"/>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03" w:type="dxa"/>
            <w:tcBorders>
              <w:top w:val="single" w:sz="8" w:space="0" w:color="000000"/>
            </w:tcBorders>
          </w:tcPr>
          <w:p>
            <w:pPr>
              <w:pStyle w:val="TableParagraph"/>
              <w:spacing w:before="104"/>
              <w:ind w:right="131"/>
              <w:jc w:val="right"/>
              <w:rPr>
                <w:rFonts w:ascii="Arial MT"/>
                <w:sz w:val="18"/>
              </w:rPr>
            </w:pPr>
            <w:r>
              <w:rPr>
                <w:rFonts w:ascii="Arial MT"/>
                <w:spacing w:val="-2"/>
                <w:sz w:val="18"/>
              </w:rPr>
              <w:t>.810</w:t>
            </w:r>
            <w:r>
              <w:rPr>
                <w:rFonts w:ascii="Arial MT"/>
                <w:spacing w:val="-2"/>
                <w:sz w:val="18"/>
                <w:vertAlign w:val="superscript"/>
              </w:rPr>
              <w:t>**</w:t>
            </w:r>
          </w:p>
        </w:tc>
        <w:tc>
          <w:tcPr>
            <w:tcW w:w="1315" w:type="dxa"/>
            <w:tcBorders>
              <w:top w:val="single" w:sz="8" w:space="0" w:color="000000"/>
            </w:tcBorders>
          </w:tcPr>
          <w:p>
            <w:pPr>
              <w:pStyle w:val="TableParagraph"/>
              <w:spacing w:before="104"/>
              <w:ind w:right="157"/>
              <w:jc w:val="right"/>
              <w:rPr>
                <w:rFonts w:ascii="Arial MT"/>
                <w:sz w:val="18"/>
              </w:rPr>
            </w:pPr>
            <w:r>
              <w:rPr>
                <w:rFonts w:ascii="Arial MT"/>
                <w:spacing w:val="-10"/>
                <w:sz w:val="18"/>
              </w:rPr>
              <w:t>1</w:t>
            </w:r>
          </w:p>
        </w:tc>
        <w:tc>
          <w:tcPr>
            <w:tcW w:w="1320" w:type="dxa"/>
            <w:tcBorders>
              <w:top w:val="single" w:sz="8" w:space="0" w:color="000000"/>
            </w:tcBorders>
          </w:tcPr>
          <w:p>
            <w:pPr>
              <w:pStyle w:val="TableParagraph"/>
              <w:spacing w:before="104"/>
              <w:ind w:right="191"/>
              <w:jc w:val="right"/>
              <w:rPr>
                <w:rFonts w:ascii="Arial MT"/>
                <w:sz w:val="18"/>
              </w:rPr>
            </w:pPr>
            <w:r>
              <w:rPr>
                <w:rFonts w:ascii="Arial MT"/>
                <w:spacing w:val="-2"/>
                <w:sz w:val="18"/>
              </w:rPr>
              <w:t>.693</w:t>
            </w:r>
            <w:r>
              <w:rPr>
                <w:rFonts w:ascii="Arial MT"/>
                <w:spacing w:val="-2"/>
                <w:sz w:val="18"/>
                <w:vertAlign w:val="superscript"/>
              </w:rPr>
              <w:t>**</w:t>
            </w:r>
          </w:p>
        </w:tc>
        <w:tc>
          <w:tcPr>
            <w:tcW w:w="1158" w:type="dxa"/>
            <w:tcBorders>
              <w:top w:val="single" w:sz="8" w:space="0" w:color="000000"/>
            </w:tcBorders>
          </w:tcPr>
          <w:p>
            <w:pPr>
              <w:pStyle w:val="TableParagraph"/>
              <w:spacing w:before="104"/>
              <w:ind w:right="62"/>
              <w:jc w:val="right"/>
              <w:rPr>
                <w:rFonts w:ascii="Arial MT"/>
                <w:sz w:val="18"/>
              </w:rPr>
            </w:pPr>
            <w:r>
              <w:rPr>
                <w:rFonts w:ascii="Arial MT"/>
                <w:spacing w:val="-2"/>
                <w:sz w:val="18"/>
              </w:rPr>
              <w:t>.807</w:t>
            </w:r>
            <w:r>
              <w:rPr>
                <w:rFonts w:ascii="Arial MT"/>
                <w:spacing w:val="-2"/>
                <w:sz w:val="18"/>
                <w:vertAlign w:val="superscript"/>
              </w:rPr>
              <w:t>**</w:t>
            </w:r>
          </w:p>
        </w:tc>
      </w:tr>
      <w:tr>
        <w:trPr>
          <w:trHeight w:val="340" w:hRule="atLeast"/>
        </w:trPr>
        <w:tc>
          <w:tcPr>
            <w:tcW w:w="1980" w:type="dxa"/>
            <w:vMerge/>
            <w:tcBorders>
              <w:top w:val="nil"/>
            </w:tcBorders>
          </w:tcPr>
          <w:p>
            <w:pPr>
              <w:rPr>
                <w:sz w:val="2"/>
                <w:szCs w:val="2"/>
              </w:rPr>
            </w:pPr>
          </w:p>
        </w:tc>
        <w:tc>
          <w:tcPr>
            <w:tcW w:w="2258" w:type="dxa"/>
          </w:tcPr>
          <w:p>
            <w:pPr>
              <w:pStyle w:val="TableParagraph"/>
              <w:spacing w:before="64"/>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03" w:type="dxa"/>
          </w:tcPr>
          <w:p>
            <w:pPr>
              <w:pStyle w:val="TableParagraph"/>
              <w:spacing w:before="64"/>
              <w:ind w:right="124"/>
              <w:jc w:val="right"/>
              <w:rPr>
                <w:rFonts w:ascii="Arial MT"/>
                <w:sz w:val="18"/>
              </w:rPr>
            </w:pPr>
            <w:r>
              <w:rPr>
                <w:rFonts w:ascii="Arial MT"/>
                <w:spacing w:val="-4"/>
                <w:sz w:val="18"/>
              </w:rPr>
              <w:t>.000</w:t>
            </w:r>
          </w:p>
        </w:tc>
        <w:tc>
          <w:tcPr>
            <w:tcW w:w="1315" w:type="dxa"/>
          </w:tcPr>
          <w:p>
            <w:pPr>
              <w:pStyle w:val="TableParagraph"/>
              <w:rPr>
                <w:sz w:val="18"/>
              </w:rPr>
            </w:pPr>
          </w:p>
        </w:tc>
        <w:tc>
          <w:tcPr>
            <w:tcW w:w="1320" w:type="dxa"/>
          </w:tcPr>
          <w:p>
            <w:pPr>
              <w:pStyle w:val="TableParagraph"/>
              <w:spacing w:before="64"/>
              <w:ind w:right="185"/>
              <w:jc w:val="right"/>
              <w:rPr>
                <w:rFonts w:ascii="Arial MT"/>
                <w:sz w:val="18"/>
              </w:rPr>
            </w:pPr>
            <w:r>
              <w:rPr>
                <w:rFonts w:ascii="Arial MT"/>
                <w:spacing w:val="-4"/>
                <w:sz w:val="18"/>
              </w:rPr>
              <w:t>.000</w:t>
            </w:r>
          </w:p>
        </w:tc>
        <w:tc>
          <w:tcPr>
            <w:tcW w:w="1158" w:type="dxa"/>
          </w:tcPr>
          <w:p>
            <w:pPr>
              <w:pStyle w:val="TableParagraph"/>
              <w:spacing w:before="64"/>
              <w:ind w:right="56"/>
              <w:jc w:val="right"/>
              <w:rPr>
                <w:rFonts w:ascii="Arial MT"/>
                <w:sz w:val="18"/>
              </w:rPr>
            </w:pPr>
            <w:r>
              <w:rPr>
                <w:rFonts w:ascii="Arial MT"/>
                <w:spacing w:val="-4"/>
                <w:sz w:val="18"/>
              </w:rPr>
              <w:t>.000</w:t>
            </w:r>
          </w:p>
        </w:tc>
      </w:tr>
      <w:tr>
        <w:trPr>
          <w:trHeight w:val="276" w:hRule="atLeast"/>
        </w:trPr>
        <w:tc>
          <w:tcPr>
            <w:tcW w:w="1980" w:type="dxa"/>
            <w:tcBorders>
              <w:bottom w:val="single" w:sz="8" w:space="0" w:color="000000"/>
            </w:tcBorders>
          </w:tcPr>
          <w:p>
            <w:pPr>
              <w:pStyle w:val="TableParagraph"/>
              <w:rPr>
                <w:sz w:val="18"/>
              </w:rPr>
            </w:pPr>
          </w:p>
        </w:tc>
        <w:tc>
          <w:tcPr>
            <w:tcW w:w="2258" w:type="dxa"/>
            <w:tcBorders>
              <w:bottom w:val="single" w:sz="8" w:space="0" w:color="000000"/>
            </w:tcBorders>
          </w:tcPr>
          <w:p>
            <w:pPr>
              <w:pStyle w:val="TableParagraph"/>
              <w:spacing w:line="192" w:lineRule="exact" w:before="64"/>
              <w:ind w:left="224"/>
              <w:rPr>
                <w:rFonts w:ascii="Arial MT"/>
                <w:sz w:val="18"/>
              </w:rPr>
            </w:pPr>
            <w:r>
              <w:rPr>
                <w:rFonts w:ascii="Arial MT"/>
                <w:spacing w:val="-10"/>
                <w:sz w:val="18"/>
              </w:rPr>
              <w:t>N</w:t>
            </w:r>
          </w:p>
        </w:tc>
        <w:tc>
          <w:tcPr>
            <w:tcW w:w="1003" w:type="dxa"/>
            <w:tcBorders>
              <w:bottom w:val="single" w:sz="8" w:space="0" w:color="000000"/>
            </w:tcBorders>
          </w:tcPr>
          <w:p>
            <w:pPr>
              <w:pStyle w:val="TableParagraph"/>
              <w:spacing w:line="192" w:lineRule="exact" w:before="64"/>
              <w:ind w:right="131"/>
              <w:jc w:val="right"/>
              <w:rPr>
                <w:rFonts w:ascii="Arial MT"/>
                <w:sz w:val="18"/>
              </w:rPr>
            </w:pPr>
            <w:r>
              <w:rPr>
                <w:rFonts w:ascii="Arial MT"/>
                <w:spacing w:val="-5"/>
                <w:sz w:val="18"/>
              </w:rPr>
              <w:t>63</w:t>
            </w:r>
          </w:p>
        </w:tc>
        <w:tc>
          <w:tcPr>
            <w:tcW w:w="1315" w:type="dxa"/>
            <w:tcBorders>
              <w:bottom w:val="single" w:sz="8" w:space="0" w:color="000000"/>
            </w:tcBorders>
          </w:tcPr>
          <w:p>
            <w:pPr>
              <w:pStyle w:val="TableParagraph"/>
              <w:spacing w:line="192" w:lineRule="exact" w:before="64"/>
              <w:ind w:right="159"/>
              <w:jc w:val="right"/>
              <w:rPr>
                <w:rFonts w:ascii="Arial MT"/>
                <w:sz w:val="18"/>
              </w:rPr>
            </w:pPr>
            <w:r>
              <w:rPr>
                <w:rFonts w:ascii="Arial MT"/>
                <w:spacing w:val="-5"/>
                <w:sz w:val="18"/>
              </w:rPr>
              <w:t>63</w:t>
            </w:r>
          </w:p>
        </w:tc>
        <w:tc>
          <w:tcPr>
            <w:tcW w:w="1320" w:type="dxa"/>
            <w:tcBorders>
              <w:bottom w:val="single" w:sz="8" w:space="0" w:color="000000"/>
            </w:tcBorders>
          </w:tcPr>
          <w:p>
            <w:pPr>
              <w:pStyle w:val="TableParagraph"/>
              <w:spacing w:line="192" w:lineRule="exact" w:before="64"/>
              <w:ind w:right="191"/>
              <w:jc w:val="right"/>
              <w:rPr>
                <w:rFonts w:ascii="Arial MT"/>
                <w:sz w:val="18"/>
              </w:rPr>
            </w:pPr>
            <w:r>
              <w:rPr>
                <w:rFonts w:ascii="Arial MT"/>
                <w:spacing w:val="-5"/>
                <w:sz w:val="18"/>
              </w:rPr>
              <w:t>63</w:t>
            </w:r>
          </w:p>
        </w:tc>
        <w:tc>
          <w:tcPr>
            <w:tcW w:w="1158" w:type="dxa"/>
            <w:tcBorders>
              <w:bottom w:val="single" w:sz="8" w:space="0" w:color="000000"/>
            </w:tcBorders>
          </w:tcPr>
          <w:p>
            <w:pPr>
              <w:pStyle w:val="TableParagraph"/>
              <w:spacing w:line="192" w:lineRule="exact" w:before="64"/>
              <w:ind w:right="62"/>
              <w:jc w:val="right"/>
              <w:rPr>
                <w:rFonts w:ascii="Arial MT"/>
                <w:sz w:val="18"/>
              </w:rPr>
            </w:pPr>
            <w:r>
              <w:rPr>
                <w:rFonts w:ascii="Arial MT"/>
                <w:spacing w:val="-5"/>
                <w:sz w:val="18"/>
              </w:rPr>
              <w:t>63</w:t>
            </w:r>
          </w:p>
        </w:tc>
      </w:tr>
      <w:tr>
        <w:trPr>
          <w:trHeight w:val="380" w:hRule="atLeast"/>
        </w:trPr>
        <w:tc>
          <w:tcPr>
            <w:tcW w:w="1980" w:type="dxa"/>
            <w:tcBorders>
              <w:top w:val="single" w:sz="8" w:space="0" w:color="000000"/>
            </w:tcBorders>
          </w:tcPr>
          <w:p>
            <w:pPr>
              <w:pStyle w:val="TableParagraph"/>
              <w:spacing w:before="104"/>
              <w:ind w:left="62"/>
              <w:rPr>
                <w:rFonts w:ascii="Arial MT"/>
                <w:sz w:val="18"/>
              </w:rPr>
            </w:pPr>
            <w:r>
              <w:rPr>
                <w:rFonts w:ascii="Arial MT"/>
                <w:sz w:val="18"/>
              </w:rPr>
              <w:t>total</w:t>
            </w:r>
            <w:r>
              <w:rPr>
                <w:rFonts w:ascii="Arial MT"/>
                <w:spacing w:val="-4"/>
                <w:sz w:val="18"/>
              </w:rPr>
              <w:t> </w:t>
            </w:r>
            <w:r>
              <w:rPr>
                <w:rFonts w:ascii="Arial MT"/>
                <w:sz w:val="18"/>
              </w:rPr>
              <w:t>reasoning</w:t>
            </w:r>
            <w:r>
              <w:rPr>
                <w:rFonts w:ascii="Arial MT"/>
                <w:spacing w:val="-6"/>
                <w:sz w:val="18"/>
              </w:rPr>
              <w:t> </w:t>
            </w:r>
            <w:r>
              <w:rPr>
                <w:rFonts w:ascii="Arial MT"/>
                <w:spacing w:val="-2"/>
                <w:sz w:val="18"/>
              </w:rPr>
              <w:t>ability</w:t>
            </w:r>
          </w:p>
        </w:tc>
        <w:tc>
          <w:tcPr>
            <w:tcW w:w="2258" w:type="dxa"/>
            <w:tcBorders>
              <w:top w:val="single" w:sz="8" w:space="0" w:color="000000"/>
            </w:tcBorders>
          </w:tcPr>
          <w:p>
            <w:pPr>
              <w:pStyle w:val="TableParagraph"/>
              <w:spacing w:before="104"/>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03" w:type="dxa"/>
            <w:tcBorders>
              <w:top w:val="single" w:sz="8" w:space="0" w:color="000000"/>
            </w:tcBorders>
          </w:tcPr>
          <w:p>
            <w:pPr>
              <w:pStyle w:val="TableParagraph"/>
              <w:spacing w:before="104"/>
              <w:ind w:right="131"/>
              <w:jc w:val="right"/>
              <w:rPr>
                <w:rFonts w:ascii="Arial MT"/>
                <w:sz w:val="18"/>
              </w:rPr>
            </w:pPr>
            <w:r>
              <w:rPr>
                <w:rFonts w:ascii="Arial MT"/>
                <w:spacing w:val="-2"/>
                <w:sz w:val="18"/>
              </w:rPr>
              <w:t>.796</w:t>
            </w:r>
            <w:r>
              <w:rPr>
                <w:rFonts w:ascii="Arial MT"/>
                <w:spacing w:val="-2"/>
                <w:sz w:val="18"/>
                <w:vertAlign w:val="superscript"/>
              </w:rPr>
              <w:t>**</w:t>
            </w:r>
          </w:p>
        </w:tc>
        <w:tc>
          <w:tcPr>
            <w:tcW w:w="1315" w:type="dxa"/>
            <w:tcBorders>
              <w:top w:val="single" w:sz="8" w:space="0" w:color="000000"/>
            </w:tcBorders>
          </w:tcPr>
          <w:p>
            <w:pPr>
              <w:pStyle w:val="TableParagraph"/>
              <w:spacing w:before="104"/>
              <w:ind w:right="159"/>
              <w:jc w:val="right"/>
              <w:rPr>
                <w:rFonts w:ascii="Arial MT"/>
                <w:sz w:val="18"/>
              </w:rPr>
            </w:pPr>
            <w:r>
              <w:rPr>
                <w:rFonts w:ascii="Arial MT"/>
                <w:spacing w:val="-2"/>
                <w:sz w:val="18"/>
              </w:rPr>
              <w:t>.693</w:t>
            </w:r>
            <w:r>
              <w:rPr>
                <w:rFonts w:ascii="Arial MT"/>
                <w:spacing w:val="-2"/>
                <w:sz w:val="18"/>
                <w:vertAlign w:val="superscript"/>
              </w:rPr>
              <w:t>**</w:t>
            </w:r>
          </w:p>
        </w:tc>
        <w:tc>
          <w:tcPr>
            <w:tcW w:w="1320" w:type="dxa"/>
            <w:tcBorders>
              <w:top w:val="single" w:sz="8" w:space="0" w:color="000000"/>
            </w:tcBorders>
          </w:tcPr>
          <w:p>
            <w:pPr>
              <w:pStyle w:val="TableParagraph"/>
              <w:spacing w:before="104"/>
              <w:ind w:right="190"/>
              <w:jc w:val="right"/>
              <w:rPr>
                <w:rFonts w:ascii="Arial MT"/>
                <w:sz w:val="18"/>
              </w:rPr>
            </w:pPr>
            <w:r>
              <w:rPr>
                <w:rFonts w:ascii="Arial MT"/>
                <w:spacing w:val="-10"/>
                <w:sz w:val="18"/>
              </w:rPr>
              <w:t>1</w:t>
            </w:r>
          </w:p>
        </w:tc>
        <w:tc>
          <w:tcPr>
            <w:tcW w:w="1158" w:type="dxa"/>
            <w:tcBorders>
              <w:top w:val="single" w:sz="8" w:space="0" w:color="000000"/>
            </w:tcBorders>
          </w:tcPr>
          <w:p>
            <w:pPr>
              <w:pStyle w:val="TableParagraph"/>
              <w:spacing w:before="104"/>
              <w:ind w:right="62"/>
              <w:jc w:val="right"/>
              <w:rPr>
                <w:rFonts w:ascii="Arial MT"/>
                <w:sz w:val="18"/>
              </w:rPr>
            </w:pPr>
            <w:r>
              <w:rPr>
                <w:rFonts w:ascii="Arial MT"/>
                <w:spacing w:val="-2"/>
                <w:sz w:val="18"/>
              </w:rPr>
              <w:t>.728</w:t>
            </w:r>
            <w:r>
              <w:rPr>
                <w:rFonts w:ascii="Arial MT"/>
                <w:spacing w:val="-2"/>
                <w:sz w:val="18"/>
                <w:vertAlign w:val="superscript"/>
              </w:rPr>
              <w:t>**</w:t>
            </w:r>
          </w:p>
        </w:tc>
      </w:tr>
      <w:tr>
        <w:trPr>
          <w:trHeight w:val="341" w:hRule="atLeast"/>
        </w:trPr>
        <w:tc>
          <w:tcPr>
            <w:tcW w:w="1980" w:type="dxa"/>
          </w:tcPr>
          <w:p>
            <w:pPr>
              <w:pStyle w:val="TableParagraph"/>
              <w:rPr>
                <w:sz w:val="18"/>
              </w:rPr>
            </w:pPr>
          </w:p>
        </w:tc>
        <w:tc>
          <w:tcPr>
            <w:tcW w:w="2258" w:type="dxa"/>
          </w:tcPr>
          <w:p>
            <w:pPr>
              <w:pStyle w:val="TableParagraph"/>
              <w:spacing w:before="65"/>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03" w:type="dxa"/>
          </w:tcPr>
          <w:p>
            <w:pPr>
              <w:pStyle w:val="TableParagraph"/>
              <w:spacing w:before="65"/>
              <w:ind w:right="124"/>
              <w:jc w:val="right"/>
              <w:rPr>
                <w:rFonts w:ascii="Arial MT"/>
                <w:sz w:val="18"/>
              </w:rPr>
            </w:pPr>
            <w:r>
              <w:rPr>
                <w:rFonts w:ascii="Arial MT"/>
                <w:spacing w:val="-4"/>
                <w:sz w:val="18"/>
              </w:rPr>
              <w:t>.000</w:t>
            </w:r>
          </w:p>
        </w:tc>
        <w:tc>
          <w:tcPr>
            <w:tcW w:w="1315" w:type="dxa"/>
          </w:tcPr>
          <w:p>
            <w:pPr>
              <w:pStyle w:val="TableParagraph"/>
              <w:spacing w:before="65"/>
              <w:ind w:right="152"/>
              <w:jc w:val="right"/>
              <w:rPr>
                <w:rFonts w:ascii="Arial MT"/>
                <w:sz w:val="18"/>
              </w:rPr>
            </w:pPr>
            <w:r>
              <w:rPr>
                <w:rFonts w:ascii="Arial MT"/>
                <w:spacing w:val="-4"/>
                <w:sz w:val="18"/>
              </w:rPr>
              <w:t>.000</w:t>
            </w:r>
          </w:p>
        </w:tc>
        <w:tc>
          <w:tcPr>
            <w:tcW w:w="1320" w:type="dxa"/>
          </w:tcPr>
          <w:p>
            <w:pPr>
              <w:pStyle w:val="TableParagraph"/>
              <w:rPr>
                <w:sz w:val="18"/>
              </w:rPr>
            </w:pPr>
          </w:p>
        </w:tc>
        <w:tc>
          <w:tcPr>
            <w:tcW w:w="1158" w:type="dxa"/>
          </w:tcPr>
          <w:p>
            <w:pPr>
              <w:pStyle w:val="TableParagraph"/>
              <w:spacing w:before="65"/>
              <w:ind w:right="56"/>
              <w:jc w:val="right"/>
              <w:rPr>
                <w:rFonts w:ascii="Arial MT"/>
                <w:sz w:val="18"/>
              </w:rPr>
            </w:pPr>
            <w:r>
              <w:rPr>
                <w:rFonts w:ascii="Arial MT"/>
                <w:spacing w:val="-4"/>
                <w:sz w:val="18"/>
              </w:rPr>
              <w:t>.000</w:t>
            </w:r>
          </w:p>
        </w:tc>
      </w:tr>
      <w:tr>
        <w:trPr>
          <w:trHeight w:val="281" w:hRule="atLeast"/>
        </w:trPr>
        <w:tc>
          <w:tcPr>
            <w:tcW w:w="1980" w:type="dxa"/>
            <w:tcBorders>
              <w:bottom w:val="single" w:sz="8" w:space="0" w:color="000000"/>
            </w:tcBorders>
          </w:tcPr>
          <w:p>
            <w:pPr>
              <w:pStyle w:val="TableParagraph"/>
              <w:rPr>
                <w:sz w:val="18"/>
              </w:rPr>
            </w:pPr>
          </w:p>
        </w:tc>
        <w:tc>
          <w:tcPr>
            <w:tcW w:w="2258" w:type="dxa"/>
            <w:tcBorders>
              <w:bottom w:val="single" w:sz="8" w:space="0" w:color="000000"/>
            </w:tcBorders>
          </w:tcPr>
          <w:p>
            <w:pPr>
              <w:pStyle w:val="TableParagraph"/>
              <w:spacing w:line="196" w:lineRule="exact" w:before="64"/>
              <w:ind w:left="224"/>
              <w:rPr>
                <w:rFonts w:ascii="Arial MT"/>
                <w:sz w:val="18"/>
              </w:rPr>
            </w:pPr>
            <w:r>
              <w:rPr>
                <w:rFonts w:ascii="Arial MT"/>
                <w:spacing w:val="-10"/>
                <w:sz w:val="18"/>
              </w:rPr>
              <w:t>N</w:t>
            </w:r>
          </w:p>
        </w:tc>
        <w:tc>
          <w:tcPr>
            <w:tcW w:w="1003" w:type="dxa"/>
            <w:tcBorders>
              <w:bottom w:val="single" w:sz="8" w:space="0" w:color="000000"/>
            </w:tcBorders>
          </w:tcPr>
          <w:p>
            <w:pPr>
              <w:pStyle w:val="TableParagraph"/>
              <w:spacing w:line="196" w:lineRule="exact" w:before="64"/>
              <w:ind w:right="131"/>
              <w:jc w:val="right"/>
              <w:rPr>
                <w:rFonts w:ascii="Arial MT"/>
                <w:sz w:val="18"/>
              </w:rPr>
            </w:pPr>
            <w:r>
              <w:rPr>
                <w:rFonts w:ascii="Arial MT"/>
                <w:spacing w:val="-5"/>
                <w:sz w:val="18"/>
              </w:rPr>
              <w:t>63</w:t>
            </w:r>
          </w:p>
        </w:tc>
        <w:tc>
          <w:tcPr>
            <w:tcW w:w="1315" w:type="dxa"/>
            <w:tcBorders>
              <w:bottom w:val="single" w:sz="8" w:space="0" w:color="000000"/>
            </w:tcBorders>
          </w:tcPr>
          <w:p>
            <w:pPr>
              <w:pStyle w:val="TableParagraph"/>
              <w:spacing w:line="196" w:lineRule="exact" w:before="64"/>
              <w:ind w:right="159"/>
              <w:jc w:val="right"/>
              <w:rPr>
                <w:rFonts w:ascii="Arial MT"/>
                <w:sz w:val="18"/>
              </w:rPr>
            </w:pPr>
            <w:r>
              <w:rPr>
                <w:rFonts w:ascii="Arial MT"/>
                <w:spacing w:val="-5"/>
                <w:sz w:val="18"/>
              </w:rPr>
              <w:t>63</w:t>
            </w:r>
          </w:p>
        </w:tc>
        <w:tc>
          <w:tcPr>
            <w:tcW w:w="1320" w:type="dxa"/>
            <w:tcBorders>
              <w:bottom w:val="single" w:sz="8" w:space="0" w:color="000000"/>
            </w:tcBorders>
          </w:tcPr>
          <w:p>
            <w:pPr>
              <w:pStyle w:val="TableParagraph"/>
              <w:spacing w:line="196" w:lineRule="exact" w:before="64"/>
              <w:ind w:right="191"/>
              <w:jc w:val="right"/>
              <w:rPr>
                <w:rFonts w:ascii="Arial MT"/>
                <w:sz w:val="18"/>
              </w:rPr>
            </w:pPr>
            <w:r>
              <w:rPr>
                <w:rFonts w:ascii="Arial MT"/>
                <w:spacing w:val="-5"/>
                <w:sz w:val="18"/>
              </w:rPr>
              <w:t>63</w:t>
            </w:r>
          </w:p>
        </w:tc>
        <w:tc>
          <w:tcPr>
            <w:tcW w:w="1158" w:type="dxa"/>
            <w:tcBorders>
              <w:bottom w:val="single" w:sz="8" w:space="0" w:color="000000"/>
            </w:tcBorders>
          </w:tcPr>
          <w:p>
            <w:pPr>
              <w:pStyle w:val="TableParagraph"/>
              <w:spacing w:line="196" w:lineRule="exact" w:before="64"/>
              <w:ind w:right="62"/>
              <w:jc w:val="right"/>
              <w:rPr>
                <w:rFonts w:ascii="Arial MT"/>
                <w:sz w:val="18"/>
              </w:rPr>
            </w:pPr>
            <w:r>
              <w:rPr>
                <w:rFonts w:ascii="Arial MT"/>
                <w:spacing w:val="-5"/>
                <w:sz w:val="18"/>
              </w:rPr>
              <w:t>63</w:t>
            </w:r>
          </w:p>
        </w:tc>
      </w:tr>
      <w:tr>
        <w:trPr>
          <w:trHeight w:val="399" w:hRule="atLeast"/>
        </w:trPr>
        <w:tc>
          <w:tcPr>
            <w:tcW w:w="1980" w:type="dxa"/>
            <w:tcBorders>
              <w:top w:val="single" w:sz="8" w:space="0" w:color="000000"/>
            </w:tcBorders>
          </w:tcPr>
          <w:p>
            <w:pPr>
              <w:pStyle w:val="TableParagraph"/>
              <w:spacing w:before="104"/>
              <w:ind w:left="62"/>
              <w:rPr>
                <w:rFonts w:ascii="Arial MT"/>
                <w:sz w:val="18"/>
              </w:rPr>
            </w:pPr>
            <w:r>
              <w:rPr>
                <w:rFonts w:ascii="Arial MT"/>
                <w:sz w:val="18"/>
              </w:rPr>
              <w:t>total</w:t>
            </w:r>
            <w:r>
              <w:rPr>
                <w:rFonts w:ascii="Arial MT"/>
                <w:spacing w:val="-2"/>
                <w:sz w:val="18"/>
              </w:rPr>
              <w:t> </w:t>
            </w:r>
            <w:r>
              <w:rPr>
                <w:rFonts w:ascii="Arial MT"/>
                <w:sz w:val="18"/>
              </w:rPr>
              <w:t>self</w:t>
            </w:r>
            <w:r>
              <w:rPr>
                <w:rFonts w:ascii="Arial MT"/>
                <w:spacing w:val="-3"/>
                <w:sz w:val="18"/>
              </w:rPr>
              <w:t> </w:t>
            </w:r>
            <w:r>
              <w:rPr>
                <w:rFonts w:ascii="Arial MT"/>
                <w:spacing w:val="-2"/>
                <w:sz w:val="18"/>
              </w:rPr>
              <w:t>efficacy</w:t>
            </w:r>
          </w:p>
        </w:tc>
        <w:tc>
          <w:tcPr>
            <w:tcW w:w="2258" w:type="dxa"/>
            <w:tcBorders>
              <w:top w:val="single" w:sz="8" w:space="0" w:color="000000"/>
            </w:tcBorders>
          </w:tcPr>
          <w:p>
            <w:pPr>
              <w:pStyle w:val="TableParagraph"/>
              <w:spacing w:before="104"/>
              <w:ind w:left="224"/>
              <w:rPr>
                <w:rFonts w:ascii="Arial MT"/>
                <w:sz w:val="18"/>
              </w:rPr>
            </w:pPr>
            <w:r>
              <w:rPr>
                <w:rFonts w:ascii="Arial MT"/>
                <w:sz w:val="18"/>
              </w:rPr>
              <w:t>Pearson</w:t>
            </w:r>
            <w:r>
              <w:rPr>
                <w:rFonts w:ascii="Arial MT"/>
                <w:spacing w:val="-3"/>
                <w:sz w:val="18"/>
              </w:rPr>
              <w:t> </w:t>
            </w:r>
            <w:r>
              <w:rPr>
                <w:rFonts w:ascii="Arial MT"/>
                <w:spacing w:val="-2"/>
                <w:sz w:val="18"/>
              </w:rPr>
              <w:t>Correlation</w:t>
            </w:r>
          </w:p>
        </w:tc>
        <w:tc>
          <w:tcPr>
            <w:tcW w:w="1003" w:type="dxa"/>
            <w:tcBorders>
              <w:top w:val="single" w:sz="8" w:space="0" w:color="000000"/>
            </w:tcBorders>
          </w:tcPr>
          <w:p>
            <w:pPr>
              <w:pStyle w:val="TableParagraph"/>
              <w:spacing w:before="104"/>
              <w:ind w:right="131"/>
              <w:jc w:val="right"/>
              <w:rPr>
                <w:rFonts w:ascii="Arial MT"/>
                <w:sz w:val="18"/>
              </w:rPr>
            </w:pPr>
            <w:r>
              <w:rPr>
                <w:rFonts w:ascii="Arial MT"/>
                <w:spacing w:val="-2"/>
                <w:sz w:val="18"/>
              </w:rPr>
              <w:t>.899</w:t>
            </w:r>
            <w:r>
              <w:rPr>
                <w:rFonts w:ascii="Arial MT"/>
                <w:spacing w:val="-2"/>
                <w:sz w:val="18"/>
                <w:vertAlign w:val="superscript"/>
              </w:rPr>
              <w:t>**</w:t>
            </w:r>
          </w:p>
        </w:tc>
        <w:tc>
          <w:tcPr>
            <w:tcW w:w="1315" w:type="dxa"/>
            <w:tcBorders>
              <w:top w:val="single" w:sz="8" w:space="0" w:color="000000"/>
            </w:tcBorders>
          </w:tcPr>
          <w:p>
            <w:pPr>
              <w:pStyle w:val="TableParagraph"/>
              <w:spacing w:before="104"/>
              <w:ind w:right="159"/>
              <w:jc w:val="right"/>
              <w:rPr>
                <w:rFonts w:ascii="Arial MT"/>
                <w:sz w:val="18"/>
              </w:rPr>
            </w:pPr>
            <w:r>
              <w:rPr>
                <w:rFonts w:ascii="Arial MT"/>
                <w:spacing w:val="-2"/>
                <w:sz w:val="18"/>
              </w:rPr>
              <w:t>.807</w:t>
            </w:r>
            <w:r>
              <w:rPr>
                <w:rFonts w:ascii="Arial MT"/>
                <w:spacing w:val="-2"/>
                <w:sz w:val="18"/>
                <w:vertAlign w:val="superscript"/>
              </w:rPr>
              <w:t>**</w:t>
            </w:r>
          </w:p>
        </w:tc>
        <w:tc>
          <w:tcPr>
            <w:tcW w:w="1320" w:type="dxa"/>
            <w:tcBorders>
              <w:top w:val="single" w:sz="8" w:space="0" w:color="000000"/>
            </w:tcBorders>
          </w:tcPr>
          <w:p>
            <w:pPr>
              <w:pStyle w:val="TableParagraph"/>
              <w:spacing w:before="104"/>
              <w:ind w:right="191"/>
              <w:jc w:val="right"/>
              <w:rPr>
                <w:rFonts w:ascii="Arial MT"/>
                <w:sz w:val="18"/>
              </w:rPr>
            </w:pPr>
            <w:r>
              <w:rPr>
                <w:rFonts w:ascii="Arial MT"/>
                <w:spacing w:val="-2"/>
                <w:sz w:val="18"/>
              </w:rPr>
              <w:t>.728</w:t>
            </w:r>
            <w:r>
              <w:rPr>
                <w:rFonts w:ascii="Arial MT"/>
                <w:spacing w:val="-2"/>
                <w:sz w:val="18"/>
                <w:vertAlign w:val="superscript"/>
              </w:rPr>
              <w:t>**</w:t>
            </w:r>
          </w:p>
        </w:tc>
        <w:tc>
          <w:tcPr>
            <w:tcW w:w="1158" w:type="dxa"/>
            <w:tcBorders>
              <w:top w:val="single" w:sz="8" w:space="0" w:color="000000"/>
            </w:tcBorders>
          </w:tcPr>
          <w:p>
            <w:pPr>
              <w:pStyle w:val="TableParagraph"/>
              <w:spacing w:before="104"/>
              <w:ind w:right="61"/>
              <w:jc w:val="right"/>
              <w:rPr>
                <w:rFonts w:ascii="Arial MT"/>
                <w:sz w:val="18"/>
              </w:rPr>
            </w:pPr>
            <w:r>
              <w:rPr>
                <w:rFonts w:ascii="Arial MT"/>
                <w:spacing w:val="-10"/>
                <w:sz w:val="18"/>
              </w:rPr>
              <w:t>1</w:t>
            </w:r>
          </w:p>
        </w:tc>
      </w:tr>
      <w:tr>
        <w:trPr>
          <w:trHeight w:val="379" w:hRule="atLeast"/>
        </w:trPr>
        <w:tc>
          <w:tcPr>
            <w:tcW w:w="1980" w:type="dxa"/>
          </w:tcPr>
          <w:p>
            <w:pPr>
              <w:pStyle w:val="TableParagraph"/>
              <w:rPr>
                <w:sz w:val="18"/>
              </w:rPr>
            </w:pPr>
          </w:p>
        </w:tc>
        <w:tc>
          <w:tcPr>
            <w:tcW w:w="2258" w:type="dxa"/>
          </w:tcPr>
          <w:p>
            <w:pPr>
              <w:pStyle w:val="TableParagraph"/>
              <w:spacing w:before="84"/>
              <w:ind w:left="224"/>
              <w:rPr>
                <w:rFonts w:ascii="Arial MT"/>
                <w:sz w:val="18"/>
              </w:rPr>
            </w:pPr>
            <w:r>
              <w:rPr>
                <w:rFonts w:ascii="Arial MT"/>
                <w:sz w:val="18"/>
              </w:rPr>
              <w:t>Sig.</w:t>
            </w:r>
            <w:r>
              <w:rPr>
                <w:rFonts w:ascii="Arial MT"/>
                <w:spacing w:val="-6"/>
                <w:sz w:val="18"/>
              </w:rPr>
              <w:t> </w:t>
            </w:r>
            <w:r>
              <w:rPr>
                <w:rFonts w:ascii="Arial MT"/>
                <w:sz w:val="18"/>
              </w:rPr>
              <w:t>(2-</w:t>
            </w:r>
            <w:r>
              <w:rPr>
                <w:rFonts w:ascii="Arial MT"/>
                <w:spacing w:val="-2"/>
                <w:sz w:val="18"/>
              </w:rPr>
              <w:t>tailed)</w:t>
            </w:r>
          </w:p>
        </w:tc>
        <w:tc>
          <w:tcPr>
            <w:tcW w:w="1003" w:type="dxa"/>
          </w:tcPr>
          <w:p>
            <w:pPr>
              <w:pStyle w:val="TableParagraph"/>
              <w:spacing w:before="84"/>
              <w:ind w:right="124"/>
              <w:jc w:val="right"/>
              <w:rPr>
                <w:rFonts w:ascii="Arial MT"/>
                <w:sz w:val="18"/>
              </w:rPr>
            </w:pPr>
            <w:r>
              <w:rPr>
                <w:rFonts w:ascii="Arial MT"/>
                <w:spacing w:val="-4"/>
                <w:sz w:val="18"/>
              </w:rPr>
              <w:t>.000</w:t>
            </w:r>
          </w:p>
        </w:tc>
        <w:tc>
          <w:tcPr>
            <w:tcW w:w="1315" w:type="dxa"/>
          </w:tcPr>
          <w:p>
            <w:pPr>
              <w:pStyle w:val="TableParagraph"/>
              <w:spacing w:before="84"/>
              <w:ind w:right="152"/>
              <w:jc w:val="right"/>
              <w:rPr>
                <w:rFonts w:ascii="Arial MT"/>
                <w:sz w:val="18"/>
              </w:rPr>
            </w:pPr>
            <w:r>
              <w:rPr>
                <w:rFonts w:ascii="Arial MT"/>
                <w:spacing w:val="-4"/>
                <w:sz w:val="18"/>
              </w:rPr>
              <w:t>.000</w:t>
            </w:r>
          </w:p>
        </w:tc>
        <w:tc>
          <w:tcPr>
            <w:tcW w:w="1320" w:type="dxa"/>
          </w:tcPr>
          <w:p>
            <w:pPr>
              <w:pStyle w:val="TableParagraph"/>
              <w:spacing w:before="84"/>
              <w:ind w:right="185"/>
              <w:jc w:val="right"/>
              <w:rPr>
                <w:rFonts w:ascii="Arial MT"/>
                <w:sz w:val="18"/>
              </w:rPr>
            </w:pPr>
            <w:r>
              <w:rPr>
                <w:rFonts w:ascii="Arial MT"/>
                <w:spacing w:val="-4"/>
                <w:sz w:val="18"/>
              </w:rPr>
              <w:t>.000</w:t>
            </w:r>
          </w:p>
        </w:tc>
        <w:tc>
          <w:tcPr>
            <w:tcW w:w="1158" w:type="dxa"/>
          </w:tcPr>
          <w:p>
            <w:pPr>
              <w:pStyle w:val="TableParagraph"/>
              <w:rPr>
                <w:sz w:val="18"/>
              </w:rPr>
            </w:pPr>
          </w:p>
        </w:tc>
      </w:tr>
      <w:tr>
        <w:trPr>
          <w:trHeight w:val="299" w:hRule="atLeast"/>
        </w:trPr>
        <w:tc>
          <w:tcPr>
            <w:tcW w:w="1980" w:type="dxa"/>
            <w:tcBorders>
              <w:bottom w:val="double" w:sz="8" w:space="0" w:color="000000"/>
            </w:tcBorders>
          </w:tcPr>
          <w:p>
            <w:pPr>
              <w:pStyle w:val="TableParagraph"/>
              <w:rPr>
                <w:sz w:val="18"/>
              </w:rPr>
            </w:pPr>
          </w:p>
        </w:tc>
        <w:tc>
          <w:tcPr>
            <w:tcW w:w="2258" w:type="dxa"/>
            <w:tcBorders>
              <w:bottom w:val="double" w:sz="8" w:space="0" w:color="000000"/>
            </w:tcBorders>
          </w:tcPr>
          <w:p>
            <w:pPr>
              <w:pStyle w:val="TableParagraph"/>
              <w:spacing w:line="196" w:lineRule="exact" w:before="84"/>
              <w:ind w:left="224"/>
              <w:rPr>
                <w:rFonts w:ascii="Arial MT"/>
                <w:sz w:val="18"/>
              </w:rPr>
            </w:pPr>
            <w:r>
              <w:rPr>
                <w:rFonts w:ascii="Arial MT"/>
                <w:spacing w:val="-10"/>
                <w:sz w:val="18"/>
              </w:rPr>
              <w:t>N</w:t>
            </w:r>
          </w:p>
        </w:tc>
        <w:tc>
          <w:tcPr>
            <w:tcW w:w="1003" w:type="dxa"/>
            <w:tcBorders>
              <w:bottom w:val="double" w:sz="8" w:space="0" w:color="000000"/>
            </w:tcBorders>
          </w:tcPr>
          <w:p>
            <w:pPr>
              <w:pStyle w:val="TableParagraph"/>
              <w:spacing w:line="196" w:lineRule="exact" w:before="84"/>
              <w:ind w:right="131"/>
              <w:jc w:val="right"/>
              <w:rPr>
                <w:rFonts w:ascii="Arial MT"/>
                <w:sz w:val="18"/>
              </w:rPr>
            </w:pPr>
            <w:r>
              <w:rPr>
                <w:rFonts w:ascii="Arial MT"/>
                <w:spacing w:val="-5"/>
                <w:sz w:val="18"/>
              </w:rPr>
              <w:t>63</w:t>
            </w:r>
          </w:p>
        </w:tc>
        <w:tc>
          <w:tcPr>
            <w:tcW w:w="1315" w:type="dxa"/>
            <w:tcBorders>
              <w:bottom w:val="double" w:sz="8" w:space="0" w:color="000000"/>
            </w:tcBorders>
          </w:tcPr>
          <w:p>
            <w:pPr>
              <w:pStyle w:val="TableParagraph"/>
              <w:spacing w:line="196" w:lineRule="exact" w:before="84"/>
              <w:ind w:right="159"/>
              <w:jc w:val="right"/>
              <w:rPr>
                <w:rFonts w:ascii="Arial MT"/>
                <w:sz w:val="18"/>
              </w:rPr>
            </w:pPr>
            <w:r>
              <w:rPr>
                <w:rFonts w:ascii="Arial MT"/>
                <w:spacing w:val="-5"/>
                <w:sz w:val="18"/>
              </w:rPr>
              <w:t>63</w:t>
            </w:r>
          </w:p>
        </w:tc>
        <w:tc>
          <w:tcPr>
            <w:tcW w:w="1320" w:type="dxa"/>
            <w:tcBorders>
              <w:bottom w:val="double" w:sz="8" w:space="0" w:color="000000"/>
            </w:tcBorders>
          </w:tcPr>
          <w:p>
            <w:pPr>
              <w:pStyle w:val="TableParagraph"/>
              <w:spacing w:line="196" w:lineRule="exact" w:before="84"/>
              <w:ind w:right="191"/>
              <w:jc w:val="right"/>
              <w:rPr>
                <w:rFonts w:ascii="Arial MT"/>
                <w:sz w:val="18"/>
              </w:rPr>
            </w:pPr>
            <w:r>
              <w:rPr>
                <w:rFonts w:ascii="Arial MT"/>
                <w:spacing w:val="-5"/>
                <w:sz w:val="18"/>
              </w:rPr>
              <w:t>63</w:t>
            </w:r>
          </w:p>
        </w:tc>
        <w:tc>
          <w:tcPr>
            <w:tcW w:w="1158" w:type="dxa"/>
            <w:tcBorders>
              <w:bottom w:val="double" w:sz="8" w:space="0" w:color="000000"/>
            </w:tcBorders>
          </w:tcPr>
          <w:p>
            <w:pPr>
              <w:pStyle w:val="TableParagraph"/>
              <w:spacing w:line="196" w:lineRule="exact" w:before="84"/>
              <w:ind w:right="62"/>
              <w:jc w:val="right"/>
              <w:rPr>
                <w:rFonts w:ascii="Arial MT"/>
                <w:sz w:val="18"/>
              </w:rPr>
            </w:pPr>
            <w:r>
              <w:rPr>
                <w:rFonts w:ascii="Arial MT"/>
                <w:spacing w:val="-5"/>
                <w:sz w:val="18"/>
              </w:rPr>
              <w:t>63</w:t>
            </w:r>
          </w:p>
        </w:tc>
      </w:tr>
      <w:tr>
        <w:trPr>
          <w:trHeight w:val="633" w:hRule="atLeast"/>
        </w:trPr>
        <w:tc>
          <w:tcPr>
            <w:tcW w:w="5241" w:type="dxa"/>
            <w:gridSpan w:val="3"/>
            <w:tcBorders>
              <w:top w:val="double" w:sz="8" w:space="0" w:color="000000"/>
            </w:tcBorders>
          </w:tcPr>
          <w:p>
            <w:pPr>
              <w:pStyle w:val="TableParagraph"/>
              <w:spacing w:before="104"/>
              <w:ind w:left="62"/>
              <w:rPr>
                <w:rFonts w:ascii="Arial MT"/>
                <w:sz w:val="18"/>
              </w:rPr>
            </w:pPr>
            <w:r>
              <w:rPr>
                <w:rFonts w:ascii="Arial MT"/>
                <w:sz w:val="18"/>
              </w:rPr>
              <w:t>**.</w:t>
            </w:r>
            <w:r>
              <w:rPr>
                <w:rFonts w:ascii="Arial MT"/>
                <w:spacing w:val="-4"/>
                <w:sz w:val="18"/>
              </w:rPr>
              <w:t> </w:t>
            </w:r>
            <w:r>
              <w:rPr>
                <w:rFonts w:ascii="Arial MT"/>
                <w:sz w:val="18"/>
              </w:rPr>
              <w:t>Correlation</w:t>
            </w:r>
            <w:r>
              <w:rPr>
                <w:rFonts w:ascii="Arial MT"/>
                <w:spacing w:val="-5"/>
                <w:sz w:val="18"/>
              </w:rPr>
              <w:t> </w:t>
            </w:r>
            <w:r>
              <w:rPr>
                <w:rFonts w:ascii="Arial MT"/>
                <w:sz w:val="18"/>
              </w:rPr>
              <w:t>is</w:t>
            </w:r>
            <w:r>
              <w:rPr>
                <w:rFonts w:ascii="Arial MT"/>
                <w:spacing w:val="-5"/>
                <w:sz w:val="18"/>
              </w:rPr>
              <w:t> </w:t>
            </w:r>
            <w:r>
              <w:rPr>
                <w:rFonts w:ascii="Arial MT"/>
                <w:sz w:val="18"/>
              </w:rPr>
              <w:t>significant</w:t>
            </w:r>
            <w:r>
              <w:rPr>
                <w:rFonts w:ascii="Arial MT"/>
                <w:spacing w:val="-4"/>
                <w:sz w:val="18"/>
              </w:rPr>
              <w:t> </w:t>
            </w:r>
            <w:r>
              <w:rPr>
                <w:rFonts w:ascii="Arial MT"/>
                <w:sz w:val="18"/>
              </w:rPr>
              <w:t>at</w:t>
            </w:r>
            <w:r>
              <w:rPr>
                <w:rFonts w:ascii="Arial MT"/>
                <w:spacing w:val="-3"/>
                <w:sz w:val="18"/>
              </w:rPr>
              <w:t> </w:t>
            </w:r>
            <w:r>
              <w:rPr>
                <w:rFonts w:ascii="Arial MT"/>
                <w:sz w:val="18"/>
              </w:rPr>
              <w:t>the</w:t>
            </w:r>
            <w:r>
              <w:rPr>
                <w:rFonts w:ascii="Arial MT"/>
                <w:spacing w:val="-5"/>
                <w:sz w:val="18"/>
              </w:rPr>
              <w:t> </w:t>
            </w:r>
            <w:r>
              <w:rPr>
                <w:rFonts w:ascii="Arial MT"/>
                <w:sz w:val="18"/>
              </w:rPr>
              <w:t>0.05</w:t>
            </w:r>
            <w:r>
              <w:rPr>
                <w:rFonts w:ascii="Arial MT"/>
                <w:spacing w:val="-7"/>
                <w:sz w:val="18"/>
              </w:rPr>
              <w:t> </w:t>
            </w:r>
            <w:r>
              <w:rPr>
                <w:rFonts w:ascii="Arial MT"/>
                <w:sz w:val="18"/>
              </w:rPr>
              <w:t>level</w:t>
            </w:r>
            <w:r>
              <w:rPr>
                <w:rFonts w:ascii="Arial MT"/>
                <w:spacing w:val="2"/>
                <w:sz w:val="18"/>
              </w:rPr>
              <w:t> </w:t>
            </w:r>
            <w:r>
              <w:rPr>
                <w:rFonts w:ascii="Arial MT"/>
                <w:sz w:val="18"/>
              </w:rPr>
              <w:t>(2-</w:t>
            </w:r>
            <w:r>
              <w:rPr>
                <w:rFonts w:ascii="Arial MT"/>
                <w:spacing w:val="-2"/>
                <w:sz w:val="18"/>
              </w:rPr>
              <w:t>tailed).</w:t>
            </w:r>
          </w:p>
          <w:p>
            <w:pPr>
              <w:pStyle w:val="TableParagraph"/>
              <w:spacing w:line="187" w:lineRule="exact" w:before="114"/>
              <w:ind w:left="62"/>
              <w:rPr>
                <w:rFonts w:ascii="Arial MT"/>
                <w:sz w:val="18"/>
              </w:rPr>
            </w:pPr>
            <w:r>
              <w:rPr>
                <w:rFonts w:ascii="Arial MT"/>
                <w:sz w:val="18"/>
              </w:rPr>
              <w:t>a.</w:t>
            </w:r>
            <w:r>
              <w:rPr>
                <w:rFonts w:ascii="Arial MT"/>
                <w:spacing w:val="-2"/>
                <w:sz w:val="18"/>
              </w:rPr>
              <w:t> </w:t>
            </w:r>
            <w:r>
              <w:rPr>
                <w:rFonts w:ascii="Arial MT"/>
                <w:sz w:val="18"/>
              </w:rPr>
              <w:t>sex</w:t>
            </w:r>
            <w:r>
              <w:rPr>
                <w:rFonts w:ascii="Arial MT"/>
                <w:spacing w:val="-3"/>
                <w:sz w:val="18"/>
              </w:rPr>
              <w:t> </w:t>
            </w:r>
            <w:r>
              <w:rPr>
                <w:rFonts w:ascii="Arial MT"/>
                <w:sz w:val="18"/>
              </w:rPr>
              <w:t>= 2</w:t>
            </w:r>
            <w:r>
              <w:rPr>
                <w:rFonts w:ascii="Arial MT"/>
                <w:spacing w:val="-3"/>
                <w:sz w:val="18"/>
              </w:rPr>
              <w:t> </w:t>
            </w:r>
            <w:r>
              <w:rPr>
                <w:rFonts w:ascii="Arial MT"/>
                <w:spacing w:val="-2"/>
                <w:sz w:val="18"/>
              </w:rPr>
              <w:t>female</w:t>
            </w:r>
          </w:p>
        </w:tc>
        <w:tc>
          <w:tcPr>
            <w:tcW w:w="1315" w:type="dxa"/>
            <w:tcBorders>
              <w:top w:val="double" w:sz="8" w:space="0" w:color="000000"/>
            </w:tcBorders>
          </w:tcPr>
          <w:p>
            <w:pPr>
              <w:pStyle w:val="TableParagraph"/>
              <w:rPr>
                <w:sz w:val="18"/>
              </w:rPr>
            </w:pPr>
          </w:p>
        </w:tc>
        <w:tc>
          <w:tcPr>
            <w:tcW w:w="1320" w:type="dxa"/>
            <w:tcBorders>
              <w:top w:val="double" w:sz="8" w:space="0" w:color="000000"/>
            </w:tcBorders>
          </w:tcPr>
          <w:p>
            <w:pPr>
              <w:pStyle w:val="TableParagraph"/>
              <w:rPr>
                <w:sz w:val="18"/>
              </w:rPr>
            </w:pPr>
          </w:p>
        </w:tc>
        <w:tc>
          <w:tcPr>
            <w:tcW w:w="1158" w:type="dxa"/>
            <w:tcBorders>
              <w:top w:val="double" w:sz="8" w:space="0" w:color="000000"/>
            </w:tcBorders>
          </w:tcPr>
          <w:p>
            <w:pPr>
              <w:pStyle w:val="TableParagraph"/>
              <w:rPr>
                <w:sz w:val="18"/>
              </w:rPr>
            </w:pPr>
          </w:p>
        </w:tc>
      </w:tr>
    </w:tbl>
    <w:p>
      <w:pPr>
        <w:spacing w:after="0"/>
        <w:rPr>
          <w:sz w:val="18"/>
        </w:rPr>
        <w:sectPr>
          <w:pgSz w:w="11910" w:h="16840"/>
          <w:pgMar w:header="0" w:footer="1012" w:top="1580" w:bottom="1200" w:left="1680" w:right="280"/>
        </w:sectPr>
      </w:pPr>
    </w:p>
    <w:p>
      <w:pPr>
        <w:pStyle w:val="Heading2"/>
        <w:spacing w:line="275" w:lineRule="exact"/>
        <w:ind w:left="505" w:right="1187"/>
      </w:pPr>
      <w:r>
        <w:rPr/>
        <w:t>APPENDIX</w:t>
      </w:r>
      <w:r>
        <w:rPr>
          <w:spacing w:val="-7"/>
        </w:rPr>
        <w:t> </w:t>
      </w:r>
      <w:r>
        <w:rPr>
          <w:spacing w:val="-10"/>
        </w:rPr>
        <w:t>H</w:t>
      </w:r>
    </w:p>
    <w:p>
      <w:pPr>
        <w:spacing w:line="275" w:lineRule="exact" w:before="0"/>
        <w:ind w:left="425" w:right="1099" w:firstLine="0"/>
        <w:jc w:val="center"/>
        <w:rPr>
          <w:b/>
          <w:sz w:val="24"/>
        </w:rPr>
      </w:pPr>
      <w:r>
        <w:rPr>
          <w:b/>
          <w:sz w:val="24"/>
        </w:rPr>
        <w:t>DESCRIPTIVE</w:t>
      </w:r>
      <w:r>
        <w:rPr>
          <w:b/>
          <w:spacing w:val="-3"/>
          <w:sz w:val="24"/>
        </w:rPr>
        <w:t> </w:t>
      </w:r>
      <w:r>
        <w:rPr>
          <w:b/>
          <w:sz w:val="24"/>
        </w:rPr>
        <w:t>ANALYSIS</w:t>
      </w:r>
      <w:r>
        <w:rPr>
          <w:b/>
          <w:spacing w:val="1"/>
          <w:sz w:val="24"/>
        </w:rPr>
        <w:t> </w:t>
      </w:r>
      <w:r>
        <w:rPr>
          <w:b/>
          <w:sz w:val="24"/>
        </w:rPr>
        <w:t>OF</w:t>
      </w:r>
      <w:r>
        <w:rPr>
          <w:b/>
          <w:spacing w:val="-2"/>
          <w:sz w:val="24"/>
        </w:rPr>
        <w:t> </w:t>
      </w:r>
      <w:r>
        <w:rPr>
          <w:b/>
          <w:sz w:val="24"/>
        </w:rPr>
        <w:t>ONE</w:t>
      </w:r>
      <w:r>
        <w:rPr>
          <w:b/>
          <w:spacing w:val="-3"/>
          <w:sz w:val="24"/>
        </w:rPr>
        <w:t> </w:t>
      </w:r>
      <w:r>
        <w:rPr>
          <w:b/>
          <w:sz w:val="24"/>
        </w:rPr>
        <w:t>WAY</w:t>
      </w:r>
      <w:r>
        <w:rPr>
          <w:b/>
          <w:spacing w:val="-1"/>
          <w:sz w:val="24"/>
        </w:rPr>
        <w:t> </w:t>
      </w:r>
      <w:r>
        <w:rPr>
          <w:b/>
          <w:spacing w:val="-2"/>
          <w:sz w:val="24"/>
        </w:rPr>
        <w:t>MANOVA</w:t>
      </w:r>
    </w:p>
    <w:p>
      <w:pPr>
        <w:spacing w:line="226" w:lineRule="exact" w:before="233"/>
        <w:ind w:left="480" w:right="0" w:firstLine="0"/>
        <w:jc w:val="left"/>
        <w:rPr>
          <w:rFonts w:ascii="Courier New"/>
          <w:sz w:val="20"/>
        </w:rPr>
      </w:pPr>
      <w:r>
        <w:rPr>
          <w:rFonts w:ascii="Courier New"/>
          <w:spacing w:val="-5"/>
          <w:sz w:val="20"/>
        </w:rPr>
        <w:t>GET</w:t>
      </w:r>
    </w:p>
    <w:p>
      <w:pPr>
        <w:spacing w:before="0"/>
        <w:ind w:left="721" w:right="0" w:firstLine="0"/>
        <w:jc w:val="left"/>
        <w:rPr>
          <w:rFonts w:ascii="Courier New"/>
          <w:sz w:val="20"/>
        </w:rPr>
      </w:pPr>
      <w:r>
        <w:rPr>
          <w:rFonts w:ascii="Courier New"/>
          <w:sz w:val="20"/>
        </w:rPr>
        <w:t>FILE="C:\Users\umar\Documents\Amos</w:t>
      </w:r>
      <w:r>
        <w:rPr>
          <w:rFonts w:ascii="Courier New"/>
          <w:spacing w:val="-23"/>
          <w:sz w:val="20"/>
        </w:rPr>
        <w:t> </w:t>
      </w:r>
      <w:r>
        <w:rPr>
          <w:rFonts w:ascii="Courier New"/>
          <w:sz w:val="20"/>
        </w:rPr>
        <w:t>Kwasau's</w:t>
      </w:r>
      <w:r>
        <w:rPr>
          <w:rFonts w:ascii="Courier New"/>
          <w:spacing w:val="-21"/>
          <w:sz w:val="20"/>
        </w:rPr>
        <w:t> </w:t>
      </w:r>
      <w:r>
        <w:rPr>
          <w:rFonts w:ascii="Courier New"/>
          <w:spacing w:val="-2"/>
          <w:sz w:val="20"/>
        </w:rPr>
        <w:t>Data.sav".</w:t>
      </w:r>
    </w:p>
    <w:p>
      <w:pPr>
        <w:spacing w:line="226" w:lineRule="exact" w:before="4"/>
        <w:ind w:left="480" w:right="0" w:firstLine="0"/>
        <w:jc w:val="left"/>
        <w:rPr>
          <w:rFonts w:ascii="Courier New"/>
          <w:sz w:val="20"/>
        </w:rPr>
      </w:pPr>
      <w:r>
        <w:rPr>
          <w:rFonts w:ascii="Courier New"/>
          <w:sz w:val="20"/>
        </w:rPr>
        <w:t>DATASET</w:t>
      </w:r>
      <w:r>
        <w:rPr>
          <w:rFonts w:ascii="Courier New"/>
          <w:spacing w:val="-7"/>
          <w:sz w:val="20"/>
        </w:rPr>
        <w:t> </w:t>
      </w:r>
      <w:r>
        <w:rPr>
          <w:rFonts w:ascii="Courier New"/>
          <w:sz w:val="20"/>
        </w:rPr>
        <w:t>NAME</w:t>
      </w:r>
      <w:r>
        <w:rPr>
          <w:rFonts w:ascii="Courier New"/>
          <w:spacing w:val="-6"/>
          <w:sz w:val="20"/>
        </w:rPr>
        <w:t> </w:t>
      </w:r>
      <w:r>
        <w:rPr>
          <w:rFonts w:ascii="Courier New"/>
          <w:sz w:val="20"/>
        </w:rPr>
        <w:t>DataSet1</w:t>
      </w:r>
      <w:r>
        <w:rPr>
          <w:rFonts w:ascii="Courier New"/>
          <w:spacing w:val="-6"/>
          <w:sz w:val="20"/>
        </w:rPr>
        <w:t> </w:t>
      </w:r>
      <w:r>
        <w:rPr>
          <w:rFonts w:ascii="Courier New"/>
          <w:spacing w:val="-2"/>
          <w:sz w:val="20"/>
        </w:rPr>
        <w:t>WINDOW=FRONT.</w:t>
      </w:r>
    </w:p>
    <w:p>
      <w:pPr>
        <w:spacing w:line="226" w:lineRule="exact" w:before="0"/>
        <w:ind w:left="480" w:right="0" w:firstLine="0"/>
        <w:jc w:val="left"/>
        <w:rPr>
          <w:rFonts w:ascii="Courier New"/>
          <w:sz w:val="20"/>
        </w:rPr>
      </w:pPr>
      <w:r>
        <w:rPr>
          <w:rFonts w:ascii="Courier New"/>
          <w:sz w:val="20"/>
        </w:rPr>
        <w:t>GLM</w:t>
      </w:r>
      <w:r>
        <w:rPr>
          <w:rFonts w:ascii="Courier New"/>
          <w:spacing w:val="-8"/>
          <w:sz w:val="20"/>
        </w:rPr>
        <w:t> </w:t>
      </w:r>
      <w:r>
        <w:rPr>
          <w:rFonts w:ascii="Courier New"/>
          <w:sz w:val="20"/>
        </w:rPr>
        <w:t>ChemistryAtest</w:t>
      </w:r>
      <w:r>
        <w:rPr>
          <w:rFonts w:ascii="Courier New"/>
          <w:spacing w:val="-8"/>
          <w:sz w:val="20"/>
        </w:rPr>
        <w:t> </w:t>
      </w:r>
      <w:r>
        <w:rPr>
          <w:rFonts w:ascii="Courier New"/>
          <w:sz w:val="20"/>
        </w:rPr>
        <w:t>temint</w:t>
      </w:r>
      <w:r>
        <w:rPr>
          <w:rFonts w:ascii="Courier New"/>
          <w:spacing w:val="-7"/>
          <w:sz w:val="20"/>
        </w:rPr>
        <w:t> </w:t>
      </w:r>
      <w:r>
        <w:rPr>
          <w:rFonts w:ascii="Courier New"/>
          <w:sz w:val="20"/>
        </w:rPr>
        <w:t>tresability</w:t>
      </w:r>
      <w:r>
        <w:rPr>
          <w:rFonts w:ascii="Courier New"/>
          <w:spacing w:val="-8"/>
          <w:sz w:val="20"/>
        </w:rPr>
        <w:t> </w:t>
      </w:r>
      <w:r>
        <w:rPr>
          <w:rFonts w:ascii="Courier New"/>
          <w:sz w:val="20"/>
        </w:rPr>
        <w:t>tsefficacy</w:t>
      </w:r>
      <w:r>
        <w:rPr>
          <w:rFonts w:ascii="Courier New"/>
          <w:spacing w:val="-8"/>
          <w:sz w:val="20"/>
        </w:rPr>
        <w:t> </w:t>
      </w:r>
      <w:r>
        <w:rPr>
          <w:rFonts w:ascii="Courier New"/>
          <w:sz w:val="20"/>
        </w:rPr>
        <w:t>BY</w:t>
      </w:r>
      <w:r>
        <w:rPr>
          <w:rFonts w:ascii="Courier New"/>
          <w:spacing w:val="-7"/>
          <w:sz w:val="20"/>
        </w:rPr>
        <w:t> </w:t>
      </w:r>
      <w:r>
        <w:rPr>
          <w:rFonts w:ascii="Courier New"/>
          <w:spacing w:val="-5"/>
          <w:sz w:val="20"/>
        </w:rPr>
        <w:t>sex</w:t>
      </w:r>
    </w:p>
    <w:p>
      <w:pPr>
        <w:spacing w:line="226" w:lineRule="exact" w:before="0"/>
        <w:ind w:left="721" w:right="0" w:firstLine="0"/>
        <w:jc w:val="left"/>
        <w:rPr>
          <w:rFonts w:ascii="Courier New"/>
          <w:sz w:val="20"/>
        </w:rPr>
      </w:pPr>
      <w:r>
        <w:rPr>
          <w:rFonts w:ascii="Courier New"/>
          <w:spacing w:val="-2"/>
          <w:sz w:val="20"/>
        </w:rPr>
        <w:t>/METHOD=SSTYPE(3)</w:t>
      </w:r>
    </w:p>
    <w:p>
      <w:pPr>
        <w:spacing w:line="226" w:lineRule="exact" w:before="0"/>
        <w:ind w:left="721" w:right="0" w:firstLine="0"/>
        <w:jc w:val="left"/>
        <w:rPr>
          <w:rFonts w:ascii="Courier New"/>
          <w:sz w:val="20"/>
        </w:rPr>
      </w:pPr>
      <w:r>
        <w:rPr>
          <w:rFonts w:ascii="Courier New"/>
          <w:spacing w:val="-2"/>
          <w:sz w:val="20"/>
        </w:rPr>
        <w:t>/INTERCEPT=INCLUDE</w:t>
      </w:r>
    </w:p>
    <w:p>
      <w:pPr>
        <w:spacing w:line="226" w:lineRule="exact" w:before="0"/>
        <w:ind w:left="721" w:right="0" w:firstLine="0"/>
        <w:jc w:val="left"/>
        <w:rPr>
          <w:rFonts w:ascii="Courier New"/>
          <w:sz w:val="20"/>
        </w:rPr>
      </w:pPr>
      <w:r>
        <w:rPr>
          <w:rFonts w:ascii="Courier New"/>
          <w:spacing w:val="-2"/>
          <w:sz w:val="20"/>
        </w:rPr>
        <w:t>/CRITERIA=ALPHA(.05)</w:t>
      </w:r>
    </w:p>
    <w:p>
      <w:pPr>
        <w:spacing w:before="4"/>
        <w:ind w:left="721" w:right="0" w:firstLine="0"/>
        <w:jc w:val="left"/>
        <w:rPr>
          <w:rFonts w:ascii="Courier New"/>
          <w:sz w:val="20"/>
        </w:rPr>
      </w:pPr>
      <w:r>
        <w:rPr>
          <w:rFonts w:ascii="Courier New"/>
          <w:sz w:val="20"/>
        </w:rPr>
        <w:t>/DESIGN=</w:t>
      </w:r>
      <w:r>
        <w:rPr>
          <w:rFonts w:ascii="Courier New"/>
          <w:spacing w:val="-8"/>
          <w:sz w:val="20"/>
        </w:rPr>
        <w:t> </w:t>
      </w:r>
      <w:r>
        <w:rPr>
          <w:rFonts w:ascii="Courier New"/>
          <w:spacing w:val="-4"/>
          <w:sz w:val="20"/>
        </w:rPr>
        <w:t>sex.</w:t>
      </w:r>
    </w:p>
    <w:p>
      <w:pPr>
        <w:pStyle w:val="BodyText"/>
        <w:ind w:left="0"/>
        <w:jc w:val="left"/>
        <w:rPr>
          <w:rFonts w:ascii="Courier New"/>
          <w:sz w:val="20"/>
        </w:rPr>
      </w:pPr>
    </w:p>
    <w:p>
      <w:pPr>
        <w:pStyle w:val="BodyText"/>
        <w:spacing w:before="59"/>
        <w:ind w:left="0"/>
        <w:jc w:val="left"/>
        <w:rPr>
          <w:rFonts w:ascii="Courier New"/>
          <w:sz w:val="20"/>
        </w:rPr>
      </w:pPr>
    </w:p>
    <w:p>
      <w:pPr>
        <w:pStyle w:val="Heading1"/>
      </w:pPr>
      <w:r>
        <w:rPr/>
        <w:t>General</w:t>
      </w:r>
      <w:r>
        <w:rPr>
          <w:spacing w:val="-16"/>
        </w:rPr>
        <w:t> </w:t>
      </w:r>
      <w:r>
        <w:rPr/>
        <w:t>Linear</w:t>
      </w:r>
      <w:r>
        <w:rPr>
          <w:spacing w:val="-15"/>
        </w:rPr>
        <w:t> </w:t>
      </w:r>
      <w:r>
        <w:rPr>
          <w:spacing w:val="-2"/>
        </w:rPr>
        <w:t>Model</w:t>
      </w:r>
    </w:p>
    <w:p>
      <w:pPr>
        <w:spacing w:before="239"/>
        <w:ind w:left="480" w:right="0" w:firstLine="0"/>
        <w:jc w:val="left"/>
        <w:rPr>
          <w:rFonts w:ascii="Courier New"/>
          <w:sz w:val="20"/>
        </w:rPr>
      </w:pPr>
      <w:r>
        <w:rPr>
          <w:rFonts w:ascii="Courier New"/>
          <w:sz w:val="20"/>
        </w:rPr>
        <w:t>[DataSet1]</w:t>
      </w:r>
      <w:r>
        <w:rPr>
          <w:rFonts w:ascii="Courier New"/>
          <w:spacing w:val="-16"/>
          <w:sz w:val="20"/>
        </w:rPr>
        <w:t> </w:t>
      </w:r>
      <w:r>
        <w:rPr>
          <w:rFonts w:ascii="Courier New"/>
          <w:sz w:val="20"/>
        </w:rPr>
        <w:t>C:\Users\umar\Documents\Amos</w:t>
      </w:r>
      <w:r>
        <w:rPr>
          <w:rFonts w:ascii="Courier New"/>
          <w:spacing w:val="-15"/>
          <w:sz w:val="20"/>
        </w:rPr>
        <w:t> </w:t>
      </w:r>
      <w:r>
        <w:rPr>
          <w:rFonts w:ascii="Courier New"/>
          <w:sz w:val="20"/>
        </w:rPr>
        <w:t>Kwasau's</w:t>
      </w:r>
      <w:r>
        <w:rPr>
          <w:rFonts w:ascii="Courier New"/>
          <w:spacing w:val="-15"/>
          <w:sz w:val="20"/>
        </w:rPr>
        <w:t> </w:t>
      </w:r>
      <w:r>
        <w:rPr>
          <w:rFonts w:ascii="Courier New"/>
          <w:spacing w:val="-2"/>
          <w:sz w:val="20"/>
        </w:rPr>
        <w:t>Data.sav</w:t>
      </w:r>
    </w:p>
    <w:p>
      <w:pPr>
        <w:pStyle w:val="BodyText"/>
        <w:spacing w:before="96"/>
        <w:ind w:left="0"/>
        <w:jc w:val="left"/>
        <w:rPr>
          <w:rFonts w:ascii="Courier New"/>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1511"/>
        <w:gridCol w:w="3552"/>
        <w:gridCol w:w="2163"/>
      </w:tblGrid>
      <w:tr>
        <w:trPr>
          <w:trHeight w:val="212" w:hRule="atLeast"/>
        </w:trPr>
        <w:tc>
          <w:tcPr>
            <w:tcW w:w="1001" w:type="dxa"/>
            <w:tcBorders>
              <w:bottom w:val="double" w:sz="8" w:space="0" w:color="000000"/>
            </w:tcBorders>
          </w:tcPr>
          <w:p>
            <w:pPr>
              <w:pStyle w:val="TableParagraph"/>
              <w:rPr>
                <w:sz w:val="14"/>
              </w:rPr>
            </w:pPr>
          </w:p>
        </w:tc>
        <w:tc>
          <w:tcPr>
            <w:tcW w:w="1511" w:type="dxa"/>
            <w:tcBorders>
              <w:bottom w:val="double" w:sz="8" w:space="0" w:color="000000"/>
            </w:tcBorders>
          </w:tcPr>
          <w:p>
            <w:pPr>
              <w:pStyle w:val="TableParagraph"/>
              <w:rPr>
                <w:sz w:val="14"/>
              </w:rPr>
            </w:pPr>
          </w:p>
        </w:tc>
        <w:tc>
          <w:tcPr>
            <w:tcW w:w="3552" w:type="dxa"/>
            <w:tcBorders>
              <w:bottom w:val="double" w:sz="8" w:space="0" w:color="000000"/>
            </w:tcBorders>
          </w:tcPr>
          <w:p>
            <w:pPr>
              <w:pStyle w:val="TableParagraph"/>
              <w:spacing w:line="193" w:lineRule="exact"/>
              <w:ind w:left="474"/>
              <w:rPr>
                <w:rFonts w:ascii="Arial"/>
                <w:b/>
                <w:sz w:val="18"/>
              </w:rPr>
            </w:pPr>
            <w:r>
              <w:rPr>
                <w:rFonts w:ascii="Arial"/>
                <w:b/>
                <w:sz w:val="18"/>
              </w:rPr>
              <w:t>Between-Subjects</w:t>
            </w:r>
            <w:r>
              <w:rPr>
                <w:rFonts w:ascii="Arial"/>
                <w:b/>
                <w:spacing w:val="-10"/>
                <w:sz w:val="18"/>
              </w:rPr>
              <w:t> </w:t>
            </w:r>
            <w:r>
              <w:rPr>
                <w:rFonts w:ascii="Arial"/>
                <w:b/>
                <w:spacing w:val="-2"/>
                <w:sz w:val="18"/>
              </w:rPr>
              <w:t>Factors</w:t>
            </w:r>
          </w:p>
        </w:tc>
        <w:tc>
          <w:tcPr>
            <w:tcW w:w="2163" w:type="dxa"/>
            <w:tcBorders>
              <w:bottom w:val="double" w:sz="8" w:space="0" w:color="000000"/>
            </w:tcBorders>
          </w:tcPr>
          <w:p>
            <w:pPr>
              <w:pStyle w:val="TableParagraph"/>
              <w:rPr>
                <w:sz w:val="14"/>
              </w:rPr>
            </w:pPr>
          </w:p>
        </w:tc>
      </w:tr>
      <w:tr>
        <w:trPr>
          <w:trHeight w:val="317" w:hRule="atLeast"/>
        </w:trPr>
        <w:tc>
          <w:tcPr>
            <w:tcW w:w="1001" w:type="dxa"/>
            <w:tcBorders>
              <w:top w:val="double" w:sz="8" w:space="0" w:color="000000"/>
              <w:bottom w:val="single" w:sz="18" w:space="0" w:color="000000"/>
            </w:tcBorders>
          </w:tcPr>
          <w:p>
            <w:pPr>
              <w:pStyle w:val="TableParagraph"/>
              <w:rPr>
                <w:sz w:val="18"/>
              </w:rPr>
            </w:pPr>
          </w:p>
        </w:tc>
        <w:tc>
          <w:tcPr>
            <w:tcW w:w="1511" w:type="dxa"/>
            <w:tcBorders>
              <w:top w:val="double" w:sz="8" w:space="0" w:color="000000"/>
              <w:bottom w:val="single" w:sz="18" w:space="0" w:color="000000"/>
            </w:tcBorders>
          </w:tcPr>
          <w:p>
            <w:pPr>
              <w:pStyle w:val="TableParagraph"/>
              <w:rPr>
                <w:sz w:val="18"/>
              </w:rPr>
            </w:pPr>
          </w:p>
        </w:tc>
        <w:tc>
          <w:tcPr>
            <w:tcW w:w="3552" w:type="dxa"/>
            <w:tcBorders>
              <w:top w:val="double" w:sz="8" w:space="0" w:color="000000"/>
              <w:bottom w:val="single" w:sz="18" w:space="0" w:color="000000"/>
            </w:tcBorders>
          </w:tcPr>
          <w:p>
            <w:pPr>
              <w:pStyle w:val="TableParagraph"/>
              <w:spacing w:line="194" w:lineRule="exact" w:before="103"/>
              <w:ind w:left="1612"/>
              <w:rPr>
                <w:rFonts w:ascii="Arial MT"/>
                <w:sz w:val="18"/>
              </w:rPr>
            </w:pPr>
            <w:r>
              <w:rPr>
                <w:rFonts w:ascii="Arial MT"/>
                <w:sz w:val="18"/>
              </w:rPr>
              <w:t>Value</w:t>
            </w:r>
            <w:r>
              <w:rPr>
                <w:rFonts w:ascii="Arial MT"/>
                <w:spacing w:val="-1"/>
                <w:sz w:val="18"/>
              </w:rPr>
              <w:t> </w:t>
            </w:r>
            <w:r>
              <w:rPr>
                <w:rFonts w:ascii="Arial MT"/>
                <w:spacing w:val="-2"/>
                <w:sz w:val="18"/>
              </w:rPr>
              <w:t>Label</w:t>
            </w:r>
          </w:p>
        </w:tc>
        <w:tc>
          <w:tcPr>
            <w:tcW w:w="2163" w:type="dxa"/>
            <w:tcBorders>
              <w:top w:val="double" w:sz="8" w:space="0" w:color="000000"/>
              <w:bottom w:val="single" w:sz="18" w:space="0" w:color="000000"/>
            </w:tcBorders>
          </w:tcPr>
          <w:p>
            <w:pPr>
              <w:pStyle w:val="TableParagraph"/>
              <w:spacing w:line="194" w:lineRule="exact" w:before="103"/>
              <w:ind w:right="58"/>
              <w:jc w:val="center"/>
              <w:rPr>
                <w:rFonts w:ascii="Arial MT"/>
                <w:sz w:val="18"/>
              </w:rPr>
            </w:pPr>
            <w:r>
              <w:rPr>
                <w:rFonts w:ascii="Arial MT"/>
                <w:spacing w:val="-10"/>
                <w:sz w:val="18"/>
              </w:rPr>
              <w:t>N</w:t>
            </w:r>
          </w:p>
        </w:tc>
      </w:tr>
      <w:tr>
        <w:trPr>
          <w:trHeight w:val="399" w:hRule="atLeast"/>
        </w:trPr>
        <w:tc>
          <w:tcPr>
            <w:tcW w:w="1001" w:type="dxa"/>
            <w:tcBorders>
              <w:top w:val="single" w:sz="18" w:space="0" w:color="000000"/>
            </w:tcBorders>
          </w:tcPr>
          <w:p>
            <w:pPr>
              <w:pStyle w:val="TableParagraph"/>
              <w:spacing w:before="101"/>
              <w:ind w:left="62"/>
              <w:rPr>
                <w:rFonts w:ascii="Arial MT"/>
                <w:sz w:val="18"/>
              </w:rPr>
            </w:pPr>
            <w:r>
              <w:rPr>
                <w:rFonts w:ascii="Arial MT"/>
                <w:spacing w:val="-5"/>
                <w:sz w:val="18"/>
              </w:rPr>
              <w:t>sex</w:t>
            </w:r>
          </w:p>
        </w:tc>
        <w:tc>
          <w:tcPr>
            <w:tcW w:w="1511" w:type="dxa"/>
            <w:tcBorders>
              <w:top w:val="single" w:sz="18" w:space="0" w:color="000000"/>
            </w:tcBorders>
          </w:tcPr>
          <w:p>
            <w:pPr>
              <w:pStyle w:val="TableParagraph"/>
              <w:spacing w:before="101"/>
              <w:ind w:right="87"/>
              <w:jc w:val="center"/>
              <w:rPr>
                <w:rFonts w:ascii="Arial MT"/>
                <w:sz w:val="18"/>
              </w:rPr>
            </w:pPr>
            <w:r>
              <w:rPr>
                <w:rFonts w:ascii="Arial MT"/>
                <w:spacing w:val="-10"/>
                <w:sz w:val="18"/>
              </w:rPr>
              <w:t>1</w:t>
            </w:r>
          </w:p>
        </w:tc>
        <w:tc>
          <w:tcPr>
            <w:tcW w:w="3552" w:type="dxa"/>
            <w:tcBorders>
              <w:top w:val="single" w:sz="18" w:space="0" w:color="000000"/>
            </w:tcBorders>
          </w:tcPr>
          <w:p>
            <w:pPr>
              <w:pStyle w:val="TableParagraph"/>
              <w:spacing w:before="101"/>
              <w:ind w:left="748"/>
              <w:rPr>
                <w:rFonts w:ascii="Arial MT"/>
                <w:sz w:val="18"/>
              </w:rPr>
            </w:pPr>
            <w:r>
              <w:rPr>
                <w:rFonts w:ascii="Arial MT"/>
                <w:spacing w:val="-4"/>
                <w:sz w:val="18"/>
              </w:rPr>
              <w:t>Male</w:t>
            </w:r>
          </w:p>
        </w:tc>
        <w:tc>
          <w:tcPr>
            <w:tcW w:w="2163" w:type="dxa"/>
            <w:tcBorders>
              <w:top w:val="single" w:sz="18" w:space="0" w:color="000000"/>
            </w:tcBorders>
          </w:tcPr>
          <w:p>
            <w:pPr>
              <w:pStyle w:val="TableParagraph"/>
              <w:spacing w:before="101"/>
              <w:ind w:right="61"/>
              <w:jc w:val="right"/>
              <w:rPr>
                <w:rFonts w:ascii="Arial MT"/>
                <w:sz w:val="18"/>
              </w:rPr>
            </w:pPr>
            <w:r>
              <w:rPr>
                <w:rFonts w:ascii="Arial MT"/>
                <w:spacing w:val="-5"/>
                <w:sz w:val="18"/>
              </w:rPr>
              <w:t>89</w:t>
            </w:r>
          </w:p>
        </w:tc>
      </w:tr>
      <w:tr>
        <w:trPr>
          <w:trHeight w:val="302" w:hRule="atLeast"/>
        </w:trPr>
        <w:tc>
          <w:tcPr>
            <w:tcW w:w="1001" w:type="dxa"/>
            <w:tcBorders>
              <w:bottom w:val="double" w:sz="8" w:space="0" w:color="000000"/>
            </w:tcBorders>
          </w:tcPr>
          <w:p>
            <w:pPr>
              <w:pStyle w:val="TableParagraph"/>
              <w:rPr>
                <w:sz w:val="18"/>
              </w:rPr>
            </w:pPr>
          </w:p>
        </w:tc>
        <w:tc>
          <w:tcPr>
            <w:tcW w:w="1511" w:type="dxa"/>
            <w:tcBorders>
              <w:bottom w:val="double" w:sz="8" w:space="0" w:color="000000"/>
            </w:tcBorders>
          </w:tcPr>
          <w:p>
            <w:pPr>
              <w:pStyle w:val="TableParagraph"/>
              <w:spacing w:line="196" w:lineRule="exact" w:before="86"/>
              <w:ind w:right="87"/>
              <w:jc w:val="center"/>
              <w:rPr>
                <w:rFonts w:ascii="Arial MT"/>
                <w:sz w:val="18"/>
              </w:rPr>
            </w:pPr>
            <w:r>
              <w:rPr>
                <w:rFonts w:ascii="Arial MT"/>
                <w:spacing w:val="-10"/>
                <w:sz w:val="18"/>
              </w:rPr>
              <w:t>2</w:t>
            </w:r>
          </w:p>
        </w:tc>
        <w:tc>
          <w:tcPr>
            <w:tcW w:w="3552" w:type="dxa"/>
            <w:tcBorders>
              <w:bottom w:val="double" w:sz="8" w:space="0" w:color="000000"/>
            </w:tcBorders>
          </w:tcPr>
          <w:p>
            <w:pPr>
              <w:pStyle w:val="TableParagraph"/>
              <w:spacing w:line="196" w:lineRule="exact" w:before="86"/>
              <w:ind w:left="748"/>
              <w:rPr>
                <w:rFonts w:ascii="Arial MT"/>
                <w:sz w:val="18"/>
              </w:rPr>
            </w:pPr>
            <w:r>
              <w:rPr>
                <w:rFonts w:ascii="Arial MT"/>
                <w:spacing w:val="-2"/>
                <w:sz w:val="18"/>
              </w:rPr>
              <w:t>Female</w:t>
            </w:r>
          </w:p>
        </w:tc>
        <w:tc>
          <w:tcPr>
            <w:tcW w:w="2163" w:type="dxa"/>
            <w:tcBorders>
              <w:bottom w:val="double" w:sz="8" w:space="0" w:color="000000"/>
            </w:tcBorders>
          </w:tcPr>
          <w:p>
            <w:pPr>
              <w:pStyle w:val="TableParagraph"/>
              <w:spacing w:line="196" w:lineRule="exact" w:before="86"/>
              <w:ind w:right="61"/>
              <w:jc w:val="right"/>
              <w:rPr>
                <w:rFonts w:ascii="Arial MT"/>
                <w:sz w:val="18"/>
              </w:rPr>
            </w:pPr>
            <w:r>
              <w:rPr>
                <w:rFonts w:ascii="Arial MT"/>
                <w:spacing w:val="-5"/>
                <w:sz w:val="18"/>
              </w:rPr>
              <w:t>63</w:t>
            </w:r>
          </w:p>
        </w:tc>
      </w:tr>
    </w:tbl>
    <w:p>
      <w:pPr>
        <w:pStyle w:val="BodyText"/>
        <w:ind w:left="0"/>
        <w:jc w:val="left"/>
        <w:rPr>
          <w:rFonts w:ascii="Courier New"/>
          <w:sz w:val="20"/>
        </w:rPr>
      </w:pPr>
    </w:p>
    <w:p>
      <w:pPr>
        <w:pStyle w:val="BodyText"/>
        <w:ind w:left="0"/>
        <w:jc w:val="left"/>
        <w:rPr>
          <w:rFonts w:ascii="Courier New"/>
          <w:sz w:val="20"/>
        </w:rPr>
      </w:pPr>
    </w:p>
    <w:p>
      <w:pPr>
        <w:pStyle w:val="BodyText"/>
        <w:spacing w:before="200"/>
        <w:ind w:left="0"/>
        <w:jc w:val="left"/>
        <w:rPr>
          <w:rFonts w:ascii="Courier New"/>
          <w:sz w:val="20"/>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3"/>
        <w:gridCol w:w="2014"/>
        <w:gridCol w:w="1079"/>
        <w:gridCol w:w="1272"/>
        <w:gridCol w:w="1909"/>
        <w:gridCol w:w="1083"/>
        <w:gridCol w:w="862"/>
      </w:tblGrid>
      <w:tr>
        <w:trPr>
          <w:trHeight w:val="246" w:hRule="atLeast"/>
        </w:trPr>
        <w:tc>
          <w:tcPr>
            <w:tcW w:w="9132" w:type="dxa"/>
            <w:gridSpan w:val="7"/>
            <w:tcBorders>
              <w:bottom w:val="double" w:sz="8" w:space="0" w:color="000000"/>
            </w:tcBorders>
          </w:tcPr>
          <w:p>
            <w:pPr>
              <w:pStyle w:val="TableParagraph"/>
              <w:spacing w:line="196" w:lineRule="exact" w:before="31"/>
              <w:ind w:left="6"/>
              <w:jc w:val="center"/>
              <w:rPr>
                <w:rFonts w:ascii="Arial"/>
                <w:b/>
                <w:sz w:val="18"/>
              </w:rPr>
            </w:pPr>
            <w:r>
              <w:rPr>
                <w:rFonts w:ascii="Arial"/>
                <w:b/>
                <w:sz w:val="18"/>
              </w:rPr>
              <w:t>Multivariate</w:t>
            </w:r>
            <w:r>
              <w:rPr>
                <w:rFonts w:ascii="Arial"/>
                <w:b/>
                <w:spacing w:val="-6"/>
                <w:sz w:val="18"/>
              </w:rPr>
              <w:t> </w:t>
            </w:r>
            <w:r>
              <w:rPr>
                <w:rFonts w:ascii="Arial"/>
                <w:b/>
                <w:spacing w:val="-2"/>
                <w:sz w:val="18"/>
              </w:rPr>
              <w:t>Tests</w:t>
            </w:r>
            <w:r>
              <w:rPr>
                <w:rFonts w:ascii="Arial"/>
                <w:b/>
                <w:spacing w:val="-2"/>
                <w:sz w:val="18"/>
                <w:vertAlign w:val="superscript"/>
              </w:rPr>
              <w:t>b</w:t>
            </w:r>
          </w:p>
        </w:tc>
      </w:tr>
      <w:tr>
        <w:trPr>
          <w:trHeight w:val="317" w:hRule="atLeast"/>
        </w:trPr>
        <w:tc>
          <w:tcPr>
            <w:tcW w:w="913" w:type="dxa"/>
            <w:tcBorders>
              <w:top w:val="double" w:sz="8" w:space="0" w:color="000000"/>
              <w:bottom w:val="single" w:sz="18" w:space="0" w:color="000000"/>
            </w:tcBorders>
          </w:tcPr>
          <w:p>
            <w:pPr>
              <w:pStyle w:val="TableParagraph"/>
              <w:spacing w:line="189" w:lineRule="exact" w:before="108"/>
              <w:ind w:left="62"/>
              <w:rPr>
                <w:rFonts w:ascii="Arial MT"/>
                <w:sz w:val="18"/>
              </w:rPr>
            </w:pPr>
            <w:r>
              <w:rPr>
                <w:rFonts w:ascii="Arial MT"/>
                <w:spacing w:val="-2"/>
                <w:sz w:val="18"/>
              </w:rPr>
              <w:t>Effect</w:t>
            </w:r>
          </w:p>
        </w:tc>
        <w:tc>
          <w:tcPr>
            <w:tcW w:w="2014" w:type="dxa"/>
            <w:tcBorders>
              <w:top w:val="double" w:sz="8" w:space="0" w:color="000000"/>
              <w:bottom w:val="single" w:sz="18" w:space="0" w:color="000000"/>
            </w:tcBorders>
          </w:tcPr>
          <w:p>
            <w:pPr>
              <w:pStyle w:val="TableParagraph"/>
              <w:rPr>
                <w:sz w:val="18"/>
              </w:rPr>
            </w:pPr>
          </w:p>
        </w:tc>
        <w:tc>
          <w:tcPr>
            <w:tcW w:w="1079" w:type="dxa"/>
            <w:tcBorders>
              <w:top w:val="double" w:sz="8" w:space="0" w:color="000000"/>
              <w:bottom w:val="single" w:sz="18" w:space="0" w:color="000000"/>
            </w:tcBorders>
          </w:tcPr>
          <w:p>
            <w:pPr>
              <w:pStyle w:val="TableParagraph"/>
              <w:spacing w:line="189" w:lineRule="exact" w:before="108"/>
              <w:ind w:left="213"/>
              <w:rPr>
                <w:rFonts w:ascii="Arial MT"/>
                <w:sz w:val="18"/>
              </w:rPr>
            </w:pPr>
            <w:r>
              <w:rPr>
                <w:rFonts w:ascii="Arial MT"/>
                <w:spacing w:val="-2"/>
                <w:sz w:val="18"/>
              </w:rPr>
              <w:t>Value</w:t>
            </w:r>
          </w:p>
        </w:tc>
        <w:tc>
          <w:tcPr>
            <w:tcW w:w="1272" w:type="dxa"/>
            <w:tcBorders>
              <w:top w:val="double" w:sz="8" w:space="0" w:color="000000"/>
              <w:bottom w:val="single" w:sz="18" w:space="0" w:color="000000"/>
            </w:tcBorders>
          </w:tcPr>
          <w:p>
            <w:pPr>
              <w:pStyle w:val="TableParagraph"/>
              <w:spacing w:line="189" w:lineRule="exact" w:before="108"/>
              <w:ind w:left="411"/>
              <w:rPr>
                <w:rFonts w:ascii="Arial MT"/>
                <w:sz w:val="18"/>
              </w:rPr>
            </w:pPr>
            <w:r>
              <w:rPr>
                <w:rFonts w:ascii="Arial MT"/>
                <w:spacing w:val="-10"/>
                <w:sz w:val="18"/>
              </w:rPr>
              <w:t>F</w:t>
            </w:r>
          </w:p>
        </w:tc>
        <w:tc>
          <w:tcPr>
            <w:tcW w:w="1909" w:type="dxa"/>
            <w:tcBorders>
              <w:top w:val="double" w:sz="8" w:space="0" w:color="000000"/>
              <w:bottom w:val="single" w:sz="18" w:space="0" w:color="000000"/>
            </w:tcBorders>
          </w:tcPr>
          <w:p>
            <w:pPr>
              <w:pStyle w:val="TableParagraph"/>
              <w:spacing w:line="189" w:lineRule="exact" w:before="108"/>
              <w:ind w:left="268"/>
              <w:rPr>
                <w:rFonts w:ascii="Arial MT"/>
                <w:sz w:val="18"/>
              </w:rPr>
            </w:pPr>
            <w:r>
              <w:rPr>
                <w:rFonts w:ascii="Arial MT"/>
                <w:sz w:val="18"/>
              </w:rPr>
              <w:t>Hypothesis</w:t>
            </w:r>
            <w:r>
              <w:rPr>
                <w:rFonts w:ascii="Arial MT"/>
                <w:spacing w:val="-5"/>
                <w:sz w:val="18"/>
              </w:rPr>
              <w:t> df</w:t>
            </w:r>
          </w:p>
        </w:tc>
        <w:tc>
          <w:tcPr>
            <w:tcW w:w="1083" w:type="dxa"/>
            <w:tcBorders>
              <w:top w:val="double" w:sz="8" w:space="0" w:color="000000"/>
              <w:bottom w:val="single" w:sz="18" w:space="0" w:color="000000"/>
            </w:tcBorders>
          </w:tcPr>
          <w:p>
            <w:pPr>
              <w:pStyle w:val="TableParagraph"/>
              <w:spacing w:line="189" w:lineRule="exact" w:before="108"/>
              <w:ind w:left="131"/>
              <w:rPr>
                <w:rFonts w:ascii="Arial MT"/>
                <w:sz w:val="18"/>
              </w:rPr>
            </w:pPr>
            <w:r>
              <w:rPr>
                <w:rFonts w:ascii="Arial MT"/>
                <w:sz w:val="18"/>
              </w:rPr>
              <w:t>Error</w:t>
            </w:r>
            <w:r>
              <w:rPr>
                <w:rFonts w:ascii="Arial MT"/>
                <w:spacing w:val="-1"/>
                <w:sz w:val="18"/>
              </w:rPr>
              <w:t> </w:t>
            </w:r>
            <w:r>
              <w:rPr>
                <w:rFonts w:ascii="Arial MT"/>
                <w:spacing w:val="-7"/>
                <w:sz w:val="18"/>
              </w:rPr>
              <w:t>df</w:t>
            </w:r>
          </w:p>
        </w:tc>
        <w:tc>
          <w:tcPr>
            <w:tcW w:w="862" w:type="dxa"/>
            <w:tcBorders>
              <w:top w:val="double" w:sz="8" w:space="0" w:color="000000"/>
              <w:bottom w:val="single" w:sz="18" w:space="0" w:color="000000"/>
            </w:tcBorders>
          </w:tcPr>
          <w:p>
            <w:pPr>
              <w:pStyle w:val="TableParagraph"/>
              <w:spacing w:line="189" w:lineRule="exact" w:before="108"/>
              <w:ind w:left="205"/>
              <w:rPr>
                <w:rFonts w:ascii="Arial MT"/>
                <w:sz w:val="18"/>
              </w:rPr>
            </w:pPr>
            <w:r>
              <w:rPr>
                <w:rFonts w:ascii="Arial MT"/>
                <w:spacing w:val="-4"/>
                <w:sz w:val="18"/>
              </w:rPr>
              <w:t>Sig.</w:t>
            </w:r>
          </w:p>
        </w:tc>
      </w:tr>
      <w:tr>
        <w:trPr>
          <w:trHeight w:val="374" w:hRule="atLeast"/>
        </w:trPr>
        <w:tc>
          <w:tcPr>
            <w:tcW w:w="913" w:type="dxa"/>
            <w:tcBorders>
              <w:top w:val="single" w:sz="18" w:space="0" w:color="000000"/>
            </w:tcBorders>
          </w:tcPr>
          <w:p>
            <w:pPr>
              <w:pStyle w:val="TableParagraph"/>
              <w:spacing w:before="106"/>
              <w:ind w:left="62"/>
              <w:rPr>
                <w:rFonts w:ascii="Arial MT"/>
                <w:sz w:val="18"/>
              </w:rPr>
            </w:pPr>
            <w:r>
              <w:rPr>
                <w:rFonts w:ascii="Arial MT"/>
                <w:spacing w:val="-2"/>
                <w:sz w:val="18"/>
              </w:rPr>
              <w:t>Intercept</w:t>
            </w:r>
          </w:p>
        </w:tc>
        <w:tc>
          <w:tcPr>
            <w:tcW w:w="2014" w:type="dxa"/>
            <w:tcBorders>
              <w:top w:val="single" w:sz="18" w:space="0" w:color="000000"/>
            </w:tcBorders>
          </w:tcPr>
          <w:p>
            <w:pPr>
              <w:pStyle w:val="TableParagraph"/>
              <w:spacing w:before="106"/>
              <w:ind w:left="148"/>
              <w:rPr>
                <w:rFonts w:ascii="Arial MT"/>
                <w:sz w:val="18"/>
              </w:rPr>
            </w:pPr>
            <w:r>
              <w:rPr>
                <w:rFonts w:ascii="Arial MT"/>
                <w:sz w:val="18"/>
              </w:rPr>
              <w:t>Pillai's</w:t>
            </w:r>
            <w:r>
              <w:rPr>
                <w:rFonts w:ascii="Arial MT"/>
                <w:spacing w:val="-5"/>
                <w:sz w:val="18"/>
              </w:rPr>
              <w:t> </w:t>
            </w:r>
            <w:r>
              <w:rPr>
                <w:rFonts w:ascii="Arial MT"/>
                <w:spacing w:val="-2"/>
                <w:sz w:val="18"/>
              </w:rPr>
              <w:t>Trace</w:t>
            </w:r>
          </w:p>
        </w:tc>
        <w:tc>
          <w:tcPr>
            <w:tcW w:w="1079" w:type="dxa"/>
            <w:tcBorders>
              <w:top w:val="single" w:sz="18" w:space="0" w:color="000000"/>
            </w:tcBorders>
          </w:tcPr>
          <w:p>
            <w:pPr>
              <w:pStyle w:val="TableParagraph"/>
              <w:spacing w:before="106"/>
              <w:ind w:right="181"/>
              <w:jc w:val="right"/>
              <w:rPr>
                <w:rFonts w:ascii="Arial MT"/>
                <w:sz w:val="18"/>
              </w:rPr>
            </w:pPr>
            <w:r>
              <w:rPr>
                <w:rFonts w:ascii="Arial MT"/>
                <w:spacing w:val="-4"/>
                <w:sz w:val="18"/>
              </w:rPr>
              <w:t>.979</w:t>
            </w:r>
          </w:p>
        </w:tc>
        <w:tc>
          <w:tcPr>
            <w:tcW w:w="1272" w:type="dxa"/>
            <w:tcBorders>
              <w:top w:val="single" w:sz="18" w:space="0" w:color="000000"/>
            </w:tcBorders>
          </w:tcPr>
          <w:p>
            <w:pPr>
              <w:pStyle w:val="TableParagraph"/>
              <w:spacing w:before="106"/>
              <w:ind w:right="263"/>
              <w:jc w:val="right"/>
              <w:rPr>
                <w:rFonts w:ascii="Arial MT"/>
                <w:sz w:val="18"/>
              </w:rPr>
            </w:pPr>
            <w:r>
              <w:rPr>
                <w:rFonts w:ascii="Arial MT"/>
                <w:spacing w:val="-2"/>
                <w:sz w:val="18"/>
              </w:rPr>
              <w:t>1744.140</w:t>
            </w:r>
            <w:r>
              <w:rPr>
                <w:rFonts w:ascii="Arial MT"/>
                <w:spacing w:val="-2"/>
                <w:sz w:val="18"/>
                <w:vertAlign w:val="superscript"/>
              </w:rPr>
              <w:t>a</w:t>
            </w:r>
          </w:p>
        </w:tc>
        <w:tc>
          <w:tcPr>
            <w:tcW w:w="1909" w:type="dxa"/>
            <w:tcBorders>
              <w:top w:val="single" w:sz="18" w:space="0" w:color="000000"/>
            </w:tcBorders>
          </w:tcPr>
          <w:p>
            <w:pPr>
              <w:pStyle w:val="TableParagraph"/>
              <w:spacing w:before="106"/>
              <w:ind w:right="126"/>
              <w:jc w:val="right"/>
              <w:rPr>
                <w:rFonts w:ascii="Arial MT"/>
                <w:sz w:val="18"/>
              </w:rPr>
            </w:pPr>
            <w:r>
              <w:rPr>
                <w:rFonts w:ascii="Arial MT"/>
                <w:spacing w:val="-2"/>
                <w:sz w:val="18"/>
              </w:rPr>
              <w:t>4.000</w:t>
            </w:r>
          </w:p>
        </w:tc>
        <w:tc>
          <w:tcPr>
            <w:tcW w:w="1083" w:type="dxa"/>
            <w:tcBorders>
              <w:top w:val="single" w:sz="18" w:space="0" w:color="000000"/>
            </w:tcBorders>
          </w:tcPr>
          <w:p>
            <w:pPr>
              <w:pStyle w:val="TableParagraph"/>
              <w:spacing w:before="106"/>
              <w:ind w:right="200"/>
              <w:jc w:val="right"/>
              <w:rPr>
                <w:rFonts w:ascii="Arial MT"/>
                <w:sz w:val="18"/>
              </w:rPr>
            </w:pPr>
            <w:r>
              <w:rPr>
                <w:rFonts w:ascii="Arial MT"/>
                <w:spacing w:val="-2"/>
                <w:sz w:val="18"/>
              </w:rPr>
              <w:t>147.000</w:t>
            </w:r>
          </w:p>
        </w:tc>
        <w:tc>
          <w:tcPr>
            <w:tcW w:w="862" w:type="dxa"/>
            <w:tcBorders>
              <w:top w:val="single" w:sz="18" w:space="0" w:color="000000"/>
            </w:tcBorders>
          </w:tcPr>
          <w:p>
            <w:pPr>
              <w:pStyle w:val="TableParagraph"/>
              <w:spacing w:before="106"/>
              <w:ind w:right="49"/>
              <w:jc w:val="right"/>
              <w:rPr>
                <w:rFonts w:ascii="Arial MT"/>
                <w:sz w:val="18"/>
              </w:rPr>
            </w:pPr>
            <w:r>
              <w:rPr>
                <w:rFonts w:ascii="Arial MT"/>
                <w:spacing w:val="-4"/>
                <w:sz w:val="18"/>
              </w:rPr>
              <w:t>.000</w:t>
            </w:r>
          </w:p>
        </w:tc>
      </w:tr>
      <w:tr>
        <w:trPr>
          <w:trHeight w:val="360" w:hRule="atLeast"/>
        </w:trPr>
        <w:tc>
          <w:tcPr>
            <w:tcW w:w="913" w:type="dxa"/>
          </w:tcPr>
          <w:p>
            <w:pPr>
              <w:pStyle w:val="TableParagraph"/>
              <w:rPr>
                <w:sz w:val="18"/>
              </w:rPr>
            </w:pPr>
          </w:p>
        </w:tc>
        <w:tc>
          <w:tcPr>
            <w:tcW w:w="2014" w:type="dxa"/>
          </w:tcPr>
          <w:p>
            <w:pPr>
              <w:pStyle w:val="TableParagraph"/>
              <w:spacing w:before="92"/>
              <w:ind w:left="148"/>
              <w:rPr>
                <w:rFonts w:ascii="Arial MT"/>
                <w:sz w:val="18"/>
              </w:rPr>
            </w:pPr>
            <w:r>
              <w:rPr>
                <w:rFonts w:ascii="Arial MT"/>
                <w:sz w:val="18"/>
              </w:rPr>
              <w:t>Wilks'</w:t>
            </w:r>
            <w:r>
              <w:rPr>
                <w:rFonts w:ascii="Arial MT"/>
                <w:spacing w:val="-1"/>
                <w:sz w:val="18"/>
              </w:rPr>
              <w:t> </w:t>
            </w:r>
            <w:r>
              <w:rPr>
                <w:rFonts w:ascii="Arial MT"/>
                <w:spacing w:val="-2"/>
                <w:sz w:val="18"/>
              </w:rPr>
              <w:t>Lambda</w:t>
            </w:r>
          </w:p>
        </w:tc>
        <w:tc>
          <w:tcPr>
            <w:tcW w:w="1079" w:type="dxa"/>
          </w:tcPr>
          <w:p>
            <w:pPr>
              <w:pStyle w:val="TableParagraph"/>
              <w:spacing w:before="92"/>
              <w:ind w:right="181"/>
              <w:jc w:val="right"/>
              <w:rPr>
                <w:rFonts w:ascii="Arial MT"/>
                <w:sz w:val="18"/>
              </w:rPr>
            </w:pPr>
            <w:r>
              <w:rPr>
                <w:rFonts w:ascii="Arial MT"/>
                <w:spacing w:val="-4"/>
                <w:sz w:val="18"/>
              </w:rPr>
              <w:t>.021</w:t>
            </w:r>
          </w:p>
        </w:tc>
        <w:tc>
          <w:tcPr>
            <w:tcW w:w="1272" w:type="dxa"/>
          </w:tcPr>
          <w:p>
            <w:pPr>
              <w:pStyle w:val="TableParagraph"/>
              <w:spacing w:before="92"/>
              <w:ind w:right="263"/>
              <w:jc w:val="right"/>
              <w:rPr>
                <w:rFonts w:ascii="Arial MT"/>
                <w:sz w:val="18"/>
              </w:rPr>
            </w:pPr>
            <w:r>
              <w:rPr>
                <w:rFonts w:ascii="Arial MT"/>
                <w:spacing w:val="-2"/>
                <w:sz w:val="18"/>
              </w:rPr>
              <w:t>1744.140</w:t>
            </w:r>
            <w:r>
              <w:rPr>
                <w:rFonts w:ascii="Arial MT"/>
                <w:spacing w:val="-2"/>
                <w:sz w:val="18"/>
                <w:vertAlign w:val="superscript"/>
              </w:rPr>
              <w:t>a</w:t>
            </w:r>
          </w:p>
        </w:tc>
        <w:tc>
          <w:tcPr>
            <w:tcW w:w="1909" w:type="dxa"/>
          </w:tcPr>
          <w:p>
            <w:pPr>
              <w:pStyle w:val="TableParagraph"/>
              <w:spacing w:before="92"/>
              <w:ind w:right="126"/>
              <w:jc w:val="right"/>
              <w:rPr>
                <w:rFonts w:ascii="Arial MT"/>
                <w:sz w:val="18"/>
              </w:rPr>
            </w:pPr>
            <w:r>
              <w:rPr>
                <w:rFonts w:ascii="Arial MT"/>
                <w:spacing w:val="-2"/>
                <w:sz w:val="18"/>
              </w:rPr>
              <w:t>4.000</w:t>
            </w:r>
          </w:p>
        </w:tc>
        <w:tc>
          <w:tcPr>
            <w:tcW w:w="1083" w:type="dxa"/>
          </w:tcPr>
          <w:p>
            <w:pPr>
              <w:pStyle w:val="TableParagraph"/>
              <w:spacing w:before="92"/>
              <w:ind w:right="200"/>
              <w:jc w:val="right"/>
              <w:rPr>
                <w:rFonts w:ascii="Arial MT"/>
                <w:sz w:val="18"/>
              </w:rPr>
            </w:pPr>
            <w:r>
              <w:rPr>
                <w:rFonts w:ascii="Arial MT"/>
                <w:spacing w:val="-2"/>
                <w:sz w:val="18"/>
              </w:rPr>
              <w:t>147.000</w:t>
            </w:r>
          </w:p>
        </w:tc>
        <w:tc>
          <w:tcPr>
            <w:tcW w:w="862" w:type="dxa"/>
          </w:tcPr>
          <w:p>
            <w:pPr>
              <w:pStyle w:val="TableParagraph"/>
              <w:spacing w:before="92"/>
              <w:ind w:right="49"/>
              <w:jc w:val="right"/>
              <w:rPr>
                <w:rFonts w:ascii="Arial MT"/>
                <w:sz w:val="18"/>
              </w:rPr>
            </w:pPr>
            <w:r>
              <w:rPr>
                <w:rFonts w:ascii="Arial MT"/>
                <w:spacing w:val="-4"/>
                <w:sz w:val="18"/>
              </w:rPr>
              <w:t>.000</w:t>
            </w:r>
          </w:p>
        </w:tc>
      </w:tr>
      <w:tr>
        <w:trPr>
          <w:trHeight w:val="360" w:hRule="atLeast"/>
        </w:trPr>
        <w:tc>
          <w:tcPr>
            <w:tcW w:w="913" w:type="dxa"/>
          </w:tcPr>
          <w:p>
            <w:pPr>
              <w:pStyle w:val="TableParagraph"/>
              <w:rPr>
                <w:sz w:val="18"/>
              </w:rPr>
            </w:pPr>
          </w:p>
        </w:tc>
        <w:tc>
          <w:tcPr>
            <w:tcW w:w="2014" w:type="dxa"/>
          </w:tcPr>
          <w:p>
            <w:pPr>
              <w:pStyle w:val="TableParagraph"/>
              <w:spacing w:before="91"/>
              <w:ind w:left="148"/>
              <w:rPr>
                <w:rFonts w:ascii="Arial MT"/>
                <w:sz w:val="18"/>
              </w:rPr>
            </w:pPr>
            <w:r>
              <w:rPr>
                <w:rFonts w:ascii="Arial MT"/>
                <w:sz w:val="18"/>
              </w:rPr>
              <w:t>Hotelling's</w:t>
            </w:r>
            <w:r>
              <w:rPr>
                <w:rFonts w:ascii="Arial MT"/>
                <w:spacing w:val="-6"/>
                <w:sz w:val="18"/>
              </w:rPr>
              <w:t> </w:t>
            </w:r>
            <w:r>
              <w:rPr>
                <w:rFonts w:ascii="Arial MT"/>
                <w:spacing w:val="-2"/>
                <w:sz w:val="18"/>
              </w:rPr>
              <w:t>Trace</w:t>
            </w:r>
          </w:p>
        </w:tc>
        <w:tc>
          <w:tcPr>
            <w:tcW w:w="1079" w:type="dxa"/>
          </w:tcPr>
          <w:p>
            <w:pPr>
              <w:pStyle w:val="TableParagraph"/>
              <w:spacing w:before="91"/>
              <w:ind w:right="181"/>
              <w:jc w:val="right"/>
              <w:rPr>
                <w:rFonts w:ascii="Arial MT"/>
                <w:sz w:val="18"/>
              </w:rPr>
            </w:pPr>
            <w:r>
              <w:rPr>
                <w:rFonts w:ascii="Arial MT"/>
                <w:spacing w:val="-2"/>
                <w:sz w:val="18"/>
              </w:rPr>
              <w:t>47.460</w:t>
            </w:r>
          </w:p>
        </w:tc>
        <w:tc>
          <w:tcPr>
            <w:tcW w:w="1272" w:type="dxa"/>
          </w:tcPr>
          <w:p>
            <w:pPr>
              <w:pStyle w:val="TableParagraph"/>
              <w:spacing w:before="91"/>
              <w:ind w:right="263"/>
              <w:jc w:val="right"/>
              <w:rPr>
                <w:rFonts w:ascii="Arial MT"/>
                <w:sz w:val="18"/>
              </w:rPr>
            </w:pPr>
            <w:r>
              <w:rPr>
                <w:rFonts w:ascii="Arial MT"/>
                <w:spacing w:val="-2"/>
                <w:sz w:val="18"/>
              </w:rPr>
              <w:t>1744.140</w:t>
            </w:r>
            <w:r>
              <w:rPr>
                <w:rFonts w:ascii="Arial MT"/>
                <w:spacing w:val="-2"/>
                <w:sz w:val="18"/>
                <w:vertAlign w:val="superscript"/>
              </w:rPr>
              <w:t>a</w:t>
            </w:r>
          </w:p>
        </w:tc>
        <w:tc>
          <w:tcPr>
            <w:tcW w:w="1909" w:type="dxa"/>
          </w:tcPr>
          <w:p>
            <w:pPr>
              <w:pStyle w:val="TableParagraph"/>
              <w:spacing w:before="91"/>
              <w:ind w:right="126"/>
              <w:jc w:val="right"/>
              <w:rPr>
                <w:rFonts w:ascii="Arial MT"/>
                <w:sz w:val="18"/>
              </w:rPr>
            </w:pPr>
            <w:r>
              <w:rPr>
                <w:rFonts w:ascii="Arial MT"/>
                <w:spacing w:val="-2"/>
                <w:sz w:val="18"/>
              </w:rPr>
              <w:t>4.000</w:t>
            </w:r>
          </w:p>
        </w:tc>
        <w:tc>
          <w:tcPr>
            <w:tcW w:w="1083" w:type="dxa"/>
          </w:tcPr>
          <w:p>
            <w:pPr>
              <w:pStyle w:val="TableParagraph"/>
              <w:spacing w:before="91"/>
              <w:ind w:right="200"/>
              <w:jc w:val="right"/>
              <w:rPr>
                <w:rFonts w:ascii="Arial MT"/>
                <w:sz w:val="18"/>
              </w:rPr>
            </w:pPr>
            <w:r>
              <w:rPr>
                <w:rFonts w:ascii="Arial MT"/>
                <w:spacing w:val="-2"/>
                <w:sz w:val="18"/>
              </w:rPr>
              <w:t>147.000</w:t>
            </w:r>
          </w:p>
        </w:tc>
        <w:tc>
          <w:tcPr>
            <w:tcW w:w="862" w:type="dxa"/>
          </w:tcPr>
          <w:p>
            <w:pPr>
              <w:pStyle w:val="TableParagraph"/>
              <w:spacing w:before="91"/>
              <w:ind w:right="49"/>
              <w:jc w:val="right"/>
              <w:rPr>
                <w:rFonts w:ascii="Arial MT"/>
                <w:sz w:val="18"/>
              </w:rPr>
            </w:pPr>
            <w:r>
              <w:rPr>
                <w:rFonts w:ascii="Arial MT"/>
                <w:spacing w:val="-4"/>
                <w:sz w:val="18"/>
              </w:rPr>
              <w:t>.000</w:t>
            </w:r>
          </w:p>
        </w:tc>
      </w:tr>
      <w:tr>
        <w:trPr>
          <w:trHeight w:val="303" w:hRule="atLeast"/>
        </w:trPr>
        <w:tc>
          <w:tcPr>
            <w:tcW w:w="913" w:type="dxa"/>
            <w:tcBorders>
              <w:bottom w:val="single" w:sz="8" w:space="0" w:color="000000"/>
            </w:tcBorders>
          </w:tcPr>
          <w:p>
            <w:pPr>
              <w:pStyle w:val="TableParagraph"/>
              <w:rPr>
                <w:sz w:val="18"/>
              </w:rPr>
            </w:pPr>
          </w:p>
        </w:tc>
        <w:tc>
          <w:tcPr>
            <w:tcW w:w="2014" w:type="dxa"/>
            <w:tcBorders>
              <w:bottom w:val="single" w:sz="8" w:space="0" w:color="000000"/>
            </w:tcBorders>
          </w:tcPr>
          <w:p>
            <w:pPr>
              <w:pStyle w:val="TableParagraph"/>
              <w:spacing w:line="192" w:lineRule="exact" w:before="91"/>
              <w:ind w:left="148"/>
              <w:rPr>
                <w:rFonts w:ascii="Arial MT"/>
                <w:sz w:val="18"/>
              </w:rPr>
            </w:pPr>
            <w:r>
              <w:rPr>
                <w:rFonts w:ascii="Arial MT"/>
                <w:sz w:val="18"/>
              </w:rPr>
              <w:t>Roy's</w:t>
            </w:r>
            <w:r>
              <w:rPr>
                <w:rFonts w:ascii="Arial MT"/>
                <w:spacing w:val="-2"/>
                <w:sz w:val="18"/>
              </w:rPr>
              <w:t> </w:t>
            </w:r>
            <w:r>
              <w:rPr>
                <w:rFonts w:ascii="Arial MT"/>
                <w:sz w:val="18"/>
              </w:rPr>
              <w:t>Largest</w:t>
            </w:r>
            <w:r>
              <w:rPr>
                <w:rFonts w:ascii="Arial MT"/>
                <w:spacing w:val="-5"/>
                <w:sz w:val="18"/>
              </w:rPr>
              <w:t> </w:t>
            </w:r>
            <w:r>
              <w:rPr>
                <w:rFonts w:ascii="Arial MT"/>
                <w:spacing w:val="-4"/>
                <w:sz w:val="18"/>
              </w:rPr>
              <w:t>Root</w:t>
            </w:r>
          </w:p>
        </w:tc>
        <w:tc>
          <w:tcPr>
            <w:tcW w:w="1079" w:type="dxa"/>
            <w:tcBorders>
              <w:bottom w:val="single" w:sz="8" w:space="0" w:color="000000"/>
            </w:tcBorders>
          </w:tcPr>
          <w:p>
            <w:pPr>
              <w:pStyle w:val="TableParagraph"/>
              <w:spacing w:line="192" w:lineRule="exact" w:before="91"/>
              <w:ind w:right="181"/>
              <w:jc w:val="right"/>
              <w:rPr>
                <w:rFonts w:ascii="Arial MT"/>
                <w:sz w:val="18"/>
              </w:rPr>
            </w:pPr>
            <w:r>
              <w:rPr>
                <w:rFonts w:ascii="Arial MT"/>
                <w:spacing w:val="-2"/>
                <w:sz w:val="18"/>
              </w:rPr>
              <w:t>47.460</w:t>
            </w:r>
          </w:p>
        </w:tc>
        <w:tc>
          <w:tcPr>
            <w:tcW w:w="1272" w:type="dxa"/>
            <w:tcBorders>
              <w:bottom w:val="single" w:sz="8" w:space="0" w:color="000000"/>
            </w:tcBorders>
          </w:tcPr>
          <w:p>
            <w:pPr>
              <w:pStyle w:val="TableParagraph"/>
              <w:spacing w:line="192" w:lineRule="exact" w:before="91"/>
              <w:ind w:right="263"/>
              <w:jc w:val="right"/>
              <w:rPr>
                <w:rFonts w:ascii="Arial MT"/>
                <w:sz w:val="18"/>
              </w:rPr>
            </w:pPr>
            <w:r>
              <w:rPr>
                <w:rFonts w:ascii="Arial MT"/>
                <w:spacing w:val="-2"/>
                <w:sz w:val="18"/>
              </w:rPr>
              <w:t>1744.140</w:t>
            </w:r>
            <w:r>
              <w:rPr>
                <w:rFonts w:ascii="Arial MT"/>
                <w:spacing w:val="-2"/>
                <w:sz w:val="18"/>
                <w:vertAlign w:val="superscript"/>
              </w:rPr>
              <w:t>a</w:t>
            </w:r>
          </w:p>
        </w:tc>
        <w:tc>
          <w:tcPr>
            <w:tcW w:w="1909" w:type="dxa"/>
            <w:tcBorders>
              <w:bottom w:val="single" w:sz="8" w:space="0" w:color="000000"/>
            </w:tcBorders>
          </w:tcPr>
          <w:p>
            <w:pPr>
              <w:pStyle w:val="TableParagraph"/>
              <w:spacing w:line="192" w:lineRule="exact" w:before="91"/>
              <w:ind w:right="126"/>
              <w:jc w:val="right"/>
              <w:rPr>
                <w:rFonts w:ascii="Arial MT"/>
                <w:sz w:val="18"/>
              </w:rPr>
            </w:pPr>
            <w:r>
              <w:rPr>
                <w:rFonts w:ascii="Arial MT"/>
                <w:spacing w:val="-2"/>
                <w:sz w:val="18"/>
              </w:rPr>
              <w:t>4.000</w:t>
            </w:r>
          </w:p>
        </w:tc>
        <w:tc>
          <w:tcPr>
            <w:tcW w:w="1083" w:type="dxa"/>
            <w:tcBorders>
              <w:bottom w:val="single" w:sz="8" w:space="0" w:color="000000"/>
            </w:tcBorders>
          </w:tcPr>
          <w:p>
            <w:pPr>
              <w:pStyle w:val="TableParagraph"/>
              <w:spacing w:line="192" w:lineRule="exact" w:before="91"/>
              <w:ind w:right="200"/>
              <w:jc w:val="right"/>
              <w:rPr>
                <w:rFonts w:ascii="Arial MT"/>
                <w:sz w:val="18"/>
              </w:rPr>
            </w:pPr>
            <w:r>
              <w:rPr>
                <w:rFonts w:ascii="Arial MT"/>
                <w:spacing w:val="-2"/>
                <w:sz w:val="18"/>
              </w:rPr>
              <w:t>147.000</w:t>
            </w:r>
          </w:p>
        </w:tc>
        <w:tc>
          <w:tcPr>
            <w:tcW w:w="862" w:type="dxa"/>
            <w:tcBorders>
              <w:bottom w:val="single" w:sz="8" w:space="0" w:color="000000"/>
            </w:tcBorders>
          </w:tcPr>
          <w:p>
            <w:pPr>
              <w:pStyle w:val="TableParagraph"/>
              <w:spacing w:line="192" w:lineRule="exact" w:before="91"/>
              <w:ind w:right="49"/>
              <w:jc w:val="right"/>
              <w:rPr>
                <w:rFonts w:ascii="Arial MT"/>
                <w:sz w:val="18"/>
              </w:rPr>
            </w:pPr>
            <w:r>
              <w:rPr>
                <w:rFonts w:ascii="Arial MT"/>
                <w:spacing w:val="-4"/>
                <w:sz w:val="18"/>
              </w:rPr>
              <w:t>.000</w:t>
            </w:r>
          </w:p>
        </w:tc>
      </w:tr>
      <w:tr>
        <w:trPr>
          <w:trHeight w:val="384" w:hRule="atLeast"/>
        </w:trPr>
        <w:tc>
          <w:tcPr>
            <w:tcW w:w="913" w:type="dxa"/>
            <w:tcBorders>
              <w:top w:val="single" w:sz="8" w:space="0" w:color="000000"/>
            </w:tcBorders>
          </w:tcPr>
          <w:p>
            <w:pPr>
              <w:pStyle w:val="TableParagraph"/>
              <w:spacing w:before="104"/>
              <w:ind w:left="62"/>
              <w:rPr>
                <w:rFonts w:ascii="Arial MT"/>
                <w:sz w:val="18"/>
              </w:rPr>
            </w:pPr>
            <w:r>
              <w:rPr>
                <w:rFonts w:ascii="Arial MT"/>
                <w:spacing w:val="-5"/>
                <w:sz w:val="18"/>
              </w:rPr>
              <w:t>sex</w:t>
            </w:r>
          </w:p>
        </w:tc>
        <w:tc>
          <w:tcPr>
            <w:tcW w:w="2014" w:type="dxa"/>
            <w:tcBorders>
              <w:top w:val="single" w:sz="8" w:space="0" w:color="000000"/>
            </w:tcBorders>
          </w:tcPr>
          <w:p>
            <w:pPr>
              <w:pStyle w:val="TableParagraph"/>
              <w:spacing w:before="104"/>
              <w:ind w:left="148"/>
              <w:rPr>
                <w:rFonts w:ascii="Arial MT"/>
                <w:sz w:val="18"/>
              </w:rPr>
            </w:pPr>
            <w:r>
              <w:rPr>
                <w:rFonts w:ascii="Arial MT"/>
                <w:sz w:val="18"/>
              </w:rPr>
              <w:t>Pillai's</w:t>
            </w:r>
            <w:r>
              <w:rPr>
                <w:rFonts w:ascii="Arial MT"/>
                <w:spacing w:val="-5"/>
                <w:sz w:val="18"/>
              </w:rPr>
              <w:t> </w:t>
            </w:r>
            <w:r>
              <w:rPr>
                <w:rFonts w:ascii="Arial MT"/>
                <w:spacing w:val="-2"/>
                <w:sz w:val="18"/>
              </w:rPr>
              <w:t>Trace</w:t>
            </w:r>
          </w:p>
        </w:tc>
        <w:tc>
          <w:tcPr>
            <w:tcW w:w="1079" w:type="dxa"/>
            <w:tcBorders>
              <w:top w:val="single" w:sz="8" w:space="0" w:color="000000"/>
            </w:tcBorders>
          </w:tcPr>
          <w:p>
            <w:pPr>
              <w:pStyle w:val="TableParagraph"/>
              <w:spacing w:before="104"/>
              <w:ind w:right="181"/>
              <w:jc w:val="right"/>
              <w:rPr>
                <w:rFonts w:ascii="Arial MT"/>
                <w:sz w:val="18"/>
              </w:rPr>
            </w:pPr>
            <w:r>
              <w:rPr>
                <w:rFonts w:ascii="Arial MT"/>
                <w:spacing w:val="-4"/>
                <w:sz w:val="18"/>
              </w:rPr>
              <w:t>.010</w:t>
            </w:r>
          </w:p>
        </w:tc>
        <w:tc>
          <w:tcPr>
            <w:tcW w:w="1272" w:type="dxa"/>
            <w:tcBorders>
              <w:top w:val="single" w:sz="8" w:space="0" w:color="000000"/>
            </w:tcBorders>
          </w:tcPr>
          <w:p>
            <w:pPr>
              <w:pStyle w:val="TableParagraph"/>
              <w:spacing w:before="104"/>
              <w:ind w:right="263"/>
              <w:jc w:val="right"/>
              <w:rPr>
                <w:rFonts w:ascii="Arial MT"/>
                <w:sz w:val="18"/>
              </w:rPr>
            </w:pPr>
            <w:r>
              <w:rPr>
                <w:rFonts w:ascii="Arial MT"/>
                <w:spacing w:val="-2"/>
                <w:sz w:val="18"/>
              </w:rPr>
              <w:t>.380</w:t>
            </w:r>
            <w:r>
              <w:rPr>
                <w:rFonts w:ascii="Arial MT"/>
                <w:spacing w:val="-2"/>
                <w:sz w:val="18"/>
                <w:vertAlign w:val="superscript"/>
              </w:rPr>
              <w:t>a</w:t>
            </w:r>
          </w:p>
        </w:tc>
        <w:tc>
          <w:tcPr>
            <w:tcW w:w="1909" w:type="dxa"/>
            <w:tcBorders>
              <w:top w:val="single" w:sz="8" w:space="0" w:color="000000"/>
            </w:tcBorders>
          </w:tcPr>
          <w:p>
            <w:pPr>
              <w:pStyle w:val="TableParagraph"/>
              <w:spacing w:before="104"/>
              <w:ind w:right="126"/>
              <w:jc w:val="right"/>
              <w:rPr>
                <w:rFonts w:ascii="Arial MT"/>
                <w:sz w:val="18"/>
              </w:rPr>
            </w:pPr>
            <w:r>
              <w:rPr>
                <w:rFonts w:ascii="Arial MT"/>
                <w:spacing w:val="-2"/>
                <w:sz w:val="18"/>
              </w:rPr>
              <w:t>4.000</w:t>
            </w:r>
          </w:p>
        </w:tc>
        <w:tc>
          <w:tcPr>
            <w:tcW w:w="1083" w:type="dxa"/>
            <w:tcBorders>
              <w:top w:val="single" w:sz="8" w:space="0" w:color="000000"/>
            </w:tcBorders>
          </w:tcPr>
          <w:p>
            <w:pPr>
              <w:pStyle w:val="TableParagraph"/>
              <w:spacing w:before="104"/>
              <w:ind w:right="200"/>
              <w:jc w:val="right"/>
              <w:rPr>
                <w:rFonts w:ascii="Arial MT"/>
                <w:sz w:val="18"/>
              </w:rPr>
            </w:pPr>
            <w:r>
              <w:rPr>
                <w:rFonts w:ascii="Arial MT"/>
                <w:spacing w:val="-2"/>
                <w:sz w:val="18"/>
              </w:rPr>
              <w:t>147.000</w:t>
            </w:r>
          </w:p>
        </w:tc>
        <w:tc>
          <w:tcPr>
            <w:tcW w:w="862" w:type="dxa"/>
            <w:tcBorders>
              <w:top w:val="single" w:sz="8" w:space="0" w:color="000000"/>
            </w:tcBorders>
          </w:tcPr>
          <w:p>
            <w:pPr>
              <w:pStyle w:val="TableParagraph"/>
              <w:spacing w:before="104"/>
              <w:ind w:right="49"/>
              <w:jc w:val="right"/>
              <w:rPr>
                <w:rFonts w:ascii="Arial MT"/>
                <w:sz w:val="18"/>
              </w:rPr>
            </w:pPr>
            <w:r>
              <w:rPr>
                <w:rFonts w:ascii="Arial MT"/>
                <w:spacing w:val="-4"/>
                <w:sz w:val="18"/>
              </w:rPr>
              <w:t>.822</w:t>
            </w:r>
          </w:p>
        </w:tc>
      </w:tr>
      <w:tr>
        <w:trPr>
          <w:trHeight w:val="381" w:hRule="atLeast"/>
        </w:trPr>
        <w:tc>
          <w:tcPr>
            <w:tcW w:w="913" w:type="dxa"/>
          </w:tcPr>
          <w:p>
            <w:pPr>
              <w:pStyle w:val="TableParagraph"/>
              <w:rPr>
                <w:sz w:val="18"/>
              </w:rPr>
            </w:pPr>
          </w:p>
        </w:tc>
        <w:tc>
          <w:tcPr>
            <w:tcW w:w="2014" w:type="dxa"/>
          </w:tcPr>
          <w:p>
            <w:pPr>
              <w:pStyle w:val="TableParagraph"/>
              <w:spacing w:before="103"/>
              <w:ind w:left="148"/>
              <w:rPr>
                <w:rFonts w:ascii="Arial MT"/>
                <w:sz w:val="18"/>
              </w:rPr>
            </w:pPr>
            <w:r>
              <w:rPr>
                <w:rFonts w:ascii="Arial MT"/>
                <w:sz w:val="18"/>
              </w:rPr>
              <w:t>Wilks'</w:t>
            </w:r>
            <w:r>
              <w:rPr>
                <w:rFonts w:ascii="Arial MT"/>
                <w:spacing w:val="-1"/>
                <w:sz w:val="18"/>
              </w:rPr>
              <w:t> </w:t>
            </w:r>
            <w:r>
              <w:rPr>
                <w:rFonts w:ascii="Arial MT"/>
                <w:spacing w:val="-2"/>
                <w:sz w:val="18"/>
              </w:rPr>
              <w:t>Lambda</w:t>
            </w:r>
          </w:p>
        </w:tc>
        <w:tc>
          <w:tcPr>
            <w:tcW w:w="1079" w:type="dxa"/>
          </w:tcPr>
          <w:p>
            <w:pPr>
              <w:pStyle w:val="TableParagraph"/>
              <w:spacing w:before="103"/>
              <w:ind w:right="181"/>
              <w:jc w:val="right"/>
              <w:rPr>
                <w:rFonts w:ascii="Arial MT"/>
                <w:sz w:val="18"/>
              </w:rPr>
            </w:pPr>
            <w:r>
              <w:rPr>
                <w:rFonts w:ascii="Arial MT"/>
                <w:spacing w:val="-4"/>
                <w:sz w:val="18"/>
              </w:rPr>
              <w:t>.990</w:t>
            </w:r>
          </w:p>
        </w:tc>
        <w:tc>
          <w:tcPr>
            <w:tcW w:w="1272" w:type="dxa"/>
          </w:tcPr>
          <w:p>
            <w:pPr>
              <w:pStyle w:val="TableParagraph"/>
              <w:spacing w:before="103"/>
              <w:ind w:right="263"/>
              <w:jc w:val="right"/>
              <w:rPr>
                <w:rFonts w:ascii="Arial MT"/>
                <w:sz w:val="18"/>
              </w:rPr>
            </w:pPr>
            <w:r>
              <w:rPr>
                <w:rFonts w:ascii="Arial MT"/>
                <w:spacing w:val="-2"/>
                <w:sz w:val="18"/>
              </w:rPr>
              <w:t>.380</w:t>
            </w:r>
            <w:r>
              <w:rPr>
                <w:rFonts w:ascii="Arial MT"/>
                <w:spacing w:val="-2"/>
                <w:sz w:val="18"/>
                <w:vertAlign w:val="superscript"/>
              </w:rPr>
              <w:t>a</w:t>
            </w:r>
          </w:p>
        </w:tc>
        <w:tc>
          <w:tcPr>
            <w:tcW w:w="1909" w:type="dxa"/>
          </w:tcPr>
          <w:p>
            <w:pPr>
              <w:pStyle w:val="TableParagraph"/>
              <w:spacing w:before="103"/>
              <w:ind w:right="126"/>
              <w:jc w:val="right"/>
              <w:rPr>
                <w:rFonts w:ascii="Arial MT"/>
                <w:sz w:val="18"/>
              </w:rPr>
            </w:pPr>
            <w:r>
              <w:rPr>
                <w:rFonts w:ascii="Arial MT"/>
                <w:spacing w:val="-2"/>
                <w:sz w:val="18"/>
              </w:rPr>
              <w:t>4.000</w:t>
            </w:r>
          </w:p>
        </w:tc>
        <w:tc>
          <w:tcPr>
            <w:tcW w:w="1083" w:type="dxa"/>
          </w:tcPr>
          <w:p>
            <w:pPr>
              <w:pStyle w:val="TableParagraph"/>
              <w:spacing w:before="103"/>
              <w:ind w:right="200"/>
              <w:jc w:val="right"/>
              <w:rPr>
                <w:rFonts w:ascii="Arial MT"/>
                <w:sz w:val="18"/>
              </w:rPr>
            </w:pPr>
            <w:r>
              <w:rPr>
                <w:rFonts w:ascii="Arial MT"/>
                <w:spacing w:val="-2"/>
                <w:sz w:val="18"/>
              </w:rPr>
              <w:t>147.000</w:t>
            </w:r>
          </w:p>
        </w:tc>
        <w:tc>
          <w:tcPr>
            <w:tcW w:w="862" w:type="dxa"/>
          </w:tcPr>
          <w:p>
            <w:pPr>
              <w:pStyle w:val="TableParagraph"/>
              <w:spacing w:before="103"/>
              <w:ind w:right="49"/>
              <w:jc w:val="right"/>
              <w:rPr>
                <w:rFonts w:ascii="Arial MT"/>
                <w:sz w:val="18"/>
              </w:rPr>
            </w:pPr>
            <w:r>
              <w:rPr>
                <w:rFonts w:ascii="Arial MT"/>
                <w:spacing w:val="-4"/>
                <w:sz w:val="18"/>
              </w:rPr>
              <w:t>.822</w:t>
            </w:r>
          </w:p>
        </w:tc>
      </w:tr>
      <w:tr>
        <w:trPr>
          <w:trHeight w:val="379" w:hRule="atLeast"/>
        </w:trPr>
        <w:tc>
          <w:tcPr>
            <w:tcW w:w="913" w:type="dxa"/>
          </w:tcPr>
          <w:p>
            <w:pPr>
              <w:pStyle w:val="TableParagraph"/>
              <w:rPr>
                <w:sz w:val="18"/>
              </w:rPr>
            </w:pPr>
          </w:p>
        </w:tc>
        <w:tc>
          <w:tcPr>
            <w:tcW w:w="2014" w:type="dxa"/>
          </w:tcPr>
          <w:p>
            <w:pPr>
              <w:pStyle w:val="TableParagraph"/>
              <w:spacing w:before="101"/>
              <w:ind w:left="148"/>
              <w:rPr>
                <w:rFonts w:ascii="Arial MT"/>
                <w:sz w:val="18"/>
              </w:rPr>
            </w:pPr>
            <w:r>
              <w:rPr>
                <w:rFonts w:ascii="Arial MT"/>
                <w:sz w:val="18"/>
              </w:rPr>
              <w:t>Hotelling's</w:t>
            </w:r>
            <w:r>
              <w:rPr>
                <w:rFonts w:ascii="Arial MT"/>
                <w:spacing w:val="-6"/>
                <w:sz w:val="18"/>
              </w:rPr>
              <w:t> </w:t>
            </w:r>
            <w:r>
              <w:rPr>
                <w:rFonts w:ascii="Arial MT"/>
                <w:spacing w:val="-2"/>
                <w:sz w:val="18"/>
              </w:rPr>
              <w:t>Trace</w:t>
            </w:r>
          </w:p>
        </w:tc>
        <w:tc>
          <w:tcPr>
            <w:tcW w:w="1079" w:type="dxa"/>
          </w:tcPr>
          <w:p>
            <w:pPr>
              <w:pStyle w:val="TableParagraph"/>
              <w:spacing w:before="101"/>
              <w:ind w:right="181"/>
              <w:jc w:val="right"/>
              <w:rPr>
                <w:rFonts w:ascii="Arial MT"/>
                <w:sz w:val="18"/>
              </w:rPr>
            </w:pPr>
            <w:r>
              <w:rPr>
                <w:rFonts w:ascii="Arial MT"/>
                <w:spacing w:val="-4"/>
                <w:sz w:val="18"/>
              </w:rPr>
              <w:t>.010</w:t>
            </w:r>
          </w:p>
        </w:tc>
        <w:tc>
          <w:tcPr>
            <w:tcW w:w="1272" w:type="dxa"/>
          </w:tcPr>
          <w:p>
            <w:pPr>
              <w:pStyle w:val="TableParagraph"/>
              <w:spacing w:before="101"/>
              <w:ind w:right="263"/>
              <w:jc w:val="right"/>
              <w:rPr>
                <w:rFonts w:ascii="Arial MT"/>
                <w:sz w:val="18"/>
              </w:rPr>
            </w:pPr>
            <w:r>
              <w:rPr>
                <w:rFonts w:ascii="Arial MT"/>
                <w:spacing w:val="-2"/>
                <w:sz w:val="18"/>
              </w:rPr>
              <w:t>.380</w:t>
            </w:r>
            <w:r>
              <w:rPr>
                <w:rFonts w:ascii="Arial MT"/>
                <w:spacing w:val="-2"/>
                <w:sz w:val="18"/>
                <w:vertAlign w:val="superscript"/>
              </w:rPr>
              <w:t>a</w:t>
            </w:r>
          </w:p>
        </w:tc>
        <w:tc>
          <w:tcPr>
            <w:tcW w:w="1909" w:type="dxa"/>
          </w:tcPr>
          <w:p>
            <w:pPr>
              <w:pStyle w:val="TableParagraph"/>
              <w:spacing w:before="101"/>
              <w:ind w:right="126"/>
              <w:jc w:val="right"/>
              <w:rPr>
                <w:rFonts w:ascii="Arial MT"/>
                <w:sz w:val="18"/>
              </w:rPr>
            </w:pPr>
            <w:r>
              <w:rPr>
                <w:rFonts w:ascii="Arial MT"/>
                <w:spacing w:val="-2"/>
                <w:sz w:val="18"/>
              </w:rPr>
              <w:t>4.000</w:t>
            </w:r>
          </w:p>
        </w:tc>
        <w:tc>
          <w:tcPr>
            <w:tcW w:w="1083" w:type="dxa"/>
          </w:tcPr>
          <w:p>
            <w:pPr>
              <w:pStyle w:val="TableParagraph"/>
              <w:spacing w:before="101"/>
              <w:ind w:right="200"/>
              <w:jc w:val="right"/>
              <w:rPr>
                <w:rFonts w:ascii="Arial MT"/>
                <w:sz w:val="18"/>
              </w:rPr>
            </w:pPr>
            <w:r>
              <w:rPr>
                <w:rFonts w:ascii="Arial MT"/>
                <w:spacing w:val="-2"/>
                <w:sz w:val="18"/>
              </w:rPr>
              <w:t>147.000</w:t>
            </w:r>
          </w:p>
        </w:tc>
        <w:tc>
          <w:tcPr>
            <w:tcW w:w="862" w:type="dxa"/>
          </w:tcPr>
          <w:p>
            <w:pPr>
              <w:pStyle w:val="TableParagraph"/>
              <w:spacing w:before="101"/>
              <w:ind w:right="49"/>
              <w:jc w:val="right"/>
              <w:rPr>
                <w:rFonts w:ascii="Arial MT"/>
                <w:sz w:val="18"/>
              </w:rPr>
            </w:pPr>
            <w:r>
              <w:rPr>
                <w:rFonts w:ascii="Arial MT"/>
                <w:spacing w:val="-4"/>
                <w:sz w:val="18"/>
              </w:rPr>
              <w:t>.822</w:t>
            </w:r>
          </w:p>
        </w:tc>
      </w:tr>
      <w:tr>
        <w:trPr>
          <w:trHeight w:val="316" w:hRule="atLeast"/>
        </w:trPr>
        <w:tc>
          <w:tcPr>
            <w:tcW w:w="913" w:type="dxa"/>
            <w:tcBorders>
              <w:bottom w:val="double" w:sz="8" w:space="0" w:color="000000"/>
            </w:tcBorders>
          </w:tcPr>
          <w:p>
            <w:pPr>
              <w:pStyle w:val="TableParagraph"/>
              <w:rPr>
                <w:sz w:val="18"/>
              </w:rPr>
            </w:pPr>
          </w:p>
        </w:tc>
        <w:tc>
          <w:tcPr>
            <w:tcW w:w="2014" w:type="dxa"/>
            <w:tcBorders>
              <w:bottom w:val="double" w:sz="8" w:space="0" w:color="000000"/>
            </w:tcBorders>
          </w:tcPr>
          <w:p>
            <w:pPr>
              <w:pStyle w:val="TableParagraph"/>
              <w:spacing w:line="196" w:lineRule="exact" w:before="101"/>
              <w:ind w:left="148"/>
              <w:rPr>
                <w:rFonts w:ascii="Arial MT"/>
                <w:sz w:val="18"/>
              </w:rPr>
            </w:pPr>
            <w:r>
              <w:rPr>
                <w:rFonts w:ascii="Arial MT"/>
                <w:sz w:val="18"/>
              </w:rPr>
              <w:t>Roy's</w:t>
            </w:r>
            <w:r>
              <w:rPr>
                <w:rFonts w:ascii="Arial MT"/>
                <w:spacing w:val="-2"/>
                <w:sz w:val="18"/>
              </w:rPr>
              <w:t> </w:t>
            </w:r>
            <w:r>
              <w:rPr>
                <w:rFonts w:ascii="Arial MT"/>
                <w:sz w:val="18"/>
              </w:rPr>
              <w:t>Largest</w:t>
            </w:r>
            <w:r>
              <w:rPr>
                <w:rFonts w:ascii="Arial MT"/>
                <w:spacing w:val="-5"/>
                <w:sz w:val="18"/>
              </w:rPr>
              <w:t> </w:t>
            </w:r>
            <w:r>
              <w:rPr>
                <w:rFonts w:ascii="Arial MT"/>
                <w:spacing w:val="-4"/>
                <w:sz w:val="18"/>
              </w:rPr>
              <w:t>Root</w:t>
            </w:r>
          </w:p>
        </w:tc>
        <w:tc>
          <w:tcPr>
            <w:tcW w:w="1079" w:type="dxa"/>
            <w:tcBorders>
              <w:bottom w:val="double" w:sz="8" w:space="0" w:color="000000"/>
            </w:tcBorders>
          </w:tcPr>
          <w:p>
            <w:pPr>
              <w:pStyle w:val="TableParagraph"/>
              <w:spacing w:line="196" w:lineRule="exact" w:before="101"/>
              <w:ind w:right="181"/>
              <w:jc w:val="right"/>
              <w:rPr>
                <w:rFonts w:ascii="Arial MT"/>
                <w:sz w:val="18"/>
              </w:rPr>
            </w:pPr>
            <w:r>
              <w:rPr>
                <w:rFonts w:ascii="Arial MT"/>
                <w:spacing w:val="-4"/>
                <w:sz w:val="18"/>
              </w:rPr>
              <w:t>.010</w:t>
            </w:r>
          </w:p>
        </w:tc>
        <w:tc>
          <w:tcPr>
            <w:tcW w:w="1272" w:type="dxa"/>
            <w:tcBorders>
              <w:bottom w:val="double" w:sz="8" w:space="0" w:color="000000"/>
            </w:tcBorders>
          </w:tcPr>
          <w:p>
            <w:pPr>
              <w:pStyle w:val="TableParagraph"/>
              <w:spacing w:line="196" w:lineRule="exact" w:before="101"/>
              <w:ind w:right="263"/>
              <w:jc w:val="right"/>
              <w:rPr>
                <w:rFonts w:ascii="Arial MT"/>
                <w:sz w:val="18"/>
              </w:rPr>
            </w:pPr>
            <w:r>
              <w:rPr>
                <w:rFonts w:ascii="Arial MT"/>
                <w:spacing w:val="-2"/>
                <w:sz w:val="18"/>
              </w:rPr>
              <w:t>.380</w:t>
            </w:r>
            <w:r>
              <w:rPr>
                <w:rFonts w:ascii="Arial MT"/>
                <w:spacing w:val="-2"/>
                <w:sz w:val="18"/>
                <w:vertAlign w:val="superscript"/>
              </w:rPr>
              <w:t>a</w:t>
            </w:r>
          </w:p>
        </w:tc>
        <w:tc>
          <w:tcPr>
            <w:tcW w:w="1909" w:type="dxa"/>
            <w:tcBorders>
              <w:bottom w:val="double" w:sz="8" w:space="0" w:color="000000"/>
            </w:tcBorders>
          </w:tcPr>
          <w:p>
            <w:pPr>
              <w:pStyle w:val="TableParagraph"/>
              <w:spacing w:line="196" w:lineRule="exact" w:before="101"/>
              <w:ind w:right="126"/>
              <w:jc w:val="right"/>
              <w:rPr>
                <w:rFonts w:ascii="Arial MT"/>
                <w:sz w:val="18"/>
              </w:rPr>
            </w:pPr>
            <w:r>
              <w:rPr>
                <w:rFonts w:ascii="Arial MT"/>
                <w:spacing w:val="-2"/>
                <w:sz w:val="18"/>
              </w:rPr>
              <w:t>4.000</w:t>
            </w:r>
          </w:p>
        </w:tc>
        <w:tc>
          <w:tcPr>
            <w:tcW w:w="1083" w:type="dxa"/>
            <w:tcBorders>
              <w:bottom w:val="double" w:sz="8" w:space="0" w:color="000000"/>
            </w:tcBorders>
          </w:tcPr>
          <w:p>
            <w:pPr>
              <w:pStyle w:val="TableParagraph"/>
              <w:spacing w:line="196" w:lineRule="exact" w:before="101"/>
              <w:ind w:right="200"/>
              <w:jc w:val="right"/>
              <w:rPr>
                <w:rFonts w:ascii="Arial MT"/>
                <w:sz w:val="18"/>
              </w:rPr>
            </w:pPr>
            <w:r>
              <w:rPr>
                <w:rFonts w:ascii="Arial MT"/>
                <w:spacing w:val="-2"/>
                <w:sz w:val="18"/>
              </w:rPr>
              <w:t>147.000</w:t>
            </w:r>
          </w:p>
        </w:tc>
        <w:tc>
          <w:tcPr>
            <w:tcW w:w="862" w:type="dxa"/>
            <w:tcBorders>
              <w:bottom w:val="double" w:sz="8" w:space="0" w:color="000000"/>
            </w:tcBorders>
          </w:tcPr>
          <w:p>
            <w:pPr>
              <w:pStyle w:val="TableParagraph"/>
              <w:spacing w:line="196" w:lineRule="exact" w:before="101"/>
              <w:ind w:right="49"/>
              <w:jc w:val="right"/>
              <w:rPr>
                <w:rFonts w:ascii="Arial MT"/>
                <w:sz w:val="18"/>
              </w:rPr>
            </w:pPr>
            <w:r>
              <w:rPr>
                <w:rFonts w:ascii="Arial MT"/>
                <w:spacing w:val="-4"/>
                <w:sz w:val="18"/>
              </w:rPr>
              <w:t>.822</w:t>
            </w:r>
          </w:p>
        </w:tc>
      </w:tr>
      <w:tr>
        <w:trPr>
          <w:trHeight w:val="632" w:hRule="atLeast"/>
        </w:trPr>
        <w:tc>
          <w:tcPr>
            <w:tcW w:w="2927" w:type="dxa"/>
            <w:gridSpan w:val="2"/>
            <w:tcBorders>
              <w:top w:val="double" w:sz="8" w:space="0" w:color="000000"/>
            </w:tcBorders>
          </w:tcPr>
          <w:p>
            <w:pPr>
              <w:pStyle w:val="TableParagraph"/>
              <w:numPr>
                <w:ilvl w:val="0"/>
                <w:numId w:val="33"/>
              </w:numPr>
              <w:tabs>
                <w:tab w:pos="267" w:val="left" w:leader="none"/>
              </w:tabs>
              <w:spacing w:line="240" w:lineRule="auto" w:before="103" w:after="0"/>
              <w:ind w:left="267" w:right="0" w:hanging="205"/>
              <w:jc w:val="left"/>
              <w:rPr>
                <w:rFonts w:ascii="Arial MT"/>
                <w:sz w:val="18"/>
              </w:rPr>
            </w:pPr>
            <w:r>
              <w:rPr>
                <w:rFonts w:ascii="Arial MT"/>
                <w:sz w:val="18"/>
              </w:rPr>
              <w:t>Exact</w:t>
            </w:r>
            <w:r>
              <w:rPr>
                <w:rFonts w:ascii="Arial MT"/>
                <w:spacing w:val="-5"/>
                <w:sz w:val="18"/>
              </w:rPr>
              <w:t> </w:t>
            </w:r>
            <w:r>
              <w:rPr>
                <w:rFonts w:ascii="Arial MT"/>
                <w:spacing w:val="-2"/>
                <w:sz w:val="18"/>
              </w:rPr>
              <w:t>statistic</w:t>
            </w:r>
          </w:p>
          <w:p>
            <w:pPr>
              <w:pStyle w:val="TableParagraph"/>
              <w:numPr>
                <w:ilvl w:val="0"/>
                <w:numId w:val="33"/>
              </w:numPr>
              <w:tabs>
                <w:tab w:pos="267" w:val="left" w:leader="none"/>
              </w:tabs>
              <w:spacing w:line="187" w:lineRule="exact" w:before="115" w:after="0"/>
              <w:ind w:left="267" w:right="0" w:hanging="205"/>
              <w:jc w:val="left"/>
              <w:rPr>
                <w:rFonts w:ascii="Arial MT"/>
                <w:sz w:val="18"/>
              </w:rPr>
            </w:pPr>
            <w:r>
              <w:rPr>
                <w:rFonts w:ascii="Arial MT"/>
                <w:sz w:val="18"/>
              </w:rPr>
              <w:t>Design:</w:t>
            </w:r>
            <w:r>
              <w:rPr>
                <w:rFonts w:ascii="Arial MT"/>
                <w:spacing w:val="-7"/>
                <w:sz w:val="18"/>
              </w:rPr>
              <w:t> </w:t>
            </w:r>
            <w:r>
              <w:rPr>
                <w:rFonts w:ascii="Arial MT"/>
                <w:sz w:val="18"/>
              </w:rPr>
              <w:t>Intercept</w:t>
            </w:r>
            <w:r>
              <w:rPr>
                <w:rFonts w:ascii="Arial MT"/>
                <w:spacing w:val="-7"/>
                <w:sz w:val="18"/>
              </w:rPr>
              <w:t> </w:t>
            </w:r>
            <w:r>
              <w:rPr>
                <w:rFonts w:ascii="Arial MT"/>
                <w:sz w:val="18"/>
              </w:rPr>
              <w:t>+</w:t>
            </w:r>
            <w:r>
              <w:rPr>
                <w:rFonts w:ascii="Arial MT"/>
                <w:spacing w:val="-4"/>
                <w:sz w:val="18"/>
              </w:rPr>
              <w:t> </w:t>
            </w:r>
            <w:r>
              <w:rPr>
                <w:rFonts w:ascii="Arial MT"/>
                <w:spacing w:val="-5"/>
                <w:sz w:val="18"/>
              </w:rPr>
              <w:t>sex</w:t>
            </w:r>
          </w:p>
        </w:tc>
        <w:tc>
          <w:tcPr>
            <w:tcW w:w="1079" w:type="dxa"/>
            <w:tcBorders>
              <w:top w:val="double" w:sz="8" w:space="0" w:color="000000"/>
            </w:tcBorders>
          </w:tcPr>
          <w:p>
            <w:pPr>
              <w:pStyle w:val="TableParagraph"/>
              <w:rPr>
                <w:sz w:val="18"/>
              </w:rPr>
            </w:pPr>
          </w:p>
        </w:tc>
        <w:tc>
          <w:tcPr>
            <w:tcW w:w="1272" w:type="dxa"/>
            <w:tcBorders>
              <w:top w:val="double" w:sz="8" w:space="0" w:color="000000"/>
            </w:tcBorders>
          </w:tcPr>
          <w:p>
            <w:pPr>
              <w:pStyle w:val="TableParagraph"/>
              <w:rPr>
                <w:sz w:val="18"/>
              </w:rPr>
            </w:pPr>
          </w:p>
        </w:tc>
        <w:tc>
          <w:tcPr>
            <w:tcW w:w="1909" w:type="dxa"/>
            <w:tcBorders>
              <w:top w:val="double" w:sz="8" w:space="0" w:color="000000"/>
            </w:tcBorders>
          </w:tcPr>
          <w:p>
            <w:pPr>
              <w:pStyle w:val="TableParagraph"/>
              <w:rPr>
                <w:sz w:val="18"/>
              </w:rPr>
            </w:pPr>
          </w:p>
        </w:tc>
        <w:tc>
          <w:tcPr>
            <w:tcW w:w="1083" w:type="dxa"/>
            <w:tcBorders>
              <w:top w:val="double" w:sz="8" w:space="0" w:color="000000"/>
            </w:tcBorders>
          </w:tcPr>
          <w:p>
            <w:pPr>
              <w:pStyle w:val="TableParagraph"/>
              <w:rPr>
                <w:sz w:val="18"/>
              </w:rPr>
            </w:pPr>
          </w:p>
        </w:tc>
        <w:tc>
          <w:tcPr>
            <w:tcW w:w="862" w:type="dxa"/>
            <w:tcBorders>
              <w:top w:val="double" w:sz="8" w:space="0" w:color="000000"/>
            </w:tcBorders>
          </w:tcPr>
          <w:p>
            <w:pPr>
              <w:pStyle w:val="TableParagraph"/>
              <w:rPr>
                <w:sz w:val="18"/>
              </w:rPr>
            </w:pPr>
          </w:p>
        </w:tc>
      </w:tr>
    </w:tbl>
    <w:p>
      <w:pPr>
        <w:spacing w:after="0"/>
        <w:rPr>
          <w:sz w:val="18"/>
        </w:rPr>
        <w:sectPr>
          <w:pgSz w:w="11910" w:h="16840"/>
          <w:pgMar w:header="0" w:footer="1012" w:top="1340" w:bottom="1200" w:left="1680" w:right="280"/>
        </w:sectPr>
      </w:pPr>
    </w:p>
    <w:p>
      <w:pPr>
        <w:pStyle w:val="BodyText"/>
        <w:spacing w:before="5"/>
        <w:ind w:left="0"/>
        <w:jc w:val="left"/>
        <w:rPr>
          <w:rFonts w:ascii="Courier New"/>
          <w:sz w:val="2"/>
        </w:rPr>
      </w:pPr>
    </w:p>
    <w:tbl>
      <w:tblPr>
        <w:tblW w:w="0" w:type="auto"/>
        <w:jc w:val="left"/>
        <w:tblInd w:w="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7"/>
        <w:gridCol w:w="2345"/>
        <w:gridCol w:w="1543"/>
        <w:gridCol w:w="793"/>
        <w:gridCol w:w="1230"/>
        <w:gridCol w:w="1079"/>
        <w:gridCol w:w="795"/>
      </w:tblGrid>
      <w:tr>
        <w:trPr>
          <w:trHeight w:val="234" w:hRule="atLeast"/>
        </w:trPr>
        <w:tc>
          <w:tcPr>
            <w:tcW w:w="9032" w:type="dxa"/>
            <w:gridSpan w:val="7"/>
            <w:tcBorders>
              <w:bottom w:val="double" w:sz="8" w:space="0" w:color="000000"/>
            </w:tcBorders>
          </w:tcPr>
          <w:p>
            <w:pPr>
              <w:pStyle w:val="TableParagraph"/>
              <w:spacing w:line="214" w:lineRule="exact"/>
              <w:ind w:left="1"/>
              <w:jc w:val="center"/>
              <w:rPr>
                <w:rFonts w:ascii="Arial"/>
                <w:b/>
                <w:sz w:val="20"/>
              </w:rPr>
            </w:pPr>
            <w:r>
              <w:rPr>
                <w:rFonts w:ascii="Arial"/>
                <w:b/>
                <w:sz w:val="20"/>
              </w:rPr>
              <w:t>Tests</w:t>
            </w:r>
            <w:r>
              <w:rPr>
                <w:rFonts w:ascii="Arial"/>
                <w:b/>
                <w:spacing w:val="-9"/>
                <w:sz w:val="20"/>
              </w:rPr>
              <w:t> </w:t>
            </w:r>
            <w:r>
              <w:rPr>
                <w:rFonts w:ascii="Arial"/>
                <w:b/>
                <w:sz w:val="20"/>
              </w:rPr>
              <w:t>of</w:t>
            </w:r>
            <w:r>
              <w:rPr>
                <w:rFonts w:ascii="Arial"/>
                <w:b/>
                <w:spacing w:val="-8"/>
                <w:sz w:val="20"/>
              </w:rPr>
              <w:t> </w:t>
            </w:r>
            <w:r>
              <w:rPr>
                <w:rFonts w:ascii="Arial"/>
                <w:b/>
                <w:sz w:val="20"/>
              </w:rPr>
              <w:t>Between-Subjects</w:t>
            </w:r>
            <w:r>
              <w:rPr>
                <w:rFonts w:ascii="Arial"/>
                <w:b/>
                <w:spacing w:val="-8"/>
                <w:sz w:val="20"/>
              </w:rPr>
              <w:t> </w:t>
            </w:r>
            <w:r>
              <w:rPr>
                <w:rFonts w:ascii="Arial"/>
                <w:b/>
                <w:spacing w:val="-2"/>
                <w:sz w:val="20"/>
              </w:rPr>
              <w:t>Effects</w:t>
            </w:r>
          </w:p>
        </w:tc>
      </w:tr>
      <w:tr>
        <w:trPr>
          <w:trHeight w:val="639" w:hRule="atLeast"/>
        </w:trPr>
        <w:tc>
          <w:tcPr>
            <w:tcW w:w="1247" w:type="dxa"/>
            <w:tcBorders>
              <w:top w:val="double" w:sz="8" w:space="0" w:color="000000"/>
              <w:bottom w:val="single" w:sz="18" w:space="0" w:color="000000"/>
            </w:tcBorders>
          </w:tcPr>
          <w:p>
            <w:pPr>
              <w:pStyle w:val="TableParagraph"/>
              <w:spacing w:before="179"/>
              <w:rPr>
                <w:rFonts w:ascii="Courier New"/>
                <w:sz w:val="20"/>
              </w:rPr>
            </w:pPr>
          </w:p>
          <w:p>
            <w:pPr>
              <w:pStyle w:val="TableParagraph"/>
              <w:spacing w:line="213" w:lineRule="exact" w:before="1"/>
              <w:ind w:left="62"/>
              <w:rPr>
                <w:rFonts w:ascii="Arial MT"/>
                <w:sz w:val="20"/>
              </w:rPr>
            </w:pPr>
            <w:r>
              <w:rPr>
                <w:rFonts w:ascii="Arial MT"/>
                <w:spacing w:val="-2"/>
                <w:sz w:val="20"/>
              </w:rPr>
              <w:t>Source</w:t>
            </w:r>
          </w:p>
        </w:tc>
        <w:tc>
          <w:tcPr>
            <w:tcW w:w="2345" w:type="dxa"/>
            <w:tcBorders>
              <w:top w:val="double" w:sz="8" w:space="0" w:color="000000"/>
              <w:bottom w:val="single" w:sz="18" w:space="0" w:color="000000"/>
            </w:tcBorders>
          </w:tcPr>
          <w:p>
            <w:pPr>
              <w:pStyle w:val="TableParagraph"/>
              <w:spacing w:before="179"/>
              <w:rPr>
                <w:rFonts w:ascii="Courier New"/>
                <w:sz w:val="20"/>
              </w:rPr>
            </w:pPr>
          </w:p>
          <w:p>
            <w:pPr>
              <w:pStyle w:val="TableParagraph"/>
              <w:spacing w:line="213" w:lineRule="exact" w:before="1"/>
              <w:ind w:left="303"/>
              <w:rPr>
                <w:rFonts w:ascii="Arial MT"/>
                <w:sz w:val="20"/>
              </w:rPr>
            </w:pPr>
            <w:r>
              <w:rPr>
                <w:rFonts w:ascii="Arial MT"/>
                <w:spacing w:val="-2"/>
                <w:sz w:val="20"/>
              </w:rPr>
              <w:t>Dependent</w:t>
            </w:r>
            <w:r>
              <w:rPr>
                <w:rFonts w:ascii="Arial MT"/>
                <w:spacing w:val="3"/>
                <w:sz w:val="20"/>
              </w:rPr>
              <w:t> </w:t>
            </w:r>
            <w:r>
              <w:rPr>
                <w:rFonts w:ascii="Arial MT"/>
                <w:spacing w:val="-2"/>
                <w:sz w:val="20"/>
              </w:rPr>
              <w:t>Variable</w:t>
            </w:r>
          </w:p>
        </w:tc>
        <w:tc>
          <w:tcPr>
            <w:tcW w:w="1543" w:type="dxa"/>
            <w:tcBorders>
              <w:top w:val="double" w:sz="8" w:space="0" w:color="000000"/>
              <w:bottom w:val="single" w:sz="18" w:space="0" w:color="000000"/>
            </w:tcBorders>
          </w:tcPr>
          <w:p>
            <w:pPr>
              <w:pStyle w:val="TableParagraph"/>
              <w:spacing w:line="322" w:lineRule="exact"/>
              <w:ind w:left="249" w:right="128" w:hanging="87"/>
              <w:rPr>
                <w:rFonts w:ascii="Arial MT"/>
                <w:sz w:val="20"/>
              </w:rPr>
            </w:pPr>
            <w:r>
              <w:rPr>
                <w:rFonts w:ascii="Arial MT"/>
                <w:sz w:val="20"/>
              </w:rPr>
              <w:t>Type</w:t>
            </w:r>
            <w:r>
              <w:rPr>
                <w:rFonts w:ascii="Arial MT"/>
                <w:spacing w:val="-14"/>
                <w:sz w:val="20"/>
              </w:rPr>
              <w:t> </w:t>
            </w:r>
            <w:r>
              <w:rPr>
                <w:rFonts w:ascii="Arial MT"/>
                <w:sz w:val="20"/>
              </w:rPr>
              <w:t>III</w:t>
            </w:r>
            <w:r>
              <w:rPr>
                <w:rFonts w:ascii="Arial MT"/>
                <w:spacing w:val="-14"/>
                <w:sz w:val="20"/>
              </w:rPr>
              <w:t> </w:t>
            </w:r>
            <w:r>
              <w:rPr>
                <w:rFonts w:ascii="Arial MT"/>
                <w:sz w:val="20"/>
              </w:rPr>
              <w:t>Sum of Squares</w:t>
            </w:r>
          </w:p>
        </w:tc>
        <w:tc>
          <w:tcPr>
            <w:tcW w:w="793" w:type="dxa"/>
            <w:tcBorders>
              <w:top w:val="double" w:sz="8" w:space="0" w:color="000000"/>
              <w:bottom w:val="single" w:sz="18" w:space="0" w:color="000000"/>
            </w:tcBorders>
          </w:tcPr>
          <w:p>
            <w:pPr>
              <w:pStyle w:val="TableParagraph"/>
              <w:spacing w:before="179"/>
              <w:rPr>
                <w:rFonts w:ascii="Courier New"/>
                <w:sz w:val="20"/>
              </w:rPr>
            </w:pPr>
          </w:p>
          <w:p>
            <w:pPr>
              <w:pStyle w:val="TableParagraph"/>
              <w:spacing w:line="213" w:lineRule="exact" w:before="1"/>
              <w:ind w:left="214"/>
              <w:rPr>
                <w:rFonts w:ascii="Arial MT"/>
                <w:sz w:val="20"/>
              </w:rPr>
            </w:pPr>
            <w:r>
              <w:rPr>
                <w:rFonts w:ascii="Arial MT"/>
                <w:spacing w:val="-5"/>
                <w:sz w:val="20"/>
              </w:rPr>
              <w:t>df</w:t>
            </w:r>
          </w:p>
        </w:tc>
        <w:tc>
          <w:tcPr>
            <w:tcW w:w="1230" w:type="dxa"/>
            <w:tcBorders>
              <w:top w:val="double" w:sz="8" w:space="0" w:color="000000"/>
              <w:bottom w:val="single" w:sz="18" w:space="0" w:color="000000"/>
            </w:tcBorders>
          </w:tcPr>
          <w:p>
            <w:pPr>
              <w:pStyle w:val="TableParagraph"/>
              <w:spacing w:line="322" w:lineRule="exact"/>
              <w:ind w:left="266" w:right="311" w:firstLine="72"/>
              <w:rPr>
                <w:rFonts w:ascii="Arial MT"/>
                <w:sz w:val="20"/>
              </w:rPr>
            </w:pPr>
            <w:r>
              <w:rPr>
                <w:rFonts w:ascii="Arial MT"/>
                <w:spacing w:val="-4"/>
                <w:sz w:val="20"/>
              </w:rPr>
              <w:t>Mean </w:t>
            </w:r>
            <w:r>
              <w:rPr>
                <w:rFonts w:ascii="Arial MT"/>
                <w:spacing w:val="-2"/>
                <w:sz w:val="20"/>
              </w:rPr>
              <w:t>Square</w:t>
            </w:r>
          </w:p>
        </w:tc>
        <w:tc>
          <w:tcPr>
            <w:tcW w:w="1079" w:type="dxa"/>
            <w:tcBorders>
              <w:top w:val="double" w:sz="8" w:space="0" w:color="000000"/>
              <w:bottom w:val="single" w:sz="18" w:space="0" w:color="000000"/>
            </w:tcBorders>
          </w:tcPr>
          <w:p>
            <w:pPr>
              <w:pStyle w:val="TableParagraph"/>
              <w:spacing w:before="179"/>
              <w:rPr>
                <w:rFonts w:ascii="Courier New"/>
                <w:sz w:val="20"/>
              </w:rPr>
            </w:pPr>
          </w:p>
          <w:p>
            <w:pPr>
              <w:pStyle w:val="TableParagraph"/>
              <w:spacing w:line="213" w:lineRule="exact" w:before="1"/>
              <w:ind w:right="125"/>
              <w:jc w:val="center"/>
              <w:rPr>
                <w:rFonts w:ascii="Arial MT"/>
                <w:sz w:val="20"/>
              </w:rPr>
            </w:pPr>
            <w:r>
              <w:rPr>
                <w:rFonts w:ascii="Arial MT"/>
                <w:spacing w:val="-10"/>
                <w:sz w:val="20"/>
              </w:rPr>
              <w:t>F</w:t>
            </w:r>
          </w:p>
        </w:tc>
        <w:tc>
          <w:tcPr>
            <w:tcW w:w="795" w:type="dxa"/>
            <w:tcBorders>
              <w:top w:val="double" w:sz="8" w:space="0" w:color="000000"/>
              <w:bottom w:val="single" w:sz="18" w:space="0" w:color="000000"/>
            </w:tcBorders>
          </w:tcPr>
          <w:p>
            <w:pPr>
              <w:pStyle w:val="TableParagraph"/>
              <w:spacing w:before="179"/>
              <w:rPr>
                <w:rFonts w:ascii="Courier New"/>
                <w:sz w:val="20"/>
              </w:rPr>
            </w:pPr>
          </w:p>
          <w:p>
            <w:pPr>
              <w:pStyle w:val="TableParagraph"/>
              <w:spacing w:line="213" w:lineRule="exact" w:before="1"/>
              <w:ind w:left="166"/>
              <w:rPr>
                <w:rFonts w:ascii="Arial MT"/>
                <w:sz w:val="20"/>
              </w:rPr>
            </w:pPr>
            <w:r>
              <w:rPr>
                <w:rFonts w:ascii="Arial MT"/>
                <w:spacing w:val="-4"/>
                <w:sz w:val="20"/>
              </w:rPr>
              <w:t>Sig.</w:t>
            </w:r>
          </w:p>
        </w:tc>
      </w:tr>
      <w:tr>
        <w:trPr>
          <w:trHeight w:val="357" w:hRule="atLeast"/>
        </w:trPr>
        <w:tc>
          <w:tcPr>
            <w:tcW w:w="1247" w:type="dxa"/>
            <w:vMerge w:val="restart"/>
            <w:tcBorders>
              <w:top w:val="single" w:sz="18" w:space="0" w:color="000000"/>
            </w:tcBorders>
          </w:tcPr>
          <w:p>
            <w:pPr>
              <w:pStyle w:val="TableParagraph"/>
              <w:spacing w:line="336" w:lineRule="auto" w:before="78"/>
              <w:ind w:left="62"/>
              <w:rPr>
                <w:rFonts w:ascii="Arial MT"/>
                <w:sz w:val="20"/>
              </w:rPr>
            </w:pPr>
            <w:r>
              <w:rPr>
                <w:rFonts w:ascii="Arial MT"/>
                <w:spacing w:val="-2"/>
                <w:sz w:val="20"/>
              </w:rPr>
              <w:t>Corrected Model</w:t>
            </w:r>
          </w:p>
        </w:tc>
        <w:tc>
          <w:tcPr>
            <w:tcW w:w="2345" w:type="dxa"/>
            <w:tcBorders>
              <w:top w:val="single" w:sz="18" w:space="0" w:color="000000"/>
            </w:tcBorders>
          </w:tcPr>
          <w:p>
            <w:pPr>
              <w:pStyle w:val="TableParagraph"/>
              <w:spacing w:before="78"/>
              <w:ind w:left="303"/>
              <w:rPr>
                <w:rFonts w:ascii="Arial MT"/>
                <w:sz w:val="20"/>
              </w:rPr>
            </w:pPr>
            <w:r>
              <w:rPr>
                <w:rFonts w:ascii="Arial MT"/>
                <w:spacing w:val="-2"/>
                <w:sz w:val="20"/>
              </w:rPr>
              <w:t>ChemistryAtest</w:t>
            </w:r>
          </w:p>
        </w:tc>
        <w:tc>
          <w:tcPr>
            <w:tcW w:w="1543" w:type="dxa"/>
            <w:tcBorders>
              <w:top w:val="single" w:sz="18" w:space="0" w:color="000000"/>
            </w:tcBorders>
          </w:tcPr>
          <w:p>
            <w:pPr>
              <w:pStyle w:val="TableParagraph"/>
              <w:spacing w:before="78"/>
              <w:ind w:right="215"/>
              <w:jc w:val="right"/>
              <w:rPr>
                <w:rFonts w:ascii="Arial MT"/>
                <w:sz w:val="20"/>
              </w:rPr>
            </w:pPr>
            <w:r>
              <w:rPr>
                <w:rFonts w:ascii="Arial MT"/>
                <w:spacing w:val="-2"/>
                <w:sz w:val="20"/>
              </w:rPr>
              <w:t>45.351</w:t>
            </w:r>
            <w:r>
              <w:rPr>
                <w:rFonts w:ascii="Arial MT"/>
                <w:spacing w:val="-2"/>
                <w:sz w:val="20"/>
                <w:vertAlign w:val="superscript"/>
              </w:rPr>
              <w:t>a</w:t>
            </w:r>
          </w:p>
        </w:tc>
        <w:tc>
          <w:tcPr>
            <w:tcW w:w="793" w:type="dxa"/>
            <w:tcBorders>
              <w:top w:val="single" w:sz="18" w:space="0" w:color="000000"/>
            </w:tcBorders>
          </w:tcPr>
          <w:p>
            <w:pPr>
              <w:pStyle w:val="TableParagraph"/>
              <w:spacing w:before="78"/>
              <w:ind w:right="99"/>
              <w:jc w:val="right"/>
              <w:rPr>
                <w:rFonts w:ascii="Arial MT"/>
                <w:sz w:val="20"/>
              </w:rPr>
            </w:pPr>
            <w:r>
              <w:rPr>
                <w:rFonts w:ascii="Arial MT"/>
                <w:spacing w:val="-10"/>
                <w:sz w:val="20"/>
              </w:rPr>
              <w:t>1</w:t>
            </w:r>
          </w:p>
        </w:tc>
        <w:tc>
          <w:tcPr>
            <w:tcW w:w="1230" w:type="dxa"/>
            <w:tcBorders>
              <w:top w:val="single" w:sz="18" w:space="0" w:color="000000"/>
            </w:tcBorders>
          </w:tcPr>
          <w:p>
            <w:pPr>
              <w:pStyle w:val="TableParagraph"/>
              <w:spacing w:before="78"/>
              <w:ind w:right="71"/>
              <w:jc w:val="right"/>
              <w:rPr>
                <w:rFonts w:ascii="Arial MT"/>
                <w:sz w:val="20"/>
              </w:rPr>
            </w:pPr>
            <w:r>
              <w:rPr>
                <w:rFonts w:ascii="Arial MT"/>
                <w:spacing w:val="-2"/>
                <w:sz w:val="20"/>
              </w:rPr>
              <w:t>45.351</w:t>
            </w:r>
          </w:p>
        </w:tc>
        <w:tc>
          <w:tcPr>
            <w:tcW w:w="1079" w:type="dxa"/>
            <w:tcBorders>
              <w:top w:val="single" w:sz="18" w:space="0" w:color="000000"/>
            </w:tcBorders>
          </w:tcPr>
          <w:p>
            <w:pPr>
              <w:pStyle w:val="TableParagraph"/>
              <w:spacing w:before="78"/>
              <w:ind w:right="171"/>
              <w:jc w:val="right"/>
              <w:rPr>
                <w:rFonts w:ascii="Arial MT"/>
                <w:sz w:val="20"/>
              </w:rPr>
            </w:pPr>
            <w:r>
              <w:rPr>
                <w:rFonts w:ascii="Arial MT"/>
                <w:spacing w:val="-4"/>
                <w:sz w:val="20"/>
              </w:rPr>
              <w:t>.636</w:t>
            </w:r>
          </w:p>
        </w:tc>
        <w:tc>
          <w:tcPr>
            <w:tcW w:w="795" w:type="dxa"/>
            <w:tcBorders>
              <w:top w:val="single" w:sz="18" w:space="0" w:color="000000"/>
            </w:tcBorders>
          </w:tcPr>
          <w:p>
            <w:pPr>
              <w:pStyle w:val="TableParagraph"/>
              <w:spacing w:before="78"/>
              <w:ind w:right="58"/>
              <w:jc w:val="right"/>
              <w:rPr>
                <w:rFonts w:ascii="Arial MT"/>
                <w:sz w:val="20"/>
              </w:rPr>
            </w:pPr>
            <w:r>
              <w:rPr>
                <w:rFonts w:ascii="Arial MT"/>
                <w:spacing w:val="-4"/>
                <w:sz w:val="20"/>
              </w:rPr>
              <w:t>.426</w:t>
            </w:r>
          </w:p>
        </w:tc>
      </w:tr>
      <w:tr>
        <w:trPr>
          <w:trHeight w:val="681" w:hRule="atLeast"/>
        </w:trPr>
        <w:tc>
          <w:tcPr>
            <w:tcW w:w="1247" w:type="dxa"/>
            <w:vMerge/>
            <w:tcBorders>
              <w:top w:val="nil"/>
            </w:tcBorders>
          </w:tcPr>
          <w:p>
            <w:pPr>
              <w:rPr>
                <w:sz w:val="2"/>
                <w:szCs w:val="2"/>
              </w:rPr>
            </w:pPr>
          </w:p>
        </w:tc>
        <w:tc>
          <w:tcPr>
            <w:tcW w:w="2345" w:type="dxa"/>
          </w:tcPr>
          <w:p>
            <w:pPr>
              <w:pStyle w:val="TableParagraph"/>
              <w:spacing w:line="322" w:lineRule="exact" w:before="10"/>
              <w:ind w:left="303" w:right="735"/>
              <w:rPr>
                <w:rFonts w:ascii="Arial MT"/>
                <w:sz w:val="20"/>
              </w:rPr>
            </w:pPr>
            <w:r>
              <w:rPr>
                <w:rFonts w:ascii="Arial MT"/>
                <w:sz w:val="20"/>
              </w:rPr>
              <w:t>total</w:t>
            </w:r>
            <w:r>
              <w:rPr>
                <w:rFonts w:ascii="Arial MT"/>
                <w:spacing w:val="-14"/>
                <w:sz w:val="20"/>
              </w:rPr>
              <w:t> </w:t>
            </w:r>
            <w:r>
              <w:rPr>
                <w:rFonts w:ascii="Arial MT"/>
                <w:sz w:val="20"/>
              </w:rPr>
              <w:t>emotional </w:t>
            </w:r>
            <w:r>
              <w:rPr>
                <w:rFonts w:ascii="Arial MT"/>
                <w:spacing w:val="-2"/>
                <w:sz w:val="20"/>
              </w:rPr>
              <w:t>intelligence</w:t>
            </w:r>
          </w:p>
        </w:tc>
        <w:tc>
          <w:tcPr>
            <w:tcW w:w="1543" w:type="dxa"/>
          </w:tcPr>
          <w:p>
            <w:pPr>
              <w:pStyle w:val="TableParagraph"/>
              <w:spacing w:before="80"/>
              <w:ind w:right="215"/>
              <w:jc w:val="right"/>
              <w:rPr>
                <w:rFonts w:ascii="Arial MT"/>
                <w:sz w:val="20"/>
              </w:rPr>
            </w:pPr>
            <w:r>
              <w:rPr>
                <w:rFonts w:ascii="Arial MT"/>
                <w:spacing w:val="-2"/>
                <w:sz w:val="20"/>
              </w:rPr>
              <w:t>72.766</w:t>
            </w:r>
            <w:r>
              <w:rPr>
                <w:rFonts w:ascii="Arial MT"/>
                <w:spacing w:val="-2"/>
                <w:sz w:val="20"/>
                <w:vertAlign w:val="superscript"/>
              </w:rPr>
              <w:t>b</w:t>
            </w:r>
          </w:p>
        </w:tc>
        <w:tc>
          <w:tcPr>
            <w:tcW w:w="793" w:type="dxa"/>
          </w:tcPr>
          <w:p>
            <w:pPr>
              <w:pStyle w:val="TableParagraph"/>
              <w:spacing w:before="80"/>
              <w:ind w:right="99"/>
              <w:jc w:val="right"/>
              <w:rPr>
                <w:rFonts w:ascii="Arial MT"/>
                <w:sz w:val="20"/>
              </w:rPr>
            </w:pPr>
            <w:r>
              <w:rPr>
                <w:rFonts w:ascii="Arial MT"/>
                <w:spacing w:val="-10"/>
                <w:sz w:val="20"/>
              </w:rPr>
              <w:t>1</w:t>
            </w:r>
          </w:p>
        </w:tc>
        <w:tc>
          <w:tcPr>
            <w:tcW w:w="1230" w:type="dxa"/>
          </w:tcPr>
          <w:p>
            <w:pPr>
              <w:pStyle w:val="TableParagraph"/>
              <w:spacing w:before="80"/>
              <w:ind w:right="71"/>
              <w:jc w:val="right"/>
              <w:rPr>
                <w:rFonts w:ascii="Arial MT"/>
                <w:sz w:val="20"/>
              </w:rPr>
            </w:pPr>
            <w:r>
              <w:rPr>
                <w:rFonts w:ascii="Arial MT"/>
                <w:spacing w:val="-2"/>
                <w:sz w:val="20"/>
              </w:rPr>
              <w:t>72.766</w:t>
            </w:r>
          </w:p>
        </w:tc>
        <w:tc>
          <w:tcPr>
            <w:tcW w:w="1079" w:type="dxa"/>
          </w:tcPr>
          <w:p>
            <w:pPr>
              <w:pStyle w:val="TableParagraph"/>
              <w:spacing w:before="80"/>
              <w:ind w:right="171"/>
              <w:jc w:val="right"/>
              <w:rPr>
                <w:rFonts w:ascii="Arial MT"/>
                <w:sz w:val="20"/>
              </w:rPr>
            </w:pPr>
            <w:r>
              <w:rPr>
                <w:rFonts w:ascii="Arial MT"/>
                <w:spacing w:val="-4"/>
                <w:sz w:val="20"/>
              </w:rPr>
              <w:t>.069</w:t>
            </w:r>
          </w:p>
        </w:tc>
        <w:tc>
          <w:tcPr>
            <w:tcW w:w="795" w:type="dxa"/>
          </w:tcPr>
          <w:p>
            <w:pPr>
              <w:pStyle w:val="TableParagraph"/>
              <w:spacing w:before="80"/>
              <w:ind w:right="58"/>
              <w:jc w:val="right"/>
              <w:rPr>
                <w:rFonts w:ascii="Arial MT"/>
                <w:sz w:val="20"/>
              </w:rPr>
            </w:pPr>
            <w:r>
              <w:rPr>
                <w:rFonts w:ascii="Arial MT"/>
                <w:spacing w:val="-4"/>
                <w:sz w:val="20"/>
              </w:rPr>
              <w:t>.793</w:t>
            </w:r>
          </w:p>
        </w:tc>
      </w:tr>
      <w:tr>
        <w:trPr>
          <w:trHeight w:val="360" w:hRule="atLeast"/>
        </w:trPr>
        <w:tc>
          <w:tcPr>
            <w:tcW w:w="1247" w:type="dxa"/>
          </w:tcPr>
          <w:p>
            <w:pPr>
              <w:pStyle w:val="TableParagraph"/>
              <w:rPr>
                <w:sz w:val="20"/>
              </w:rPr>
            </w:pPr>
          </w:p>
        </w:tc>
        <w:tc>
          <w:tcPr>
            <w:tcW w:w="2345" w:type="dxa"/>
          </w:tcPr>
          <w:p>
            <w:pPr>
              <w:pStyle w:val="TableParagraph"/>
              <w:spacing w:before="80"/>
              <w:ind w:left="303"/>
              <w:rPr>
                <w:rFonts w:ascii="Arial MT"/>
                <w:sz w:val="20"/>
              </w:rPr>
            </w:pPr>
            <w:r>
              <w:rPr>
                <w:rFonts w:ascii="Arial MT"/>
                <w:sz w:val="20"/>
              </w:rPr>
              <w:t>total</w:t>
            </w:r>
            <w:r>
              <w:rPr>
                <w:rFonts w:ascii="Arial MT"/>
                <w:spacing w:val="-8"/>
                <w:sz w:val="20"/>
              </w:rPr>
              <w:t> </w:t>
            </w:r>
            <w:r>
              <w:rPr>
                <w:rFonts w:ascii="Arial MT"/>
                <w:sz w:val="20"/>
              </w:rPr>
              <w:t>reasoning</w:t>
            </w:r>
            <w:r>
              <w:rPr>
                <w:rFonts w:ascii="Arial MT"/>
                <w:spacing w:val="-7"/>
                <w:sz w:val="20"/>
              </w:rPr>
              <w:t> </w:t>
            </w:r>
            <w:r>
              <w:rPr>
                <w:rFonts w:ascii="Arial MT"/>
                <w:spacing w:val="-2"/>
                <w:sz w:val="20"/>
              </w:rPr>
              <w:t>ability</w:t>
            </w:r>
          </w:p>
        </w:tc>
        <w:tc>
          <w:tcPr>
            <w:tcW w:w="1543" w:type="dxa"/>
          </w:tcPr>
          <w:p>
            <w:pPr>
              <w:pStyle w:val="TableParagraph"/>
              <w:spacing w:before="80"/>
              <w:ind w:right="218"/>
              <w:jc w:val="right"/>
              <w:rPr>
                <w:rFonts w:ascii="Arial MT"/>
                <w:sz w:val="20"/>
              </w:rPr>
            </w:pPr>
            <w:r>
              <w:rPr>
                <w:rFonts w:ascii="Arial MT"/>
                <w:spacing w:val="-2"/>
                <w:sz w:val="20"/>
              </w:rPr>
              <w:t>1.269</w:t>
            </w:r>
            <w:r>
              <w:rPr>
                <w:rFonts w:ascii="Arial MT"/>
                <w:spacing w:val="-2"/>
                <w:sz w:val="20"/>
                <w:vertAlign w:val="superscript"/>
              </w:rPr>
              <w:t>c</w:t>
            </w:r>
          </w:p>
        </w:tc>
        <w:tc>
          <w:tcPr>
            <w:tcW w:w="793" w:type="dxa"/>
          </w:tcPr>
          <w:p>
            <w:pPr>
              <w:pStyle w:val="TableParagraph"/>
              <w:spacing w:before="80"/>
              <w:ind w:right="99"/>
              <w:jc w:val="right"/>
              <w:rPr>
                <w:rFonts w:ascii="Arial MT"/>
                <w:sz w:val="20"/>
              </w:rPr>
            </w:pPr>
            <w:r>
              <w:rPr>
                <w:rFonts w:ascii="Arial MT"/>
                <w:spacing w:val="-10"/>
                <w:sz w:val="20"/>
              </w:rPr>
              <w:t>1</w:t>
            </w:r>
          </w:p>
        </w:tc>
        <w:tc>
          <w:tcPr>
            <w:tcW w:w="1230" w:type="dxa"/>
          </w:tcPr>
          <w:p>
            <w:pPr>
              <w:pStyle w:val="TableParagraph"/>
              <w:spacing w:before="80"/>
              <w:ind w:right="71"/>
              <w:jc w:val="right"/>
              <w:rPr>
                <w:rFonts w:ascii="Arial MT"/>
                <w:sz w:val="20"/>
              </w:rPr>
            </w:pPr>
            <w:r>
              <w:rPr>
                <w:rFonts w:ascii="Arial MT"/>
                <w:spacing w:val="-2"/>
                <w:sz w:val="20"/>
              </w:rPr>
              <w:t>1.269</w:t>
            </w:r>
          </w:p>
        </w:tc>
        <w:tc>
          <w:tcPr>
            <w:tcW w:w="1079" w:type="dxa"/>
          </w:tcPr>
          <w:p>
            <w:pPr>
              <w:pStyle w:val="TableParagraph"/>
              <w:spacing w:before="80"/>
              <w:ind w:right="171"/>
              <w:jc w:val="right"/>
              <w:rPr>
                <w:rFonts w:ascii="Arial MT"/>
                <w:sz w:val="20"/>
              </w:rPr>
            </w:pPr>
            <w:r>
              <w:rPr>
                <w:rFonts w:ascii="Arial MT"/>
                <w:spacing w:val="-4"/>
                <w:sz w:val="20"/>
              </w:rPr>
              <w:t>.450</w:t>
            </w:r>
          </w:p>
        </w:tc>
        <w:tc>
          <w:tcPr>
            <w:tcW w:w="795" w:type="dxa"/>
          </w:tcPr>
          <w:p>
            <w:pPr>
              <w:pStyle w:val="TableParagraph"/>
              <w:spacing w:before="80"/>
              <w:ind w:right="58"/>
              <w:jc w:val="right"/>
              <w:rPr>
                <w:rFonts w:ascii="Arial MT"/>
                <w:sz w:val="20"/>
              </w:rPr>
            </w:pPr>
            <w:r>
              <w:rPr>
                <w:rFonts w:ascii="Arial MT"/>
                <w:spacing w:val="-4"/>
                <w:sz w:val="20"/>
              </w:rPr>
              <w:t>.503</w:t>
            </w:r>
          </w:p>
        </w:tc>
      </w:tr>
      <w:tr>
        <w:trPr>
          <w:trHeight w:val="310" w:hRule="atLeast"/>
        </w:trPr>
        <w:tc>
          <w:tcPr>
            <w:tcW w:w="1247" w:type="dxa"/>
            <w:tcBorders>
              <w:bottom w:val="single" w:sz="8" w:space="0" w:color="000000"/>
            </w:tcBorders>
          </w:tcPr>
          <w:p>
            <w:pPr>
              <w:pStyle w:val="TableParagraph"/>
              <w:rPr>
                <w:sz w:val="20"/>
              </w:rPr>
            </w:pPr>
          </w:p>
        </w:tc>
        <w:tc>
          <w:tcPr>
            <w:tcW w:w="2345" w:type="dxa"/>
            <w:tcBorders>
              <w:bottom w:val="single" w:sz="8" w:space="0" w:color="000000"/>
            </w:tcBorders>
          </w:tcPr>
          <w:p>
            <w:pPr>
              <w:pStyle w:val="TableParagraph"/>
              <w:spacing w:line="210" w:lineRule="exact" w:before="80"/>
              <w:ind w:left="303"/>
              <w:rPr>
                <w:rFonts w:ascii="Arial MT"/>
                <w:sz w:val="20"/>
              </w:rPr>
            </w:pPr>
            <w:r>
              <w:rPr>
                <w:rFonts w:ascii="Arial MT"/>
                <w:sz w:val="20"/>
              </w:rPr>
              <w:t>total</w:t>
            </w:r>
            <w:r>
              <w:rPr>
                <w:rFonts w:ascii="Arial MT"/>
                <w:spacing w:val="-8"/>
                <w:sz w:val="20"/>
              </w:rPr>
              <w:t> </w:t>
            </w:r>
            <w:r>
              <w:rPr>
                <w:rFonts w:ascii="Arial MT"/>
                <w:sz w:val="20"/>
              </w:rPr>
              <w:t>self</w:t>
            </w:r>
            <w:r>
              <w:rPr>
                <w:rFonts w:ascii="Arial MT"/>
                <w:spacing w:val="3"/>
                <w:sz w:val="20"/>
              </w:rPr>
              <w:t> </w:t>
            </w:r>
            <w:r>
              <w:rPr>
                <w:rFonts w:ascii="Arial MT"/>
                <w:spacing w:val="-2"/>
                <w:sz w:val="20"/>
              </w:rPr>
              <w:t>efficacy</w:t>
            </w:r>
          </w:p>
        </w:tc>
        <w:tc>
          <w:tcPr>
            <w:tcW w:w="1543" w:type="dxa"/>
            <w:tcBorders>
              <w:bottom w:val="single" w:sz="8" w:space="0" w:color="000000"/>
            </w:tcBorders>
          </w:tcPr>
          <w:p>
            <w:pPr>
              <w:pStyle w:val="TableParagraph"/>
              <w:spacing w:line="210" w:lineRule="exact" w:before="80"/>
              <w:ind w:right="215"/>
              <w:jc w:val="right"/>
              <w:rPr>
                <w:rFonts w:ascii="Arial MT"/>
                <w:sz w:val="20"/>
              </w:rPr>
            </w:pPr>
            <w:r>
              <w:rPr>
                <w:rFonts w:ascii="Arial MT"/>
                <w:spacing w:val="-2"/>
                <w:sz w:val="20"/>
              </w:rPr>
              <w:t>90.225</w:t>
            </w:r>
            <w:r>
              <w:rPr>
                <w:rFonts w:ascii="Arial MT"/>
                <w:spacing w:val="-2"/>
                <w:sz w:val="20"/>
                <w:vertAlign w:val="superscript"/>
              </w:rPr>
              <w:t>d</w:t>
            </w:r>
          </w:p>
        </w:tc>
        <w:tc>
          <w:tcPr>
            <w:tcW w:w="793" w:type="dxa"/>
            <w:tcBorders>
              <w:bottom w:val="single" w:sz="8" w:space="0" w:color="000000"/>
            </w:tcBorders>
          </w:tcPr>
          <w:p>
            <w:pPr>
              <w:pStyle w:val="TableParagraph"/>
              <w:spacing w:line="210" w:lineRule="exact" w:before="80"/>
              <w:ind w:right="99"/>
              <w:jc w:val="right"/>
              <w:rPr>
                <w:rFonts w:ascii="Arial MT"/>
                <w:sz w:val="20"/>
              </w:rPr>
            </w:pPr>
            <w:r>
              <w:rPr>
                <w:rFonts w:ascii="Arial MT"/>
                <w:spacing w:val="-10"/>
                <w:sz w:val="20"/>
              </w:rPr>
              <w:t>1</w:t>
            </w:r>
          </w:p>
        </w:tc>
        <w:tc>
          <w:tcPr>
            <w:tcW w:w="1230" w:type="dxa"/>
            <w:tcBorders>
              <w:bottom w:val="single" w:sz="8" w:space="0" w:color="000000"/>
            </w:tcBorders>
          </w:tcPr>
          <w:p>
            <w:pPr>
              <w:pStyle w:val="TableParagraph"/>
              <w:spacing w:line="210" w:lineRule="exact" w:before="80"/>
              <w:ind w:right="71"/>
              <w:jc w:val="right"/>
              <w:rPr>
                <w:rFonts w:ascii="Arial MT"/>
                <w:sz w:val="20"/>
              </w:rPr>
            </w:pPr>
            <w:r>
              <w:rPr>
                <w:rFonts w:ascii="Arial MT"/>
                <w:spacing w:val="-2"/>
                <w:sz w:val="20"/>
              </w:rPr>
              <w:t>90.225</w:t>
            </w:r>
          </w:p>
        </w:tc>
        <w:tc>
          <w:tcPr>
            <w:tcW w:w="1079" w:type="dxa"/>
            <w:tcBorders>
              <w:bottom w:val="single" w:sz="8" w:space="0" w:color="000000"/>
            </w:tcBorders>
          </w:tcPr>
          <w:p>
            <w:pPr>
              <w:pStyle w:val="TableParagraph"/>
              <w:spacing w:line="210" w:lineRule="exact" w:before="80"/>
              <w:ind w:right="171"/>
              <w:jc w:val="right"/>
              <w:rPr>
                <w:rFonts w:ascii="Arial MT"/>
                <w:sz w:val="20"/>
              </w:rPr>
            </w:pPr>
            <w:r>
              <w:rPr>
                <w:rFonts w:ascii="Arial MT"/>
                <w:spacing w:val="-4"/>
                <w:sz w:val="20"/>
              </w:rPr>
              <w:t>.967</w:t>
            </w:r>
          </w:p>
        </w:tc>
        <w:tc>
          <w:tcPr>
            <w:tcW w:w="795" w:type="dxa"/>
            <w:tcBorders>
              <w:bottom w:val="single" w:sz="8" w:space="0" w:color="000000"/>
            </w:tcBorders>
          </w:tcPr>
          <w:p>
            <w:pPr>
              <w:pStyle w:val="TableParagraph"/>
              <w:spacing w:line="210" w:lineRule="exact" w:before="80"/>
              <w:ind w:right="58"/>
              <w:jc w:val="right"/>
              <w:rPr>
                <w:rFonts w:ascii="Arial MT"/>
                <w:sz w:val="20"/>
              </w:rPr>
            </w:pPr>
            <w:r>
              <w:rPr>
                <w:rFonts w:ascii="Arial MT"/>
                <w:spacing w:val="-4"/>
                <w:sz w:val="20"/>
              </w:rPr>
              <w:t>.327</w:t>
            </w:r>
          </w:p>
        </w:tc>
      </w:tr>
      <w:tr>
        <w:trPr>
          <w:trHeight w:val="373" w:hRule="atLeast"/>
        </w:trPr>
        <w:tc>
          <w:tcPr>
            <w:tcW w:w="1247" w:type="dxa"/>
            <w:tcBorders>
              <w:top w:val="single" w:sz="8" w:space="0" w:color="000000"/>
            </w:tcBorders>
          </w:tcPr>
          <w:p>
            <w:pPr>
              <w:pStyle w:val="TableParagraph"/>
              <w:spacing w:before="85"/>
              <w:ind w:left="62"/>
              <w:rPr>
                <w:rFonts w:ascii="Arial MT"/>
                <w:sz w:val="20"/>
              </w:rPr>
            </w:pPr>
            <w:r>
              <w:rPr>
                <w:rFonts w:ascii="Arial MT"/>
                <w:spacing w:val="-2"/>
                <w:sz w:val="20"/>
              </w:rPr>
              <w:t>Intercept</w:t>
            </w:r>
          </w:p>
        </w:tc>
        <w:tc>
          <w:tcPr>
            <w:tcW w:w="2345" w:type="dxa"/>
            <w:tcBorders>
              <w:top w:val="single" w:sz="8" w:space="0" w:color="000000"/>
            </w:tcBorders>
          </w:tcPr>
          <w:p>
            <w:pPr>
              <w:pStyle w:val="TableParagraph"/>
              <w:spacing w:before="85"/>
              <w:ind w:left="303"/>
              <w:rPr>
                <w:rFonts w:ascii="Arial MT"/>
                <w:sz w:val="20"/>
              </w:rPr>
            </w:pPr>
            <w:r>
              <w:rPr>
                <w:rFonts w:ascii="Arial MT"/>
                <w:spacing w:val="-2"/>
                <w:sz w:val="20"/>
              </w:rPr>
              <w:t>ChemistryAtest</w:t>
            </w:r>
          </w:p>
        </w:tc>
        <w:tc>
          <w:tcPr>
            <w:tcW w:w="1543" w:type="dxa"/>
            <w:tcBorders>
              <w:top w:val="single" w:sz="8" w:space="0" w:color="000000"/>
            </w:tcBorders>
          </w:tcPr>
          <w:p>
            <w:pPr>
              <w:pStyle w:val="TableParagraph"/>
              <w:spacing w:before="85"/>
              <w:ind w:right="219"/>
              <w:jc w:val="right"/>
              <w:rPr>
                <w:rFonts w:ascii="Arial MT"/>
                <w:sz w:val="20"/>
              </w:rPr>
            </w:pPr>
            <w:r>
              <w:rPr>
                <w:rFonts w:ascii="Arial MT"/>
                <w:spacing w:val="-2"/>
                <w:sz w:val="20"/>
              </w:rPr>
              <w:t>340652.562</w:t>
            </w:r>
          </w:p>
        </w:tc>
        <w:tc>
          <w:tcPr>
            <w:tcW w:w="793" w:type="dxa"/>
            <w:tcBorders>
              <w:top w:val="single" w:sz="8" w:space="0" w:color="000000"/>
            </w:tcBorders>
          </w:tcPr>
          <w:p>
            <w:pPr>
              <w:pStyle w:val="TableParagraph"/>
              <w:spacing w:before="85"/>
              <w:ind w:right="99"/>
              <w:jc w:val="right"/>
              <w:rPr>
                <w:rFonts w:ascii="Arial MT"/>
                <w:sz w:val="20"/>
              </w:rPr>
            </w:pPr>
            <w:r>
              <w:rPr>
                <w:rFonts w:ascii="Arial MT"/>
                <w:spacing w:val="-10"/>
                <w:sz w:val="20"/>
              </w:rPr>
              <w:t>1</w:t>
            </w:r>
          </w:p>
        </w:tc>
        <w:tc>
          <w:tcPr>
            <w:tcW w:w="1230" w:type="dxa"/>
            <w:tcBorders>
              <w:top w:val="single" w:sz="8" w:space="0" w:color="000000"/>
            </w:tcBorders>
          </w:tcPr>
          <w:p>
            <w:pPr>
              <w:pStyle w:val="TableParagraph"/>
              <w:spacing w:before="85"/>
              <w:ind w:right="76"/>
              <w:jc w:val="right"/>
              <w:rPr>
                <w:rFonts w:ascii="Arial MT"/>
                <w:sz w:val="20"/>
              </w:rPr>
            </w:pPr>
            <w:r>
              <w:rPr>
                <w:rFonts w:ascii="Arial MT"/>
                <w:spacing w:val="-2"/>
                <w:sz w:val="20"/>
              </w:rPr>
              <w:t>340652.562</w:t>
            </w:r>
          </w:p>
        </w:tc>
        <w:tc>
          <w:tcPr>
            <w:tcW w:w="1079" w:type="dxa"/>
            <w:tcBorders>
              <w:top w:val="single" w:sz="8" w:space="0" w:color="000000"/>
            </w:tcBorders>
          </w:tcPr>
          <w:p>
            <w:pPr>
              <w:pStyle w:val="TableParagraph"/>
              <w:spacing w:before="85"/>
              <w:ind w:right="175"/>
              <w:jc w:val="right"/>
              <w:rPr>
                <w:rFonts w:ascii="Arial MT"/>
                <w:sz w:val="20"/>
              </w:rPr>
            </w:pPr>
            <w:r>
              <w:rPr>
                <w:rFonts w:ascii="Arial MT"/>
                <w:spacing w:val="-2"/>
                <w:sz w:val="20"/>
              </w:rPr>
              <w:t>4780.272</w:t>
            </w:r>
          </w:p>
        </w:tc>
        <w:tc>
          <w:tcPr>
            <w:tcW w:w="795" w:type="dxa"/>
            <w:tcBorders>
              <w:top w:val="single" w:sz="8" w:space="0" w:color="000000"/>
            </w:tcBorders>
          </w:tcPr>
          <w:p>
            <w:pPr>
              <w:pStyle w:val="TableParagraph"/>
              <w:spacing w:before="85"/>
              <w:ind w:right="58"/>
              <w:jc w:val="right"/>
              <w:rPr>
                <w:rFonts w:ascii="Arial MT"/>
                <w:sz w:val="20"/>
              </w:rPr>
            </w:pPr>
            <w:r>
              <w:rPr>
                <w:rFonts w:ascii="Arial MT"/>
                <w:spacing w:val="-4"/>
                <w:sz w:val="20"/>
              </w:rPr>
              <w:t>.000</w:t>
            </w:r>
          </w:p>
        </w:tc>
      </w:tr>
      <w:tr>
        <w:trPr>
          <w:trHeight w:val="662" w:hRule="atLeast"/>
        </w:trPr>
        <w:tc>
          <w:tcPr>
            <w:tcW w:w="1247" w:type="dxa"/>
          </w:tcPr>
          <w:p>
            <w:pPr>
              <w:pStyle w:val="TableParagraph"/>
              <w:rPr>
                <w:sz w:val="20"/>
              </w:rPr>
            </w:pPr>
          </w:p>
        </w:tc>
        <w:tc>
          <w:tcPr>
            <w:tcW w:w="2345" w:type="dxa"/>
          </w:tcPr>
          <w:p>
            <w:pPr>
              <w:pStyle w:val="TableParagraph"/>
              <w:spacing w:before="52"/>
              <w:ind w:left="303"/>
              <w:rPr>
                <w:rFonts w:ascii="Arial MT"/>
                <w:sz w:val="20"/>
              </w:rPr>
            </w:pPr>
            <w:r>
              <w:rPr>
                <w:rFonts w:ascii="Arial MT"/>
                <w:sz w:val="20"/>
              </w:rPr>
              <w:t>total</w:t>
            </w:r>
            <w:r>
              <w:rPr>
                <w:rFonts w:ascii="Arial MT"/>
                <w:spacing w:val="-2"/>
                <w:sz w:val="20"/>
              </w:rPr>
              <w:t> emotional</w:t>
            </w:r>
          </w:p>
          <w:p>
            <w:pPr>
              <w:pStyle w:val="TableParagraph"/>
              <w:spacing w:before="92"/>
              <w:ind w:left="303"/>
              <w:rPr>
                <w:rFonts w:ascii="Arial MT"/>
                <w:sz w:val="20"/>
              </w:rPr>
            </w:pPr>
            <w:r>
              <w:rPr>
                <w:rFonts w:ascii="Arial MT"/>
                <w:spacing w:val="-2"/>
                <w:sz w:val="20"/>
              </w:rPr>
              <w:t>intelligence</w:t>
            </w:r>
          </w:p>
        </w:tc>
        <w:tc>
          <w:tcPr>
            <w:tcW w:w="1543" w:type="dxa"/>
          </w:tcPr>
          <w:p>
            <w:pPr>
              <w:pStyle w:val="TableParagraph"/>
              <w:spacing w:before="52"/>
              <w:ind w:right="221"/>
              <w:jc w:val="right"/>
              <w:rPr>
                <w:rFonts w:ascii="Arial MT"/>
                <w:sz w:val="20"/>
              </w:rPr>
            </w:pPr>
            <w:r>
              <w:rPr>
                <w:rFonts w:ascii="Arial MT"/>
                <w:spacing w:val="-2"/>
                <w:sz w:val="20"/>
              </w:rPr>
              <w:t>2505075.450</w:t>
            </w:r>
          </w:p>
        </w:tc>
        <w:tc>
          <w:tcPr>
            <w:tcW w:w="793" w:type="dxa"/>
          </w:tcPr>
          <w:p>
            <w:pPr>
              <w:pStyle w:val="TableParagraph"/>
              <w:spacing w:before="52"/>
              <w:ind w:right="99"/>
              <w:jc w:val="right"/>
              <w:rPr>
                <w:rFonts w:ascii="Arial MT"/>
                <w:sz w:val="20"/>
              </w:rPr>
            </w:pPr>
            <w:r>
              <w:rPr>
                <w:rFonts w:ascii="Arial MT"/>
                <w:spacing w:val="-10"/>
                <w:sz w:val="20"/>
              </w:rPr>
              <w:t>1</w:t>
            </w:r>
          </w:p>
        </w:tc>
        <w:tc>
          <w:tcPr>
            <w:tcW w:w="1230" w:type="dxa"/>
          </w:tcPr>
          <w:p>
            <w:pPr>
              <w:pStyle w:val="TableParagraph"/>
              <w:spacing w:before="52"/>
              <w:ind w:right="78"/>
              <w:jc w:val="right"/>
              <w:rPr>
                <w:rFonts w:ascii="Arial MT"/>
                <w:sz w:val="20"/>
              </w:rPr>
            </w:pPr>
            <w:r>
              <w:rPr>
                <w:rFonts w:ascii="Arial MT"/>
                <w:spacing w:val="-2"/>
                <w:sz w:val="20"/>
              </w:rPr>
              <w:t>2505075.45</w:t>
            </w:r>
          </w:p>
          <w:p>
            <w:pPr>
              <w:pStyle w:val="TableParagraph"/>
              <w:spacing w:before="92"/>
              <w:ind w:right="71"/>
              <w:jc w:val="right"/>
              <w:rPr>
                <w:rFonts w:ascii="Arial MT"/>
                <w:sz w:val="20"/>
              </w:rPr>
            </w:pPr>
            <w:r>
              <w:rPr>
                <w:rFonts w:ascii="Arial MT"/>
                <w:spacing w:val="-10"/>
                <w:sz w:val="20"/>
              </w:rPr>
              <w:t>0</w:t>
            </w:r>
          </w:p>
        </w:tc>
        <w:tc>
          <w:tcPr>
            <w:tcW w:w="1079" w:type="dxa"/>
          </w:tcPr>
          <w:p>
            <w:pPr>
              <w:pStyle w:val="TableParagraph"/>
              <w:spacing w:before="52"/>
              <w:ind w:right="175"/>
              <w:jc w:val="right"/>
              <w:rPr>
                <w:rFonts w:ascii="Arial MT"/>
                <w:sz w:val="20"/>
              </w:rPr>
            </w:pPr>
            <w:r>
              <w:rPr>
                <w:rFonts w:ascii="Arial MT"/>
                <w:spacing w:val="-2"/>
                <w:sz w:val="20"/>
              </w:rPr>
              <w:t>2371.401</w:t>
            </w:r>
          </w:p>
        </w:tc>
        <w:tc>
          <w:tcPr>
            <w:tcW w:w="795" w:type="dxa"/>
          </w:tcPr>
          <w:p>
            <w:pPr>
              <w:pStyle w:val="TableParagraph"/>
              <w:spacing w:before="52"/>
              <w:ind w:right="58"/>
              <w:jc w:val="right"/>
              <w:rPr>
                <w:rFonts w:ascii="Arial MT"/>
                <w:sz w:val="20"/>
              </w:rPr>
            </w:pPr>
            <w:r>
              <w:rPr>
                <w:rFonts w:ascii="Arial MT"/>
                <w:spacing w:val="-4"/>
                <w:sz w:val="20"/>
              </w:rPr>
              <w:t>.000</w:t>
            </w:r>
          </w:p>
        </w:tc>
      </w:tr>
      <w:tr>
        <w:trPr>
          <w:trHeight w:val="341" w:hRule="atLeast"/>
        </w:trPr>
        <w:tc>
          <w:tcPr>
            <w:tcW w:w="1247" w:type="dxa"/>
          </w:tcPr>
          <w:p>
            <w:pPr>
              <w:pStyle w:val="TableParagraph"/>
              <w:rPr>
                <w:sz w:val="20"/>
              </w:rPr>
            </w:pPr>
          </w:p>
        </w:tc>
        <w:tc>
          <w:tcPr>
            <w:tcW w:w="2345" w:type="dxa"/>
          </w:tcPr>
          <w:p>
            <w:pPr>
              <w:pStyle w:val="TableParagraph"/>
              <w:spacing w:before="52"/>
              <w:ind w:left="303"/>
              <w:rPr>
                <w:rFonts w:ascii="Arial MT"/>
                <w:sz w:val="20"/>
              </w:rPr>
            </w:pPr>
            <w:r>
              <w:rPr>
                <w:rFonts w:ascii="Arial MT"/>
                <w:sz w:val="20"/>
              </w:rPr>
              <w:t>total</w:t>
            </w:r>
            <w:r>
              <w:rPr>
                <w:rFonts w:ascii="Arial MT"/>
                <w:spacing w:val="-8"/>
                <w:sz w:val="20"/>
              </w:rPr>
              <w:t> </w:t>
            </w:r>
            <w:r>
              <w:rPr>
                <w:rFonts w:ascii="Arial MT"/>
                <w:sz w:val="20"/>
              </w:rPr>
              <w:t>reasoning</w:t>
            </w:r>
            <w:r>
              <w:rPr>
                <w:rFonts w:ascii="Arial MT"/>
                <w:spacing w:val="-7"/>
                <w:sz w:val="20"/>
              </w:rPr>
              <w:t> </w:t>
            </w:r>
            <w:r>
              <w:rPr>
                <w:rFonts w:ascii="Arial MT"/>
                <w:spacing w:val="-2"/>
                <w:sz w:val="20"/>
              </w:rPr>
              <w:t>ability</w:t>
            </w:r>
          </w:p>
        </w:tc>
        <w:tc>
          <w:tcPr>
            <w:tcW w:w="1543" w:type="dxa"/>
          </w:tcPr>
          <w:p>
            <w:pPr>
              <w:pStyle w:val="TableParagraph"/>
              <w:spacing w:before="52"/>
              <w:ind w:right="219"/>
              <w:jc w:val="right"/>
              <w:rPr>
                <w:rFonts w:ascii="Arial MT"/>
                <w:sz w:val="20"/>
              </w:rPr>
            </w:pPr>
            <w:r>
              <w:rPr>
                <w:rFonts w:ascii="Arial MT"/>
                <w:spacing w:val="-2"/>
                <w:sz w:val="20"/>
              </w:rPr>
              <w:t>3044.216</w:t>
            </w:r>
          </w:p>
        </w:tc>
        <w:tc>
          <w:tcPr>
            <w:tcW w:w="793" w:type="dxa"/>
          </w:tcPr>
          <w:p>
            <w:pPr>
              <w:pStyle w:val="TableParagraph"/>
              <w:spacing w:before="52"/>
              <w:ind w:right="99"/>
              <w:jc w:val="right"/>
              <w:rPr>
                <w:rFonts w:ascii="Arial MT"/>
                <w:sz w:val="20"/>
              </w:rPr>
            </w:pPr>
            <w:r>
              <w:rPr>
                <w:rFonts w:ascii="Arial MT"/>
                <w:spacing w:val="-10"/>
                <w:sz w:val="20"/>
              </w:rPr>
              <w:t>1</w:t>
            </w:r>
          </w:p>
        </w:tc>
        <w:tc>
          <w:tcPr>
            <w:tcW w:w="1230" w:type="dxa"/>
          </w:tcPr>
          <w:p>
            <w:pPr>
              <w:pStyle w:val="TableParagraph"/>
              <w:spacing w:before="52"/>
              <w:ind w:right="76"/>
              <w:jc w:val="right"/>
              <w:rPr>
                <w:rFonts w:ascii="Arial MT"/>
                <w:sz w:val="20"/>
              </w:rPr>
            </w:pPr>
            <w:r>
              <w:rPr>
                <w:rFonts w:ascii="Arial MT"/>
                <w:spacing w:val="-2"/>
                <w:sz w:val="20"/>
              </w:rPr>
              <w:t>3044.216</w:t>
            </w:r>
          </w:p>
        </w:tc>
        <w:tc>
          <w:tcPr>
            <w:tcW w:w="1079" w:type="dxa"/>
          </w:tcPr>
          <w:p>
            <w:pPr>
              <w:pStyle w:val="TableParagraph"/>
              <w:spacing w:before="52"/>
              <w:ind w:right="175"/>
              <w:jc w:val="right"/>
              <w:rPr>
                <w:rFonts w:ascii="Arial MT"/>
                <w:sz w:val="20"/>
              </w:rPr>
            </w:pPr>
            <w:r>
              <w:rPr>
                <w:rFonts w:ascii="Arial MT"/>
                <w:spacing w:val="-2"/>
                <w:sz w:val="20"/>
              </w:rPr>
              <w:t>1080.466</w:t>
            </w:r>
          </w:p>
        </w:tc>
        <w:tc>
          <w:tcPr>
            <w:tcW w:w="795" w:type="dxa"/>
          </w:tcPr>
          <w:p>
            <w:pPr>
              <w:pStyle w:val="TableParagraph"/>
              <w:spacing w:before="52"/>
              <w:ind w:right="58"/>
              <w:jc w:val="right"/>
              <w:rPr>
                <w:rFonts w:ascii="Arial MT"/>
                <w:sz w:val="20"/>
              </w:rPr>
            </w:pPr>
            <w:r>
              <w:rPr>
                <w:rFonts w:ascii="Arial MT"/>
                <w:spacing w:val="-4"/>
                <w:sz w:val="20"/>
              </w:rPr>
              <w:t>.000</w:t>
            </w:r>
          </w:p>
        </w:tc>
      </w:tr>
      <w:tr>
        <w:trPr>
          <w:trHeight w:val="283" w:hRule="atLeast"/>
        </w:trPr>
        <w:tc>
          <w:tcPr>
            <w:tcW w:w="1247" w:type="dxa"/>
            <w:tcBorders>
              <w:bottom w:val="single" w:sz="8" w:space="0" w:color="000000"/>
            </w:tcBorders>
          </w:tcPr>
          <w:p>
            <w:pPr>
              <w:pStyle w:val="TableParagraph"/>
              <w:rPr>
                <w:sz w:val="20"/>
              </w:rPr>
            </w:pPr>
          </w:p>
        </w:tc>
        <w:tc>
          <w:tcPr>
            <w:tcW w:w="2345" w:type="dxa"/>
            <w:tcBorders>
              <w:bottom w:val="single" w:sz="8" w:space="0" w:color="000000"/>
            </w:tcBorders>
          </w:tcPr>
          <w:p>
            <w:pPr>
              <w:pStyle w:val="TableParagraph"/>
              <w:spacing w:line="210" w:lineRule="exact" w:before="53"/>
              <w:ind w:left="303"/>
              <w:rPr>
                <w:rFonts w:ascii="Arial MT"/>
                <w:sz w:val="20"/>
              </w:rPr>
            </w:pPr>
            <w:r>
              <w:rPr>
                <w:rFonts w:ascii="Arial MT"/>
                <w:sz w:val="20"/>
              </w:rPr>
              <w:t>total</w:t>
            </w:r>
            <w:r>
              <w:rPr>
                <w:rFonts w:ascii="Arial MT"/>
                <w:spacing w:val="-8"/>
                <w:sz w:val="20"/>
              </w:rPr>
              <w:t> </w:t>
            </w:r>
            <w:r>
              <w:rPr>
                <w:rFonts w:ascii="Arial MT"/>
                <w:sz w:val="20"/>
              </w:rPr>
              <w:t>self</w:t>
            </w:r>
            <w:r>
              <w:rPr>
                <w:rFonts w:ascii="Arial MT"/>
                <w:spacing w:val="3"/>
                <w:sz w:val="20"/>
              </w:rPr>
              <w:t> </w:t>
            </w:r>
            <w:r>
              <w:rPr>
                <w:rFonts w:ascii="Arial MT"/>
                <w:spacing w:val="-2"/>
                <w:sz w:val="20"/>
              </w:rPr>
              <w:t>efficacy</w:t>
            </w:r>
          </w:p>
        </w:tc>
        <w:tc>
          <w:tcPr>
            <w:tcW w:w="1543" w:type="dxa"/>
            <w:tcBorders>
              <w:bottom w:val="single" w:sz="8" w:space="0" w:color="000000"/>
            </w:tcBorders>
          </w:tcPr>
          <w:p>
            <w:pPr>
              <w:pStyle w:val="TableParagraph"/>
              <w:spacing w:line="210" w:lineRule="exact" w:before="53"/>
              <w:ind w:right="219"/>
              <w:jc w:val="right"/>
              <w:rPr>
                <w:rFonts w:ascii="Arial MT"/>
                <w:sz w:val="20"/>
              </w:rPr>
            </w:pPr>
            <w:r>
              <w:rPr>
                <w:rFonts w:ascii="Arial MT"/>
                <w:spacing w:val="-2"/>
                <w:sz w:val="20"/>
              </w:rPr>
              <w:t>175178.120</w:t>
            </w:r>
          </w:p>
        </w:tc>
        <w:tc>
          <w:tcPr>
            <w:tcW w:w="793" w:type="dxa"/>
            <w:tcBorders>
              <w:bottom w:val="single" w:sz="8" w:space="0" w:color="000000"/>
            </w:tcBorders>
          </w:tcPr>
          <w:p>
            <w:pPr>
              <w:pStyle w:val="TableParagraph"/>
              <w:spacing w:line="210" w:lineRule="exact" w:before="53"/>
              <w:ind w:right="99"/>
              <w:jc w:val="right"/>
              <w:rPr>
                <w:rFonts w:ascii="Arial MT"/>
                <w:sz w:val="20"/>
              </w:rPr>
            </w:pPr>
            <w:r>
              <w:rPr>
                <w:rFonts w:ascii="Arial MT"/>
                <w:spacing w:val="-10"/>
                <w:sz w:val="20"/>
              </w:rPr>
              <w:t>1</w:t>
            </w:r>
          </w:p>
        </w:tc>
        <w:tc>
          <w:tcPr>
            <w:tcW w:w="1230" w:type="dxa"/>
            <w:tcBorders>
              <w:bottom w:val="single" w:sz="8" w:space="0" w:color="000000"/>
            </w:tcBorders>
          </w:tcPr>
          <w:p>
            <w:pPr>
              <w:pStyle w:val="TableParagraph"/>
              <w:spacing w:line="210" w:lineRule="exact" w:before="53"/>
              <w:ind w:right="76"/>
              <w:jc w:val="right"/>
              <w:rPr>
                <w:rFonts w:ascii="Arial MT"/>
                <w:sz w:val="20"/>
              </w:rPr>
            </w:pPr>
            <w:r>
              <w:rPr>
                <w:rFonts w:ascii="Arial MT"/>
                <w:spacing w:val="-2"/>
                <w:sz w:val="20"/>
              </w:rPr>
              <w:t>175178.120</w:t>
            </w:r>
          </w:p>
        </w:tc>
        <w:tc>
          <w:tcPr>
            <w:tcW w:w="1079" w:type="dxa"/>
            <w:tcBorders>
              <w:bottom w:val="single" w:sz="8" w:space="0" w:color="000000"/>
            </w:tcBorders>
          </w:tcPr>
          <w:p>
            <w:pPr>
              <w:pStyle w:val="TableParagraph"/>
              <w:spacing w:line="210" w:lineRule="exact" w:before="53"/>
              <w:ind w:right="175"/>
              <w:jc w:val="right"/>
              <w:rPr>
                <w:rFonts w:ascii="Arial MT"/>
                <w:sz w:val="20"/>
              </w:rPr>
            </w:pPr>
            <w:r>
              <w:rPr>
                <w:rFonts w:ascii="Arial MT"/>
                <w:spacing w:val="-2"/>
                <w:sz w:val="20"/>
              </w:rPr>
              <w:t>1877.850</w:t>
            </w:r>
          </w:p>
        </w:tc>
        <w:tc>
          <w:tcPr>
            <w:tcW w:w="795" w:type="dxa"/>
            <w:tcBorders>
              <w:bottom w:val="single" w:sz="8" w:space="0" w:color="000000"/>
            </w:tcBorders>
          </w:tcPr>
          <w:p>
            <w:pPr>
              <w:pStyle w:val="TableParagraph"/>
              <w:spacing w:line="210" w:lineRule="exact" w:before="53"/>
              <w:ind w:right="58"/>
              <w:jc w:val="right"/>
              <w:rPr>
                <w:rFonts w:ascii="Arial MT"/>
                <w:sz w:val="20"/>
              </w:rPr>
            </w:pPr>
            <w:r>
              <w:rPr>
                <w:rFonts w:ascii="Arial MT"/>
                <w:spacing w:val="-4"/>
                <w:sz w:val="20"/>
              </w:rPr>
              <w:t>.000</w:t>
            </w:r>
          </w:p>
        </w:tc>
      </w:tr>
      <w:tr>
        <w:trPr>
          <w:trHeight w:val="373" w:hRule="atLeast"/>
        </w:trPr>
        <w:tc>
          <w:tcPr>
            <w:tcW w:w="1247" w:type="dxa"/>
            <w:tcBorders>
              <w:top w:val="single" w:sz="8" w:space="0" w:color="000000"/>
            </w:tcBorders>
          </w:tcPr>
          <w:p>
            <w:pPr>
              <w:pStyle w:val="TableParagraph"/>
              <w:spacing w:before="85"/>
              <w:ind w:left="62"/>
              <w:rPr>
                <w:rFonts w:ascii="Arial MT"/>
                <w:sz w:val="20"/>
              </w:rPr>
            </w:pPr>
            <w:r>
              <w:rPr>
                <w:rFonts w:ascii="Arial MT"/>
                <w:spacing w:val="-5"/>
                <w:sz w:val="20"/>
              </w:rPr>
              <w:t>sex</w:t>
            </w:r>
          </w:p>
        </w:tc>
        <w:tc>
          <w:tcPr>
            <w:tcW w:w="2345" w:type="dxa"/>
            <w:tcBorders>
              <w:top w:val="single" w:sz="8" w:space="0" w:color="000000"/>
            </w:tcBorders>
          </w:tcPr>
          <w:p>
            <w:pPr>
              <w:pStyle w:val="TableParagraph"/>
              <w:spacing w:before="85"/>
              <w:ind w:left="303"/>
              <w:rPr>
                <w:rFonts w:ascii="Arial MT"/>
                <w:sz w:val="20"/>
              </w:rPr>
            </w:pPr>
            <w:r>
              <w:rPr>
                <w:rFonts w:ascii="Arial MT"/>
                <w:spacing w:val="-2"/>
                <w:sz w:val="20"/>
              </w:rPr>
              <w:t>ChemistryAtest</w:t>
            </w:r>
          </w:p>
        </w:tc>
        <w:tc>
          <w:tcPr>
            <w:tcW w:w="1543" w:type="dxa"/>
            <w:tcBorders>
              <w:top w:val="single" w:sz="8" w:space="0" w:color="000000"/>
            </w:tcBorders>
          </w:tcPr>
          <w:p>
            <w:pPr>
              <w:pStyle w:val="TableParagraph"/>
              <w:spacing w:before="85"/>
              <w:ind w:right="214"/>
              <w:jc w:val="right"/>
              <w:rPr>
                <w:rFonts w:ascii="Arial MT"/>
                <w:sz w:val="20"/>
              </w:rPr>
            </w:pPr>
            <w:r>
              <w:rPr>
                <w:rFonts w:ascii="Arial MT"/>
                <w:spacing w:val="-2"/>
                <w:sz w:val="20"/>
              </w:rPr>
              <w:t>45.351</w:t>
            </w:r>
          </w:p>
        </w:tc>
        <w:tc>
          <w:tcPr>
            <w:tcW w:w="793" w:type="dxa"/>
            <w:tcBorders>
              <w:top w:val="single" w:sz="8" w:space="0" w:color="000000"/>
            </w:tcBorders>
          </w:tcPr>
          <w:p>
            <w:pPr>
              <w:pStyle w:val="TableParagraph"/>
              <w:spacing w:before="85"/>
              <w:ind w:right="99"/>
              <w:jc w:val="right"/>
              <w:rPr>
                <w:rFonts w:ascii="Arial MT"/>
                <w:sz w:val="20"/>
              </w:rPr>
            </w:pPr>
            <w:r>
              <w:rPr>
                <w:rFonts w:ascii="Arial MT"/>
                <w:spacing w:val="-10"/>
                <w:sz w:val="20"/>
              </w:rPr>
              <w:t>1</w:t>
            </w:r>
          </w:p>
        </w:tc>
        <w:tc>
          <w:tcPr>
            <w:tcW w:w="1230" w:type="dxa"/>
            <w:tcBorders>
              <w:top w:val="single" w:sz="8" w:space="0" w:color="000000"/>
            </w:tcBorders>
          </w:tcPr>
          <w:p>
            <w:pPr>
              <w:pStyle w:val="TableParagraph"/>
              <w:spacing w:before="85"/>
              <w:ind w:right="71"/>
              <w:jc w:val="right"/>
              <w:rPr>
                <w:rFonts w:ascii="Arial MT"/>
                <w:sz w:val="20"/>
              </w:rPr>
            </w:pPr>
            <w:r>
              <w:rPr>
                <w:rFonts w:ascii="Arial MT"/>
                <w:spacing w:val="-2"/>
                <w:sz w:val="20"/>
              </w:rPr>
              <w:t>45.351</w:t>
            </w:r>
          </w:p>
        </w:tc>
        <w:tc>
          <w:tcPr>
            <w:tcW w:w="1079" w:type="dxa"/>
            <w:tcBorders>
              <w:top w:val="single" w:sz="8" w:space="0" w:color="000000"/>
            </w:tcBorders>
          </w:tcPr>
          <w:p>
            <w:pPr>
              <w:pStyle w:val="TableParagraph"/>
              <w:spacing w:before="85"/>
              <w:ind w:right="171"/>
              <w:jc w:val="right"/>
              <w:rPr>
                <w:rFonts w:ascii="Arial MT"/>
                <w:sz w:val="20"/>
              </w:rPr>
            </w:pPr>
            <w:r>
              <w:rPr>
                <w:rFonts w:ascii="Arial MT"/>
                <w:spacing w:val="-4"/>
                <w:sz w:val="20"/>
              </w:rPr>
              <w:t>.636</w:t>
            </w:r>
          </w:p>
        </w:tc>
        <w:tc>
          <w:tcPr>
            <w:tcW w:w="795" w:type="dxa"/>
            <w:tcBorders>
              <w:top w:val="single" w:sz="8" w:space="0" w:color="000000"/>
            </w:tcBorders>
          </w:tcPr>
          <w:p>
            <w:pPr>
              <w:pStyle w:val="TableParagraph"/>
              <w:spacing w:before="85"/>
              <w:ind w:right="58"/>
              <w:jc w:val="right"/>
              <w:rPr>
                <w:rFonts w:ascii="Arial MT"/>
                <w:sz w:val="20"/>
              </w:rPr>
            </w:pPr>
            <w:r>
              <w:rPr>
                <w:rFonts w:ascii="Arial MT"/>
                <w:spacing w:val="-4"/>
                <w:sz w:val="20"/>
              </w:rPr>
              <w:t>.426</w:t>
            </w:r>
          </w:p>
        </w:tc>
      </w:tr>
      <w:tr>
        <w:trPr>
          <w:trHeight w:val="662" w:hRule="atLeast"/>
        </w:trPr>
        <w:tc>
          <w:tcPr>
            <w:tcW w:w="1247" w:type="dxa"/>
          </w:tcPr>
          <w:p>
            <w:pPr>
              <w:pStyle w:val="TableParagraph"/>
              <w:rPr>
                <w:sz w:val="20"/>
              </w:rPr>
            </w:pPr>
          </w:p>
        </w:tc>
        <w:tc>
          <w:tcPr>
            <w:tcW w:w="2345" w:type="dxa"/>
          </w:tcPr>
          <w:p>
            <w:pPr>
              <w:pStyle w:val="TableParagraph"/>
              <w:spacing w:before="52"/>
              <w:ind w:left="303"/>
              <w:rPr>
                <w:rFonts w:ascii="Arial MT"/>
                <w:sz w:val="20"/>
              </w:rPr>
            </w:pPr>
            <w:r>
              <w:rPr>
                <w:rFonts w:ascii="Arial MT"/>
                <w:sz w:val="20"/>
              </w:rPr>
              <w:t>total</w:t>
            </w:r>
            <w:r>
              <w:rPr>
                <w:rFonts w:ascii="Arial MT"/>
                <w:spacing w:val="-2"/>
                <w:sz w:val="20"/>
              </w:rPr>
              <w:t> emotional</w:t>
            </w:r>
          </w:p>
          <w:p>
            <w:pPr>
              <w:pStyle w:val="TableParagraph"/>
              <w:spacing w:before="92"/>
              <w:ind w:left="303"/>
              <w:rPr>
                <w:rFonts w:ascii="Arial MT"/>
                <w:sz w:val="20"/>
              </w:rPr>
            </w:pPr>
            <w:r>
              <w:rPr>
                <w:rFonts w:ascii="Arial MT"/>
                <w:spacing w:val="-2"/>
                <w:sz w:val="20"/>
              </w:rPr>
              <w:t>intelligence</w:t>
            </w:r>
          </w:p>
        </w:tc>
        <w:tc>
          <w:tcPr>
            <w:tcW w:w="1543" w:type="dxa"/>
          </w:tcPr>
          <w:p>
            <w:pPr>
              <w:pStyle w:val="TableParagraph"/>
              <w:spacing w:before="52"/>
              <w:ind w:right="214"/>
              <w:jc w:val="right"/>
              <w:rPr>
                <w:rFonts w:ascii="Arial MT"/>
                <w:sz w:val="20"/>
              </w:rPr>
            </w:pPr>
            <w:r>
              <w:rPr>
                <w:rFonts w:ascii="Arial MT"/>
                <w:spacing w:val="-2"/>
                <w:sz w:val="20"/>
              </w:rPr>
              <w:t>72.766</w:t>
            </w:r>
          </w:p>
        </w:tc>
        <w:tc>
          <w:tcPr>
            <w:tcW w:w="793" w:type="dxa"/>
          </w:tcPr>
          <w:p>
            <w:pPr>
              <w:pStyle w:val="TableParagraph"/>
              <w:spacing w:before="52"/>
              <w:ind w:right="99"/>
              <w:jc w:val="right"/>
              <w:rPr>
                <w:rFonts w:ascii="Arial MT"/>
                <w:sz w:val="20"/>
              </w:rPr>
            </w:pPr>
            <w:r>
              <w:rPr>
                <w:rFonts w:ascii="Arial MT"/>
                <w:spacing w:val="-10"/>
                <w:sz w:val="20"/>
              </w:rPr>
              <w:t>1</w:t>
            </w:r>
          </w:p>
        </w:tc>
        <w:tc>
          <w:tcPr>
            <w:tcW w:w="1230" w:type="dxa"/>
          </w:tcPr>
          <w:p>
            <w:pPr>
              <w:pStyle w:val="TableParagraph"/>
              <w:spacing w:before="52"/>
              <w:ind w:right="71"/>
              <w:jc w:val="right"/>
              <w:rPr>
                <w:rFonts w:ascii="Arial MT"/>
                <w:sz w:val="20"/>
              </w:rPr>
            </w:pPr>
            <w:r>
              <w:rPr>
                <w:rFonts w:ascii="Arial MT"/>
                <w:spacing w:val="-2"/>
                <w:sz w:val="20"/>
              </w:rPr>
              <w:t>72.766</w:t>
            </w:r>
          </w:p>
        </w:tc>
        <w:tc>
          <w:tcPr>
            <w:tcW w:w="1079" w:type="dxa"/>
          </w:tcPr>
          <w:p>
            <w:pPr>
              <w:pStyle w:val="TableParagraph"/>
              <w:spacing w:before="52"/>
              <w:ind w:right="171"/>
              <w:jc w:val="right"/>
              <w:rPr>
                <w:rFonts w:ascii="Arial MT"/>
                <w:sz w:val="20"/>
              </w:rPr>
            </w:pPr>
            <w:r>
              <w:rPr>
                <w:rFonts w:ascii="Arial MT"/>
                <w:spacing w:val="-4"/>
                <w:sz w:val="20"/>
              </w:rPr>
              <w:t>.069</w:t>
            </w:r>
          </w:p>
        </w:tc>
        <w:tc>
          <w:tcPr>
            <w:tcW w:w="795" w:type="dxa"/>
          </w:tcPr>
          <w:p>
            <w:pPr>
              <w:pStyle w:val="TableParagraph"/>
              <w:spacing w:before="52"/>
              <w:ind w:right="58"/>
              <w:jc w:val="right"/>
              <w:rPr>
                <w:rFonts w:ascii="Arial MT"/>
                <w:sz w:val="20"/>
              </w:rPr>
            </w:pPr>
            <w:r>
              <w:rPr>
                <w:rFonts w:ascii="Arial MT"/>
                <w:spacing w:val="-4"/>
                <w:sz w:val="20"/>
              </w:rPr>
              <w:t>.793</w:t>
            </w:r>
          </w:p>
        </w:tc>
      </w:tr>
      <w:tr>
        <w:trPr>
          <w:trHeight w:val="341" w:hRule="atLeast"/>
        </w:trPr>
        <w:tc>
          <w:tcPr>
            <w:tcW w:w="1247" w:type="dxa"/>
          </w:tcPr>
          <w:p>
            <w:pPr>
              <w:pStyle w:val="TableParagraph"/>
              <w:rPr>
                <w:sz w:val="20"/>
              </w:rPr>
            </w:pPr>
          </w:p>
        </w:tc>
        <w:tc>
          <w:tcPr>
            <w:tcW w:w="2345" w:type="dxa"/>
          </w:tcPr>
          <w:p>
            <w:pPr>
              <w:pStyle w:val="TableParagraph"/>
              <w:spacing w:before="52"/>
              <w:ind w:left="303"/>
              <w:rPr>
                <w:rFonts w:ascii="Arial MT"/>
                <w:sz w:val="20"/>
              </w:rPr>
            </w:pPr>
            <w:r>
              <w:rPr>
                <w:rFonts w:ascii="Arial MT"/>
                <w:sz w:val="20"/>
              </w:rPr>
              <w:t>total</w:t>
            </w:r>
            <w:r>
              <w:rPr>
                <w:rFonts w:ascii="Arial MT"/>
                <w:spacing w:val="-8"/>
                <w:sz w:val="20"/>
              </w:rPr>
              <w:t> </w:t>
            </w:r>
            <w:r>
              <w:rPr>
                <w:rFonts w:ascii="Arial MT"/>
                <w:sz w:val="20"/>
              </w:rPr>
              <w:t>reasoning</w:t>
            </w:r>
            <w:r>
              <w:rPr>
                <w:rFonts w:ascii="Arial MT"/>
                <w:spacing w:val="-7"/>
                <w:sz w:val="20"/>
              </w:rPr>
              <w:t> </w:t>
            </w:r>
            <w:r>
              <w:rPr>
                <w:rFonts w:ascii="Arial MT"/>
                <w:spacing w:val="-2"/>
                <w:sz w:val="20"/>
              </w:rPr>
              <w:t>ability</w:t>
            </w:r>
          </w:p>
        </w:tc>
        <w:tc>
          <w:tcPr>
            <w:tcW w:w="1543" w:type="dxa"/>
          </w:tcPr>
          <w:p>
            <w:pPr>
              <w:pStyle w:val="TableParagraph"/>
              <w:spacing w:before="52"/>
              <w:ind w:right="214"/>
              <w:jc w:val="right"/>
              <w:rPr>
                <w:rFonts w:ascii="Arial MT"/>
                <w:sz w:val="20"/>
              </w:rPr>
            </w:pPr>
            <w:r>
              <w:rPr>
                <w:rFonts w:ascii="Arial MT"/>
                <w:spacing w:val="-2"/>
                <w:sz w:val="20"/>
              </w:rPr>
              <w:t>1.269</w:t>
            </w:r>
          </w:p>
        </w:tc>
        <w:tc>
          <w:tcPr>
            <w:tcW w:w="793" w:type="dxa"/>
          </w:tcPr>
          <w:p>
            <w:pPr>
              <w:pStyle w:val="TableParagraph"/>
              <w:spacing w:before="52"/>
              <w:ind w:right="99"/>
              <w:jc w:val="right"/>
              <w:rPr>
                <w:rFonts w:ascii="Arial MT"/>
                <w:sz w:val="20"/>
              </w:rPr>
            </w:pPr>
            <w:r>
              <w:rPr>
                <w:rFonts w:ascii="Arial MT"/>
                <w:spacing w:val="-10"/>
                <w:sz w:val="20"/>
              </w:rPr>
              <w:t>1</w:t>
            </w:r>
          </w:p>
        </w:tc>
        <w:tc>
          <w:tcPr>
            <w:tcW w:w="1230" w:type="dxa"/>
          </w:tcPr>
          <w:p>
            <w:pPr>
              <w:pStyle w:val="TableParagraph"/>
              <w:spacing w:before="52"/>
              <w:ind w:right="71"/>
              <w:jc w:val="right"/>
              <w:rPr>
                <w:rFonts w:ascii="Arial MT"/>
                <w:sz w:val="20"/>
              </w:rPr>
            </w:pPr>
            <w:r>
              <w:rPr>
                <w:rFonts w:ascii="Arial MT"/>
                <w:spacing w:val="-2"/>
                <w:sz w:val="20"/>
              </w:rPr>
              <w:t>1.269</w:t>
            </w:r>
          </w:p>
        </w:tc>
        <w:tc>
          <w:tcPr>
            <w:tcW w:w="1079" w:type="dxa"/>
          </w:tcPr>
          <w:p>
            <w:pPr>
              <w:pStyle w:val="TableParagraph"/>
              <w:spacing w:before="52"/>
              <w:ind w:right="171"/>
              <w:jc w:val="right"/>
              <w:rPr>
                <w:rFonts w:ascii="Arial MT"/>
                <w:sz w:val="20"/>
              </w:rPr>
            </w:pPr>
            <w:r>
              <w:rPr>
                <w:rFonts w:ascii="Arial MT"/>
                <w:spacing w:val="-4"/>
                <w:sz w:val="20"/>
              </w:rPr>
              <w:t>.450</w:t>
            </w:r>
          </w:p>
        </w:tc>
        <w:tc>
          <w:tcPr>
            <w:tcW w:w="795" w:type="dxa"/>
          </w:tcPr>
          <w:p>
            <w:pPr>
              <w:pStyle w:val="TableParagraph"/>
              <w:spacing w:before="52"/>
              <w:ind w:right="58"/>
              <w:jc w:val="right"/>
              <w:rPr>
                <w:rFonts w:ascii="Arial MT"/>
                <w:sz w:val="20"/>
              </w:rPr>
            </w:pPr>
            <w:r>
              <w:rPr>
                <w:rFonts w:ascii="Arial MT"/>
                <w:spacing w:val="-4"/>
                <w:sz w:val="20"/>
              </w:rPr>
              <w:t>.503</w:t>
            </w:r>
          </w:p>
        </w:tc>
      </w:tr>
      <w:tr>
        <w:trPr>
          <w:trHeight w:val="283" w:hRule="atLeast"/>
        </w:trPr>
        <w:tc>
          <w:tcPr>
            <w:tcW w:w="1247" w:type="dxa"/>
            <w:tcBorders>
              <w:bottom w:val="single" w:sz="8" w:space="0" w:color="000000"/>
            </w:tcBorders>
          </w:tcPr>
          <w:p>
            <w:pPr>
              <w:pStyle w:val="TableParagraph"/>
              <w:rPr>
                <w:sz w:val="20"/>
              </w:rPr>
            </w:pPr>
          </w:p>
        </w:tc>
        <w:tc>
          <w:tcPr>
            <w:tcW w:w="2345" w:type="dxa"/>
            <w:tcBorders>
              <w:bottom w:val="single" w:sz="8" w:space="0" w:color="000000"/>
            </w:tcBorders>
          </w:tcPr>
          <w:p>
            <w:pPr>
              <w:pStyle w:val="TableParagraph"/>
              <w:spacing w:line="210" w:lineRule="exact" w:before="53"/>
              <w:ind w:left="303"/>
              <w:rPr>
                <w:rFonts w:ascii="Arial MT"/>
                <w:sz w:val="20"/>
              </w:rPr>
            </w:pPr>
            <w:r>
              <w:rPr>
                <w:rFonts w:ascii="Arial MT"/>
                <w:sz w:val="20"/>
              </w:rPr>
              <w:t>total</w:t>
            </w:r>
            <w:r>
              <w:rPr>
                <w:rFonts w:ascii="Arial MT"/>
                <w:spacing w:val="-8"/>
                <w:sz w:val="20"/>
              </w:rPr>
              <w:t> </w:t>
            </w:r>
            <w:r>
              <w:rPr>
                <w:rFonts w:ascii="Arial MT"/>
                <w:sz w:val="20"/>
              </w:rPr>
              <w:t>self</w:t>
            </w:r>
            <w:r>
              <w:rPr>
                <w:rFonts w:ascii="Arial MT"/>
                <w:spacing w:val="3"/>
                <w:sz w:val="20"/>
              </w:rPr>
              <w:t> </w:t>
            </w:r>
            <w:r>
              <w:rPr>
                <w:rFonts w:ascii="Arial MT"/>
                <w:spacing w:val="-2"/>
                <w:sz w:val="20"/>
              </w:rPr>
              <w:t>efficacy</w:t>
            </w:r>
          </w:p>
        </w:tc>
        <w:tc>
          <w:tcPr>
            <w:tcW w:w="1543" w:type="dxa"/>
            <w:tcBorders>
              <w:bottom w:val="single" w:sz="8" w:space="0" w:color="000000"/>
            </w:tcBorders>
          </w:tcPr>
          <w:p>
            <w:pPr>
              <w:pStyle w:val="TableParagraph"/>
              <w:spacing w:line="210" w:lineRule="exact" w:before="53"/>
              <w:ind w:right="214"/>
              <w:jc w:val="right"/>
              <w:rPr>
                <w:rFonts w:ascii="Arial MT"/>
                <w:sz w:val="20"/>
              </w:rPr>
            </w:pPr>
            <w:r>
              <w:rPr>
                <w:rFonts w:ascii="Arial MT"/>
                <w:spacing w:val="-2"/>
                <w:sz w:val="20"/>
              </w:rPr>
              <w:t>90.225</w:t>
            </w:r>
          </w:p>
        </w:tc>
        <w:tc>
          <w:tcPr>
            <w:tcW w:w="793" w:type="dxa"/>
            <w:tcBorders>
              <w:bottom w:val="single" w:sz="8" w:space="0" w:color="000000"/>
            </w:tcBorders>
          </w:tcPr>
          <w:p>
            <w:pPr>
              <w:pStyle w:val="TableParagraph"/>
              <w:spacing w:line="210" w:lineRule="exact" w:before="53"/>
              <w:ind w:right="99"/>
              <w:jc w:val="right"/>
              <w:rPr>
                <w:rFonts w:ascii="Arial MT"/>
                <w:sz w:val="20"/>
              </w:rPr>
            </w:pPr>
            <w:r>
              <w:rPr>
                <w:rFonts w:ascii="Arial MT"/>
                <w:spacing w:val="-10"/>
                <w:sz w:val="20"/>
              </w:rPr>
              <w:t>1</w:t>
            </w:r>
          </w:p>
        </w:tc>
        <w:tc>
          <w:tcPr>
            <w:tcW w:w="1230" w:type="dxa"/>
            <w:tcBorders>
              <w:bottom w:val="single" w:sz="8" w:space="0" w:color="000000"/>
            </w:tcBorders>
          </w:tcPr>
          <w:p>
            <w:pPr>
              <w:pStyle w:val="TableParagraph"/>
              <w:spacing w:line="210" w:lineRule="exact" w:before="53"/>
              <w:ind w:right="71"/>
              <w:jc w:val="right"/>
              <w:rPr>
                <w:rFonts w:ascii="Arial MT"/>
                <w:sz w:val="20"/>
              </w:rPr>
            </w:pPr>
            <w:r>
              <w:rPr>
                <w:rFonts w:ascii="Arial MT"/>
                <w:spacing w:val="-2"/>
                <w:sz w:val="20"/>
              </w:rPr>
              <w:t>90.225</w:t>
            </w:r>
          </w:p>
        </w:tc>
        <w:tc>
          <w:tcPr>
            <w:tcW w:w="1079" w:type="dxa"/>
            <w:tcBorders>
              <w:bottom w:val="single" w:sz="8" w:space="0" w:color="000000"/>
            </w:tcBorders>
          </w:tcPr>
          <w:p>
            <w:pPr>
              <w:pStyle w:val="TableParagraph"/>
              <w:spacing w:line="210" w:lineRule="exact" w:before="53"/>
              <w:ind w:right="171"/>
              <w:jc w:val="right"/>
              <w:rPr>
                <w:rFonts w:ascii="Arial MT"/>
                <w:sz w:val="20"/>
              </w:rPr>
            </w:pPr>
            <w:r>
              <w:rPr>
                <w:rFonts w:ascii="Arial MT"/>
                <w:spacing w:val="-4"/>
                <w:sz w:val="20"/>
              </w:rPr>
              <w:t>.967</w:t>
            </w:r>
          </w:p>
        </w:tc>
        <w:tc>
          <w:tcPr>
            <w:tcW w:w="795" w:type="dxa"/>
            <w:tcBorders>
              <w:bottom w:val="single" w:sz="8" w:space="0" w:color="000000"/>
            </w:tcBorders>
          </w:tcPr>
          <w:p>
            <w:pPr>
              <w:pStyle w:val="TableParagraph"/>
              <w:spacing w:line="210" w:lineRule="exact" w:before="53"/>
              <w:ind w:right="58"/>
              <w:jc w:val="right"/>
              <w:rPr>
                <w:rFonts w:ascii="Arial MT"/>
                <w:sz w:val="20"/>
              </w:rPr>
            </w:pPr>
            <w:r>
              <w:rPr>
                <w:rFonts w:ascii="Arial MT"/>
                <w:spacing w:val="-4"/>
                <w:sz w:val="20"/>
              </w:rPr>
              <w:t>.327</w:t>
            </w:r>
          </w:p>
        </w:tc>
      </w:tr>
      <w:tr>
        <w:trPr>
          <w:trHeight w:val="373" w:hRule="atLeast"/>
        </w:trPr>
        <w:tc>
          <w:tcPr>
            <w:tcW w:w="1247" w:type="dxa"/>
            <w:tcBorders>
              <w:top w:val="single" w:sz="8" w:space="0" w:color="000000"/>
            </w:tcBorders>
          </w:tcPr>
          <w:p>
            <w:pPr>
              <w:pStyle w:val="TableParagraph"/>
              <w:spacing w:before="85"/>
              <w:ind w:left="62"/>
              <w:rPr>
                <w:rFonts w:ascii="Arial MT"/>
                <w:sz w:val="20"/>
              </w:rPr>
            </w:pPr>
            <w:r>
              <w:rPr>
                <w:rFonts w:ascii="Arial MT"/>
                <w:spacing w:val="-2"/>
                <w:sz w:val="20"/>
              </w:rPr>
              <w:t>Error</w:t>
            </w:r>
          </w:p>
        </w:tc>
        <w:tc>
          <w:tcPr>
            <w:tcW w:w="2345" w:type="dxa"/>
            <w:tcBorders>
              <w:top w:val="single" w:sz="8" w:space="0" w:color="000000"/>
            </w:tcBorders>
          </w:tcPr>
          <w:p>
            <w:pPr>
              <w:pStyle w:val="TableParagraph"/>
              <w:spacing w:before="85"/>
              <w:ind w:left="303"/>
              <w:rPr>
                <w:rFonts w:ascii="Arial MT"/>
                <w:sz w:val="20"/>
              </w:rPr>
            </w:pPr>
            <w:r>
              <w:rPr>
                <w:rFonts w:ascii="Arial MT"/>
                <w:spacing w:val="-2"/>
                <w:sz w:val="20"/>
              </w:rPr>
              <w:t>ChemistryAtest</w:t>
            </w:r>
          </w:p>
        </w:tc>
        <w:tc>
          <w:tcPr>
            <w:tcW w:w="1543" w:type="dxa"/>
            <w:tcBorders>
              <w:top w:val="single" w:sz="8" w:space="0" w:color="000000"/>
            </w:tcBorders>
          </w:tcPr>
          <w:p>
            <w:pPr>
              <w:pStyle w:val="TableParagraph"/>
              <w:spacing w:before="85"/>
              <w:ind w:right="219"/>
              <w:jc w:val="right"/>
              <w:rPr>
                <w:rFonts w:ascii="Arial MT"/>
                <w:sz w:val="20"/>
              </w:rPr>
            </w:pPr>
            <w:r>
              <w:rPr>
                <w:rFonts w:ascii="Arial MT"/>
                <w:spacing w:val="-2"/>
                <w:sz w:val="20"/>
              </w:rPr>
              <w:t>10689.327</w:t>
            </w:r>
          </w:p>
        </w:tc>
        <w:tc>
          <w:tcPr>
            <w:tcW w:w="793" w:type="dxa"/>
            <w:tcBorders>
              <w:top w:val="single" w:sz="8" w:space="0" w:color="000000"/>
            </w:tcBorders>
          </w:tcPr>
          <w:p>
            <w:pPr>
              <w:pStyle w:val="TableParagraph"/>
              <w:spacing w:before="85"/>
              <w:ind w:right="106"/>
              <w:jc w:val="right"/>
              <w:rPr>
                <w:rFonts w:ascii="Arial MT"/>
                <w:sz w:val="20"/>
              </w:rPr>
            </w:pPr>
            <w:r>
              <w:rPr>
                <w:rFonts w:ascii="Arial MT"/>
                <w:spacing w:val="-5"/>
                <w:sz w:val="20"/>
              </w:rPr>
              <w:t>150</w:t>
            </w:r>
          </w:p>
        </w:tc>
        <w:tc>
          <w:tcPr>
            <w:tcW w:w="1230" w:type="dxa"/>
            <w:tcBorders>
              <w:top w:val="single" w:sz="8" w:space="0" w:color="000000"/>
            </w:tcBorders>
          </w:tcPr>
          <w:p>
            <w:pPr>
              <w:pStyle w:val="TableParagraph"/>
              <w:spacing w:before="85"/>
              <w:ind w:right="71"/>
              <w:jc w:val="right"/>
              <w:rPr>
                <w:rFonts w:ascii="Arial MT"/>
                <w:sz w:val="20"/>
              </w:rPr>
            </w:pPr>
            <w:r>
              <w:rPr>
                <w:rFonts w:ascii="Arial MT"/>
                <w:spacing w:val="-2"/>
                <w:sz w:val="20"/>
              </w:rPr>
              <w:t>71.262</w:t>
            </w:r>
          </w:p>
        </w:tc>
        <w:tc>
          <w:tcPr>
            <w:tcW w:w="1079" w:type="dxa"/>
            <w:tcBorders>
              <w:top w:val="single" w:sz="8" w:space="0" w:color="000000"/>
            </w:tcBorders>
          </w:tcPr>
          <w:p>
            <w:pPr>
              <w:pStyle w:val="TableParagraph"/>
              <w:rPr>
                <w:sz w:val="20"/>
              </w:rPr>
            </w:pPr>
          </w:p>
        </w:tc>
        <w:tc>
          <w:tcPr>
            <w:tcW w:w="795" w:type="dxa"/>
            <w:tcBorders>
              <w:top w:val="single" w:sz="8" w:space="0" w:color="000000"/>
            </w:tcBorders>
          </w:tcPr>
          <w:p>
            <w:pPr>
              <w:pStyle w:val="TableParagraph"/>
              <w:rPr>
                <w:sz w:val="20"/>
              </w:rPr>
            </w:pPr>
          </w:p>
        </w:tc>
      </w:tr>
      <w:tr>
        <w:trPr>
          <w:trHeight w:val="662" w:hRule="atLeast"/>
        </w:trPr>
        <w:tc>
          <w:tcPr>
            <w:tcW w:w="1247" w:type="dxa"/>
          </w:tcPr>
          <w:p>
            <w:pPr>
              <w:pStyle w:val="TableParagraph"/>
              <w:rPr>
                <w:sz w:val="20"/>
              </w:rPr>
            </w:pPr>
          </w:p>
        </w:tc>
        <w:tc>
          <w:tcPr>
            <w:tcW w:w="2345" w:type="dxa"/>
          </w:tcPr>
          <w:p>
            <w:pPr>
              <w:pStyle w:val="TableParagraph"/>
              <w:spacing w:before="52"/>
              <w:ind w:left="303"/>
              <w:rPr>
                <w:rFonts w:ascii="Arial MT"/>
                <w:sz w:val="20"/>
              </w:rPr>
            </w:pPr>
            <w:r>
              <w:rPr>
                <w:rFonts w:ascii="Arial MT"/>
                <w:sz w:val="20"/>
              </w:rPr>
              <w:t>total</w:t>
            </w:r>
            <w:r>
              <w:rPr>
                <w:rFonts w:ascii="Arial MT"/>
                <w:spacing w:val="-2"/>
                <w:sz w:val="20"/>
              </w:rPr>
              <w:t> emotional</w:t>
            </w:r>
          </w:p>
          <w:p>
            <w:pPr>
              <w:pStyle w:val="TableParagraph"/>
              <w:spacing w:before="92"/>
              <w:ind w:left="303"/>
              <w:rPr>
                <w:rFonts w:ascii="Arial MT"/>
                <w:sz w:val="20"/>
              </w:rPr>
            </w:pPr>
            <w:r>
              <w:rPr>
                <w:rFonts w:ascii="Arial MT"/>
                <w:spacing w:val="-2"/>
                <w:sz w:val="20"/>
              </w:rPr>
              <w:t>intelligence</w:t>
            </w:r>
          </w:p>
        </w:tc>
        <w:tc>
          <w:tcPr>
            <w:tcW w:w="1543" w:type="dxa"/>
          </w:tcPr>
          <w:p>
            <w:pPr>
              <w:pStyle w:val="TableParagraph"/>
              <w:spacing w:before="52"/>
              <w:ind w:right="219"/>
              <w:jc w:val="right"/>
              <w:rPr>
                <w:rFonts w:ascii="Arial MT"/>
                <w:sz w:val="20"/>
              </w:rPr>
            </w:pPr>
            <w:r>
              <w:rPr>
                <w:rFonts w:ascii="Arial MT"/>
                <w:spacing w:val="-2"/>
                <w:sz w:val="20"/>
              </w:rPr>
              <w:t>158455.438</w:t>
            </w:r>
          </w:p>
        </w:tc>
        <w:tc>
          <w:tcPr>
            <w:tcW w:w="793" w:type="dxa"/>
          </w:tcPr>
          <w:p>
            <w:pPr>
              <w:pStyle w:val="TableParagraph"/>
              <w:spacing w:before="52"/>
              <w:ind w:right="106"/>
              <w:jc w:val="right"/>
              <w:rPr>
                <w:rFonts w:ascii="Arial MT"/>
                <w:sz w:val="20"/>
              </w:rPr>
            </w:pPr>
            <w:r>
              <w:rPr>
                <w:rFonts w:ascii="Arial MT"/>
                <w:spacing w:val="-5"/>
                <w:sz w:val="20"/>
              </w:rPr>
              <w:t>150</w:t>
            </w:r>
          </w:p>
        </w:tc>
        <w:tc>
          <w:tcPr>
            <w:tcW w:w="1230" w:type="dxa"/>
          </w:tcPr>
          <w:p>
            <w:pPr>
              <w:pStyle w:val="TableParagraph"/>
              <w:spacing w:before="52"/>
              <w:ind w:right="76"/>
              <w:jc w:val="right"/>
              <w:rPr>
                <w:rFonts w:ascii="Arial MT"/>
                <w:sz w:val="20"/>
              </w:rPr>
            </w:pPr>
            <w:r>
              <w:rPr>
                <w:rFonts w:ascii="Arial MT"/>
                <w:spacing w:val="-2"/>
                <w:sz w:val="20"/>
              </w:rPr>
              <w:t>1056.370</w:t>
            </w:r>
          </w:p>
        </w:tc>
        <w:tc>
          <w:tcPr>
            <w:tcW w:w="1079" w:type="dxa"/>
          </w:tcPr>
          <w:p>
            <w:pPr>
              <w:pStyle w:val="TableParagraph"/>
              <w:rPr>
                <w:sz w:val="20"/>
              </w:rPr>
            </w:pPr>
          </w:p>
        </w:tc>
        <w:tc>
          <w:tcPr>
            <w:tcW w:w="795" w:type="dxa"/>
          </w:tcPr>
          <w:p>
            <w:pPr>
              <w:pStyle w:val="TableParagraph"/>
              <w:rPr>
                <w:sz w:val="20"/>
              </w:rPr>
            </w:pPr>
          </w:p>
        </w:tc>
      </w:tr>
      <w:tr>
        <w:trPr>
          <w:trHeight w:val="340" w:hRule="atLeast"/>
        </w:trPr>
        <w:tc>
          <w:tcPr>
            <w:tcW w:w="1247" w:type="dxa"/>
          </w:tcPr>
          <w:p>
            <w:pPr>
              <w:pStyle w:val="TableParagraph"/>
              <w:rPr>
                <w:sz w:val="20"/>
              </w:rPr>
            </w:pPr>
          </w:p>
        </w:tc>
        <w:tc>
          <w:tcPr>
            <w:tcW w:w="2345" w:type="dxa"/>
          </w:tcPr>
          <w:p>
            <w:pPr>
              <w:pStyle w:val="TableParagraph"/>
              <w:spacing w:before="52"/>
              <w:ind w:left="303"/>
              <w:rPr>
                <w:rFonts w:ascii="Arial MT"/>
                <w:sz w:val="20"/>
              </w:rPr>
            </w:pPr>
            <w:r>
              <w:rPr>
                <w:rFonts w:ascii="Arial MT"/>
                <w:sz w:val="20"/>
              </w:rPr>
              <w:t>total</w:t>
            </w:r>
            <w:r>
              <w:rPr>
                <w:rFonts w:ascii="Arial MT"/>
                <w:spacing w:val="-8"/>
                <w:sz w:val="20"/>
              </w:rPr>
              <w:t> </w:t>
            </w:r>
            <w:r>
              <w:rPr>
                <w:rFonts w:ascii="Arial MT"/>
                <w:sz w:val="20"/>
              </w:rPr>
              <w:t>reasoning</w:t>
            </w:r>
            <w:r>
              <w:rPr>
                <w:rFonts w:ascii="Arial MT"/>
                <w:spacing w:val="-7"/>
                <w:sz w:val="20"/>
              </w:rPr>
              <w:t> </w:t>
            </w:r>
            <w:r>
              <w:rPr>
                <w:rFonts w:ascii="Arial MT"/>
                <w:spacing w:val="-2"/>
                <w:sz w:val="20"/>
              </w:rPr>
              <w:t>ability</w:t>
            </w:r>
          </w:p>
        </w:tc>
        <w:tc>
          <w:tcPr>
            <w:tcW w:w="1543" w:type="dxa"/>
          </w:tcPr>
          <w:p>
            <w:pPr>
              <w:pStyle w:val="TableParagraph"/>
              <w:spacing w:before="52"/>
              <w:ind w:right="219"/>
              <w:jc w:val="right"/>
              <w:rPr>
                <w:rFonts w:ascii="Arial MT"/>
                <w:sz w:val="20"/>
              </w:rPr>
            </w:pPr>
            <w:r>
              <w:rPr>
                <w:rFonts w:ascii="Arial MT"/>
                <w:spacing w:val="-2"/>
                <w:sz w:val="20"/>
              </w:rPr>
              <w:t>422.626</w:t>
            </w:r>
          </w:p>
        </w:tc>
        <w:tc>
          <w:tcPr>
            <w:tcW w:w="793" w:type="dxa"/>
          </w:tcPr>
          <w:p>
            <w:pPr>
              <w:pStyle w:val="TableParagraph"/>
              <w:spacing w:before="52"/>
              <w:ind w:right="106"/>
              <w:jc w:val="right"/>
              <w:rPr>
                <w:rFonts w:ascii="Arial MT"/>
                <w:sz w:val="20"/>
              </w:rPr>
            </w:pPr>
            <w:r>
              <w:rPr>
                <w:rFonts w:ascii="Arial MT"/>
                <w:spacing w:val="-5"/>
                <w:sz w:val="20"/>
              </w:rPr>
              <w:t>150</w:t>
            </w:r>
          </w:p>
        </w:tc>
        <w:tc>
          <w:tcPr>
            <w:tcW w:w="1230" w:type="dxa"/>
          </w:tcPr>
          <w:p>
            <w:pPr>
              <w:pStyle w:val="TableParagraph"/>
              <w:spacing w:before="52"/>
              <w:ind w:right="71"/>
              <w:jc w:val="right"/>
              <w:rPr>
                <w:rFonts w:ascii="Arial MT"/>
                <w:sz w:val="20"/>
              </w:rPr>
            </w:pPr>
            <w:r>
              <w:rPr>
                <w:rFonts w:ascii="Arial MT"/>
                <w:spacing w:val="-2"/>
                <w:sz w:val="20"/>
              </w:rPr>
              <w:t>2.818</w:t>
            </w:r>
          </w:p>
        </w:tc>
        <w:tc>
          <w:tcPr>
            <w:tcW w:w="1079" w:type="dxa"/>
          </w:tcPr>
          <w:p>
            <w:pPr>
              <w:pStyle w:val="TableParagraph"/>
              <w:rPr>
                <w:sz w:val="20"/>
              </w:rPr>
            </w:pPr>
          </w:p>
        </w:tc>
        <w:tc>
          <w:tcPr>
            <w:tcW w:w="795" w:type="dxa"/>
          </w:tcPr>
          <w:p>
            <w:pPr>
              <w:pStyle w:val="TableParagraph"/>
              <w:rPr>
                <w:sz w:val="20"/>
              </w:rPr>
            </w:pPr>
          </w:p>
        </w:tc>
      </w:tr>
      <w:tr>
        <w:trPr>
          <w:trHeight w:val="283" w:hRule="atLeast"/>
        </w:trPr>
        <w:tc>
          <w:tcPr>
            <w:tcW w:w="1247" w:type="dxa"/>
            <w:tcBorders>
              <w:bottom w:val="single" w:sz="8" w:space="0" w:color="000000"/>
            </w:tcBorders>
          </w:tcPr>
          <w:p>
            <w:pPr>
              <w:pStyle w:val="TableParagraph"/>
              <w:rPr>
                <w:sz w:val="20"/>
              </w:rPr>
            </w:pPr>
          </w:p>
        </w:tc>
        <w:tc>
          <w:tcPr>
            <w:tcW w:w="2345" w:type="dxa"/>
            <w:tcBorders>
              <w:bottom w:val="single" w:sz="8" w:space="0" w:color="000000"/>
            </w:tcBorders>
          </w:tcPr>
          <w:p>
            <w:pPr>
              <w:pStyle w:val="TableParagraph"/>
              <w:spacing w:line="210" w:lineRule="exact" w:before="53"/>
              <w:ind w:left="303"/>
              <w:rPr>
                <w:rFonts w:ascii="Arial MT"/>
                <w:sz w:val="20"/>
              </w:rPr>
            </w:pPr>
            <w:r>
              <w:rPr>
                <w:rFonts w:ascii="Arial MT"/>
                <w:sz w:val="20"/>
              </w:rPr>
              <w:t>total</w:t>
            </w:r>
            <w:r>
              <w:rPr>
                <w:rFonts w:ascii="Arial MT"/>
                <w:spacing w:val="-8"/>
                <w:sz w:val="20"/>
              </w:rPr>
              <w:t> </w:t>
            </w:r>
            <w:r>
              <w:rPr>
                <w:rFonts w:ascii="Arial MT"/>
                <w:sz w:val="20"/>
              </w:rPr>
              <w:t>self</w:t>
            </w:r>
            <w:r>
              <w:rPr>
                <w:rFonts w:ascii="Arial MT"/>
                <w:spacing w:val="3"/>
                <w:sz w:val="20"/>
              </w:rPr>
              <w:t> </w:t>
            </w:r>
            <w:r>
              <w:rPr>
                <w:rFonts w:ascii="Arial MT"/>
                <w:spacing w:val="-2"/>
                <w:sz w:val="20"/>
              </w:rPr>
              <w:t>efficacy</w:t>
            </w:r>
          </w:p>
        </w:tc>
        <w:tc>
          <w:tcPr>
            <w:tcW w:w="1543" w:type="dxa"/>
            <w:tcBorders>
              <w:bottom w:val="single" w:sz="8" w:space="0" w:color="000000"/>
            </w:tcBorders>
          </w:tcPr>
          <w:p>
            <w:pPr>
              <w:pStyle w:val="TableParagraph"/>
              <w:spacing w:line="210" w:lineRule="exact" w:before="53"/>
              <w:ind w:right="219"/>
              <w:jc w:val="right"/>
              <w:rPr>
                <w:rFonts w:ascii="Arial MT"/>
                <w:sz w:val="20"/>
              </w:rPr>
            </w:pPr>
            <w:r>
              <w:rPr>
                <w:rFonts w:ascii="Arial MT"/>
                <w:spacing w:val="-2"/>
                <w:sz w:val="20"/>
              </w:rPr>
              <w:t>13992.979</w:t>
            </w:r>
          </w:p>
        </w:tc>
        <w:tc>
          <w:tcPr>
            <w:tcW w:w="793" w:type="dxa"/>
            <w:tcBorders>
              <w:bottom w:val="single" w:sz="8" w:space="0" w:color="000000"/>
            </w:tcBorders>
          </w:tcPr>
          <w:p>
            <w:pPr>
              <w:pStyle w:val="TableParagraph"/>
              <w:spacing w:line="210" w:lineRule="exact" w:before="53"/>
              <w:ind w:right="106"/>
              <w:jc w:val="right"/>
              <w:rPr>
                <w:rFonts w:ascii="Arial MT"/>
                <w:sz w:val="20"/>
              </w:rPr>
            </w:pPr>
            <w:r>
              <w:rPr>
                <w:rFonts w:ascii="Arial MT"/>
                <w:spacing w:val="-5"/>
                <w:sz w:val="20"/>
              </w:rPr>
              <w:t>150</w:t>
            </w:r>
          </w:p>
        </w:tc>
        <w:tc>
          <w:tcPr>
            <w:tcW w:w="1230" w:type="dxa"/>
            <w:tcBorders>
              <w:bottom w:val="single" w:sz="8" w:space="0" w:color="000000"/>
            </w:tcBorders>
          </w:tcPr>
          <w:p>
            <w:pPr>
              <w:pStyle w:val="TableParagraph"/>
              <w:spacing w:line="210" w:lineRule="exact" w:before="53"/>
              <w:ind w:right="71"/>
              <w:jc w:val="right"/>
              <w:rPr>
                <w:rFonts w:ascii="Arial MT"/>
                <w:sz w:val="20"/>
              </w:rPr>
            </w:pPr>
            <w:r>
              <w:rPr>
                <w:rFonts w:ascii="Arial MT"/>
                <w:spacing w:val="-2"/>
                <w:sz w:val="20"/>
              </w:rPr>
              <w:t>93.287</w:t>
            </w:r>
          </w:p>
        </w:tc>
        <w:tc>
          <w:tcPr>
            <w:tcW w:w="1079" w:type="dxa"/>
            <w:tcBorders>
              <w:bottom w:val="single" w:sz="8" w:space="0" w:color="000000"/>
            </w:tcBorders>
          </w:tcPr>
          <w:p>
            <w:pPr>
              <w:pStyle w:val="TableParagraph"/>
              <w:rPr>
                <w:sz w:val="20"/>
              </w:rPr>
            </w:pPr>
          </w:p>
        </w:tc>
        <w:tc>
          <w:tcPr>
            <w:tcW w:w="795" w:type="dxa"/>
            <w:tcBorders>
              <w:bottom w:val="single" w:sz="8" w:space="0" w:color="000000"/>
            </w:tcBorders>
          </w:tcPr>
          <w:p>
            <w:pPr>
              <w:pStyle w:val="TableParagraph"/>
              <w:rPr>
                <w:sz w:val="20"/>
              </w:rPr>
            </w:pPr>
          </w:p>
        </w:tc>
      </w:tr>
      <w:tr>
        <w:trPr>
          <w:trHeight w:val="373" w:hRule="atLeast"/>
        </w:trPr>
        <w:tc>
          <w:tcPr>
            <w:tcW w:w="1247" w:type="dxa"/>
            <w:tcBorders>
              <w:top w:val="single" w:sz="8" w:space="0" w:color="000000"/>
            </w:tcBorders>
          </w:tcPr>
          <w:p>
            <w:pPr>
              <w:pStyle w:val="TableParagraph"/>
              <w:spacing w:before="85"/>
              <w:ind w:left="62"/>
              <w:rPr>
                <w:rFonts w:ascii="Arial MT"/>
                <w:sz w:val="20"/>
              </w:rPr>
            </w:pPr>
            <w:r>
              <w:rPr>
                <w:rFonts w:ascii="Arial MT"/>
                <w:spacing w:val="-2"/>
                <w:sz w:val="20"/>
              </w:rPr>
              <w:t>Total</w:t>
            </w:r>
          </w:p>
        </w:tc>
        <w:tc>
          <w:tcPr>
            <w:tcW w:w="2345" w:type="dxa"/>
            <w:tcBorders>
              <w:top w:val="single" w:sz="8" w:space="0" w:color="000000"/>
            </w:tcBorders>
          </w:tcPr>
          <w:p>
            <w:pPr>
              <w:pStyle w:val="TableParagraph"/>
              <w:spacing w:before="85"/>
              <w:ind w:left="303"/>
              <w:rPr>
                <w:rFonts w:ascii="Arial MT"/>
                <w:sz w:val="20"/>
              </w:rPr>
            </w:pPr>
            <w:r>
              <w:rPr>
                <w:rFonts w:ascii="Arial MT"/>
                <w:spacing w:val="-2"/>
                <w:sz w:val="20"/>
              </w:rPr>
              <w:t>ChemistryAtest</w:t>
            </w:r>
          </w:p>
        </w:tc>
        <w:tc>
          <w:tcPr>
            <w:tcW w:w="1543" w:type="dxa"/>
            <w:tcBorders>
              <w:top w:val="single" w:sz="8" w:space="0" w:color="000000"/>
            </w:tcBorders>
          </w:tcPr>
          <w:p>
            <w:pPr>
              <w:pStyle w:val="TableParagraph"/>
              <w:spacing w:before="85"/>
              <w:ind w:right="219"/>
              <w:jc w:val="right"/>
              <w:rPr>
                <w:rFonts w:ascii="Arial MT"/>
                <w:sz w:val="20"/>
              </w:rPr>
            </w:pPr>
            <w:r>
              <w:rPr>
                <w:rFonts w:ascii="Arial MT"/>
                <w:spacing w:val="-2"/>
                <w:sz w:val="20"/>
              </w:rPr>
              <w:t>360271.000</w:t>
            </w:r>
          </w:p>
        </w:tc>
        <w:tc>
          <w:tcPr>
            <w:tcW w:w="793" w:type="dxa"/>
            <w:tcBorders>
              <w:top w:val="single" w:sz="8" w:space="0" w:color="000000"/>
            </w:tcBorders>
          </w:tcPr>
          <w:p>
            <w:pPr>
              <w:pStyle w:val="TableParagraph"/>
              <w:spacing w:before="85"/>
              <w:ind w:right="106"/>
              <w:jc w:val="right"/>
              <w:rPr>
                <w:rFonts w:ascii="Arial MT"/>
                <w:sz w:val="20"/>
              </w:rPr>
            </w:pPr>
            <w:r>
              <w:rPr>
                <w:rFonts w:ascii="Arial MT"/>
                <w:spacing w:val="-5"/>
                <w:sz w:val="20"/>
              </w:rPr>
              <w:t>152</w:t>
            </w:r>
          </w:p>
        </w:tc>
        <w:tc>
          <w:tcPr>
            <w:tcW w:w="1230" w:type="dxa"/>
            <w:tcBorders>
              <w:top w:val="single" w:sz="8" w:space="0" w:color="000000"/>
            </w:tcBorders>
          </w:tcPr>
          <w:p>
            <w:pPr>
              <w:pStyle w:val="TableParagraph"/>
              <w:rPr>
                <w:sz w:val="20"/>
              </w:rPr>
            </w:pPr>
          </w:p>
        </w:tc>
        <w:tc>
          <w:tcPr>
            <w:tcW w:w="1079" w:type="dxa"/>
            <w:tcBorders>
              <w:top w:val="single" w:sz="8" w:space="0" w:color="000000"/>
            </w:tcBorders>
          </w:tcPr>
          <w:p>
            <w:pPr>
              <w:pStyle w:val="TableParagraph"/>
              <w:rPr>
                <w:sz w:val="20"/>
              </w:rPr>
            </w:pPr>
          </w:p>
        </w:tc>
        <w:tc>
          <w:tcPr>
            <w:tcW w:w="795" w:type="dxa"/>
            <w:tcBorders>
              <w:top w:val="single" w:sz="8" w:space="0" w:color="000000"/>
            </w:tcBorders>
          </w:tcPr>
          <w:p>
            <w:pPr>
              <w:pStyle w:val="TableParagraph"/>
              <w:rPr>
                <w:sz w:val="20"/>
              </w:rPr>
            </w:pPr>
          </w:p>
        </w:tc>
      </w:tr>
      <w:tr>
        <w:trPr>
          <w:trHeight w:val="662" w:hRule="atLeast"/>
        </w:trPr>
        <w:tc>
          <w:tcPr>
            <w:tcW w:w="1247" w:type="dxa"/>
          </w:tcPr>
          <w:p>
            <w:pPr>
              <w:pStyle w:val="TableParagraph"/>
              <w:rPr>
                <w:sz w:val="20"/>
              </w:rPr>
            </w:pPr>
          </w:p>
        </w:tc>
        <w:tc>
          <w:tcPr>
            <w:tcW w:w="2345" w:type="dxa"/>
          </w:tcPr>
          <w:p>
            <w:pPr>
              <w:pStyle w:val="TableParagraph"/>
              <w:spacing w:before="52"/>
              <w:ind w:left="303"/>
              <w:rPr>
                <w:rFonts w:ascii="Arial MT"/>
                <w:sz w:val="20"/>
              </w:rPr>
            </w:pPr>
            <w:r>
              <w:rPr>
                <w:rFonts w:ascii="Arial MT"/>
                <w:sz w:val="20"/>
              </w:rPr>
              <w:t>total</w:t>
            </w:r>
            <w:r>
              <w:rPr>
                <w:rFonts w:ascii="Arial MT"/>
                <w:spacing w:val="-2"/>
                <w:sz w:val="20"/>
              </w:rPr>
              <w:t> emotional</w:t>
            </w:r>
          </w:p>
          <w:p>
            <w:pPr>
              <w:pStyle w:val="TableParagraph"/>
              <w:spacing w:before="92"/>
              <w:ind w:left="303"/>
              <w:rPr>
                <w:rFonts w:ascii="Arial MT"/>
                <w:sz w:val="20"/>
              </w:rPr>
            </w:pPr>
            <w:r>
              <w:rPr>
                <w:rFonts w:ascii="Arial MT"/>
                <w:spacing w:val="-2"/>
                <w:sz w:val="20"/>
              </w:rPr>
              <w:t>intelligence</w:t>
            </w:r>
          </w:p>
        </w:tc>
        <w:tc>
          <w:tcPr>
            <w:tcW w:w="1543" w:type="dxa"/>
          </w:tcPr>
          <w:p>
            <w:pPr>
              <w:pStyle w:val="TableParagraph"/>
              <w:spacing w:before="52"/>
              <w:ind w:right="221"/>
              <w:jc w:val="right"/>
              <w:rPr>
                <w:rFonts w:ascii="Arial MT"/>
                <w:sz w:val="20"/>
              </w:rPr>
            </w:pPr>
            <w:r>
              <w:rPr>
                <w:rFonts w:ascii="Arial MT"/>
                <w:spacing w:val="-2"/>
                <w:sz w:val="20"/>
              </w:rPr>
              <w:t>2734353.000</w:t>
            </w:r>
          </w:p>
        </w:tc>
        <w:tc>
          <w:tcPr>
            <w:tcW w:w="793" w:type="dxa"/>
          </w:tcPr>
          <w:p>
            <w:pPr>
              <w:pStyle w:val="TableParagraph"/>
              <w:spacing w:before="52"/>
              <w:ind w:right="106"/>
              <w:jc w:val="right"/>
              <w:rPr>
                <w:rFonts w:ascii="Arial MT"/>
                <w:sz w:val="20"/>
              </w:rPr>
            </w:pPr>
            <w:r>
              <w:rPr>
                <w:rFonts w:ascii="Arial MT"/>
                <w:spacing w:val="-5"/>
                <w:sz w:val="20"/>
              </w:rPr>
              <w:t>152</w:t>
            </w:r>
          </w:p>
        </w:tc>
        <w:tc>
          <w:tcPr>
            <w:tcW w:w="1230" w:type="dxa"/>
          </w:tcPr>
          <w:p>
            <w:pPr>
              <w:pStyle w:val="TableParagraph"/>
              <w:rPr>
                <w:sz w:val="20"/>
              </w:rPr>
            </w:pPr>
          </w:p>
        </w:tc>
        <w:tc>
          <w:tcPr>
            <w:tcW w:w="1079" w:type="dxa"/>
          </w:tcPr>
          <w:p>
            <w:pPr>
              <w:pStyle w:val="TableParagraph"/>
              <w:rPr>
                <w:sz w:val="20"/>
              </w:rPr>
            </w:pPr>
          </w:p>
        </w:tc>
        <w:tc>
          <w:tcPr>
            <w:tcW w:w="795" w:type="dxa"/>
          </w:tcPr>
          <w:p>
            <w:pPr>
              <w:pStyle w:val="TableParagraph"/>
              <w:rPr>
                <w:sz w:val="20"/>
              </w:rPr>
            </w:pPr>
          </w:p>
        </w:tc>
      </w:tr>
      <w:tr>
        <w:trPr>
          <w:trHeight w:val="341" w:hRule="atLeast"/>
        </w:trPr>
        <w:tc>
          <w:tcPr>
            <w:tcW w:w="1247" w:type="dxa"/>
          </w:tcPr>
          <w:p>
            <w:pPr>
              <w:pStyle w:val="TableParagraph"/>
              <w:rPr>
                <w:sz w:val="20"/>
              </w:rPr>
            </w:pPr>
          </w:p>
        </w:tc>
        <w:tc>
          <w:tcPr>
            <w:tcW w:w="2345" w:type="dxa"/>
          </w:tcPr>
          <w:p>
            <w:pPr>
              <w:pStyle w:val="TableParagraph"/>
              <w:spacing w:before="52"/>
              <w:ind w:left="303"/>
              <w:rPr>
                <w:rFonts w:ascii="Arial MT"/>
                <w:sz w:val="20"/>
              </w:rPr>
            </w:pPr>
            <w:r>
              <w:rPr>
                <w:rFonts w:ascii="Arial MT"/>
                <w:sz w:val="20"/>
              </w:rPr>
              <w:t>total</w:t>
            </w:r>
            <w:r>
              <w:rPr>
                <w:rFonts w:ascii="Arial MT"/>
                <w:spacing w:val="-8"/>
                <w:sz w:val="20"/>
              </w:rPr>
              <w:t> </w:t>
            </w:r>
            <w:r>
              <w:rPr>
                <w:rFonts w:ascii="Arial MT"/>
                <w:sz w:val="20"/>
              </w:rPr>
              <w:t>reasoning</w:t>
            </w:r>
            <w:r>
              <w:rPr>
                <w:rFonts w:ascii="Arial MT"/>
                <w:spacing w:val="-6"/>
                <w:sz w:val="20"/>
              </w:rPr>
              <w:t> </w:t>
            </w:r>
            <w:r>
              <w:rPr>
                <w:rFonts w:ascii="Arial MT"/>
                <w:spacing w:val="-2"/>
                <w:sz w:val="20"/>
              </w:rPr>
              <w:t>ability</w:t>
            </w:r>
          </w:p>
        </w:tc>
        <w:tc>
          <w:tcPr>
            <w:tcW w:w="1543" w:type="dxa"/>
          </w:tcPr>
          <w:p>
            <w:pPr>
              <w:pStyle w:val="TableParagraph"/>
              <w:spacing w:before="52"/>
              <w:ind w:right="219"/>
              <w:jc w:val="right"/>
              <w:rPr>
                <w:rFonts w:ascii="Arial MT"/>
                <w:sz w:val="20"/>
              </w:rPr>
            </w:pPr>
            <w:r>
              <w:rPr>
                <w:rFonts w:ascii="Arial MT"/>
                <w:spacing w:val="-2"/>
                <w:sz w:val="20"/>
              </w:rPr>
              <w:t>3538.000</w:t>
            </w:r>
          </w:p>
        </w:tc>
        <w:tc>
          <w:tcPr>
            <w:tcW w:w="793" w:type="dxa"/>
          </w:tcPr>
          <w:p>
            <w:pPr>
              <w:pStyle w:val="TableParagraph"/>
              <w:spacing w:before="52"/>
              <w:ind w:right="106"/>
              <w:jc w:val="right"/>
              <w:rPr>
                <w:rFonts w:ascii="Arial MT"/>
                <w:sz w:val="20"/>
              </w:rPr>
            </w:pPr>
            <w:r>
              <w:rPr>
                <w:rFonts w:ascii="Arial MT"/>
                <w:spacing w:val="-5"/>
                <w:sz w:val="20"/>
              </w:rPr>
              <w:t>152</w:t>
            </w:r>
          </w:p>
        </w:tc>
        <w:tc>
          <w:tcPr>
            <w:tcW w:w="1230" w:type="dxa"/>
          </w:tcPr>
          <w:p>
            <w:pPr>
              <w:pStyle w:val="TableParagraph"/>
              <w:rPr>
                <w:sz w:val="20"/>
              </w:rPr>
            </w:pPr>
          </w:p>
        </w:tc>
        <w:tc>
          <w:tcPr>
            <w:tcW w:w="1079" w:type="dxa"/>
          </w:tcPr>
          <w:p>
            <w:pPr>
              <w:pStyle w:val="TableParagraph"/>
              <w:rPr>
                <w:sz w:val="20"/>
              </w:rPr>
            </w:pPr>
          </w:p>
        </w:tc>
        <w:tc>
          <w:tcPr>
            <w:tcW w:w="795" w:type="dxa"/>
          </w:tcPr>
          <w:p>
            <w:pPr>
              <w:pStyle w:val="TableParagraph"/>
              <w:rPr>
                <w:sz w:val="20"/>
              </w:rPr>
            </w:pPr>
          </w:p>
        </w:tc>
      </w:tr>
      <w:tr>
        <w:trPr>
          <w:trHeight w:val="283" w:hRule="atLeast"/>
        </w:trPr>
        <w:tc>
          <w:tcPr>
            <w:tcW w:w="1247" w:type="dxa"/>
            <w:tcBorders>
              <w:bottom w:val="single" w:sz="8" w:space="0" w:color="000000"/>
            </w:tcBorders>
          </w:tcPr>
          <w:p>
            <w:pPr>
              <w:pStyle w:val="TableParagraph"/>
              <w:rPr>
                <w:sz w:val="20"/>
              </w:rPr>
            </w:pPr>
          </w:p>
        </w:tc>
        <w:tc>
          <w:tcPr>
            <w:tcW w:w="2345" w:type="dxa"/>
            <w:tcBorders>
              <w:bottom w:val="single" w:sz="8" w:space="0" w:color="000000"/>
            </w:tcBorders>
          </w:tcPr>
          <w:p>
            <w:pPr>
              <w:pStyle w:val="TableParagraph"/>
              <w:spacing w:line="210" w:lineRule="exact" w:before="53"/>
              <w:ind w:left="303"/>
              <w:rPr>
                <w:rFonts w:ascii="Arial MT"/>
                <w:sz w:val="20"/>
              </w:rPr>
            </w:pPr>
            <w:r>
              <w:rPr>
                <w:rFonts w:ascii="Arial MT"/>
                <w:sz w:val="20"/>
              </w:rPr>
              <w:t>total</w:t>
            </w:r>
            <w:r>
              <w:rPr>
                <w:rFonts w:ascii="Arial MT"/>
                <w:spacing w:val="-8"/>
                <w:sz w:val="20"/>
              </w:rPr>
              <w:t> </w:t>
            </w:r>
            <w:r>
              <w:rPr>
                <w:rFonts w:ascii="Arial MT"/>
                <w:sz w:val="20"/>
              </w:rPr>
              <w:t>self</w:t>
            </w:r>
            <w:r>
              <w:rPr>
                <w:rFonts w:ascii="Arial MT"/>
                <w:spacing w:val="3"/>
                <w:sz w:val="20"/>
              </w:rPr>
              <w:t> </w:t>
            </w:r>
            <w:r>
              <w:rPr>
                <w:rFonts w:ascii="Arial MT"/>
                <w:spacing w:val="-2"/>
                <w:sz w:val="20"/>
              </w:rPr>
              <w:t>efficacy</w:t>
            </w:r>
          </w:p>
        </w:tc>
        <w:tc>
          <w:tcPr>
            <w:tcW w:w="1543" w:type="dxa"/>
            <w:tcBorders>
              <w:bottom w:val="single" w:sz="8" w:space="0" w:color="000000"/>
            </w:tcBorders>
          </w:tcPr>
          <w:p>
            <w:pPr>
              <w:pStyle w:val="TableParagraph"/>
              <w:spacing w:line="210" w:lineRule="exact" w:before="53"/>
              <w:ind w:right="219"/>
              <w:jc w:val="right"/>
              <w:rPr>
                <w:rFonts w:ascii="Arial MT"/>
                <w:sz w:val="20"/>
              </w:rPr>
            </w:pPr>
            <w:r>
              <w:rPr>
                <w:rFonts w:ascii="Arial MT"/>
                <w:spacing w:val="-2"/>
                <w:sz w:val="20"/>
              </w:rPr>
              <w:t>193143.000</w:t>
            </w:r>
          </w:p>
        </w:tc>
        <w:tc>
          <w:tcPr>
            <w:tcW w:w="793" w:type="dxa"/>
            <w:tcBorders>
              <w:bottom w:val="single" w:sz="8" w:space="0" w:color="000000"/>
            </w:tcBorders>
          </w:tcPr>
          <w:p>
            <w:pPr>
              <w:pStyle w:val="TableParagraph"/>
              <w:spacing w:line="210" w:lineRule="exact" w:before="53"/>
              <w:ind w:right="106"/>
              <w:jc w:val="right"/>
              <w:rPr>
                <w:rFonts w:ascii="Arial MT"/>
                <w:sz w:val="20"/>
              </w:rPr>
            </w:pPr>
            <w:r>
              <w:rPr>
                <w:rFonts w:ascii="Arial MT"/>
                <w:spacing w:val="-5"/>
                <w:sz w:val="20"/>
              </w:rPr>
              <w:t>152</w:t>
            </w:r>
          </w:p>
        </w:tc>
        <w:tc>
          <w:tcPr>
            <w:tcW w:w="1230" w:type="dxa"/>
            <w:tcBorders>
              <w:bottom w:val="single" w:sz="8" w:space="0" w:color="000000"/>
            </w:tcBorders>
          </w:tcPr>
          <w:p>
            <w:pPr>
              <w:pStyle w:val="TableParagraph"/>
              <w:rPr>
                <w:sz w:val="20"/>
              </w:rPr>
            </w:pPr>
          </w:p>
        </w:tc>
        <w:tc>
          <w:tcPr>
            <w:tcW w:w="1079" w:type="dxa"/>
            <w:tcBorders>
              <w:bottom w:val="single" w:sz="8" w:space="0" w:color="000000"/>
            </w:tcBorders>
          </w:tcPr>
          <w:p>
            <w:pPr>
              <w:pStyle w:val="TableParagraph"/>
              <w:rPr>
                <w:sz w:val="20"/>
              </w:rPr>
            </w:pPr>
          </w:p>
        </w:tc>
        <w:tc>
          <w:tcPr>
            <w:tcW w:w="795" w:type="dxa"/>
            <w:tcBorders>
              <w:bottom w:val="single" w:sz="8" w:space="0" w:color="000000"/>
            </w:tcBorders>
          </w:tcPr>
          <w:p>
            <w:pPr>
              <w:pStyle w:val="TableParagraph"/>
              <w:rPr>
                <w:sz w:val="20"/>
              </w:rPr>
            </w:pPr>
          </w:p>
        </w:tc>
      </w:tr>
      <w:tr>
        <w:trPr>
          <w:trHeight w:val="395" w:hRule="atLeast"/>
        </w:trPr>
        <w:tc>
          <w:tcPr>
            <w:tcW w:w="1247" w:type="dxa"/>
            <w:vMerge w:val="restart"/>
            <w:tcBorders>
              <w:top w:val="single" w:sz="8" w:space="0" w:color="000000"/>
            </w:tcBorders>
          </w:tcPr>
          <w:p>
            <w:pPr>
              <w:pStyle w:val="TableParagraph"/>
              <w:spacing w:line="336" w:lineRule="auto" w:before="85"/>
              <w:ind w:left="62"/>
              <w:rPr>
                <w:rFonts w:ascii="Arial MT"/>
                <w:sz w:val="20"/>
              </w:rPr>
            </w:pPr>
            <w:r>
              <w:rPr>
                <w:rFonts w:ascii="Arial MT"/>
                <w:spacing w:val="-2"/>
                <w:sz w:val="20"/>
              </w:rPr>
              <w:t>Corrected Total</w:t>
            </w:r>
          </w:p>
        </w:tc>
        <w:tc>
          <w:tcPr>
            <w:tcW w:w="2345" w:type="dxa"/>
            <w:tcBorders>
              <w:top w:val="single" w:sz="8" w:space="0" w:color="000000"/>
            </w:tcBorders>
          </w:tcPr>
          <w:p>
            <w:pPr>
              <w:pStyle w:val="TableParagraph"/>
              <w:spacing w:before="85"/>
              <w:ind w:left="303"/>
              <w:rPr>
                <w:rFonts w:ascii="Arial MT"/>
                <w:sz w:val="20"/>
              </w:rPr>
            </w:pPr>
            <w:r>
              <w:rPr>
                <w:rFonts w:ascii="Arial MT"/>
                <w:spacing w:val="-2"/>
                <w:sz w:val="20"/>
              </w:rPr>
              <w:t>ChemistryAtest</w:t>
            </w:r>
          </w:p>
        </w:tc>
        <w:tc>
          <w:tcPr>
            <w:tcW w:w="1543" w:type="dxa"/>
            <w:tcBorders>
              <w:top w:val="single" w:sz="8" w:space="0" w:color="000000"/>
            </w:tcBorders>
          </w:tcPr>
          <w:p>
            <w:pPr>
              <w:pStyle w:val="TableParagraph"/>
              <w:spacing w:before="85"/>
              <w:ind w:right="219"/>
              <w:jc w:val="right"/>
              <w:rPr>
                <w:rFonts w:ascii="Arial MT"/>
                <w:sz w:val="20"/>
              </w:rPr>
            </w:pPr>
            <w:r>
              <w:rPr>
                <w:rFonts w:ascii="Arial MT"/>
                <w:spacing w:val="-2"/>
                <w:sz w:val="20"/>
              </w:rPr>
              <w:t>10734.678</w:t>
            </w:r>
          </w:p>
        </w:tc>
        <w:tc>
          <w:tcPr>
            <w:tcW w:w="793" w:type="dxa"/>
            <w:tcBorders>
              <w:top w:val="single" w:sz="8" w:space="0" w:color="000000"/>
            </w:tcBorders>
          </w:tcPr>
          <w:p>
            <w:pPr>
              <w:pStyle w:val="TableParagraph"/>
              <w:spacing w:before="85"/>
              <w:ind w:right="106"/>
              <w:jc w:val="right"/>
              <w:rPr>
                <w:rFonts w:ascii="Arial MT"/>
                <w:sz w:val="20"/>
              </w:rPr>
            </w:pPr>
            <w:r>
              <w:rPr>
                <w:rFonts w:ascii="Arial MT"/>
                <w:spacing w:val="-5"/>
                <w:sz w:val="20"/>
              </w:rPr>
              <w:t>151</w:t>
            </w:r>
          </w:p>
        </w:tc>
        <w:tc>
          <w:tcPr>
            <w:tcW w:w="1230" w:type="dxa"/>
            <w:tcBorders>
              <w:top w:val="single" w:sz="8" w:space="0" w:color="000000"/>
            </w:tcBorders>
          </w:tcPr>
          <w:p>
            <w:pPr>
              <w:pStyle w:val="TableParagraph"/>
              <w:rPr>
                <w:sz w:val="20"/>
              </w:rPr>
            </w:pPr>
          </w:p>
        </w:tc>
        <w:tc>
          <w:tcPr>
            <w:tcW w:w="1079" w:type="dxa"/>
            <w:tcBorders>
              <w:top w:val="single" w:sz="8" w:space="0" w:color="000000"/>
            </w:tcBorders>
          </w:tcPr>
          <w:p>
            <w:pPr>
              <w:pStyle w:val="TableParagraph"/>
              <w:rPr>
                <w:sz w:val="20"/>
              </w:rPr>
            </w:pPr>
          </w:p>
        </w:tc>
        <w:tc>
          <w:tcPr>
            <w:tcW w:w="795" w:type="dxa"/>
            <w:tcBorders>
              <w:top w:val="single" w:sz="8" w:space="0" w:color="000000"/>
            </w:tcBorders>
          </w:tcPr>
          <w:p>
            <w:pPr>
              <w:pStyle w:val="TableParagraph"/>
              <w:rPr>
                <w:sz w:val="20"/>
              </w:rPr>
            </w:pPr>
          </w:p>
        </w:tc>
      </w:tr>
      <w:tr>
        <w:trPr>
          <w:trHeight w:val="698" w:hRule="atLeast"/>
        </w:trPr>
        <w:tc>
          <w:tcPr>
            <w:tcW w:w="1247" w:type="dxa"/>
            <w:vMerge/>
            <w:tcBorders>
              <w:top w:val="nil"/>
            </w:tcBorders>
          </w:tcPr>
          <w:p>
            <w:pPr>
              <w:rPr>
                <w:sz w:val="2"/>
                <w:szCs w:val="2"/>
              </w:rPr>
            </w:pPr>
          </w:p>
        </w:tc>
        <w:tc>
          <w:tcPr>
            <w:tcW w:w="2345" w:type="dxa"/>
          </w:tcPr>
          <w:p>
            <w:pPr>
              <w:pStyle w:val="TableParagraph"/>
              <w:spacing w:line="316" w:lineRule="exact" w:before="9"/>
              <w:ind w:left="303" w:right="735"/>
              <w:rPr>
                <w:rFonts w:ascii="Arial MT"/>
                <w:sz w:val="20"/>
              </w:rPr>
            </w:pPr>
            <w:r>
              <w:rPr>
                <w:rFonts w:ascii="Arial MT"/>
                <w:sz w:val="20"/>
              </w:rPr>
              <w:t>total</w:t>
            </w:r>
            <w:r>
              <w:rPr>
                <w:rFonts w:ascii="Arial MT"/>
                <w:spacing w:val="-14"/>
                <w:sz w:val="20"/>
              </w:rPr>
              <w:t> </w:t>
            </w:r>
            <w:r>
              <w:rPr>
                <w:rFonts w:ascii="Arial MT"/>
                <w:sz w:val="20"/>
              </w:rPr>
              <w:t>emotional </w:t>
            </w:r>
            <w:r>
              <w:rPr>
                <w:rFonts w:ascii="Arial MT"/>
                <w:spacing w:val="-2"/>
                <w:sz w:val="20"/>
              </w:rPr>
              <w:t>intelligence</w:t>
            </w:r>
          </w:p>
        </w:tc>
        <w:tc>
          <w:tcPr>
            <w:tcW w:w="1543" w:type="dxa"/>
          </w:tcPr>
          <w:p>
            <w:pPr>
              <w:pStyle w:val="TableParagraph"/>
              <w:spacing w:before="74"/>
              <w:ind w:right="219"/>
              <w:jc w:val="right"/>
              <w:rPr>
                <w:rFonts w:ascii="Arial MT"/>
                <w:sz w:val="20"/>
              </w:rPr>
            </w:pPr>
            <w:r>
              <w:rPr>
                <w:rFonts w:ascii="Arial MT"/>
                <w:spacing w:val="-2"/>
                <w:sz w:val="20"/>
              </w:rPr>
              <w:t>158528.204</w:t>
            </w:r>
          </w:p>
        </w:tc>
        <w:tc>
          <w:tcPr>
            <w:tcW w:w="793" w:type="dxa"/>
          </w:tcPr>
          <w:p>
            <w:pPr>
              <w:pStyle w:val="TableParagraph"/>
              <w:spacing w:before="74"/>
              <w:ind w:right="106"/>
              <w:jc w:val="right"/>
              <w:rPr>
                <w:rFonts w:ascii="Arial MT"/>
                <w:sz w:val="20"/>
              </w:rPr>
            </w:pPr>
            <w:r>
              <w:rPr>
                <w:rFonts w:ascii="Arial MT"/>
                <w:spacing w:val="-5"/>
                <w:sz w:val="20"/>
              </w:rPr>
              <w:t>151</w:t>
            </w:r>
          </w:p>
        </w:tc>
        <w:tc>
          <w:tcPr>
            <w:tcW w:w="1230" w:type="dxa"/>
          </w:tcPr>
          <w:p>
            <w:pPr>
              <w:pStyle w:val="TableParagraph"/>
              <w:rPr>
                <w:sz w:val="20"/>
              </w:rPr>
            </w:pPr>
          </w:p>
        </w:tc>
        <w:tc>
          <w:tcPr>
            <w:tcW w:w="1079" w:type="dxa"/>
          </w:tcPr>
          <w:p>
            <w:pPr>
              <w:pStyle w:val="TableParagraph"/>
              <w:rPr>
                <w:sz w:val="20"/>
              </w:rPr>
            </w:pPr>
          </w:p>
        </w:tc>
        <w:tc>
          <w:tcPr>
            <w:tcW w:w="795" w:type="dxa"/>
          </w:tcPr>
          <w:p>
            <w:pPr>
              <w:pStyle w:val="TableParagraph"/>
              <w:rPr>
                <w:sz w:val="20"/>
              </w:rPr>
            </w:pPr>
          </w:p>
        </w:tc>
      </w:tr>
      <w:tr>
        <w:trPr>
          <w:trHeight w:val="381" w:hRule="atLeast"/>
        </w:trPr>
        <w:tc>
          <w:tcPr>
            <w:tcW w:w="1247" w:type="dxa"/>
          </w:tcPr>
          <w:p>
            <w:pPr>
              <w:pStyle w:val="TableParagraph"/>
              <w:rPr>
                <w:sz w:val="20"/>
              </w:rPr>
            </w:pPr>
          </w:p>
        </w:tc>
        <w:tc>
          <w:tcPr>
            <w:tcW w:w="2345" w:type="dxa"/>
          </w:tcPr>
          <w:p>
            <w:pPr>
              <w:pStyle w:val="TableParagraph"/>
              <w:spacing w:before="72"/>
              <w:ind w:left="303"/>
              <w:rPr>
                <w:rFonts w:ascii="Arial MT"/>
                <w:sz w:val="20"/>
              </w:rPr>
            </w:pPr>
            <w:r>
              <w:rPr>
                <w:rFonts w:ascii="Arial MT"/>
                <w:sz w:val="20"/>
              </w:rPr>
              <w:t>total</w:t>
            </w:r>
            <w:r>
              <w:rPr>
                <w:rFonts w:ascii="Arial MT"/>
                <w:spacing w:val="-8"/>
                <w:sz w:val="20"/>
              </w:rPr>
              <w:t> </w:t>
            </w:r>
            <w:r>
              <w:rPr>
                <w:rFonts w:ascii="Arial MT"/>
                <w:sz w:val="20"/>
              </w:rPr>
              <w:t>reasoning</w:t>
            </w:r>
            <w:r>
              <w:rPr>
                <w:rFonts w:ascii="Arial MT"/>
                <w:spacing w:val="-7"/>
                <w:sz w:val="20"/>
              </w:rPr>
              <w:t> </w:t>
            </w:r>
            <w:r>
              <w:rPr>
                <w:rFonts w:ascii="Arial MT"/>
                <w:spacing w:val="-2"/>
                <w:sz w:val="20"/>
              </w:rPr>
              <w:t>ability</w:t>
            </w:r>
          </w:p>
        </w:tc>
        <w:tc>
          <w:tcPr>
            <w:tcW w:w="1543" w:type="dxa"/>
          </w:tcPr>
          <w:p>
            <w:pPr>
              <w:pStyle w:val="TableParagraph"/>
              <w:spacing w:before="72"/>
              <w:ind w:right="219"/>
              <w:jc w:val="right"/>
              <w:rPr>
                <w:rFonts w:ascii="Arial MT"/>
                <w:sz w:val="20"/>
              </w:rPr>
            </w:pPr>
            <w:r>
              <w:rPr>
                <w:rFonts w:ascii="Arial MT"/>
                <w:spacing w:val="-2"/>
                <w:sz w:val="20"/>
              </w:rPr>
              <w:t>423.895</w:t>
            </w:r>
          </w:p>
        </w:tc>
        <w:tc>
          <w:tcPr>
            <w:tcW w:w="793" w:type="dxa"/>
          </w:tcPr>
          <w:p>
            <w:pPr>
              <w:pStyle w:val="TableParagraph"/>
              <w:spacing w:before="72"/>
              <w:ind w:right="106"/>
              <w:jc w:val="right"/>
              <w:rPr>
                <w:rFonts w:ascii="Arial MT"/>
                <w:sz w:val="20"/>
              </w:rPr>
            </w:pPr>
            <w:r>
              <w:rPr>
                <w:rFonts w:ascii="Arial MT"/>
                <w:spacing w:val="-5"/>
                <w:sz w:val="20"/>
              </w:rPr>
              <w:t>151</w:t>
            </w:r>
          </w:p>
        </w:tc>
        <w:tc>
          <w:tcPr>
            <w:tcW w:w="1230" w:type="dxa"/>
          </w:tcPr>
          <w:p>
            <w:pPr>
              <w:pStyle w:val="TableParagraph"/>
              <w:rPr>
                <w:sz w:val="20"/>
              </w:rPr>
            </w:pPr>
          </w:p>
        </w:tc>
        <w:tc>
          <w:tcPr>
            <w:tcW w:w="1079" w:type="dxa"/>
          </w:tcPr>
          <w:p>
            <w:pPr>
              <w:pStyle w:val="TableParagraph"/>
              <w:rPr>
                <w:sz w:val="20"/>
              </w:rPr>
            </w:pPr>
          </w:p>
        </w:tc>
        <w:tc>
          <w:tcPr>
            <w:tcW w:w="795" w:type="dxa"/>
          </w:tcPr>
          <w:p>
            <w:pPr>
              <w:pStyle w:val="TableParagraph"/>
              <w:rPr>
                <w:sz w:val="20"/>
              </w:rPr>
            </w:pPr>
          </w:p>
        </w:tc>
      </w:tr>
      <w:tr>
        <w:trPr>
          <w:trHeight w:val="304" w:hRule="atLeast"/>
        </w:trPr>
        <w:tc>
          <w:tcPr>
            <w:tcW w:w="1247" w:type="dxa"/>
            <w:tcBorders>
              <w:bottom w:val="double" w:sz="8" w:space="0" w:color="000000"/>
            </w:tcBorders>
          </w:tcPr>
          <w:p>
            <w:pPr>
              <w:pStyle w:val="TableParagraph"/>
              <w:rPr>
                <w:sz w:val="20"/>
              </w:rPr>
            </w:pPr>
          </w:p>
        </w:tc>
        <w:tc>
          <w:tcPr>
            <w:tcW w:w="2345" w:type="dxa"/>
            <w:tcBorders>
              <w:bottom w:val="double" w:sz="8" w:space="0" w:color="000000"/>
            </w:tcBorders>
          </w:tcPr>
          <w:p>
            <w:pPr>
              <w:pStyle w:val="TableParagraph"/>
              <w:spacing w:line="210" w:lineRule="exact" w:before="74"/>
              <w:ind w:left="303"/>
              <w:rPr>
                <w:rFonts w:ascii="Arial MT"/>
                <w:sz w:val="20"/>
              </w:rPr>
            </w:pPr>
            <w:r>
              <w:rPr>
                <w:rFonts w:ascii="Arial MT"/>
                <w:sz w:val="20"/>
              </w:rPr>
              <w:t>total</w:t>
            </w:r>
            <w:r>
              <w:rPr>
                <w:rFonts w:ascii="Arial MT"/>
                <w:spacing w:val="-8"/>
                <w:sz w:val="20"/>
              </w:rPr>
              <w:t> </w:t>
            </w:r>
            <w:r>
              <w:rPr>
                <w:rFonts w:ascii="Arial MT"/>
                <w:sz w:val="20"/>
              </w:rPr>
              <w:t>self</w:t>
            </w:r>
            <w:r>
              <w:rPr>
                <w:rFonts w:ascii="Arial MT"/>
                <w:spacing w:val="3"/>
                <w:sz w:val="20"/>
              </w:rPr>
              <w:t> </w:t>
            </w:r>
            <w:r>
              <w:rPr>
                <w:rFonts w:ascii="Arial MT"/>
                <w:spacing w:val="-2"/>
                <w:sz w:val="20"/>
              </w:rPr>
              <w:t>efficacy</w:t>
            </w:r>
          </w:p>
        </w:tc>
        <w:tc>
          <w:tcPr>
            <w:tcW w:w="1543" w:type="dxa"/>
            <w:tcBorders>
              <w:bottom w:val="double" w:sz="8" w:space="0" w:color="000000"/>
            </w:tcBorders>
          </w:tcPr>
          <w:p>
            <w:pPr>
              <w:pStyle w:val="TableParagraph"/>
              <w:spacing w:line="210" w:lineRule="exact" w:before="74"/>
              <w:ind w:right="219"/>
              <w:jc w:val="right"/>
              <w:rPr>
                <w:rFonts w:ascii="Arial MT"/>
                <w:sz w:val="20"/>
              </w:rPr>
            </w:pPr>
            <w:r>
              <w:rPr>
                <w:rFonts w:ascii="Arial MT"/>
                <w:spacing w:val="-2"/>
                <w:sz w:val="20"/>
              </w:rPr>
              <w:t>14083.204</w:t>
            </w:r>
          </w:p>
        </w:tc>
        <w:tc>
          <w:tcPr>
            <w:tcW w:w="793" w:type="dxa"/>
            <w:tcBorders>
              <w:bottom w:val="double" w:sz="8" w:space="0" w:color="000000"/>
            </w:tcBorders>
          </w:tcPr>
          <w:p>
            <w:pPr>
              <w:pStyle w:val="TableParagraph"/>
              <w:spacing w:line="210" w:lineRule="exact" w:before="74"/>
              <w:ind w:right="106"/>
              <w:jc w:val="right"/>
              <w:rPr>
                <w:rFonts w:ascii="Arial MT"/>
                <w:sz w:val="20"/>
              </w:rPr>
            </w:pPr>
            <w:r>
              <w:rPr>
                <w:rFonts w:ascii="Arial MT"/>
                <w:spacing w:val="-5"/>
                <w:sz w:val="20"/>
              </w:rPr>
              <w:t>151</w:t>
            </w:r>
          </w:p>
        </w:tc>
        <w:tc>
          <w:tcPr>
            <w:tcW w:w="1230" w:type="dxa"/>
            <w:tcBorders>
              <w:bottom w:val="double" w:sz="8" w:space="0" w:color="000000"/>
            </w:tcBorders>
          </w:tcPr>
          <w:p>
            <w:pPr>
              <w:pStyle w:val="TableParagraph"/>
              <w:rPr>
                <w:sz w:val="20"/>
              </w:rPr>
            </w:pPr>
          </w:p>
        </w:tc>
        <w:tc>
          <w:tcPr>
            <w:tcW w:w="1079" w:type="dxa"/>
            <w:tcBorders>
              <w:bottom w:val="double" w:sz="8" w:space="0" w:color="000000"/>
            </w:tcBorders>
          </w:tcPr>
          <w:p>
            <w:pPr>
              <w:pStyle w:val="TableParagraph"/>
              <w:rPr>
                <w:sz w:val="20"/>
              </w:rPr>
            </w:pPr>
          </w:p>
        </w:tc>
        <w:tc>
          <w:tcPr>
            <w:tcW w:w="795" w:type="dxa"/>
            <w:tcBorders>
              <w:bottom w:val="double" w:sz="8" w:space="0" w:color="000000"/>
            </w:tcBorders>
          </w:tcPr>
          <w:p>
            <w:pPr>
              <w:pStyle w:val="TableParagraph"/>
              <w:rPr>
                <w:sz w:val="20"/>
              </w:rPr>
            </w:pPr>
          </w:p>
        </w:tc>
      </w:tr>
      <w:tr>
        <w:trPr>
          <w:trHeight w:val="1279" w:hRule="atLeast"/>
        </w:trPr>
        <w:tc>
          <w:tcPr>
            <w:tcW w:w="5135" w:type="dxa"/>
            <w:gridSpan w:val="3"/>
            <w:tcBorders>
              <w:top w:val="double" w:sz="8" w:space="0" w:color="000000"/>
            </w:tcBorders>
          </w:tcPr>
          <w:p>
            <w:pPr>
              <w:pStyle w:val="TableParagraph"/>
              <w:numPr>
                <w:ilvl w:val="0"/>
                <w:numId w:val="34"/>
              </w:numPr>
              <w:tabs>
                <w:tab w:pos="286" w:val="left" w:leader="none"/>
              </w:tabs>
              <w:spacing w:line="240" w:lineRule="auto" w:before="89" w:after="0"/>
              <w:ind w:left="286" w:right="0" w:hanging="224"/>
              <w:jc w:val="left"/>
              <w:rPr>
                <w:rFonts w:ascii="Arial MT"/>
                <w:sz w:val="20"/>
              </w:rPr>
            </w:pPr>
            <w:r>
              <w:rPr>
                <w:rFonts w:ascii="Arial MT"/>
                <w:sz w:val="20"/>
              </w:rPr>
              <w:t>R</w:t>
            </w:r>
            <w:r>
              <w:rPr>
                <w:rFonts w:ascii="Arial MT"/>
                <w:spacing w:val="-5"/>
                <w:sz w:val="20"/>
              </w:rPr>
              <w:t> </w:t>
            </w:r>
            <w:r>
              <w:rPr>
                <w:rFonts w:ascii="Arial MT"/>
                <w:sz w:val="20"/>
              </w:rPr>
              <w:t>Squared</w:t>
            </w:r>
            <w:r>
              <w:rPr>
                <w:rFonts w:ascii="Arial MT"/>
                <w:spacing w:val="-9"/>
                <w:sz w:val="20"/>
              </w:rPr>
              <w:t> </w:t>
            </w:r>
            <w:r>
              <w:rPr>
                <w:rFonts w:ascii="Arial MT"/>
                <w:sz w:val="20"/>
              </w:rPr>
              <w:t>=</w:t>
            </w:r>
            <w:r>
              <w:rPr>
                <w:rFonts w:ascii="Arial MT"/>
                <w:spacing w:val="-1"/>
                <w:sz w:val="20"/>
              </w:rPr>
              <w:t> </w:t>
            </w:r>
            <w:r>
              <w:rPr>
                <w:rFonts w:ascii="Arial MT"/>
                <w:sz w:val="20"/>
              </w:rPr>
              <w:t>.004</w:t>
            </w:r>
            <w:r>
              <w:rPr>
                <w:rFonts w:ascii="Arial MT"/>
                <w:spacing w:val="-10"/>
                <w:sz w:val="20"/>
              </w:rPr>
              <w:t> </w:t>
            </w:r>
            <w:r>
              <w:rPr>
                <w:rFonts w:ascii="Arial MT"/>
                <w:sz w:val="20"/>
              </w:rPr>
              <w:t>(Adjusted</w:t>
            </w:r>
            <w:r>
              <w:rPr>
                <w:rFonts w:ascii="Arial MT"/>
                <w:spacing w:val="-4"/>
                <w:sz w:val="20"/>
              </w:rPr>
              <w:t> </w:t>
            </w:r>
            <w:r>
              <w:rPr>
                <w:rFonts w:ascii="Arial MT"/>
                <w:sz w:val="20"/>
              </w:rPr>
              <w:t>R</w:t>
            </w:r>
            <w:r>
              <w:rPr>
                <w:rFonts w:ascii="Arial MT"/>
                <w:spacing w:val="-5"/>
                <w:sz w:val="20"/>
              </w:rPr>
              <w:t> </w:t>
            </w:r>
            <w:r>
              <w:rPr>
                <w:rFonts w:ascii="Arial MT"/>
                <w:sz w:val="20"/>
              </w:rPr>
              <w:t>Squared</w:t>
            </w:r>
            <w:r>
              <w:rPr>
                <w:rFonts w:ascii="Arial MT"/>
                <w:spacing w:val="-9"/>
                <w:sz w:val="20"/>
              </w:rPr>
              <w:t> </w:t>
            </w:r>
            <w:r>
              <w:rPr>
                <w:rFonts w:ascii="Arial MT"/>
                <w:sz w:val="20"/>
              </w:rPr>
              <w:t>= -</w:t>
            </w:r>
            <w:r>
              <w:rPr>
                <w:rFonts w:ascii="Arial MT"/>
                <w:spacing w:val="-4"/>
                <w:sz w:val="20"/>
              </w:rPr>
              <w:t>.002)</w:t>
            </w:r>
          </w:p>
          <w:p>
            <w:pPr>
              <w:pStyle w:val="TableParagraph"/>
              <w:numPr>
                <w:ilvl w:val="0"/>
                <w:numId w:val="34"/>
              </w:numPr>
              <w:tabs>
                <w:tab w:pos="286" w:val="left" w:leader="none"/>
              </w:tabs>
              <w:spacing w:line="240" w:lineRule="auto" w:before="87" w:after="0"/>
              <w:ind w:left="286" w:right="0" w:hanging="224"/>
              <w:jc w:val="left"/>
              <w:rPr>
                <w:rFonts w:ascii="Arial MT"/>
                <w:sz w:val="20"/>
              </w:rPr>
            </w:pPr>
            <w:r>
              <w:rPr>
                <w:rFonts w:ascii="Arial MT"/>
                <w:sz w:val="20"/>
              </w:rPr>
              <w:t>R</w:t>
            </w:r>
            <w:r>
              <w:rPr>
                <w:rFonts w:ascii="Arial MT"/>
                <w:spacing w:val="-5"/>
                <w:sz w:val="20"/>
              </w:rPr>
              <w:t> </w:t>
            </w:r>
            <w:r>
              <w:rPr>
                <w:rFonts w:ascii="Arial MT"/>
                <w:sz w:val="20"/>
              </w:rPr>
              <w:t>Squared</w:t>
            </w:r>
            <w:r>
              <w:rPr>
                <w:rFonts w:ascii="Arial MT"/>
                <w:spacing w:val="-9"/>
                <w:sz w:val="20"/>
              </w:rPr>
              <w:t> </w:t>
            </w:r>
            <w:r>
              <w:rPr>
                <w:rFonts w:ascii="Arial MT"/>
                <w:sz w:val="20"/>
              </w:rPr>
              <w:t>=</w:t>
            </w:r>
            <w:r>
              <w:rPr>
                <w:rFonts w:ascii="Arial MT"/>
                <w:spacing w:val="-2"/>
                <w:sz w:val="20"/>
              </w:rPr>
              <w:t> </w:t>
            </w:r>
            <w:r>
              <w:rPr>
                <w:rFonts w:ascii="Arial MT"/>
                <w:sz w:val="20"/>
              </w:rPr>
              <w:t>.000</w:t>
            </w:r>
            <w:r>
              <w:rPr>
                <w:rFonts w:ascii="Arial MT"/>
                <w:spacing w:val="-10"/>
                <w:sz w:val="20"/>
              </w:rPr>
              <w:t> </w:t>
            </w:r>
            <w:r>
              <w:rPr>
                <w:rFonts w:ascii="Arial MT"/>
                <w:sz w:val="20"/>
              </w:rPr>
              <w:t>(Adjusted</w:t>
            </w:r>
            <w:r>
              <w:rPr>
                <w:rFonts w:ascii="Arial MT"/>
                <w:spacing w:val="-4"/>
                <w:sz w:val="20"/>
              </w:rPr>
              <w:t> </w:t>
            </w:r>
            <w:r>
              <w:rPr>
                <w:rFonts w:ascii="Arial MT"/>
                <w:sz w:val="20"/>
              </w:rPr>
              <w:t>R</w:t>
            </w:r>
            <w:r>
              <w:rPr>
                <w:rFonts w:ascii="Arial MT"/>
                <w:spacing w:val="-5"/>
                <w:sz w:val="20"/>
              </w:rPr>
              <w:t> </w:t>
            </w:r>
            <w:r>
              <w:rPr>
                <w:rFonts w:ascii="Arial MT"/>
                <w:sz w:val="20"/>
              </w:rPr>
              <w:t>Squared</w:t>
            </w:r>
            <w:r>
              <w:rPr>
                <w:rFonts w:ascii="Arial MT"/>
                <w:spacing w:val="-9"/>
                <w:sz w:val="20"/>
              </w:rPr>
              <w:t> </w:t>
            </w:r>
            <w:r>
              <w:rPr>
                <w:rFonts w:ascii="Arial MT"/>
                <w:sz w:val="20"/>
              </w:rPr>
              <w:t>=</w:t>
            </w:r>
            <w:r>
              <w:rPr>
                <w:rFonts w:ascii="Arial MT"/>
                <w:spacing w:val="1"/>
                <w:sz w:val="20"/>
              </w:rPr>
              <w:t> </w:t>
            </w:r>
            <w:r>
              <w:rPr>
                <w:rFonts w:ascii="Arial MT"/>
                <w:sz w:val="20"/>
              </w:rPr>
              <w:t>-</w:t>
            </w:r>
            <w:r>
              <w:rPr>
                <w:rFonts w:ascii="Arial MT"/>
                <w:spacing w:val="-4"/>
                <w:sz w:val="20"/>
              </w:rPr>
              <w:t>.006)</w:t>
            </w:r>
          </w:p>
          <w:p>
            <w:pPr>
              <w:pStyle w:val="TableParagraph"/>
              <w:numPr>
                <w:ilvl w:val="0"/>
                <w:numId w:val="34"/>
              </w:numPr>
              <w:tabs>
                <w:tab w:pos="277" w:val="left" w:leader="none"/>
              </w:tabs>
              <w:spacing w:line="240" w:lineRule="auto" w:before="92" w:after="0"/>
              <w:ind w:left="277" w:right="0" w:hanging="215"/>
              <w:jc w:val="left"/>
              <w:rPr>
                <w:rFonts w:ascii="Arial MT"/>
                <w:sz w:val="20"/>
              </w:rPr>
            </w:pPr>
            <w:r>
              <w:rPr>
                <w:rFonts w:ascii="Arial MT"/>
                <w:sz w:val="20"/>
              </w:rPr>
              <w:t>R</w:t>
            </w:r>
            <w:r>
              <w:rPr>
                <w:rFonts w:ascii="Arial MT"/>
                <w:spacing w:val="-10"/>
                <w:sz w:val="20"/>
              </w:rPr>
              <w:t> </w:t>
            </w:r>
            <w:r>
              <w:rPr>
                <w:rFonts w:ascii="Arial MT"/>
                <w:sz w:val="20"/>
              </w:rPr>
              <w:t>Squared</w:t>
            </w:r>
            <w:r>
              <w:rPr>
                <w:rFonts w:ascii="Arial MT"/>
                <w:spacing w:val="-4"/>
                <w:sz w:val="20"/>
              </w:rPr>
              <w:t> </w:t>
            </w:r>
            <w:r>
              <w:rPr>
                <w:rFonts w:ascii="Arial MT"/>
                <w:sz w:val="20"/>
              </w:rPr>
              <w:t>=</w:t>
            </w:r>
            <w:r>
              <w:rPr>
                <w:rFonts w:ascii="Arial MT"/>
                <w:spacing w:val="-6"/>
                <w:sz w:val="20"/>
              </w:rPr>
              <w:t> </w:t>
            </w:r>
            <w:r>
              <w:rPr>
                <w:rFonts w:ascii="Arial MT"/>
                <w:sz w:val="20"/>
              </w:rPr>
              <w:t>.003</w:t>
            </w:r>
            <w:r>
              <w:rPr>
                <w:rFonts w:ascii="Arial MT"/>
                <w:spacing w:val="-5"/>
                <w:sz w:val="20"/>
              </w:rPr>
              <w:t> </w:t>
            </w:r>
            <w:r>
              <w:rPr>
                <w:rFonts w:ascii="Arial MT"/>
                <w:sz w:val="20"/>
              </w:rPr>
              <w:t>(Adjusted</w:t>
            </w:r>
            <w:r>
              <w:rPr>
                <w:rFonts w:ascii="Arial MT"/>
                <w:spacing w:val="-4"/>
                <w:sz w:val="20"/>
              </w:rPr>
              <w:t> </w:t>
            </w:r>
            <w:r>
              <w:rPr>
                <w:rFonts w:ascii="Arial MT"/>
                <w:sz w:val="20"/>
              </w:rPr>
              <w:t>R</w:t>
            </w:r>
            <w:r>
              <w:rPr>
                <w:rFonts w:ascii="Arial MT"/>
                <w:spacing w:val="-5"/>
                <w:sz w:val="20"/>
              </w:rPr>
              <w:t> </w:t>
            </w:r>
            <w:r>
              <w:rPr>
                <w:rFonts w:ascii="Arial MT"/>
                <w:sz w:val="20"/>
              </w:rPr>
              <w:t>Squared</w:t>
            </w:r>
            <w:r>
              <w:rPr>
                <w:rFonts w:ascii="Arial MT"/>
                <w:spacing w:val="-5"/>
                <w:sz w:val="20"/>
              </w:rPr>
              <w:t> </w:t>
            </w:r>
            <w:r>
              <w:rPr>
                <w:rFonts w:ascii="Arial MT"/>
                <w:sz w:val="20"/>
              </w:rPr>
              <w:t>=</w:t>
            </w:r>
            <w:r>
              <w:rPr>
                <w:rFonts w:ascii="Arial MT"/>
                <w:spacing w:val="-2"/>
                <w:sz w:val="20"/>
              </w:rPr>
              <w:t> </w:t>
            </w:r>
            <w:r>
              <w:rPr>
                <w:rFonts w:ascii="Arial MT"/>
                <w:sz w:val="20"/>
              </w:rPr>
              <w:t>-</w:t>
            </w:r>
            <w:r>
              <w:rPr>
                <w:rFonts w:ascii="Arial MT"/>
                <w:spacing w:val="-4"/>
                <w:sz w:val="20"/>
              </w:rPr>
              <w:t>.004)</w:t>
            </w:r>
          </w:p>
          <w:p>
            <w:pPr>
              <w:pStyle w:val="TableParagraph"/>
              <w:numPr>
                <w:ilvl w:val="0"/>
                <w:numId w:val="34"/>
              </w:numPr>
              <w:tabs>
                <w:tab w:pos="286" w:val="left" w:leader="none"/>
              </w:tabs>
              <w:spacing w:line="210" w:lineRule="exact" w:before="91" w:after="0"/>
              <w:ind w:left="286" w:right="0" w:hanging="224"/>
              <w:jc w:val="left"/>
              <w:rPr>
                <w:rFonts w:ascii="Arial MT"/>
                <w:sz w:val="20"/>
              </w:rPr>
            </w:pPr>
            <w:r>
              <w:rPr>
                <w:rFonts w:ascii="Arial MT"/>
                <w:sz w:val="20"/>
              </w:rPr>
              <w:t>R</w:t>
            </w:r>
            <w:r>
              <w:rPr>
                <w:rFonts w:ascii="Arial MT"/>
                <w:spacing w:val="-5"/>
                <w:sz w:val="20"/>
              </w:rPr>
              <w:t> </w:t>
            </w:r>
            <w:r>
              <w:rPr>
                <w:rFonts w:ascii="Arial MT"/>
                <w:sz w:val="20"/>
              </w:rPr>
              <w:t>Squared</w:t>
            </w:r>
            <w:r>
              <w:rPr>
                <w:rFonts w:ascii="Arial MT"/>
                <w:spacing w:val="-8"/>
                <w:sz w:val="20"/>
              </w:rPr>
              <w:t> </w:t>
            </w:r>
            <w:r>
              <w:rPr>
                <w:rFonts w:ascii="Arial MT"/>
                <w:sz w:val="20"/>
              </w:rPr>
              <w:t>=</w:t>
            </w:r>
            <w:r>
              <w:rPr>
                <w:rFonts w:ascii="Arial MT"/>
                <w:spacing w:val="-2"/>
                <w:sz w:val="20"/>
              </w:rPr>
              <w:t> </w:t>
            </w:r>
            <w:r>
              <w:rPr>
                <w:rFonts w:ascii="Arial MT"/>
                <w:sz w:val="20"/>
              </w:rPr>
              <w:t>.006</w:t>
            </w:r>
            <w:r>
              <w:rPr>
                <w:rFonts w:ascii="Arial MT"/>
                <w:spacing w:val="-8"/>
                <w:sz w:val="20"/>
              </w:rPr>
              <w:t> </w:t>
            </w:r>
            <w:r>
              <w:rPr>
                <w:rFonts w:ascii="Arial MT"/>
                <w:sz w:val="20"/>
              </w:rPr>
              <w:t>(Adjusted</w:t>
            </w:r>
            <w:r>
              <w:rPr>
                <w:rFonts w:ascii="Arial MT"/>
                <w:spacing w:val="-5"/>
                <w:sz w:val="20"/>
              </w:rPr>
              <w:t> </w:t>
            </w:r>
            <w:r>
              <w:rPr>
                <w:rFonts w:ascii="Arial MT"/>
                <w:sz w:val="20"/>
              </w:rPr>
              <w:t>R</w:t>
            </w:r>
            <w:r>
              <w:rPr>
                <w:rFonts w:ascii="Arial MT"/>
                <w:spacing w:val="-4"/>
                <w:sz w:val="20"/>
              </w:rPr>
              <w:t> </w:t>
            </w:r>
            <w:r>
              <w:rPr>
                <w:rFonts w:ascii="Arial MT"/>
                <w:sz w:val="20"/>
              </w:rPr>
              <w:t>Squared</w:t>
            </w:r>
            <w:r>
              <w:rPr>
                <w:rFonts w:ascii="Arial MT"/>
                <w:spacing w:val="-8"/>
                <w:sz w:val="20"/>
              </w:rPr>
              <w:t> </w:t>
            </w:r>
            <w:r>
              <w:rPr>
                <w:rFonts w:ascii="Arial MT"/>
                <w:sz w:val="20"/>
              </w:rPr>
              <w:t>=</w:t>
            </w:r>
            <w:r>
              <w:rPr>
                <w:rFonts w:ascii="Arial MT"/>
                <w:spacing w:val="-5"/>
                <w:sz w:val="20"/>
              </w:rPr>
              <w:t> </w:t>
            </w:r>
            <w:r>
              <w:rPr>
                <w:rFonts w:ascii="Arial MT"/>
                <w:spacing w:val="-4"/>
                <w:sz w:val="20"/>
              </w:rPr>
              <w:t>.000)</w:t>
            </w:r>
          </w:p>
        </w:tc>
        <w:tc>
          <w:tcPr>
            <w:tcW w:w="793" w:type="dxa"/>
            <w:tcBorders>
              <w:top w:val="double" w:sz="8" w:space="0" w:color="000000"/>
            </w:tcBorders>
          </w:tcPr>
          <w:p>
            <w:pPr>
              <w:pStyle w:val="TableParagraph"/>
              <w:rPr>
                <w:sz w:val="20"/>
              </w:rPr>
            </w:pPr>
          </w:p>
        </w:tc>
        <w:tc>
          <w:tcPr>
            <w:tcW w:w="1230" w:type="dxa"/>
            <w:tcBorders>
              <w:top w:val="double" w:sz="8" w:space="0" w:color="000000"/>
            </w:tcBorders>
          </w:tcPr>
          <w:p>
            <w:pPr>
              <w:pStyle w:val="TableParagraph"/>
              <w:rPr>
                <w:sz w:val="20"/>
              </w:rPr>
            </w:pPr>
          </w:p>
        </w:tc>
        <w:tc>
          <w:tcPr>
            <w:tcW w:w="1079" w:type="dxa"/>
            <w:tcBorders>
              <w:top w:val="double" w:sz="8" w:space="0" w:color="000000"/>
            </w:tcBorders>
          </w:tcPr>
          <w:p>
            <w:pPr>
              <w:pStyle w:val="TableParagraph"/>
              <w:rPr>
                <w:sz w:val="20"/>
              </w:rPr>
            </w:pPr>
          </w:p>
        </w:tc>
        <w:tc>
          <w:tcPr>
            <w:tcW w:w="795" w:type="dxa"/>
            <w:tcBorders>
              <w:top w:val="double" w:sz="8" w:space="0" w:color="000000"/>
            </w:tcBorders>
          </w:tcPr>
          <w:p>
            <w:pPr>
              <w:pStyle w:val="TableParagraph"/>
              <w:rPr>
                <w:sz w:val="20"/>
              </w:rPr>
            </w:pPr>
          </w:p>
        </w:tc>
      </w:tr>
    </w:tbl>
    <w:sectPr>
      <w:pgSz w:w="11910" w:h="16840"/>
      <w:pgMar w:header="0" w:footer="1012" w:top="1480" w:bottom="1200" w:left="16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Symbol">
    <w:altName w:val="Symbol"/>
    <w:charset w:val="2"/>
    <w:family w:val="decorative"/>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48224">
              <wp:simplePos x="0" y="0"/>
              <wp:positionH relativeFrom="page">
                <wp:posOffset>3892296</wp:posOffset>
              </wp:positionH>
              <wp:positionV relativeFrom="page">
                <wp:posOffset>9909758</wp:posOffset>
              </wp:positionV>
              <wp:extent cx="248920"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48920"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306.480011pt;margin-top:780.295959pt;width:19.6pt;height:13.05pt;mso-position-horizontal-relative:page;mso-position-vertical-relative:page;z-index:-19168256" type="#_x0000_t202" id="docshape3"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50784">
              <wp:simplePos x="0" y="0"/>
              <wp:positionH relativeFrom="page">
                <wp:posOffset>3864864</wp:posOffset>
              </wp:positionH>
              <wp:positionV relativeFrom="page">
                <wp:posOffset>9909758</wp:posOffset>
              </wp:positionV>
              <wp:extent cx="299720" cy="1657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4.320007pt;margin-top:780.295959pt;width:23.6pt;height:13.05pt;mso-position-horizontal-relative:page;mso-position-vertical-relative:page;z-index:-19165696" type="#_x0000_t202" id="docshape2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111</w:t>
                    </w:r>
                    <w:r>
                      <w:rPr>
                        <w:rFonts w:ascii="Calibri"/>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51296">
              <wp:simplePos x="0" y="0"/>
              <wp:positionH relativeFrom="page">
                <wp:posOffset>3864864</wp:posOffset>
              </wp:positionH>
              <wp:positionV relativeFrom="page">
                <wp:posOffset>9909758</wp:posOffset>
              </wp:positionV>
              <wp:extent cx="299720" cy="1657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4.320007pt;margin-top:780.295959pt;width:23.6pt;height:13.05pt;mso-position-horizontal-relative:page;mso-position-vertical-relative:page;z-index:-19165184" type="#_x0000_t202" id="docshape2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135</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48736">
              <wp:simplePos x="0" y="0"/>
              <wp:positionH relativeFrom="page">
                <wp:posOffset>3901440</wp:posOffset>
              </wp:positionH>
              <wp:positionV relativeFrom="page">
                <wp:posOffset>9909758</wp:posOffset>
              </wp:positionV>
              <wp:extent cx="229235" cy="16573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2923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200012pt;margin-top:780.295959pt;width:18.05pt;height:13.05pt;mso-position-horizontal-relative:page;mso-position-vertical-relative:page;z-index:-19167744" type="#_x0000_t202" id="docshape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49248">
              <wp:simplePos x="0" y="0"/>
              <wp:positionH relativeFrom="page">
                <wp:posOffset>3901440</wp:posOffset>
              </wp:positionH>
              <wp:positionV relativeFrom="page">
                <wp:posOffset>9909758</wp:posOffset>
              </wp:positionV>
              <wp:extent cx="229235"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2923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200012pt;margin-top:780.295959pt;width:18.05pt;height:13.05pt;mso-position-horizontal-relative:page;mso-position-vertical-relative:page;z-index:-19167232" type="#_x0000_t202" id="docshape1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23</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49760">
              <wp:simplePos x="0" y="0"/>
              <wp:positionH relativeFrom="page">
                <wp:posOffset>3901440</wp:posOffset>
              </wp:positionH>
              <wp:positionV relativeFrom="page">
                <wp:posOffset>9909758</wp:posOffset>
              </wp:positionV>
              <wp:extent cx="229235" cy="1657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2923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200012pt;margin-top:780.295959pt;width:18.05pt;height:13.05pt;mso-position-horizontal-relative:page;mso-position-vertical-relative:page;z-index:-19166720" type="#_x0000_t202" id="docshape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87</w:t>
                    </w:r>
                    <w:r>
                      <w:rPr>
                        <w:rFonts w:ascii="Calibri"/>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150272">
              <wp:simplePos x="0" y="0"/>
              <wp:positionH relativeFrom="page">
                <wp:posOffset>3864864</wp:posOffset>
              </wp:positionH>
              <wp:positionV relativeFrom="page">
                <wp:posOffset>9909758</wp:posOffset>
              </wp:positionV>
              <wp:extent cx="299720" cy="1657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4.320007pt;margin-top:780.295959pt;width:23.6pt;height:13.05pt;mso-position-horizontal-relative:page;mso-position-vertical-relative:page;z-index:-19166208" type="#_x0000_t202" id="docshape1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lowerLetter"/>
      <w:lvlText w:val="%1."/>
      <w:lvlJc w:val="left"/>
      <w:pPr>
        <w:ind w:left="287" w:hanging="226"/>
        <w:jc w:val="left"/>
      </w:pPr>
      <w:rPr>
        <w:rFonts w:hint="default" w:ascii="Arial MT" w:hAnsi="Arial MT" w:eastAsia="Arial MT" w:cs="Arial MT"/>
        <w:b w:val="0"/>
        <w:bCs w:val="0"/>
        <w:i w:val="0"/>
        <w:iCs w:val="0"/>
        <w:spacing w:val="-2"/>
        <w:w w:val="100"/>
        <w:sz w:val="20"/>
        <w:szCs w:val="20"/>
        <w:lang w:val="en-US" w:eastAsia="en-US" w:bidi="ar-SA"/>
      </w:rPr>
    </w:lvl>
    <w:lvl w:ilvl="1">
      <w:start w:val="0"/>
      <w:numFmt w:val="bullet"/>
      <w:lvlText w:val="•"/>
      <w:lvlJc w:val="left"/>
      <w:pPr>
        <w:ind w:left="765" w:hanging="226"/>
      </w:pPr>
      <w:rPr>
        <w:rFonts w:hint="default"/>
        <w:lang w:val="en-US" w:eastAsia="en-US" w:bidi="ar-SA"/>
      </w:rPr>
    </w:lvl>
    <w:lvl w:ilvl="2">
      <w:start w:val="0"/>
      <w:numFmt w:val="bullet"/>
      <w:lvlText w:val="•"/>
      <w:lvlJc w:val="left"/>
      <w:pPr>
        <w:ind w:left="1251" w:hanging="226"/>
      </w:pPr>
      <w:rPr>
        <w:rFonts w:hint="default"/>
        <w:lang w:val="en-US" w:eastAsia="en-US" w:bidi="ar-SA"/>
      </w:rPr>
    </w:lvl>
    <w:lvl w:ilvl="3">
      <w:start w:val="0"/>
      <w:numFmt w:val="bullet"/>
      <w:lvlText w:val="•"/>
      <w:lvlJc w:val="left"/>
      <w:pPr>
        <w:ind w:left="1736" w:hanging="226"/>
      </w:pPr>
      <w:rPr>
        <w:rFonts w:hint="default"/>
        <w:lang w:val="en-US" w:eastAsia="en-US" w:bidi="ar-SA"/>
      </w:rPr>
    </w:lvl>
    <w:lvl w:ilvl="4">
      <w:start w:val="0"/>
      <w:numFmt w:val="bullet"/>
      <w:lvlText w:val="•"/>
      <w:lvlJc w:val="left"/>
      <w:pPr>
        <w:ind w:left="2222" w:hanging="226"/>
      </w:pPr>
      <w:rPr>
        <w:rFonts w:hint="default"/>
        <w:lang w:val="en-US" w:eastAsia="en-US" w:bidi="ar-SA"/>
      </w:rPr>
    </w:lvl>
    <w:lvl w:ilvl="5">
      <w:start w:val="0"/>
      <w:numFmt w:val="bullet"/>
      <w:lvlText w:val="•"/>
      <w:lvlJc w:val="left"/>
      <w:pPr>
        <w:ind w:left="2707" w:hanging="226"/>
      </w:pPr>
      <w:rPr>
        <w:rFonts w:hint="default"/>
        <w:lang w:val="en-US" w:eastAsia="en-US" w:bidi="ar-SA"/>
      </w:rPr>
    </w:lvl>
    <w:lvl w:ilvl="6">
      <w:start w:val="0"/>
      <w:numFmt w:val="bullet"/>
      <w:lvlText w:val="•"/>
      <w:lvlJc w:val="left"/>
      <w:pPr>
        <w:ind w:left="3193" w:hanging="226"/>
      </w:pPr>
      <w:rPr>
        <w:rFonts w:hint="default"/>
        <w:lang w:val="en-US" w:eastAsia="en-US" w:bidi="ar-SA"/>
      </w:rPr>
    </w:lvl>
    <w:lvl w:ilvl="7">
      <w:start w:val="0"/>
      <w:numFmt w:val="bullet"/>
      <w:lvlText w:val="•"/>
      <w:lvlJc w:val="left"/>
      <w:pPr>
        <w:ind w:left="3678" w:hanging="226"/>
      </w:pPr>
      <w:rPr>
        <w:rFonts w:hint="default"/>
        <w:lang w:val="en-US" w:eastAsia="en-US" w:bidi="ar-SA"/>
      </w:rPr>
    </w:lvl>
    <w:lvl w:ilvl="8">
      <w:start w:val="0"/>
      <w:numFmt w:val="bullet"/>
      <w:lvlText w:val="•"/>
      <w:lvlJc w:val="left"/>
      <w:pPr>
        <w:ind w:left="4164" w:hanging="226"/>
      </w:pPr>
      <w:rPr>
        <w:rFonts w:hint="default"/>
        <w:lang w:val="en-US" w:eastAsia="en-US" w:bidi="ar-SA"/>
      </w:rPr>
    </w:lvl>
  </w:abstractNum>
  <w:abstractNum w:abstractNumId="32">
    <w:multiLevelType w:val="hybridMultilevel"/>
    <w:lvl w:ilvl="0">
      <w:start w:val="1"/>
      <w:numFmt w:val="lowerLetter"/>
      <w:lvlText w:val="%1."/>
      <w:lvlJc w:val="left"/>
      <w:pPr>
        <w:ind w:left="268" w:hanging="206"/>
        <w:jc w:val="left"/>
      </w:pPr>
      <w:rPr>
        <w:rFonts w:hint="default" w:ascii="Arial MT" w:hAnsi="Arial MT" w:eastAsia="Arial MT" w:cs="Arial MT"/>
        <w:b w:val="0"/>
        <w:bCs w:val="0"/>
        <w:i w:val="0"/>
        <w:iCs w:val="0"/>
        <w:spacing w:val="-1"/>
        <w:w w:val="101"/>
        <w:sz w:val="18"/>
        <w:szCs w:val="18"/>
        <w:lang w:val="en-US" w:eastAsia="en-US" w:bidi="ar-SA"/>
      </w:rPr>
    </w:lvl>
    <w:lvl w:ilvl="1">
      <w:start w:val="0"/>
      <w:numFmt w:val="bullet"/>
      <w:lvlText w:val="•"/>
      <w:lvlJc w:val="left"/>
      <w:pPr>
        <w:ind w:left="526" w:hanging="206"/>
      </w:pPr>
      <w:rPr>
        <w:rFonts w:hint="default"/>
        <w:lang w:val="en-US" w:eastAsia="en-US" w:bidi="ar-SA"/>
      </w:rPr>
    </w:lvl>
    <w:lvl w:ilvl="2">
      <w:start w:val="0"/>
      <w:numFmt w:val="bullet"/>
      <w:lvlText w:val="•"/>
      <w:lvlJc w:val="left"/>
      <w:pPr>
        <w:ind w:left="793" w:hanging="206"/>
      </w:pPr>
      <w:rPr>
        <w:rFonts w:hint="default"/>
        <w:lang w:val="en-US" w:eastAsia="en-US" w:bidi="ar-SA"/>
      </w:rPr>
    </w:lvl>
    <w:lvl w:ilvl="3">
      <w:start w:val="0"/>
      <w:numFmt w:val="bullet"/>
      <w:lvlText w:val="•"/>
      <w:lvlJc w:val="left"/>
      <w:pPr>
        <w:ind w:left="1060" w:hanging="206"/>
      </w:pPr>
      <w:rPr>
        <w:rFonts w:hint="default"/>
        <w:lang w:val="en-US" w:eastAsia="en-US" w:bidi="ar-SA"/>
      </w:rPr>
    </w:lvl>
    <w:lvl w:ilvl="4">
      <w:start w:val="0"/>
      <w:numFmt w:val="bullet"/>
      <w:lvlText w:val="•"/>
      <w:lvlJc w:val="left"/>
      <w:pPr>
        <w:ind w:left="1326" w:hanging="206"/>
      </w:pPr>
      <w:rPr>
        <w:rFonts w:hint="default"/>
        <w:lang w:val="en-US" w:eastAsia="en-US" w:bidi="ar-SA"/>
      </w:rPr>
    </w:lvl>
    <w:lvl w:ilvl="5">
      <w:start w:val="0"/>
      <w:numFmt w:val="bullet"/>
      <w:lvlText w:val="•"/>
      <w:lvlJc w:val="left"/>
      <w:pPr>
        <w:ind w:left="1593" w:hanging="206"/>
      </w:pPr>
      <w:rPr>
        <w:rFonts w:hint="default"/>
        <w:lang w:val="en-US" w:eastAsia="en-US" w:bidi="ar-SA"/>
      </w:rPr>
    </w:lvl>
    <w:lvl w:ilvl="6">
      <w:start w:val="0"/>
      <w:numFmt w:val="bullet"/>
      <w:lvlText w:val="•"/>
      <w:lvlJc w:val="left"/>
      <w:pPr>
        <w:ind w:left="1860" w:hanging="206"/>
      </w:pPr>
      <w:rPr>
        <w:rFonts w:hint="default"/>
        <w:lang w:val="en-US" w:eastAsia="en-US" w:bidi="ar-SA"/>
      </w:rPr>
    </w:lvl>
    <w:lvl w:ilvl="7">
      <w:start w:val="0"/>
      <w:numFmt w:val="bullet"/>
      <w:lvlText w:val="•"/>
      <w:lvlJc w:val="left"/>
      <w:pPr>
        <w:ind w:left="2126" w:hanging="206"/>
      </w:pPr>
      <w:rPr>
        <w:rFonts w:hint="default"/>
        <w:lang w:val="en-US" w:eastAsia="en-US" w:bidi="ar-SA"/>
      </w:rPr>
    </w:lvl>
    <w:lvl w:ilvl="8">
      <w:start w:val="0"/>
      <w:numFmt w:val="bullet"/>
      <w:lvlText w:val="•"/>
      <w:lvlJc w:val="left"/>
      <w:pPr>
        <w:ind w:left="2393" w:hanging="206"/>
      </w:pPr>
      <w:rPr>
        <w:rFonts w:hint="default"/>
        <w:lang w:val="en-US" w:eastAsia="en-US" w:bidi="ar-SA"/>
      </w:rPr>
    </w:lvl>
  </w:abstractNum>
  <w:abstractNum w:abstractNumId="31">
    <w:multiLevelType w:val="hybridMultilevel"/>
    <w:lvl w:ilvl="0">
      <w:start w:val="1"/>
      <w:numFmt w:val="upperLetter"/>
      <w:lvlText w:val="%1."/>
      <w:lvlJc w:val="left"/>
      <w:pPr>
        <w:ind w:left="778" w:hanging="298"/>
        <w:jc w:val="left"/>
      </w:pPr>
      <w:rPr>
        <w:rFonts w:hint="default" w:ascii="Times New Roman" w:hAnsi="Times New Roman" w:eastAsia="Times New Roman" w:cs="Times New Roman"/>
        <w:b w:val="0"/>
        <w:bCs w:val="0"/>
        <w:i w:val="0"/>
        <w:iCs w:val="0"/>
        <w:spacing w:val="-6"/>
        <w:w w:val="100"/>
        <w:sz w:val="24"/>
        <w:szCs w:val="24"/>
        <w:lang w:val="en-US" w:eastAsia="en-US" w:bidi="ar-SA"/>
      </w:rPr>
    </w:lvl>
    <w:lvl w:ilvl="1">
      <w:start w:val="0"/>
      <w:numFmt w:val="bullet"/>
      <w:lvlText w:val="•"/>
      <w:lvlJc w:val="left"/>
      <w:pPr>
        <w:ind w:left="1696" w:hanging="298"/>
      </w:pPr>
      <w:rPr>
        <w:rFonts w:hint="default"/>
        <w:lang w:val="en-US" w:eastAsia="en-US" w:bidi="ar-SA"/>
      </w:rPr>
    </w:lvl>
    <w:lvl w:ilvl="2">
      <w:start w:val="0"/>
      <w:numFmt w:val="bullet"/>
      <w:lvlText w:val="•"/>
      <w:lvlJc w:val="left"/>
      <w:pPr>
        <w:ind w:left="2613" w:hanging="298"/>
      </w:pPr>
      <w:rPr>
        <w:rFonts w:hint="default"/>
        <w:lang w:val="en-US" w:eastAsia="en-US" w:bidi="ar-SA"/>
      </w:rPr>
    </w:lvl>
    <w:lvl w:ilvl="3">
      <w:start w:val="0"/>
      <w:numFmt w:val="bullet"/>
      <w:lvlText w:val="•"/>
      <w:lvlJc w:val="left"/>
      <w:pPr>
        <w:ind w:left="3530" w:hanging="298"/>
      </w:pPr>
      <w:rPr>
        <w:rFonts w:hint="default"/>
        <w:lang w:val="en-US" w:eastAsia="en-US" w:bidi="ar-SA"/>
      </w:rPr>
    </w:lvl>
    <w:lvl w:ilvl="4">
      <w:start w:val="0"/>
      <w:numFmt w:val="bullet"/>
      <w:lvlText w:val="•"/>
      <w:lvlJc w:val="left"/>
      <w:pPr>
        <w:ind w:left="4447" w:hanging="298"/>
      </w:pPr>
      <w:rPr>
        <w:rFonts w:hint="default"/>
        <w:lang w:val="en-US" w:eastAsia="en-US" w:bidi="ar-SA"/>
      </w:rPr>
    </w:lvl>
    <w:lvl w:ilvl="5">
      <w:start w:val="0"/>
      <w:numFmt w:val="bullet"/>
      <w:lvlText w:val="•"/>
      <w:lvlJc w:val="left"/>
      <w:pPr>
        <w:ind w:left="5364" w:hanging="298"/>
      </w:pPr>
      <w:rPr>
        <w:rFonts w:hint="default"/>
        <w:lang w:val="en-US" w:eastAsia="en-US" w:bidi="ar-SA"/>
      </w:rPr>
    </w:lvl>
    <w:lvl w:ilvl="6">
      <w:start w:val="0"/>
      <w:numFmt w:val="bullet"/>
      <w:lvlText w:val="•"/>
      <w:lvlJc w:val="left"/>
      <w:pPr>
        <w:ind w:left="6281" w:hanging="298"/>
      </w:pPr>
      <w:rPr>
        <w:rFonts w:hint="default"/>
        <w:lang w:val="en-US" w:eastAsia="en-US" w:bidi="ar-SA"/>
      </w:rPr>
    </w:lvl>
    <w:lvl w:ilvl="7">
      <w:start w:val="0"/>
      <w:numFmt w:val="bullet"/>
      <w:lvlText w:val="•"/>
      <w:lvlJc w:val="left"/>
      <w:pPr>
        <w:ind w:left="7198" w:hanging="298"/>
      </w:pPr>
      <w:rPr>
        <w:rFonts w:hint="default"/>
        <w:lang w:val="en-US" w:eastAsia="en-US" w:bidi="ar-SA"/>
      </w:rPr>
    </w:lvl>
    <w:lvl w:ilvl="8">
      <w:start w:val="0"/>
      <w:numFmt w:val="bullet"/>
      <w:lvlText w:val="•"/>
      <w:lvlJc w:val="left"/>
      <w:pPr>
        <w:ind w:left="8115" w:hanging="298"/>
      </w:pPr>
      <w:rPr>
        <w:rFonts w:hint="default"/>
        <w:lang w:val="en-US" w:eastAsia="en-US" w:bidi="ar-SA"/>
      </w:rPr>
    </w:lvl>
  </w:abstractNum>
  <w:abstractNum w:abstractNumId="30">
    <w:multiLevelType w:val="hybridMultilevel"/>
    <w:lvl w:ilvl="0">
      <w:start w:val="1"/>
      <w:numFmt w:val="decimal"/>
      <w:lvlText w:val="%1."/>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01"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1921" w:hanging="721"/>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704" w:hanging="721"/>
      </w:pPr>
      <w:rPr>
        <w:rFonts w:hint="default"/>
        <w:lang w:val="en-US" w:eastAsia="en-US" w:bidi="ar-SA"/>
      </w:rPr>
    </w:lvl>
    <w:lvl w:ilvl="4">
      <w:start w:val="0"/>
      <w:numFmt w:val="bullet"/>
      <w:lvlText w:val="•"/>
      <w:lvlJc w:val="left"/>
      <w:pPr>
        <w:ind w:left="4596" w:hanging="721"/>
      </w:pPr>
      <w:rPr>
        <w:rFonts w:hint="default"/>
        <w:lang w:val="en-US" w:eastAsia="en-US" w:bidi="ar-SA"/>
      </w:rPr>
    </w:lvl>
    <w:lvl w:ilvl="5">
      <w:start w:val="0"/>
      <w:numFmt w:val="bullet"/>
      <w:lvlText w:val="•"/>
      <w:lvlJc w:val="left"/>
      <w:pPr>
        <w:ind w:left="5488" w:hanging="721"/>
      </w:pPr>
      <w:rPr>
        <w:rFonts w:hint="default"/>
        <w:lang w:val="en-US" w:eastAsia="en-US" w:bidi="ar-SA"/>
      </w:rPr>
    </w:lvl>
    <w:lvl w:ilvl="6">
      <w:start w:val="0"/>
      <w:numFmt w:val="bullet"/>
      <w:lvlText w:val="•"/>
      <w:lvlJc w:val="left"/>
      <w:pPr>
        <w:ind w:left="6380" w:hanging="721"/>
      </w:pPr>
      <w:rPr>
        <w:rFonts w:hint="default"/>
        <w:lang w:val="en-US" w:eastAsia="en-US" w:bidi="ar-SA"/>
      </w:rPr>
    </w:lvl>
    <w:lvl w:ilvl="7">
      <w:start w:val="0"/>
      <w:numFmt w:val="bullet"/>
      <w:lvlText w:val="•"/>
      <w:lvlJc w:val="left"/>
      <w:pPr>
        <w:ind w:left="7272" w:hanging="721"/>
      </w:pPr>
      <w:rPr>
        <w:rFonts w:hint="default"/>
        <w:lang w:val="en-US" w:eastAsia="en-US" w:bidi="ar-SA"/>
      </w:rPr>
    </w:lvl>
    <w:lvl w:ilvl="8">
      <w:start w:val="0"/>
      <w:numFmt w:val="bullet"/>
      <w:lvlText w:val="•"/>
      <w:lvlJc w:val="left"/>
      <w:pPr>
        <w:ind w:left="8164" w:hanging="721"/>
      </w:pPr>
      <w:rPr>
        <w:rFonts w:hint="default"/>
        <w:lang w:val="en-US" w:eastAsia="en-US" w:bidi="ar-SA"/>
      </w:rPr>
    </w:lvl>
  </w:abstractNum>
  <w:abstractNum w:abstractNumId="29">
    <w:multiLevelType w:val="hybridMultilevel"/>
    <w:lvl w:ilvl="0">
      <w:start w:val="1"/>
      <w:numFmt w:val="decimal"/>
      <w:lvlText w:val="%1."/>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949" w:hanging="360"/>
      </w:pPr>
      <w:rPr>
        <w:rFonts w:hint="default"/>
        <w:lang w:val="en-US" w:eastAsia="en-US" w:bidi="ar-SA"/>
      </w:rPr>
    </w:lvl>
    <w:lvl w:ilvl="3">
      <w:start w:val="0"/>
      <w:numFmt w:val="bullet"/>
      <w:lvlText w:val="•"/>
      <w:lvlJc w:val="left"/>
      <w:pPr>
        <w:ind w:left="3824" w:hanging="360"/>
      </w:pPr>
      <w:rPr>
        <w:rFonts w:hint="default"/>
        <w:lang w:val="en-US" w:eastAsia="en-US" w:bidi="ar-SA"/>
      </w:rPr>
    </w:lvl>
    <w:lvl w:ilvl="4">
      <w:start w:val="0"/>
      <w:numFmt w:val="bullet"/>
      <w:lvlText w:val="•"/>
      <w:lvlJc w:val="left"/>
      <w:pPr>
        <w:ind w:left="4699"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449"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199" w:hanging="360"/>
      </w:pPr>
      <w:rPr>
        <w:rFonts w:hint="default"/>
        <w:lang w:val="en-US" w:eastAsia="en-US" w:bidi="ar-SA"/>
      </w:rPr>
    </w:lvl>
  </w:abstractNum>
  <w:abstractNum w:abstractNumId="28">
    <w:multiLevelType w:val="hybridMultilevel"/>
    <w:lvl w:ilvl="0">
      <w:start w:val="1"/>
      <w:numFmt w:val="decimal"/>
      <w:lvlText w:val="%1."/>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949" w:hanging="360"/>
      </w:pPr>
      <w:rPr>
        <w:rFonts w:hint="default"/>
        <w:lang w:val="en-US" w:eastAsia="en-US" w:bidi="ar-SA"/>
      </w:rPr>
    </w:lvl>
    <w:lvl w:ilvl="3">
      <w:start w:val="0"/>
      <w:numFmt w:val="bullet"/>
      <w:lvlText w:val="•"/>
      <w:lvlJc w:val="left"/>
      <w:pPr>
        <w:ind w:left="3824" w:hanging="360"/>
      </w:pPr>
      <w:rPr>
        <w:rFonts w:hint="default"/>
        <w:lang w:val="en-US" w:eastAsia="en-US" w:bidi="ar-SA"/>
      </w:rPr>
    </w:lvl>
    <w:lvl w:ilvl="4">
      <w:start w:val="0"/>
      <w:numFmt w:val="bullet"/>
      <w:lvlText w:val="•"/>
      <w:lvlJc w:val="left"/>
      <w:pPr>
        <w:ind w:left="4699"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449"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199" w:hanging="360"/>
      </w:pPr>
      <w:rPr>
        <w:rFonts w:hint="default"/>
        <w:lang w:val="en-US" w:eastAsia="en-US" w:bidi="ar-SA"/>
      </w:rPr>
    </w:lvl>
  </w:abstractNum>
  <w:abstractNum w:abstractNumId="27">
    <w:multiLevelType w:val="hybridMultilevel"/>
    <w:lvl w:ilvl="0">
      <w:start w:val="1"/>
      <w:numFmt w:val="decimal"/>
      <w:lvlText w:val="%1."/>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949" w:hanging="360"/>
      </w:pPr>
      <w:rPr>
        <w:rFonts w:hint="default"/>
        <w:lang w:val="en-US" w:eastAsia="en-US" w:bidi="ar-SA"/>
      </w:rPr>
    </w:lvl>
    <w:lvl w:ilvl="3">
      <w:start w:val="0"/>
      <w:numFmt w:val="bullet"/>
      <w:lvlText w:val="•"/>
      <w:lvlJc w:val="left"/>
      <w:pPr>
        <w:ind w:left="3824" w:hanging="360"/>
      </w:pPr>
      <w:rPr>
        <w:rFonts w:hint="default"/>
        <w:lang w:val="en-US" w:eastAsia="en-US" w:bidi="ar-SA"/>
      </w:rPr>
    </w:lvl>
    <w:lvl w:ilvl="4">
      <w:start w:val="0"/>
      <w:numFmt w:val="bullet"/>
      <w:lvlText w:val="•"/>
      <w:lvlJc w:val="left"/>
      <w:pPr>
        <w:ind w:left="4699"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449"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199" w:hanging="360"/>
      </w:pPr>
      <w:rPr>
        <w:rFonts w:hint="default"/>
        <w:lang w:val="en-US" w:eastAsia="en-US" w:bidi="ar-SA"/>
      </w:rPr>
    </w:lvl>
  </w:abstractNum>
  <w:abstractNum w:abstractNumId="26">
    <w:multiLevelType w:val="hybridMultilevel"/>
    <w:lvl w:ilvl="0">
      <w:start w:val="1"/>
      <w:numFmt w:val="decimal"/>
      <w:lvlText w:val="%1."/>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949" w:hanging="360"/>
      </w:pPr>
      <w:rPr>
        <w:rFonts w:hint="default"/>
        <w:lang w:val="en-US" w:eastAsia="en-US" w:bidi="ar-SA"/>
      </w:rPr>
    </w:lvl>
    <w:lvl w:ilvl="3">
      <w:start w:val="0"/>
      <w:numFmt w:val="bullet"/>
      <w:lvlText w:val="•"/>
      <w:lvlJc w:val="left"/>
      <w:pPr>
        <w:ind w:left="3824" w:hanging="360"/>
      </w:pPr>
      <w:rPr>
        <w:rFonts w:hint="default"/>
        <w:lang w:val="en-US" w:eastAsia="en-US" w:bidi="ar-SA"/>
      </w:rPr>
    </w:lvl>
    <w:lvl w:ilvl="4">
      <w:start w:val="0"/>
      <w:numFmt w:val="bullet"/>
      <w:lvlText w:val="•"/>
      <w:lvlJc w:val="left"/>
      <w:pPr>
        <w:ind w:left="4699"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449"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199" w:hanging="360"/>
      </w:pPr>
      <w:rPr>
        <w:rFonts w:hint="default"/>
        <w:lang w:val="en-US" w:eastAsia="en-US" w:bidi="ar-SA"/>
      </w:rPr>
    </w:lvl>
  </w:abstractNum>
  <w:abstractNum w:abstractNumId="25">
    <w:multiLevelType w:val="hybridMultilevel"/>
    <w:lvl w:ilvl="0">
      <w:start w:val="1"/>
      <w:numFmt w:val="decimal"/>
      <w:lvlText w:val="%1."/>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decimal"/>
      <w:lvlText w:val="%3."/>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Letter"/>
      <w:lvlText w:val="%4."/>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1"/>
      <w:numFmt w:val="decimal"/>
      <w:lvlText w:val="%5."/>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1"/>
      <w:numFmt w:val="lowerLetter"/>
      <w:lvlText w:val="%6."/>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6">
      <w:start w:val="1"/>
      <w:numFmt w:val="decimal"/>
      <w:lvlText w:val="%7."/>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7">
      <w:start w:val="1"/>
      <w:numFmt w:val="lowerLetter"/>
      <w:lvlText w:val="%8."/>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8">
      <w:start w:val="1"/>
      <w:numFmt w:val="decimal"/>
      <w:lvlText w:val="%9."/>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abstractNum>
  <w:abstractNum w:abstractNumId="24">
    <w:multiLevelType w:val="hybridMultilevel"/>
    <w:lvl w:ilvl="0">
      <w:start w:val="1"/>
      <w:numFmt w:val="lowerLetter"/>
      <w:lvlText w:val="%1."/>
      <w:lvlJc w:val="left"/>
      <w:pPr>
        <w:ind w:left="12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074" w:hanging="360"/>
      </w:pPr>
      <w:rPr>
        <w:rFonts w:hint="default"/>
        <w:lang w:val="en-US" w:eastAsia="en-US" w:bidi="ar-SA"/>
      </w:rPr>
    </w:lvl>
    <w:lvl w:ilvl="2">
      <w:start w:val="0"/>
      <w:numFmt w:val="bullet"/>
      <w:lvlText w:val="•"/>
      <w:lvlJc w:val="left"/>
      <w:pPr>
        <w:ind w:left="2949" w:hanging="360"/>
      </w:pPr>
      <w:rPr>
        <w:rFonts w:hint="default"/>
        <w:lang w:val="en-US" w:eastAsia="en-US" w:bidi="ar-SA"/>
      </w:rPr>
    </w:lvl>
    <w:lvl w:ilvl="3">
      <w:start w:val="0"/>
      <w:numFmt w:val="bullet"/>
      <w:lvlText w:val="•"/>
      <w:lvlJc w:val="left"/>
      <w:pPr>
        <w:ind w:left="3824" w:hanging="360"/>
      </w:pPr>
      <w:rPr>
        <w:rFonts w:hint="default"/>
        <w:lang w:val="en-US" w:eastAsia="en-US" w:bidi="ar-SA"/>
      </w:rPr>
    </w:lvl>
    <w:lvl w:ilvl="4">
      <w:start w:val="0"/>
      <w:numFmt w:val="bullet"/>
      <w:lvlText w:val="•"/>
      <w:lvlJc w:val="left"/>
      <w:pPr>
        <w:ind w:left="4699"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449"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199" w:hanging="360"/>
      </w:pPr>
      <w:rPr>
        <w:rFonts w:hint="default"/>
        <w:lang w:val="en-US" w:eastAsia="en-US" w:bidi="ar-SA"/>
      </w:rPr>
    </w:lvl>
  </w:abstractNum>
  <w:abstractNum w:abstractNumId="23">
    <w:multiLevelType w:val="hybridMultilevel"/>
    <w:lvl w:ilvl="0">
      <w:start w:val="1"/>
      <w:numFmt w:val="decimal"/>
      <w:lvlText w:val="%1."/>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74" w:hanging="360"/>
      </w:pPr>
      <w:rPr>
        <w:rFonts w:hint="default"/>
        <w:lang w:val="en-US" w:eastAsia="en-US" w:bidi="ar-SA"/>
      </w:rPr>
    </w:lvl>
    <w:lvl w:ilvl="2">
      <w:start w:val="0"/>
      <w:numFmt w:val="bullet"/>
      <w:lvlText w:val="•"/>
      <w:lvlJc w:val="left"/>
      <w:pPr>
        <w:ind w:left="2949" w:hanging="360"/>
      </w:pPr>
      <w:rPr>
        <w:rFonts w:hint="default"/>
        <w:lang w:val="en-US" w:eastAsia="en-US" w:bidi="ar-SA"/>
      </w:rPr>
    </w:lvl>
    <w:lvl w:ilvl="3">
      <w:start w:val="0"/>
      <w:numFmt w:val="bullet"/>
      <w:lvlText w:val="•"/>
      <w:lvlJc w:val="left"/>
      <w:pPr>
        <w:ind w:left="3824" w:hanging="360"/>
      </w:pPr>
      <w:rPr>
        <w:rFonts w:hint="default"/>
        <w:lang w:val="en-US" w:eastAsia="en-US" w:bidi="ar-SA"/>
      </w:rPr>
    </w:lvl>
    <w:lvl w:ilvl="4">
      <w:start w:val="0"/>
      <w:numFmt w:val="bullet"/>
      <w:lvlText w:val="•"/>
      <w:lvlJc w:val="left"/>
      <w:pPr>
        <w:ind w:left="4699"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449"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199" w:hanging="360"/>
      </w:pPr>
      <w:rPr>
        <w:rFonts w:hint="default"/>
        <w:lang w:val="en-US" w:eastAsia="en-US" w:bidi="ar-SA"/>
      </w:rPr>
    </w:lvl>
  </w:abstractNum>
  <w:abstractNum w:abstractNumId="22">
    <w:multiLevelType w:val="hybridMultilevel"/>
    <w:lvl w:ilvl="0">
      <w:start w:val="1"/>
      <w:numFmt w:val="lowerRoman"/>
      <w:lvlText w:val="%1."/>
      <w:lvlJc w:val="left"/>
      <w:pPr>
        <w:ind w:left="1201" w:hanging="668"/>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074" w:hanging="668"/>
      </w:pPr>
      <w:rPr>
        <w:rFonts w:hint="default"/>
        <w:lang w:val="en-US" w:eastAsia="en-US" w:bidi="ar-SA"/>
      </w:rPr>
    </w:lvl>
    <w:lvl w:ilvl="2">
      <w:start w:val="0"/>
      <w:numFmt w:val="bullet"/>
      <w:lvlText w:val="•"/>
      <w:lvlJc w:val="left"/>
      <w:pPr>
        <w:ind w:left="2949" w:hanging="668"/>
      </w:pPr>
      <w:rPr>
        <w:rFonts w:hint="default"/>
        <w:lang w:val="en-US" w:eastAsia="en-US" w:bidi="ar-SA"/>
      </w:rPr>
    </w:lvl>
    <w:lvl w:ilvl="3">
      <w:start w:val="0"/>
      <w:numFmt w:val="bullet"/>
      <w:lvlText w:val="•"/>
      <w:lvlJc w:val="left"/>
      <w:pPr>
        <w:ind w:left="3824" w:hanging="668"/>
      </w:pPr>
      <w:rPr>
        <w:rFonts w:hint="default"/>
        <w:lang w:val="en-US" w:eastAsia="en-US" w:bidi="ar-SA"/>
      </w:rPr>
    </w:lvl>
    <w:lvl w:ilvl="4">
      <w:start w:val="0"/>
      <w:numFmt w:val="bullet"/>
      <w:lvlText w:val="•"/>
      <w:lvlJc w:val="left"/>
      <w:pPr>
        <w:ind w:left="4699" w:hanging="668"/>
      </w:pPr>
      <w:rPr>
        <w:rFonts w:hint="default"/>
        <w:lang w:val="en-US" w:eastAsia="en-US" w:bidi="ar-SA"/>
      </w:rPr>
    </w:lvl>
    <w:lvl w:ilvl="5">
      <w:start w:val="0"/>
      <w:numFmt w:val="bullet"/>
      <w:lvlText w:val="•"/>
      <w:lvlJc w:val="left"/>
      <w:pPr>
        <w:ind w:left="5574" w:hanging="668"/>
      </w:pPr>
      <w:rPr>
        <w:rFonts w:hint="default"/>
        <w:lang w:val="en-US" w:eastAsia="en-US" w:bidi="ar-SA"/>
      </w:rPr>
    </w:lvl>
    <w:lvl w:ilvl="6">
      <w:start w:val="0"/>
      <w:numFmt w:val="bullet"/>
      <w:lvlText w:val="•"/>
      <w:lvlJc w:val="left"/>
      <w:pPr>
        <w:ind w:left="6449" w:hanging="668"/>
      </w:pPr>
      <w:rPr>
        <w:rFonts w:hint="default"/>
        <w:lang w:val="en-US" w:eastAsia="en-US" w:bidi="ar-SA"/>
      </w:rPr>
    </w:lvl>
    <w:lvl w:ilvl="7">
      <w:start w:val="0"/>
      <w:numFmt w:val="bullet"/>
      <w:lvlText w:val="•"/>
      <w:lvlJc w:val="left"/>
      <w:pPr>
        <w:ind w:left="7324" w:hanging="668"/>
      </w:pPr>
      <w:rPr>
        <w:rFonts w:hint="default"/>
        <w:lang w:val="en-US" w:eastAsia="en-US" w:bidi="ar-SA"/>
      </w:rPr>
    </w:lvl>
    <w:lvl w:ilvl="8">
      <w:start w:val="0"/>
      <w:numFmt w:val="bullet"/>
      <w:lvlText w:val="•"/>
      <w:lvlJc w:val="left"/>
      <w:pPr>
        <w:ind w:left="8199" w:hanging="668"/>
      </w:pPr>
      <w:rPr>
        <w:rFonts w:hint="default"/>
        <w:lang w:val="en-US" w:eastAsia="en-US" w:bidi="ar-SA"/>
      </w:rPr>
    </w:lvl>
  </w:abstractNum>
  <w:abstractNum w:abstractNumId="21">
    <w:multiLevelType w:val="hybridMultilevel"/>
    <w:lvl w:ilvl="0">
      <w:start w:val="5"/>
      <w:numFmt w:val="decimal"/>
      <w:lvlText w:val="%1"/>
      <w:lvlJc w:val="left"/>
      <w:pPr>
        <w:ind w:left="1201" w:hanging="720"/>
        <w:jc w:val="left"/>
      </w:pPr>
      <w:rPr>
        <w:rFonts w:hint="default"/>
        <w:lang w:val="en-US" w:eastAsia="en-US" w:bidi="ar-SA"/>
      </w:rPr>
    </w:lvl>
    <w:lvl w:ilvl="1">
      <w:start w:val="2"/>
      <w:numFmt w:val="decimal"/>
      <w:lvlText w:val="%1.%2"/>
      <w:lvlJc w:val="left"/>
      <w:pPr>
        <w:ind w:left="120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201" w:hanging="538"/>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2766" w:hanging="538"/>
      </w:pPr>
      <w:rPr>
        <w:rFonts w:hint="default"/>
        <w:lang w:val="en-US" w:eastAsia="en-US" w:bidi="ar-SA"/>
      </w:rPr>
    </w:lvl>
    <w:lvl w:ilvl="4">
      <w:start w:val="0"/>
      <w:numFmt w:val="bullet"/>
      <w:lvlText w:val="•"/>
      <w:lvlJc w:val="left"/>
      <w:pPr>
        <w:ind w:left="3792" w:hanging="538"/>
      </w:pPr>
      <w:rPr>
        <w:rFonts w:hint="default"/>
        <w:lang w:val="en-US" w:eastAsia="en-US" w:bidi="ar-SA"/>
      </w:rPr>
    </w:lvl>
    <w:lvl w:ilvl="5">
      <w:start w:val="0"/>
      <w:numFmt w:val="bullet"/>
      <w:lvlText w:val="•"/>
      <w:lvlJc w:val="left"/>
      <w:pPr>
        <w:ind w:left="4818" w:hanging="538"/>
      </w:pPr>
      <w:rPr>
        <w:rFonts w:hint="default"/>
        <w:lang w:val="en-US" w:eastAsia="en-US" w:bidi="ar-SA"/>
      </w:rPr>
    </w:lvl>
    <w:lvl w:ilvl="6">
      <w:start w:val="0"/>
      <w:numFmt w:val="bullet"/>
      <w:lvlText w:val="•"/>
      <w:lvlJc w:val="left"/>
      <w:pPr>
        <w:ind w:left="5844" w:hanging="538"/>
      </w:pPr>
      <w:rPr>
        <w:rFonts w:hint="default"/>
        <w:lang w:val="en-US" w:eastAsia="en-US" w:bidi="ar-SA"/>
      </w:rPr>
    </w:lvl>
    <w:lvl w:ilvl="7">
      <w:start w:val="0"/>
      <w:numFmt w:val="bullet"/>
      <w:lvlText w:val="•"/>
      <w:lvlJc w:val="left"/>
      <w:pPr>
        <w:ind w:left="6870" w:hanging="538"/>
      </w:pPr>
      <w:rPr>
        <w:rFonts w:hint="default"/>
        <w:lang w:val="en-US" w:eastAsia="en-US" w:bidi="ar-SA"/>
      </w:rPr>
    </w:lvl>
    <w:lvl w:ilvl="8">
      <w:start w:val="0"/>
      <w:numFmt w:val="bullet"/>
      <w:lvlText w:val="•"/>
      <w:lvlJc w:val="left"/>
      <w:pPr>
        <w:ind w:left="7896" w:hanging="538"/>
      </w:pPr>
      <w:rPr>
        <w:rFonts w:hint="default"/>
        <w:lang w:val="en-US" w:eastAsia="en-US" w:bidi="ar-SA"/>
      </w:rPr>
    </w:lvl>
  </w:abstractNum>
  <w:abstractNum w:abstractNumId="17">
    <w:multiLevelType w:val="hybridMultilevel"/>
    <w:lvl w:ilvl="0">
      <w:start w:val="1"/>
      <w:numFmt w:val="decimal"/>
      <w:lvlText w:val="%1."/>
      <w:lvlJc w:val="left"/>
      <w:pPr>
        <w:ind w:left="12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74" w:hanging="360"/>
      </w:pPr>
      <w:rPr>
        <w:rFonts w:hint="default"/>
        <w:lang w:val="en-US" w:eastAsia="en-US" w:bidi="ar-SA"/>
      </w:rPr>
    </w:lvl>
    <w:lvl w:ilvl="2">
      <w:start w:val="0"/>
      <w:numFmt w:val="bullet"/>
      <w:lvlText w:val="•"/>
      <w:lvlJc w:val="left"/>
      <w:pPr>
        <w:ind w:left="2949" w:hanging="360"/>
      </w:pPr>
      <w:rPr>
        <w:rFonts w:hint="default"/>
        <w:lang w:val="en-US" w:eastAsia="en-US" w:bidi="ar-SA"/>
      </w:rPr>
    </w:lvl>
    <w:lvl w:ilvl="3">
      <w:start w:val="0"/>
      <w:numFmt w:val="bullet"/>
      <w:lvlText w:val="•"/>
      <w:lvlJc w:val="left"/>
      <w:pPr>
        <w:ind w:left="3824" w:hanging="360"/>
      </w:pPr>
      <w:rPr>
        <w:rFonts w:hint="default"/>
        <w:lang w:val="en-US" w:eastAsia="en-US" w:bidi="ar-SA"/>
      </w:rPr>
    </w:lvl>
    <w:lvl w:ilvl="4">
      <w:start w:val="0"/>
      <w:numFmt w:val="bullet"/>
      <w:lvlText w:val="•"/>
      <w:lvlJc w:val="left"/>
      <w:pPr>
        <w:ind w:left="4699"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449"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199" w:hanging="360"/>
      </w:pPr>
      <w:rPr>
        <w:rFonts w:hint="default"/>
        <w:lang w:val="en-US" w:eastAsia="en-US" w:bidi="ar-SA"/>
      </w:rPr>
    </w:lvl>
  </w:abstractNum>
  <w:abstractNum w:abstractNumId="20">
    <w:multiLevelType w:val="hybridMultilevel"/>
    <w:lvl w:ilvl="0">
      <w:start w:val="1"/>
      <w:numFmt w:val="lowerRoman"/>
      <w:lvlText w:val="%1."/>
      <w:lvlJc w:val="left"/>
      <w:pPr>
        <w:ind w:left="1201" w:hanging="538"/>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074" w:hanging="538"/>
      </w:pPr>
      <w:rPr>
        <w:rFonts w:hint="default"/>
        <w:lang w:val="en-US" w:eastAsia="en-US" w:bidi="ar-SA"/>
      </w:rPr>
    </w:lvl>
    <w:lvl w:ilvl="2">
      <w:start w:val="0"/>
      <w:numFmt w:val="bullet"/>
      <w:lvlText w:val="•"/>
      <w:lvlJc w:val="left"/>
      <w:pPr>
        <w:ind w:left="2949" w:hanging="538"/>
      </w:pPr>
      <w:rPr>
        <w:rFonts w:hint="default"/>
        <w:lang w:val="en-US" w:eastAsia="en-US" w:bidi="ar-SA"/>
      </w:rPr>
    </w:lvl>
    <w:lvl w:ilvl="3">
      <w:start w:val="0"/>
      <w:numFmt w:val="bullet"/>
      <w:lvlText w:val="•"/>
      <w:lvlJc w:val="left"/>
      <w:pPr>
        <w:ind w:left="3824" w:hanging="538"/>
      </w:pPr>
      <w:rPr>
        <w:rFonts w:hint="default"/>
        <w:lang w:val="en-US" w:eastAsia="en-US" w:bidi="ar-SA"/>
      </w:rPr>
    </w:lvl>
    <w:lvl w:ilvl="4">
      <w:start w:val="0"/>
      <w:numFmt w:val="bullet"/>
      <w:lvlText w:val="•"/>
      <w:lvlJc w:val="left"/>
      <w:pPr>
        <w:ind w:left="4699" w:hanging="538"/>
      </w:pPr>
      <w:rPr>
        <w:rFonts w:hint="default"/>
        <w:lang w:val="en-US" w:eastAsia="en-US" w:bidi="ar-SA"/>
      </w:rPr>
    </w:lvl>
    <w:lvl w:ilvl="5">
      <w:start w:val="0"/>
      <w:numFmt w:val="bullet"/>
      <w:lvlText w:val="•"/>
      <w:lvlJc w:val="left"/>
      <w:pPr>
        <w:ind w:left="5574" w:hanging="538"/>
      </w:pPr>
      <w:rPr>
        <w:rFonts w:hint="default"/>
        <w:lang w:val="en-US" w:eastAsia="en-US" w:bidi="ar-SA"/>
      </w:rPr>
    </w:lvl>
    <w:lvl w:ilvl="6">
      <w:start w:val="0"/>
      <w:numFmt w:val="bullet"/>
      <w:lvlText w:val="•"/>
      <w:lvlJc w:val="left"/>
      <w:pPr>
        <w:ind w:left="6449" w:hanging="538"/>
      </w:pPr>
      <w:rPr>
        <w:rFonts w:hint="default"/>
        <w:lang w:val="en-US" w:eastAsia="en-US" w:bidi="ar-SA"/>
      </w:rPr>
    </w:lvl>
    <w:lvl w:ilvl="7">
      <w:start w:val="0"/>
      <w:numFmt w:val="bullet"/>
      <w:lvlText w:val="•"/>
      <w:lvlJc w:val="left"/>
      <w:pPr>
        <w:ind w:left="7324" w:hanging="538"/>
      </w:pPr>
      <w:rPr>
        <w:rFonts w:hint="default"/>
        <w:lang w:val="en-US" w:eastAsia="en-US" w:bidi="ar-SA"/>
      </w:rPr>
    </w:lvl>
    <w:lvl w:ilvl="8">
      <w:start w:val="0"/>
      <w:numFmt w:val="bullet"/>
      <w:lvlText w:val="•"/>
      <w:lvlJc w:val="left"/>
      <w:pPr>
        <w:ind w:left="8199" w:hanging="538"/>
      </w:pPr>
      <w:rPr>
        <w:rFonts w:hint="default"/>
        <w:lang w:val="en-US" w:eastAsia="en-US" w:bidi="ar-SA"/>
      </w:rPr>
    </w:lvl>
  </w:abstractNum>
  <w:abstractNum w:abstractNumId="19">
    <w:multiLevelType w:val="hybridMultilevel"/>
    <w:lvl w:ilvl="0">
      <w:start w:val="4"/>
      <w:numFmt w:val="decimal"/>
      <w:lvlText w:val="%1"/>
      <w:lvlJc w:val="left"/>
      <w:pPr>
        <w:ind w:left="1201" w:hanging="720"/>
        <w:jc w:val="left"/>
      </w:pPr>
      <w:rPr>
        <w:rFonts w:hint="default"/>
        <w:lang w:val="en-US" w:eastAsia="en-US" w:bidi="ar-SA"/>
      </w:rPr>
    </w:lvl>
    <w:lvl w:ilvl="1">
      <w:start w:val="2"/>
      <w:numFmt w:val="decimal"/>
      <w:lvlText w:val="%1.%2"/>
      <w:lvlJc w:val="left"/>
      <w:pPr>
        <w:ind w:left="120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0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1430" w:hanging="23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276" w:hanging="230"/>
      </w:pPr>
      <w:rPr>
        <w:rFonts w:hint="default"/>
        <w:lang w:val="en-US" w:eastAsia="en-US" w:bidi="ar-SA"/>
      </w:rPr>
    </w:lvl>
    <w:lvl w:ilvl="5">
      <w:start w:val="0"/>
      <w:numFmt w:val="bullet"/>
      <w:lvlText w:val="•"/>
      <w:lvlJc w:val="left"/>
      <w:pPr>
        <w:ind w:left="5221" w:hanging="230"/>
      </w:pPr>
      <w:rPr>
        <w:rFonts w:hint="default"/>
        <w:lang w:val="en-US" w:eastAsia="en-US" w:bidi="ar-SA"/>
      </w:rPr>
    </w:lvl>
    <w:lvl w:ilvl="6">
      <w:start w:val="0"/>
      <w:numFmt w:val="bullet"/>
      <w:lvlText w:val="•"/>
      <w:lvlJc w:val="left"/>
      <w:pPr>
        <w:ind w:left="6167" w:hanging="230"/>
      </w:pPr>
      <w:rPr>
        <w:rFonts w:hint="default"/>
        <w:lang w:val="en-US" w:eastAsia="en-US" w:bidi="ar-SA"/>
      </w:rPr>
    </w:lvl>
    <w:lvl w:ilvl="7">
      <w:start w:val="0"/>
      <w:numFmt w:val="bullet"/>
      <w:lvlText w:val="•"/>
      <w:lvlJc w:val="left"/>
      <w:pPr>
        <w:ind w:left="7112" w:hanging="230"/>
      </w:pPr>
      <w:rPr>
        <w:rFonts w:hint="default"/>
        <w:lang w:val="en-US" w:eastAsia="en-US" w:bidi="ar-SA"/>
      </w:rPr>
    </w:lvl>
    <w:lvl w:ilvl="8">
      <w:start w:val="0"/>
      <w:numFmt w:val="bullet"/>
      <w:lvlText w:val="•"/>
      <w:lvlJc w:val="left"/>
      <w:pPr>
        <w:ind w:left="8057" w:hanging="230"/>
      </w:pPr>
      <w:rPr>
        <w:rFonts w:hint="default"/>
        <w:lang w:val="en-US" w:eastAsia="en-US" w:bidi="ar-SA"/>
      </w:rPr>
    </w:lvl>
  </w:abstractNum>
  <w:abstractNum w:abstractNumId="18">
    <w:multiLevelType w:val="hybridMultilevel"/>
    <w:lvl w:ilvl="0">
      <w:start w:val="4"/>
      <w:numFmt w:val="decimal"/>
      <w:lvlText w:val="%1"/>
      <w:lvlJc w:val="left"/>
      <w:pPr>
        <w:ind w:left="1201" w:hanging="720"/>
        <w:jc w:val="left"/>
      </w:pPr>
      <w:rPr>
        <w:rFonts w:hint="default"/>
        <w:lang w:val="en-US" w:eastAsia="en-US" w:bidi="ar-SA"/>
      </w:rPr>
    </w:lvl>
    <w:lvl w:ilvl="1">
      <w:start w:val="1"/>
      <w:numFmt w:val="decimal"/>
      <w:lvlText w:val="%1.%2"/>
      <w:lvlJc w:val="left"/>
      <w:pPr>
        <w:ind w:left="1201" w:hanging="720"/>
        <w:jc w:val="left"/>
      </w:pPr>
      <w:rPr>
        <w:rFonts w:hint="default"/>
        <w:spacing w:val="0"/>
        <w:w w:val="100"/>
        <w:lang w:val="en-US" w:eastAsia="en-US" w:bidi="ar-SA"/>
      </w:rPr>
    </w:lvl>
    <w:lvl w:ilvl="2">
      <w:start w:val="0"/>
      <w:numFmt w:val="bullet"/>
      <w:lvlText w:val="•"/>
      <w:lvlJc w:val="left"/>
      <w:pPr>
        <w:ind w:left="2949" w:hanging="720"/>
      </w:pPr>
      <w:rPr>
        <w:rFonts w:hint="default"/>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abstractNum w:abstractNumId="16">
    <w:multiLevelType w:val="hybridMultilevel"/>
    <w:lvl w:ilvl="0">
      <w:start w:val="5"/>
      <w:numFmt w:val="decimal"/>
      <w:lvlText w:val="%1"/>
      <w:lvlJc w:val="left"/>
      <w:pPr>
        <w:ind w:left="481" w:hanging="2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201" w:hanging="720"/>
        <w:jc w:val="left"/>
      </w:pPr>
      <w:rPr>
        <w:rFonts w:hint="default"/>
        <w:spacing w:val="0"/>
        <w:w w:val="100"/>
        <w:lang w:val="en-US" w:eastAsia="en-US" w:bidi="ar-SA"/>
      </w:rPr>
    </w:lvl>
    <w:lvl w:ilvl="2">
      <w:start w:val="0"/>
      <w:numFmt w:val="bullet"/>
      <w:lvlText w:val="•"/>
      <w:lvlJc w:val="left"/>
      <w:pPr>
        <w:ind w:left="2172" w:hanging="720"/>
      </w:pPr>
      <w:rPr>
        <w:rFonts w:hint="default"/>
        <w:lang w:val="en-US" w:eastAsia="en-US" w:bidi="ar-SA"/>
      </w:rPr>
    </w:lvl>
    <w:lvl w:ilvl="3">
      <w:start w:val="0"/>
      <w:numFmt w:val="bullet"/>
      <w:lvlText w:val="•"/>
      <w:lvlJc w:val="left"/>
      <w:pPr>
        <w:ind w:left="3144" w:hanging="720"/>
      </w:pPr>
      <w:rPr>
        <w:rFonts w:hint="default"/>
        <w:lang w:val="en-US" w:eastAsia="en-US" w:bidi="ar-SA"/>
      </w:rPr>
    </w:lvl>
    <w:lvl w:ilvl="4">
      <w:start w:val="0"/>
      <w:numFmt w:val="bullet"/>
      <w:lvlText w:val="•"/>
      <w:lvlJc w:val="left"/>
      <w:pPr>
        <w:ind w:left="4116" w:hanging="720"/>
      </w:pPr>
      <w:rPr>
        <w:rFonts w:hint="default"/>
        <w:lang w:val="en-US" w:eastAsia="en-US" w:bidi="ar-SA"/>
      </w:rPr>
    </w:lvl>
    <w:lvl w:ilvl="5">
      <w:start w:val="0"/>
      <w:numFmt w:val="bullet"/>
      <w:lvlText w:val="•"/>
      <w:lvlJc w:val="left"/>
      <w:pPr>
        <w:ind w:left="5088" w:hanging="720"/>
      </w:pPr>
      <w:rPr>
        <w:rFonts w:hint="default"/>
        <w:lang w:val="en-US" w:eastAsia="en-US" w:bidi="ar-SA"/>
      </w:rPr>
    </w:lvl>
    <w:lvl w:ilvl="6">
      <w:start w:val="0"/>
      <w:numFmt w:val="bullet"/>
      <w:lvlText w:val="•"/>
      <w:lvlJc w:val="left"/>
      <w:pPr>
        <w:ind w:left="6060" w:hanging="720"/>
      </w:pPr>
      <w:rPr>
        <w:rFonts w:hint="default"/>
        <w:lang w:val="en-US" w:eastAsia="en-US" w:bidi="ar-SA"/>
      </w:rPr>
    </w:lvl>
    <w:lvl w:ilvl="7">
      <w:start w:val="0"/>
      <w:numFmt w:val="bullet"/>
      <w:lvlText w:val="•"/>
      <w:lvlJc w:val="left"/>
      <w:pPr>
        <w:ind w:left="7032" w:hanging="720"/>
      </w:pPr>
      <w:rPr>
        <w:rFonts w:hint="default"/>
        <w:lang w:val="en-US" w:eastAsia="en-US" w:bidi="ar-SA"/>
      </w:rPr>
    </w:lvl>
    <w:lvl w:ilvl="8">
      <w:start w:val="0"/>
      <w:numFmt w:val="bullet"/>
      <w:lvlText w:val="•"/>
      <w:lvlJc w:val="left"/>
      <w:pPr>
        <w:ind w:left="8004" w:hanging="720"/>
      </w:pPr>
      <w:rPr>
        <w:rFonts w:hint="default"/>
        <w:lang w:val="en-US" w:eastAsia="en-US" w:bidi="ar-SA"/>
      </w:rPr>
    </w:lvl>
  </w:abstractNum>
  <w:abstractNum w:abstractNumId="15">
    <w:multiLevelType w:val="hybridMultilevel"/>
    <w:lvl w:ilvl="0">
      <w:start w:val="3"/>
      <w:numFmt w:val="decimal"/>
      <w:lvlText w:val="%1"/>
      <w:lvlJc w:val="left"/>
      <w:pPr>
        <w:ind w:left="1201" w:hanging="720"/>
        <w:jc w:val="left"/>
      </w:pPr>
      <w:rPr>
        <w:rFonts w:hint="default"/>
        <w:lang w:val="en-US" w:eastAsia="en-US" w:bidi="ar-SA"/>
      </w:rPr>
    </w:lvl>
    <w:lvl w:ilvl="1">
      <w:start w:val="5"/>
      <w:numFmt w:val="decimal"/>
      <w:lvlText w:val="%1.%2"/>
      <w:lvlJc w:val="left"/>
      <w:pPr>
        <w:ind w:left="1201" w:hanging="720"/>
        <w:jc w:val="left"/>
      </w:pPr>
      <w:rPr>
        <w:rFonts w:hint="default"/>
        <w:lang w:val="en-US" w:eastAsia="en-US" w:bidi="ar-SA"/>
      </w:rPr>
    </w:lvl>
    <w:lvl w:ilvl="2">
      <w:start w:val="1"/>
      <w:numFmt w:val="decimal"/>
      <w:lvlText w:val="%1.%2.%3"/>
      <w:lvlJc w:val="left"/>
      <w:pPr>
        <w:ind w:left="120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upperLetter"/>
      <w:lvlText w:val="%4."/>
      <w:lvlJc w:val="left"/>
      <w:pPr>
        <w:ind w:left="1201" w:hanging="360"/>
        <w:jc w:val="left"/>
      </w:pPr>
      <w:rPr>
        <w:rFonts w:hint="default" w:ascii="Times New Roman" w:hAnsi="Times New Roman" w:eastAsia="Times New Roman" w:cs="Times New Roman"/>
        <w:b w:val="0"/>
        <w:bCs w:val="0"/>
        <w:i w:val="0"/>
        <w:iCs w:val="0"/>
        <w:spacing w:val="-6"/>
        <w:w w:val="100"/>
        <w:sz w:val="24"/>
        <w:szCs w:val="24"/>
        <w:lang w:val="en-US" w:eastAsia="en-US" w:bidi="ar-SA"/>
      </w:rPr>
    </w:lvl>
    <w:lvl w:ilvl="4">
      <w:start w:val="0"/>
      <w:numFmt w:val="bullet"/>
      <w:lvlText w:val="•"/>
      <w:lvlJc w:val="left"/>
      <w:pPr>
        <w:ind w:left="4699" w:hanging="360"/>
      </w:pPr>
      <w:rPr>
        <w:rFonts w:hint="default"/>
        <w:lang w:val="en-US" w:eastAsia="en-US" w:bidi="ar-SA"/>
      </w:rPr>
    </w:lvl>
    <w:lvl w:ilvl="5">
      <w:start w:val="0"/>
      <w:numFmt w:val="bullet"/>
      <w:lvlText w:val="•"/>
      <w:lvlJc w:val="left"/>
      <w:pPr>
        <w:ind w:left="5574" w:hanging="360"/>
      </w:pPr>
      <w:rPr>
        <w:rFonts w:hint="default"/>
        <w:lang w:val="en-US" w:eastAsia="en-US" w:bidi="ar-SA"/>
      </w:rPr>
    </w:lvl>
    <w:lvl w:ilvl="6">
      <w:start w:val="0"/>
      <w:numFmt w:val="bullet"/>
      <w:lvlText w:val="•"/>
      <w:lvlJc w:val="left"/>
      <w:pPr>
        <w:ind w:left="6449" w:hanging="360"/>
      </w:pPr>
      <w:rPr>
        <w:rFonts w:hint="default"/>
        <w:lang w:val="en-US" w:eastAsia="en-US" w:bidi="ar-SA"/>
      </w:rPr>
    </w:lvl>
    <w:lvl w:ilvl="7">
      <w:start w:val="0"/>
      <w:numFmt w:val="bullet"/>
      <w:lvlText w:val="•"/>
      <w:lvlJc w:val="left"/>
      <w:pPr>
        <w:ind w:left="7324" w:hanging="360"/>
      </w:pPr>
      <w:rPr>
        <w:rFonts w:hint="default"/>
        <w:lang w:val="en-US" w:eastAsia="en-US" w:bidi="ar-SA"/>
      </w:rPr>
    </w:lvl>
    <w:lvl w:ilvl="8">
      <w:start w:val="0"/>
      <w:numFmt w:val="bullet"/>
      <w:lvlText w:val="•"/>
      <w:lvlJc w:val="left"/>
      <w:pPr>
        <w:ind w:left="8199" w:hanging="360"/>
      </w:pPr>
      <w:rPr>
        <w:rFonts w:hint="default"/>
        <w:lang w:val="en-US" w:eastAsia="en-US" w:bidi="ar-SA"/>
      </w:rPr>
    </w:lvl>
  </w:abstractNum>
  <w:abstractNum w:abstractNumId="14">
    <w:multiLevelType w:val="hybridMultilevel"/>
    <w:lvl w:ilvl="0">
      <w:start w:val="3"/>
      <w:numFmt w:val="decimal"/>
      <w:lvlText w:val="%1"/>
      <w:lvlJc w:val="left"/>
      <w:pPr>
        <w:ind w:left="1201" w:hanging="720"/>
        <w:jc w:val="left"/>
      </w:pPr>
      <w:rPr>
        <w:rFonts w:hint="default"/>
        <w:lang w:val="en-US" w:eastAsia="en-US" w:bidi="ar-SA"/>
      </w:rPr>
    </w:lvl>
    <w:lvl w:ilvl="1">
      <w:start w:val="2"/>
      <w:numFmt w:val="decimal"/>
      <w:lvlText w:val="%1.%2"/>
      <w:lvlJc w:val="left"/>
      <w:pPr>
        <w:ind w:left="120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0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abstractNum w:abstractNumId="13">
    <w:multiLevelType w:val="hybridMultilevel"/>
    <w:lvl w:ilvl="0">
      <w:start w:val="3"/>
      <w:numFmt w:val="decimal"/>
      <w:lvlText w:val="%1"/>
      <w:lvlJc w:val="left"/>
      <w:pPr>
        <w:ind w:left="1201" w:hanging="720"/>
        <w:jc w:val="left"/>
      </w:pPr>
      <w:rPr>
        <w:rFonts w:hint="default"/>
        <w:lang w:val="en-US" w:eastAsia="en-US" w:bidi="ar-SA"/>
      </w:rPr>
    </w:lvl>
    <w:lvl w:ilvl="1">
      <w:start w:val="1"/>
      <w:numFmt w:val="decimal"/>
      <w:lvlText w:val="%1.%2"/>
      <w:lvlJc w:val="left"/>
      <w:pPr>
        <w:ind w:left="1201" w:hanging="720"/>
        <w:jc w:val="left"/>
      </w:pPr>
      <w:rPr>
        <w:rFonts w:hint="default"/>
        <w:spacing w:val="0"/>
        <w:w w:val="100"/>
        <w:lang w:val="en-US" w:eastAsia="en-US" w:bidi="ar-SA"/>
      </w:rPr>
    </w:lvl>
    <w:lvl w:ilvl="2">
      <w:start w:val="0"/>
      <w:numFmt w:val="bullet"/>
      <w:lvlText w:val="•"/>
      <w:lvlJc w:val="left"/>
      <w:pPr>
        <w:ind w:left="2949" w:hanging="720"/>
      </w:pPr>
      <w:rPr>
        <w:rFonts w:hint="default"/>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abstractNum w:abstractNumId="12">
    <w:multiLevelType w:val="hybridMultilevel"/>
    <w:lvl w:ilvl="0">
      <w:start w:val="2"/>
      <w:numFmt w:val="decimal"/>
      <w:lvlText w:val="%1"/>
      <w:lvlJc w:val="left"/>
      <w:pPr>
        <w:ind w:left="1201" w:hanging="720"/>
        <w:jc w:val="left"/>
      </w:pPr>
      <w:rPr>
        <w:rFonts w:hint="default"/>
        <w:lang w:val="en-US" w:eastAsia="en-US" w:bidi="ar-SA"/>
      </w:rPr>
    </w:lvl>
    <w:lvl w:ilvl="1">
      <w:start w:val="2"/>
      <w:numFmt w:val="decimal"/>
      <w:lvlText w:val="%1.%2"/>
      <w:lvlJc w:val="left"/>
      <w:pPr>
        <w:ind w:left="120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201" w:hanging="36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3284" w:hanging="360"/>
      </w:pPr>
      <w:rPr>
        <w:rFonts w:hint="default"/>
        <w:lang w:val="en-US" w:eastAsia="en-US" w:bidi="ar-SA"/>
      </w:rPr>
    </w:lvl>
    <w:lvl w:ilvl="4">
      <w:start w:val="0"/>
      <w:numFmt w:val="bullet"/>
      <w:lvlText w:val="•"/>
      <w:lvlJc w:val="left"/>
      <w:pPr>
        <w:ind w:left="4236" w:hanging="360"/>
      </w:pPr>
      <w:rPr>
        <w:rFonts w:hint="default"/>
        <w:lang w:val="en-US" w:eastAsia="en-US" w:bidi="ar-SA"/>
      </w:rPr>
    </w:lvl>
    <w:lvl w:ilvl="5">
      <w:start w:val="0"/>
      <w:numFmt w:val="bullet"/>
      <w:lvlText w:val="•"/>
      <w:lvlJc w:val="left"/>
      <w:pPr>
        <w:ind w:left="5188" w:hanging="360"/>
      </w:pPr>
      <w:rPr>
        <w:rFonts w:hint="default"/>
        <w:lang w:val="en-US" w:eastAsia="en-US" w:bidi="ar-SA"/>
      </w:rPr>
    </w:lvl>
    <w:lvl w:ilvl="6">
      <w:start w:val="0"/>
      <w:numFmt w:val="bullet"/>
      <w:lvlText w:val="•"/>
      <w:lvlJc w:val="left"/>
      <w:pPr>
        <w:ind w:left="6140" w:hanging="360"/>
      </w:pPr>
      <w:rPr>
        <w:rFonts w:hint="default"/>
        <w:lang w:val="en-US" w:eastAsia="en-US" w:bidi="ar-SA"/>
      </w:rPr>
    </w:lvl>
    <w:lvl w:ilvl="7">
      <w:start w:val="0"/>
      <w:numFmt w:val="bullet"/>
      <w:lvlText w:val="•"/>
      <w:lvlJc w:val="left"/>
      <w:pPr>
        <w:ind w:left="7092" w:hanging="360"/>
      </w:pPr>
      <w:rPr>
        <w:rFonts w:hint="default"/>
        <w:lang w:val="en-US" w:eastAsia="en-US" w:bidi="ar-SA"/>
      </w:rPr>
    </w:lvl>
    <w:lvl w:ilvl="8">
      <w:start w:val="0"/>
      <w:numFmt w:val="bullet"/>
      <w:lvlText w:val="•"/>
      <w:lvlJc w:val="left"/>
      <w:pPr>
        <w:ind w:left="8044" w:hanging="360"/>
      </w:pPr>
      <w:rPr>
        <w:rFonts w:hint="default"/>
        <w:lang w:val="en-US" w:eastAsia="en-US" w:bidi="ar-SA"/>
      </w:rPr>
    </w:lvl>
  </w:abstractNum>
  <w:abstractNum w:abstractNumId="11">
    <w:multiLevelType w:val="hybridMultilevel"/>
    <w:lvl w:ilvl="0">
      <w:start w:val="2"/>
      <w:numFmt w:val="decimal"/>
      <w:lvlText w:val="%1"/>
      <w:lvlJc w:val="left"/>
      <w:pPr>
        <w:ind w:left="1201" w:hanging="720"/>
        <w:jc w:val="left"/>
      </w:pPr>
      <w:rPr>
        <w:rFonts w:hint="default"/>
        <w:lang w:val="en-US" w:eastAsia="en-US" w:bidi="ar-SA"/>
      </w:rPr>
    </w:lvl>
    <w:lvl w:ilvl="1">
      <w:start w:val="1"/>
      <w:numFmt w:val="decimal"/>
      <w:lvlText w:val="%1.%2"/>
      <w:lvlJc w:val="left"/>
      <w:pPr>
        <w:ind w:left="1201" w:hanging="720"/>
        <w:jc w:val="left"/>
      </w:pPr>
      <w:rPr>
        <w:rFonts w:hint="default"/>
        <w:spacing w:val="0"/>
        <w:w w:val="100"/>
        <w:lang w:val="en-US" w:eastAsia="en-US" w:bidi="ar-SA"/>
      </w:rPr>
    </w:lvl>
    <w:lvl w:ilvl="2">
      <w:start w:val="0"/>
      <w:numFmt w:val="bullet"/>
      <w:lvlText w:val="•"/>
      <w:lvlJc w:val="left"/>
      <w:pPr>
        <w:ind w:left="2949" w:hanging="720"/>
      </w:pPr>
      <w:rPr>
        <w:rFonts w:hint="default"/>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abstractNum w:abstractNumId="10">
    <w:multiLevelType w:val="hybridMultilevel"/>
    <w:lvl w:ilvl="0">
      <w:start w:val="1"/>
      <w:numFmt w:val="lowerRoman"/>
      <w:lvlText w:val="%1."/>
      <w:lvlJc w:val="left"/>
      <w:pPr>
        <w:ind w:left="120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074" w:hanging="720"/>
      </w:pPr>
      <w:rPr>
        <w:rFonts w:hint="default"/>
        <w:lang w:val="en-US" w:eastAsia="en-US" w:bidi="ar-SA"/>
      </w:rPr>
    </w:lvl>
    <w:lvl w:ilvl="2">
      <w:start w:val="0"/>
      <w:numFmt w:val="bullet"/>
      <w:lvlText w:val="•"/>
      <w:lvlJc w:val="left"/>
      <w:pPr>
        <w:ind w:left="2949" w:hanging="720"/>
      </w:pPr>
      <w:rPr>
        <w:rFonts w:hint="default"/>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abstractNum w:abstractNumId="9">
    <w:multiLevelType w:val="hybridMultilevel"/>
    <w:lvl w:ilvl="0">
      <w:start w:val="1"/>
      <w:numFmt w:val="lowerRoman"/>
      <w:lvlText w:val="%1."/>
      <w:lvlJc w:val="left"/>
      <w:pPr>
        <w:ind w:left="120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074" w:hanging="720"/>
      </w:pPr>
      <w:rPr>
        <w:rFonts w:hint="default"/>
        <w:lang w:val="en-US" w:eastAsia="en-US" w:bidi="ar-SA"/>
      </w:rPr>
    </w:lvl>
    <w:lvl w:ilvl="2">
      <w:start w:val="0"/>
      <w:numFmt w:val="bullet"/>
      <w:lvlText w:val="•"/>
      <w:lvlJc w:val="left"/>
      <w:pPr>
        <w:ind w:left="2949" w:hanging="720"/>
      </w:pPr>
      <w:rPr>
        <w:rFonts w:hint="default"/>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abstractNum w:abstractNumId="8">
    <w:multiLevelType w:val="hybridMultilevel"/>
    <w:lvl w:ilvl="0">
      <w:start w:val="1"/>
      <w:numFmt w:val="lowerRoman"/>
      <w:lvlText w:val="%1."/>
      <w:lvlJc w:val="left"/>
      <w:pPr>
        <w:ind w:left="932" w:hanging="452"/>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1840" w:hanging="452"/>
      </w:pPr>
      <w:rPr>
        <w:rFonts w:hint="default"/>
        <w:lang w:val="en-US" w:eastAsia="en-US" w:bidi="ar-SA"/>
      </w:rPr>
    </w:lvl>
    <w:lvl w:ilvl="2">
      <w:start w:val="0"/>
      <w:numFmt w:val="bullet"/>
      <w:lvlText w:val="•"/>
      <w:lvlJc w:val="left"/>
      <w:pPr>
        <w:ind w:left="2741" w:hanging="452"/>
      </w:pPr>
      <w:rPr>
        <w:rFonts w:hint="default"/>
        <w:lang w:val="en-US" w:eastAsia="en-US" w:bidi="ar-SA"/>
      </w:rPr>
    </w:lvl>
    <w:lvl w:ilvl="3">
      <w:start w:val="0"/>
      <w:numFmt w:val="bullet"/>
      <w:lvlText w:val="•"/>
      <w:lvlJc w:val="left"/>
      <w:pPr>
        <w:ind w:left="3642" w:hanging="452"/>
      </w:pPr>
      <w:rPr>
        <w:rFonts w:hint="default"/>
        <w:lang w:val="en-US" w:eastAsia="en-US" w:bidi="ar-SA"/>
      </w:rPr>
    </w:lvl>
    <w:lvl w:ilvl="4">
      <w:start w:val="0"/>
      <w:numFmt w:val="bullet"/>
      <w:lvlText w:val="•"/>
      <w:lvlJc w:val="left"/>
      <w:pPr>
        <w:ind w:left="4543" w:hanging="452"/>
      </w:pPr>
      <w:rPr>
        <w:rFonts w:hint="default"/>
        <w:lang w:val="en-US" w:eastAsia="en-US" w:bidi="ar-SA"/>
      </w:rPr>
    </w:lvl>
    <w:lvl w:ilvl="5">
      <w:start w:val="0"/>
      <w:numFmt w:val="bullet"/>
      <w:lvlText w:val="•"/>
      <w:lvlJc w:val="left"/>
      <w:pPr>
        <w:ind w:left="5444" w:hanging="452"/>
      </w:pPr>
      <w:rPr>
        <w:rFonts w:hint="default"/>
        <w:lang w:val="en-US" w:eastAsia="en-US" w:bidi="ar-SA"/>
      </w:rPr>
    </w:lvl>
    <w:lvl w:ilvl="6">
      <w:start w:val="0"/>
      <w:numFmt w:val="bullet"/>
      <w:lvlText w:val="•"/>
      <w:lvlJc w:val="left"/>
      <w:pPr>
        <w:ind w:left="6345" w:hanging="452"/>
      </w:pPr>
      <w:rPr>
        <w:rFonts w:hint="default"/>
        <w:lang w:val="en-US" w:eastAsia="en-US" w:bidi="ar-SA"/>
      </w:rPr>
    </w:lvl>
    <w:lvl w:ilvl="7">
      <w:start w:val="0"/>
      <w:numFmt w:val="bullet"/>
      <w:lvlText w:val="•"/>
      <w:lvlJc w:val="left"/>
      <w:pPr>
        <w:ind w:left="7246" w:hanging="452"/>
      </w:pPr>
      <w:rPr>
        <w:rFonts w:hint="default"/>
        <w:lang w:val="en-US" w:eastAsia="en-US" w:bidi="ar-SA"/>
      </w:rPr>
    </w:lvl>
    <w:lvl w:ilvl="8">
      <w:start w:val="0"/>
      <w:numFmt w:val="bullet"/>
      <w:lvlText w:val="•"/>
      <w:lvlJc w:val="left"/>
      <w:pPr>
        <w:ind w:left="8147" w:hanging="452"/>
      </w:pPr>
      <w:rPr>
        <w:rFonts w:hint="default"/>
        <w:lang w:val="en-US" w:eastAsia="en-US" w:bidi="ar-SA"/>
      </w:rPr>
    </w:lvl>
  </w:abstractNum>
  <w:abstractNum w:abstractNumId="7">
    <w:multiLevelType w:val="hybridMultilevel"/>
    <w:lvl w:ilvl="0">
      <w:start w:val="1"/>
      <w:numFmt w:val="decimal"/>
      <w:lvlText w:val="%1."/>
      <w:lvlJc w:val="left"/>
      <w:pPr>
        <w:ind w:left="932"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40" w:hanging="452"/>
      </w:pPr>
      <w:rPr>
        <w:rFonts w:hint="default"/>
        <w:lang w:val="en-US" w:eastAsia="en-US" w:bidi="ar-SA"/>
      </w:rPr>
    </w:lvl>
    <w:lvl w:ilvl="2">
      <w:start w:val="0"/>
      <w:numFmt w:val="bullet"/>
      <w:lvlText w:val="•"/>
      <w:lvlJc w:val="left"/>
      <w:pPr>
        <w:ind w:left="2741" w:hanging="452"/>
      </w:pPr>
      <w:rPr>
        <w:rFonts w:hint="default"/>
        <w:lang w:val="en-US" w:eastAsia="en-US" w:bidi="ar-SA"/>
      </w:rPr>
    </w:lvl>
    <w:lvl w:ilvl="3">
      <w:start w:val="0"/>
      <w:numFmt w:val="bullet"/>
      <w:lvlText w:val="•"/>
      <w:lvlJc w:val="left"/>
      <w:pPr>
        <w:ind w:left="3642" w:hanging="452"/>
      </w:pPr>
      <w:rPr>
        <w:rFonts w:hint="default"/>
        <w:lang w:val="en-US" w:eastAsia="en-US" w:bidi="ar-SA"/>
      </w:rPr>
    </w:lvl>
    <w:lvl w:ilvl="4">
      <w:start w:val="0"/>
      <w:numFmt w:val="bullet"/>
      <w:lvlText w:val="•"/>
      <w:lvlJc w:val="left"/>
      <w:pPr>
        <w:ind w:left="4543" w:hanging="452"/>
      </w:pPr>
      <w:rPr>
        <w:rFonts w:hint="default"/>
        <w:lang w:val="en-US" w:eastAsia="en-US" w:bidi="ar-SA"/>
      </w:rPr>
    </w:lvl>
    <w:lvl w:ilvl="5">
      <w:start w:val="0"/>
      <w:numFmt w:val="bullet"/>
      <w:lvlText w:val="•"/>
      <w:lvlJc w:val="left"/>
      <w:pPr>
        <w:ind w:left="5444" w:hanging="452"/>
      </w:pPr>
      <w:rPr>
        <w:rFonts w:hint="default"/>
        <w:lang w:val="en-US" w:eastAsia="en-US" w:bidi="ar-SA"/>
      </w:rPr>
    </w:lvl>
    <w:lvl w:ilvl="6">
      <w:start w:val="0"/>
      <w:numFmt w:val="bullet"/>
      <w:lvlText w:val="•"/>
      <w:lvlJc w:val="left"/>
      <w:pPr>
        <w:ind w:left="6345" w:hanging="452"/>
      </w:pPr>
      <w:rPr>
        <w:rFonts w:hint="default"/>
        <w:lang w:val="en-US" w:eastAsia="en-US" w:bidi="ar-SA"/>
      </w:rPr>
    </w:lvl>
    <w:lvl w:ilvl="7">
      <w:start w:val="0"/>
      <w:numFmt w:val="bullet"/>
      <w:lvlText w:val="•"/>
      <w:lvlJc w:val="left"/>
      <w:pPr>
        <w:ind w:left="7246" w:hanging="452"/>
      </w:pPr>
      <w:rPr>
        <w:rFonts w:hint="default"/>
        <w:lang w:val="en-US" w:eastAsia="en-US" w:bidi="ar-SA"/>
      </w:rPr>
    </w:lvl>
    <w:lvl w:ilvl="8">
      <w:start w:val="0"/>
      <w:numFmt w:val="bullet"/>
      <w:lvlText w:val="•"/>
      <w:lvlJc w:val="left"/>
      <w:pPr>
        <w:ind w:left="8147" w:hanging="452"/>
      </w:pPr>
      <w:rPr>
        <w:rFonts w:hint="default"/>
        <w:lang w:val="en-US" w:eastAsia="en-US" w:bidi="ar-SA"/>
      </w:rPr>
    </w:lvl>
  </w:abstractNum>
  <w:abstractNum w:abstractNumId="6">
    <w:multiLevelType w:val="hybridMultilevel"/>
    <w:lvl w:ilvl="0">
      <w:start w:val="1"/>
      <w:numFmt w:val="lowerRoman"/>
      <w:lvlText w:val="%1."/>
      <w:lvlJc w:val="left"/>
      <w:pPr>
        <w:ind w:left="841" w:hanging="360"/>
        <w:jc w:val="left"/>
      </w:pPr>
      <w:rPr>
        <w:rFonts w:hint="default" w:ascii="Cambria" w:hAnsi="Cambria" w:eastAsia="Cambria" w:cs="Cambria"/>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61" w:hanging="360"/>
      </w:pPr>
      <w:rPr>
        <w:rFonts w:hint="default"/>
        <w:lang w:val="en-US" w:eastAsia="en-US" w:bidi="ar-SA"/>
      </w:rPr>
    </w:lvl>
    <w:lvl w:ilvl="3">
      <w:start w:val="0"/>
      <w:numFmt w:val="bullet"/>
      <w:lvlText w:val="•"/>
      <w:lvlJc w:val="left"/>
      <w:pPr>
        <w:ind w:left="3572" w:hanging="360"/>
      </w:pPr>
      <w:rPr>
        <w:rFonts w:hint="default"/>
        <w:lang w:val="en-US" w:eastAsia="en-US" w:bidi="ar-SA"/>
      </w:rPr>
    </w:lvl>
    <w:lvl w:ilvl="4">
      <w:start w:val="0"/>
      <w:numFmt w:val="bullet"/>
      <w:lvlText w:val="•"/>
      <w:lvlJc w:val="left"/>
      <w:pPr>
        <w:ind w:left="4483" w:hanging="360"/>
      </w:pPr>
      <w:rPr>
        <w:rFonts w:hint="default"/>
        <w:lang w:val="en-US" w:eastAsia="en-US" w:bidi="ar-SA"/>
      </w:rPr>
    </w:lvl>
    <w:lvl w:ilvl="5">
      <w:start w:val="0"/>
      <w:numFmt w:val="bullet"/>
      <w:lvlText w:val="•"/>
      <w:lvlJc w:val="left"/>
      <w:pPr>
        <w:ind w:left="5394" w:hanging="360"/>
      </w:pPr>
      <w:rPr>
        <w:rFonts w:hint="default"/>
        <w:lang w:val="en-US" w:eastAsia="en-US" w:bidi="ar-SA"/>
      </w:rPr>
    </w:lvl>
    <w:lvl w:ilvl="6">
      <w:start w:val="0"/>
      <w:numFmt w:val="bullet"/>
      <w:lvlText w:val="•"/>
      <w:lvlJc w:val="left"/>
      <w:pPr>
        <w:ind w:left="6305" w:hanging="360"/>
      </w:pPr>
      <w:rPr>
        <w:rFonts w:hint="default"/>
        <w:lang w:val="en-US" w:eastAsia="en-US" w:bidi="ar-SA"/>
      </w:rPr>
    </w:lvl>
    <w:lvl w:ilvl="7">
      <w:start w:val="0"/>
      <w:numFmt w:val="bullet"/>
      <w:lvlText w:val="•"/>
      <w:lvlJc w:val="left"/>
      <w:pPr>
        <w:ind w:left="7216" w:hanging="360"/>
      </w:pPr>
      <w:rPr>
        <w:rFonts w:hint="default"/>
        <w:lang w:val="en-US" w:eastAsia="en-US" w:bidi="ar-SA"/>
      </w:rPr>
    </w:lvl>
    <w:lvl w:ilvl="8">
      <w:start w:val="0"/>
      <w:numFmt w:val="bullet"/>
      <w:lvlText w:val="•"/>
      <w:lvlJc w:val="left"/>
      <w:pPr>
        <w:ind w:left="8127" w:hanging="360"/>
      </w:pPr>
      <w:rPr>
        <w:rFonts w:hint="default"/>
        <w:lang w:val="en-US" w:eastAsia="en-US" w:bidi="ar-SA"/>
      </w:rPr>
    </w:lvl>
  </w:abstractNum>
  <w:abstractNum w:abstractNumId="5">
    <w:multiLevelType w:val="hybridMultilevel"/>
    <w:lvl w:ilvl="0">
      <w:start w:val="1"/>
      <w:numFmt w:val="lowerRoman"/>
      <w:lvlText w:val="%1."/>
      <w:lvlJc w:val="left"/>
      <w:pPr>
        <w:ind w:left="841" w:hanging="36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61" w:hanging="360"/>
      </w:pPr>
      <w:rPr>
        <w:rFonts w:hint="default"/>
        <w:lang w:val="en-US" w:eastAsia="en-US" w:bidi="ar-SA"/>
      </w:rPr>
    </w:lvl>
    <w:lvl w:ilvl="3">
      <w:start w:val="0"/>
      <w:numFmt w:val="bullet"/>
      <w:lvlText w:val="•"/>
      <w:lvlJc w:val="left"/>
      <w:pPr>
        <w:ind w:left="3572" w:hanging="360"/>
      </w:pPr>
      <w:rPr>
        <w:rFonts w:hint="default"/>
        <w:lang w:val="en-US" w:eastAsia="en-US" w:bidi="ar-SA"/>
      </w:rPr>
    </w:lvl>
    <w:lvl w:ilvl="4">
      <w:start w:val="0"/>
      <w:numFmt w:val="bullet"/>
      <w:lvlText w:val="•"/>
      <w:lvlJc w:val="left"/>
      <w:pPr>
        <w:ind w:left="4483" w:hanging="360"/>
      </w:pPr>
      <w:rPr>
        <w:rFonts w:hint="default"/>
        <w:lang w:val="en-US" w:eastAsia="en-US" w:bidi="ar-SA"/>
      </w:rPr>
    </w:lvl>
    <w:lvl w:ilvl="5">
      <w:start w:val="0"/>
      <w:numFmt w:val="bullet"/>
      <w:lvlText w:val="•"/>
      <w:lvlJc w:val="left"/>
      <w:pPr>
        <w:ind w:left="5394" w:hanging="360"/>
      </w:pPr>
      <w:rPr>
        <w:rFonts w:hint="default"/>
        <w:lang w:val="en-US" w:eastAsia="en-US" w:bidi="ar-SA"/>
      </w:rPr>
    </w:lvl>
    <w:lvl w:ilvl="6">
      <w:start w:val="0"/>
      <w:numFmt w:val="bullet"/>
      <w:lvlText w:val="•"/>
      <w:lvlJc w:val="left"/>
      <w:pPr>
        <w:ind w:left="6305" w:hanging="360"/>
      </w:pPr>
      <w:rPr>
        <w:rFonts w:hint="default"/>
        <w:lang w:val="en-US" w:eastAsia="en-US" w:bidi="ar-SA"/>
      </w:rPr>
    </w:lvl>
    <w:lvl w:ilvl="7">
      <w:start w:val="0"/>
      <w:numFmt w:val="bullet"/>
      <w:lvlText w:val="•"/>
      <w:lvlJc w:val="left"/>
      <w:pPr>
        <w:ind w:left="7216" w:hanging="360"/>
      </w:pPr>
      <w:rPr>
        <w:rFonts w:hint="default"/>
        <w:lang w:val="en-US" w:eastAsia="en-US" w:bidi="ar-SA"/>
      </w:rPr>
    </w:lvl>
    <w:lvl w:ilvl="8">
      <w:start w:val="0"/>
      <w:numFmt w:val="bullet"/>
      <w:lvlText w:val="•"/>
      <w:lvlJc w:val="left"/>
      <w:pPr>
        <w:ind w:left="8127" w:hanging="360"/>
      </w:pPr>
      <w:rPr>
        <w:rFonts w:hint="default"/>
        <w:lang w:val="en-US" w:eastAsia="en-US" w:bidi="ar-SA"/>
      </w:rPr>
    </w:lvl>
  </w:abstractNum>
  <w:abstractNum w:abstractNumId="4">
    <w:multiLevelType w:val="hybridMultilevel"/>
    <w:lvl w:ilvl="0">
      <w:start w:val="1"/>
      <w:numFmt w:val="decimal"/>
      <w:lvlText w:val="%1"/>
      <w:lvlJc w:val="left"/>
      <w:pPr>
        <w:ind w:left="1201" w:hanging="720"/>
        <w:jc w:val="left"/>
      </w:pPr>
      <w:rPr>
        <w:rFonts w:hint="default"/>
        <w:lang w:val="en-US" w:eastAsia="en-US" w:bidi="ar-SA"/>
      </w:rPr>
    </w:lvl>
    <w:lvl w:ilvl="1">
      <w:start w:val="1"/>
      <w:numFmt w:val="decimal"/>
      <w:lvlText w:val="%1.%2"/>
      <w:lvlJc w:val="left"/>
      <w:pPr>
        <w:ind w:left="120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01"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abstractNum w:abstractNumId="3">
    <w:multiLevelType w:val="hybridMultilevel"/>
    <w:lvl w:ilvl="0">
      <w:start w:val="4"/>
      <w:numFmt w:val="decimal"/>
      <w:lvlText w:val="%1"/>
      <w:lvlJc w:val="left"/>
      <w:pPr>
        <w:ind w:left="784" w:hanging="304"/>
        <w:jc w:val="left"/>
      </w:pPr>
      <w:rPr>
        <w:rFonts w:hint="default"/>
        <w:lang w:val="en-US" w:eastAsia="en-US" w:bidi="ar-SA"/>
      </w:rPr>
    </w:lvl>
    <w:lvl w:ilvl="1">
      <w:start w:val="1"/>
      <w:numFmt w:val="decimal"/>
      <w:lvlText w:val="%1.%2"/>
      <w:lvlJc w:val="left"/>
      <w:pPr>
        <w:ind w:left="784" w:hanging="304"/>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613" w:hanging="304"/>
      </w:pPr>
      <w:rPr>
        <w:rFonts w:hint="default"/>
        <w:lang w:val="en-US" w:eastAsia="en-US" w:bidi="ar-SA"/>
      </w:rPr>
    </w:lvl>
    <w:lvl w:ilvl="3">
      <w:start w:val="0"/>
      <w:numFmt w:val="bullet"/>
      <w:lvlText w:val="•"/>
      <w:lvlJc w:val="left"/>
      <w:pPr>
        <w:ind w:left="3530" w:hanging="304"/>
      </w:pPr>
      <w:rPr>
        <w:rFonts w:hint="default"/>
        <w:lang w:val="en-US" w:eastAsia="en-US" w:bidi="ar-SA"/>
      </w:rPr>
    </w:lvl>
    <w:lvl w:ilvl="4">
      <w:start w:val="0"/>
      <w:numFmt w:val="bullet"/>
      <w:lvlText w:val="•"/>
      <w:lvlJc w:val="left"/>
      <w:pPr>
        <w:ind w:left="4447" w:hanging="304"/>
      </w:pPr>
      <w:rPr>
        <w:rFonts w:hint="default"/>
        <w:lang w:val="en-US" w:eastAsia="en-US" w:bidi="ar-SA"/>
      </w:rPr>
    </w:lvl>
    <w:lvl w:ilvl="5">
      <w:start w:val="0"/>
      <w:numFmt w:val="bullet"/>
      <w:lvlText w:val="•"/>
      <w:lvlJc w:val="left"/>
      <w:pPr>
        <w:ind w:left="5364" w:hanging="304"/>
      </w:pPr>
      <w:rPr>
        <w:rFonts w:hint="default"/>
        <w:lang w:val="en-US" w:eastAsia="en-US" w:bidi="ar-SA"/>
      </w:rPr>
    </w:lvl>
    <w:lvl w:ilvl="6">
      <w:start w:val="0"/>
      <w:numFmt w:val="bullet"/>
      <w:lvlText w:val="•"/>
      <w:lvlJc w:val="left"/>
      <w:pPr>
        <w:ind w:left="6281" w:hanging="304"/>
      </w:pPr>
      <w:rPr>
        <w:rFonts w:hint="default"/>
        <w:lang w:val="en-US" w:eastAsia="en-US" w:bidi="ar-SA"/>
      </w:rPr>
    </w:lvl>
    <w:lvl w:ilvl="7">
      <w:start w:val="0"/>
      <w:numFmt w:val="bullet"/>
      <w:lvlText w:val="•"/>
      <w:lvlJc w:val="left"/>
      <w:pPr>
        <w:ind w:left="7198" w:hanging="304"/>
      </w:pPr>
      <w:rPr>
        <w:rFonts w:hint="default"/>
        <w:lang w:val="en-US" w:eastAsia="en-US" w:bidi="ar-SA"/>
      </w:rPr>
    </w:lvl>
    <w:lvl w:ilvl="8">
      <w:start w:val="0"/>
      <w:numFmt w:val="bullet"/>
      <w:lvlText w:val="•"/>
      <w:lvlJc w:val="left"/>
      <w:pPr>
        <w:ind w:left="8115" w:hanging="304"/>
      </w:pPr>
      <w:rPr>
        <w:rFonts w:hint="default"/>
        <w:lang w:val="en-US" w:eastAsia="en-US" w:bidi="ar-SA"/>
      </w:rPr>
    </w:lvl>
  </w:abstractNum>
  <w:abstractNum w:abstractNumId="2">
    <w:multiLevelType w:val="hybridMultilevel"/>
    <w:lvl w:ilvl="0">
      <w:start w:val="3"/>
      <w:numFmt w:val="decimal"/>
      <w:lvlText w:val="%1"/>
      <w:lvlJc w:val="left"/>
      <w:pPr>
        <w:ind w:left="784" w:hanging="304"/>
        <w:jc w:val="left"/>
      </w:pPr>
      <w:rPr>
        <w:rFonts w:hint="default"/>
        <w:lang w:val="en-US" w:eastAsia="en-US" w:bidi="ar-SA"/>
      </w:rPr>
    </w:lvl>
    <w:lvl w:ilvl="1">
      <w:start w:val="1"/>
      <w:numFmt w:val="decimal"/>
      <w:lvlText w:val="%1.%2"/>
      <w:lvlJc w:val="left"/>
      <w:pPr>
        <w:ind w:left="784" w:hanging="304"/>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613" w:hanging="304"/>
      </w:pPr>
      <w:rPr>
        <w:rFonts w:hint="default"/>
        <w:lang w:val="en-US" w:eastAsia="en-US" w:bidi="ar-SA"/>
      </w:rPr>
    </w:lvl>
    <w:lvl w:ilvl="3">
      <w:start w:val="0"/>
      <w:numFmt w:val="bullet"/>
      <w:lvlText w:val="•"/>
      <w:lvlJc w:val="left"/>
      <w:pPr>
        <w:ind w:left="3530" w:hanging="304"/>
      </w:pPr>
      <w:rPr>
        <w:rFonts w:hint="default"/>
        <w:lang w:val="en-US" w:eastAsia="en-US" w:bidi="ar-SA"/>
      </w:rPr>
    </w:lvl>
    <w:lvl w:ilvl="4">
      <w:start w:val="0"/>
      <w:numFmt w:val="bullet"/>
      <w:lvlText w:val="•"/>
      <w:lvlJc w:val="left"/>
      <w:pPr>
        <w:ind w:left="4447" w:hanging="304"/>
      </w:pPr>
      <w:rPr>
        <w:rFonts w:hint="default"/>
        <w:lang w:val="en-US" w:eastAsia="en-US" w:bidi="ar-SA"/>
      </w:rPr>
    </w:lvl>
    <w:lvl w:ilvl="5">
      <w:start w:val="0"/>
      <w:numFmt w:val="bullet"/>
      <w:lvlText w:val="•"/>
      <w:lvlJc w:val="left"/>
      <w:pPr>
        <w:ind w:left="5364" w:hanging="304"/>
      </w:pPr>
      <w:rPr>
        <w:rFonts w:hint="default"/>
        <w:lang w:val="en-US" w:eastAsia="en-US" w:bidi="ar-SA"/>
      </w:rPr>
    </w:lvl>
    <w:lvl w:ilvl="6">
      <w:start w:val="0"/>
      <w:numFmt w:val="bullet"/>
      <w:lvlText w:val="•"/>
      <w:lvlJc w:val="left"/>
      <w:pPr>
        <w:ind w:left="6281" w:hanging="304"/>
      </w:pPr>
      <w:rPr>
        <w:rFonts w:hint="default"/>
        <w:lang w:val="en-US" w:eastAsia="en-US" w:bidi="ar-SA"/>
      </w:rPr>
    </w:lvl>
    <w:lvl w:ilvl="7">
      <w:start w:val="0"/>
      <w:numFmt w:val="bullet"/>
      <w:lvlText w:val="•"/>
      <w:lvlJc w:val="left"/>
      <w:pPr>
        <w:ind w:left="7198" w:hanging="304"/>
      </w:pPr>
      <w:rPr>
        <w:rFonts w:hint="default"/>
        <w:lang w:val="en-US" w:eastAsia="en-US" w:bidi="ar-SA"/>
      </w:rPr>
    </w:lvl>
    <w:lvl w:ilvl="8">
      <w:start w:val="0"/>
      <w:numFmt w:val="bullet"/>
      <w:lvlText w:val="•"/>
      <w:lvlJc w:val="left"/>
      <w:pPr>
        <w:ind w:left="8115" w:hanging="304"/>
      </w:pPr>
      <w:rPr>
        <w:rFonts w:hint="default"/>
        <w:lang w:val="en-US" w:eastAsia="en-US" w:bidi="ar-SA"/>
      </w:rPr>
    </w:lvl>
  </w:abstractNum>
  <w:abstractNum w:abstractNumId="1">
    <w:multiLevelType w:val="hybridMultilevel"/>
    <w:lvl w:ilvl="0">
      <w:start w:val="2"/>
      <w:numFmt w:val="decimal"/>
      <w:lvlText w:val="%1"/>
      <w:lvlJc w:val="left"/>
      <w:pPr>
        <w:ind w:left="1201" w:hanging="720"/>
        <w:jc w:val="left"/>
      </w:pPr>
      <w:rPr>
        <w:rFonts w:hint="default"/>
        <w:lang w:val="en-US" w:eastAsia="en-US" w:bidi="ar-SA"/>
      </w:rPr>
    </w:lvl>
    <w:lvl w:ilvl="1">
      <w:start w:val="1"/>
      <w:numFmt w:val="decimal"/>
      <w:lvlText w:val="%1.%2"/>
      <w:lvlJc w:val="left"/>
      <w:pPr>
        <w:ind w:left="120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949" w:hanging="720"/>
      </w:pPr>
      <w:rPr>
        <w:rFonts w:hint="default"/>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abstractNum w:abstractNumId="0">
    <w:multiLevelType w:val="hybridMultilevel"/>
    <w:lvl w:ilvl="0">
      <w:start w:val="1"/>
      <w:numFmt w:val="decimal"/>
      <w:lvlText w:val="%1"/>
      <w:lvlJc w:val="left"/>
      <w:pPr>
        <w:ind w:left="1201" w:hanging="720"/>
        <w:jc w:val="left"/>
      </w:pPr>
      <w:rPr>
        <w:rFonts w:hint="default"/>
        <w:lang w:val="en-US" w:eastAsia="en-US" w:bidi="ar-SA"/>
      </w:rPr>
    </w:lvl>
    <w:lvl w:ilvl="1">
      <w:start w:val="1"/>
      <w:numFmt w:val="decimal"/>
      <w:lvlText w:val="%1.%2"/>
      <w:lvlJc w:val="left"/>
      <w:pPr>
        <w:ind w:left="120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01"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99" w:hanging="720"/>
      </w:pPr>
      <w:rPr>
        <w:rFonts w:hint="default"/>
        <w:lang w:val="en-US" w:eastAsia="en-US" w:bidi="ar-SA"/>
      </w:rPr>
    </w:lvl>
    <w:lvl w:ilvl="5">
      <w:start w:val="0"/>
      <w:numFmt w:val="bullet"/>
      <w:lvlText w:val="•"/>
      <w:lvlJc w:val="left"/>
      <w:pPr>
        <w:ind w:left="557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324" w:hanging="720"/>
      </w:pPr>
      <w:rPr>
        <w:rFonts w:hint="default"/>
        <w:lang w:val="en-US" w:eastAsia="en-US" w:bidi="ar-SA"/>
      </w:rPr>
    </w:lvl>
    <w:lvl w:ilvl="8">
      <w:start w:val="0"/>
      <w:numFmt w:val="bullet"/>
      <w:lvlText w:val="•"/>
      <w:lvlJc w:val="left"/>
      <w:pPr>
        <w:ind w:left="8199" w:hanging="720"/>
      </w:pPr>
      <w:rPr>
        <w:rFonts w:hint="default"/>
        <w:lang w:val="en-US"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18">
    <w:abstractNumId w:val="17"/>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78"/>
      <w:ind w:left="48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200"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ind w:left="480"/>
      <w:jc w:val="both"/>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480"/>
      <w:outlineLvl w:val="1"/>
    </w:pPr>
    <w:rPr>
      <w:rFonts w:ascii="Arial" w:hAnsi="Arial" w:eastAsia="Arial" w:cs="Arial"/>
      <w:b/>
      <w:bCs/>
      <w:sz w:val="26"/>
      <w:szCs w:val="26"/>
      <w:lang w:val="en-US" w:eastAsia="en-US" w:bidi="ar-SA"/>
    </w:rPr>
  </w:style>
  <w:style w:styleId="Heading2" w:type="paragraph">
    <w:name w:val="Heading 2"/>
    <w:basedOn w:val="Normal"/>
    <w:uiPriority w:val="1"/>
    <w:qFormat/>
    <w:pPr>
      <w:spacing w:before="78"/>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199" w:hanging="719"/>
      <w:jc w:val="both"/>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201"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hyperlink" Target="https://www.livescience.com/50776-thermodynamics.html" TargetMode="External"/><Relationship Id="rId11" Type="http://schemas.openxmlformats.org/officeDocument/2006/relationships/hyperlink" Target="https://www.livescience.com/33816-quantum-mechanics-explanation.html" TargetMode="External"/><Relationship Id="rId12" Type="http://schemas.openxmlformats.org/officeDocument/2006/relationships/hyperlink" Target="https://www.livescience.com/28698-facts-about-carbon.html" TargetMode="External"/><Relationship Id="rId13" Type="http://schemas.openxmlformats.org/officeDocument/2006/relationships/hyperlink" Target="http://www.usda.gov/wps/portal/usda/usdahome" TargetMode="External"/><Relationship Id="rId14" Type="http://schemas.openxmlformats.org/officeDocument/2006/relationships/image" Target="media/image1.jpeg"/><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hyperlink" Target="http://dx.doi.org/10.1177/0971333360701900204" TargetMode="External"/><Relationship Id="rId22" Type="http://schemas.openxmlformats.org/officeDocument/2006/relationships/hyperlink" Target="http://dx.doi.org/10.431/afrrev.v5i4.69276" TargetMode="External"/><Relationship Id="rId23" Type="http://schemas.openxmlformats.org/officeDocument/2006/relationships/hyperlink" Target="http://www.engr.psu.edu/awe/misc/arp_genderdifferencescience_overview.pdf" TargetMode="External"/><Relationship Id="rId24" Type="http://schemas.openxmlformats.org/officeDocument/2006/relationships/hyperlink" Target="http://ipip.ori.org/newEmotionalIntelligenceKey.htm" TargetMode="External"/><Relationship Id="rId25" Type="http://schemas.openxmlformats.org/officeDocument/2006/relationships/hyperlink" Target="http://www.mona.uwi.edu/opair/research/student-performance-paper-revised.pdf" TargetMode="External"/><Relationship Id="rId26" Type="http://schemas.openxmlformats.org/officeDocument/2006/relationships/hyperlink" Target="http://dx.doi.org./10.2753/CED1061%20-%201932330244" TargetMode="External"/><Relationship Id="rId27" Type="http://schemas.openxmlformats.org/officeDocument/2006/relationships/hyperlink" Target="http://www.learning-journal.com/" TargetMode="External"/><Relationship Id="rId28" Type="http://schemas.openxmlformats.org/officeDocument/2006/relationships/hyperlink" Target="http://ethese.dur.ac.uk/3380/1/Kunchon%27s" TargetMode="External"/><Relationship Id="rId29" Type="http://schemas.openxmlformats.org/officeDocument/2006/relationships/hyperlink" Target="http://www.beenajohnson.com/2009/02/emotional" TargetMode="External"/><Relationship Id="rId30" Type="http://schemas.openxmlformats.org/officeDocument/2006/relationships/hyperlink" Target="http://inadabs.tripod.com/on" TargetMode="External"/><Relationship Id="rId31" Type="http://schemas.openxmlformats.org/officeDocument/2006/relationships/hyperlink" Target="http://pu.edu.pk/image/journal/ier/PDF-FILES/3-Revised_Article.pdf" TargetMode="External"/><Relationship Id="rId32" Type="http://schemas.openxmlformats.org/officeDocument/2006/relationships/hyperlink" Target="http://www.nctm.org/uploadedFiles/Math_Sta5/" TargetMode="External"/><Relationship Id="rId33" Type="http://schemas.openxmlformats.org/officeDocument/2006/relationships/hyperlink" Target="http://scholarworks.gsu.edu/cgi/viewcontent.cgi?artcile=1078&amp;content=epse_diss" TargetMode="External"/><Relationship Id="rId34" Type="http://schemas.openxmlformats.org/officeDocument/2006/relationships/hyperlink" Target="http://www.advancingwomen.co/awl/awl_wordpress/patterns-of-stress.social-support-and-mental-among-nigeria-women/" TargetMode="External"/><Relationship Id="rId35" Type="http://schemas.openxmlformats.org/officeDocument/2006/relationships/hyperlink" Target="http://www.uky.edu/eushe2/pajares/eff.html" TargetMode="External"/><Relationship Id="rId36" Type="http://schemas.openxmlformats.org/officeDocument/2006/relationships/hyperlink" Target="http://dx.doi.org/10.1108/02621710210430272" TargetMode="External"/><Relationship Id="rId37" Type="http://schemas.openxmlformats.org/officeDocument/2006/relationships/hyperlink" Target="http://www.education.com/" TargetMode="External"/><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image" Target="media/image2.jpeg"/><Relationship Id="rId41" Type="http://schemas.openxmlformats.org/officeDocument/2006/relationships/image" Target="media/image3.jpeg"/><Relationship Id="rId42" Type="http://schemas.openxmlformats.org/officeDocument/2006/relationships/image" Target="media/image4.jpeg"/><Relationship Id="rId43" Type="http://schemas.openxmlformats.org/officeDocument/2006/relationships/image" Target="media/image5.jpeg"/><Relationship Id="rId44" Type="http://schemas.openxmlformats.org/officeDocument/2006/relationships/image" Target="media/image6.jpeg"/><Relationship Id="rId45" Type="http://schemas.openxmlformats.org/officeDocument/2006/relationships/image" Target="media/image7.jpeg"/><Relationship Id="rId46" Type="http://schemas.openxmlformats.org/officeDocument/2006/relationships/image" Target="media/image8.jpeg"/><Relationship Id="rId47" Type="http://schemas.openxmlformats.org/officeDocument/2006/relationships/image" Target="media/image9.jpeg"/><Relationship Id="rId48" Type="http://schemas.openxmlformats.org/officeDocument/2006/relationships/image" Target="media/image10.jpeg"/><Relationship Id="rId49" Type="http://schemas.openxmlformats.org/officeDocument/2006/relationships/image" Target="media/image11.jpeg"/><Relationship Id="rId50" Type="http://schemas.openxmlformats.org/officeDocument/2006/relationships/image" Target="media/image12.jpeg"/><Relationship Id="rId51" Type="http://schemas.openxmlformats.org/officeDocument/2006/relationships/image" Target="media/image13.jpeg"/><Relationship Id="rId52" Type="http://schemas.openxmlformats.org/officeDocument/2006/relationships/image" Target="media/image14.jpeg"/><Relationship Id="rId53" Type="http://schemas.openxmlformats.org/officeDocument/2006/relationships/image" Target="media/image15.jpeg"/><Relationship Id="rId54" Type="http://schemas.openxmlformats.org/officeDocument/2006/relationships/image" Target="media/image16.jpeg"/><Relationship Id="rId55" Type="http://schemas.openxmlformats.org/officeDocument/2006/relationships/image" Target="media/image17.jpeg"/><Relationship Id="rId56" Type="http://schemas.openxmlformats.org/officeDocument/2006/relationships/image" Target="media/image18.jpe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dcterms:created xsi:type="dcterms:W3CDTF">2023-11-09T16:30:24Z</dcterms:created>
  <dcterms:modified xsi:type="dcterms:W3CDTF">2023-11-09T16:30:24Z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2019-04-08T00:00:00Z</vt:filetime>
  </property>
  <property fmtid="{D5CDD505-2E9C-101B-9397-08002B2CF9AE}" pid="3" name="Creator">
    <vt:lpwstr>Microsoft® Office Word 2007</vt:lpwstr>
  </property>
  <property fmtid="{D5CDD505-2E9C-101B-9397-08002B2CF9AE}" pid="4" name="LastSaved">
    <vt:filetime>2023-11-09T00:00:00Z</vt:filetime>
  </property>
  <property fmtid="{D5CDD505-2E9C-101B-9397-08002B2CF9AE}" pid="5" name="Producer">
    <vt:lpwstr>Microsoft® Office Word 2007</vt:lpwstr>
  </property>
</Properties>
</file>