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220"/>
        <w:rPr>
          <w:color w:val="auto"/>
          <w:sz w:val="20"/>
          <w:szCs w:val="20"/>
        </w:rPr>
      </w:pPr>
      <w:bookmarkStart w:id="74" w:name="_GoBack"/>
      <w:r>
        <w:rPr>
          <w:rFonts w:ascii="Arial" w:hAnsi="Arial" w:eastAsia="Arial" w:cs="Arial"/>
          <w:b/>
          <w:bCs/>
          <w:color w:val="auto"/>
          <w:sz w:val="32"/>
          <w:szCs w:val="32"/>
        </w:rPr>
        <w:t>Effects of Histone Deacetylase Inhibitors on Vitamin D</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Activity in Human Breast Cancer Cells</w:t>
      </w:r>
    </w:p>
    <w:p>
      <w:pPr>
        <w:spacing w:after="0" w:line="2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ind w:left="4440"/>
        <w:rPr>
          <w:color w:val="auto"/>
          <w:sz w:val="20"/>
          <w:szCs w:val="20"/>
        </w:rPr>
      </w:pPr>
      <w:bookmarkStart w:id="0" w:name="page7"/>
      <w:bookmarkEnd w:id="0"/>
      <w:r>
        <w:rPr>
          <w:rFonts w:ascii="Cambria" w:hAnsi="Cambria" w:eastAsia="Cambria" w:cs="Cambria"/>
          <w:color w:val="auto"/>
          <w:sz w:val="24"/>
          <w:szCs w:val="24"/>
        </w:rPr>
        <w:t>ABSTRACT</w:t>
      </w:r>
    </w:p>
    <w:p>
      <w:pPr>
        <w:spacing w:after="0" w:line="496" w:lineRule="auto"/>
        <w:ind w:left="720" w:right="260" w:firstLine="720"/>
        <w:rPr>
          <w:color w:val="auto"/>
          <w:sz w:val="20"/>
          <w:szCs w:val="20"/>
        </w:rPr>
      </w:pPr>
      <w:r>
        <w:rPr>
          <w:rFonts w:ascii="Cambria" w:hAnsi="Cambria" w:eastAsia="Cambria" w:cs="Cambria"/>
          <w:color w:val="auto"/>
          <w:sz w:val="23"/>
          <w:szCs w:val="23"/>
        </w:rPr>
        <w:t>Breast cancer is one of the leading causes of death among cancer cases in women worldwide. Ultimately, cancer is the result of a combination of environmental and genetic factors that contribute to alterations in cellular control of proliferation, differentiation and programmed cell death. Vitamin D had been emerging as a potentially important nutrient in the prevention and treatment of cancer due to its ability to modulate proliferation, apoptosis, invasion and metastasis in vivo in animal cancer models and in vitro cell culture studies. To accomplish these cellular effects, Vitamin D exerts its biological activity via the binding of its hormonal metabolite 1,25(OH)</w:t>
      </w:r>
      <w:r>
        <w:rPr>
          <w:rFonts w:ascii="Cambria" w:hAnsi="Cambria" w:eastAsia="Cambria" w:cs="Cambria"/>
          <w:color w:val="auto"/>
          <w:sz w:val="15"/>
          <w:szCs w:val="15"/>
        </w:rPr>
        <w:t xml:space="preserve"> 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to a specific, high-affinity,</w:t>
      </w:r>
    </w:p>
    <w:p>
      <w:pPr>
        <w:spacing w:after="0" w:line="49" w:lineRule="exact"/>
        <w:rPr>
          <w:color w:val="auto"/>
          <w:sz w:val="20"/>
          <w:szCs w:val="20"/>
        </w:rPr>
      </w:pPr>
    </w:p>
    <w:p>
      <w:pPr>
        <w:spacing w:after="0" w:line="474" w:lineRule="auto"/>
        <w:ind w:left="720" w:right="180"/>
        <w:rPr>
          <w:color w:val="auto"/>
          <w:sz w:val="20"/>
          <w:szCs w:val="20"/>
        </w:rPr>
      </w:pPr>
      <w:r>
        <w:rPr>
          <w:rFonts w:ascii="Cambria" w:hAnsi="Cambria" w:eastAsia="Cambria" w:cs="Cambria"/>
          <w:color w:val="auto"/>
          <w:sz w:val="24"/>
          <w:szCs w:val="24"/>
        </w:rPr>
        <w:t>intracellular vitamin D receptor (VDR). Although VDR expression can be identified in mammary cancer cell lines, levels are often reduced compared to non-cancerous cells, which could limit vitamin D-induced gene expression and function in these cells. In addition, changes in chromatin structure, associated with epigenetic modifications of nuclear histone proteins, can lead to changes in gene expression, including the suppression of important “tumor suppressor” genes, thereby promoting carcinogenesis. Our study investigated the extent to which two compounds with histone deacetylase inhibitor (HDACI) activity, trichostatin A</w:t>
      </w:r>
      <w:bookmarkStart w:id="1" w:name="page8"/>
      <w:bookmarkEnd w:id="1"/>
      <w:r>
        <w:rPr>
          <w:rFonts w:hint="default" w:ascii="Cambria" w:hAnsi="Cambria" w:eastAsia="Cambria" w:cs="Cambria"/>
          <w:color w:val="auto"/>
          <w:sz w:val="24"/>
          <w:szCs w:val="24"/>
          <w:lang w:val="en-US"/>
        </w:rPr>
        <w:t xml:space="preserve"> </w:t>
      </w:r>
      <w:r>
        <w:rPr>
          <w:rFonts w:ascii="Cambria" w:hAnsi="Cambria" w:eastAsia="Cambria" w:cs="Cambria"/>
          <w:color w:val="auto"/>
          <w:sz w:val="23"/>
          <w:szCs w:val="23"/>
        </w:rPr>
        <w:t>(TSA), a well-known and potent HDACI, and sulforaphane (SFN), a bioactive food component with HDACI activity, can influence the expression of some important genes involved in vitamin D action and metabolism in cells. The genes investigated were: CYP24A1, which codes for a 24-hydroxylase that deactivates 1,25(OH)</w:t>
      </w:r>
      <w:r>
        <w:rPr>
          <w:rFonts w:ascii="Cambria" w:hAnsi="Cambria" w:eastAsia="Cambria" w:cs="Cambria"/>
          <w:color w:val="auto"/>
          <w:sz w:val="15"/>
          <w:szCs w:val="15"/>
        </w:rPr>
        <w:t xml:space="preserve"> 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w:t>
      </w:r>
    </w:p>
    <w:p>
      <w:pPr>
        <w:spacing w:after="0" w:line="54" w:lineRule="exact"/>
        <w:rPr>
          <w:color w:val="auto"/>
          <w:sz w:val="20"/>
          <w:szCs w:val="20"/>
        </w:rPr>
      </w:pPr>
    </w:p>
    <w:p>
      <w:pPr>
        <w:spacing w:after="0" w:line="459" w:lineRule="auto"/>
        <w:ind w:left="720" w:right="80"/>
        <w:rPr>
          <w:color w:val="auto"/>
          <w:sz w:val="20"/>
          <w:szCs w:val="20"/>
        </w:rPr>
      </w:pPr>
      <w:r>
        <w:rPr>
          <w:rFonts w:ascii="Cambria" w:hAnsi="Cambria" w:eastAsia="Cambria" w:cs="Cambria"/>
          <w:color w:val="auto"/>
          <w:sz w:val="24"/>
          <w:szCs w:val="24"/>
        </w:rPr>
        <w:t xml:space="preserve">CYP27B1, which codes for a 1α-hydroxylase that activates 25(OH)D to the 1,25(OH) </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hormone; VDR, the nuclear receptor transcription factor that is activated by</w:t>
      </w:r>
      <w:r>
        <w:rPr>
          <w:rFonts w:ascii="Cambria" w:hAnsi="Cambria" w:eastAsia="Cambria" w:cs="Cambria"/>
          <w:color w:val="auto"/>
          <w:sz w:val="16"/>
          <w:szCs w:val="16"/>
        </w:rPr>
        <w:t xml:space="preserve"> </w:t>
      </w:r>
      <w:r>
        <w:rPr>
          <w:rFonts w:ascii="Cambria" w:hAnsi="Cambria" w:eastAsia="Cambria" w:cs="Cambria"/>
          <w:color w:val="auto"/>
          <w:sz w:val="24"/>
          <w:szCs w:val="24"/>
        </w:rPr>
        <w:t>1,25(OH)</w:t>
      </w:r>
      <w:r>
        <w:rPr>
          <w:rFonts w:ascii="Cambria" w:hAnsi="Cambria" w:eastAsia="Cambria" w:cs="Cambria"/>
          <w:color w:val="auto"/>
          <w:sz w:val="16"/>
          <w:szCs w:val="16"/>
        </w:rPr>
        <w:t xml:space="preserve"> 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and TRPV6, which codes for a calcium-specific channel implicated in</w:t>
      </w:r>
    </w:p>
    <w:p>
      <w:pPr>
        <w:spacing w:after="0" w:line="2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breast cancer cell invasiveness.</w:t>
      </w:r>
    </w:p>
    <w:p>
      <w:pPr>
        <w:spacing w:after="0" w:line="284"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We found that in MCF-7 breast cancer cells,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alone</w:t>
      </w:r>
    </w:p>
    <w:p>
      <w:pPr>
        <w:spacing w:after="0" w:line="329" w:lineRule="exact"/>
        <w:rPr>
          <w:color w:val="auto"/>
          <w:sz w:val="20"/>
          <w:szCs w:val="20"/>
        </w:rPr>
      </w:pPr>
    </w:p>
    <w:p>
      <w:pPr>
        <w:spacing w:after="0" w:line="466" w:lineRule="auto"/>
        <w:ind w:left="720" w:right="80"/>
        <w:rPr>
          <w:color w:val="auto"/>
          <w:sz w:val="20"/>
          <w:szCs w:val="20"/>
        </w:rPr>
      </w:pPr>
      <w:r>
        <w:rPr>
          <w:rFonts w:ascii="Cambria" w:hAnsi="Cambria" w:eastAsia="Cambria" w:cs="Cambria"/>
          <w:color w:val="auto"/>
          <w:sz w:val="24"/>
          <w:szCs w:val="24"/>
        </w:rPr>
        <w:t>induced the expression of VDR mRNA (in 1 of 2 studies), CYP24A1 mRNA (in both studies) and CYP27B1(in 1 of 1 study where measured). Surprisingly, TRPV6 mRNA expression was not evident in MCF-7 cells in either the presence or absence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The HDACI TSA alone increased expression of VDR mRNA, but SFN</w:t>
      </w:r>
    </w:p>
    <w:p>
      <w:pPr>
        <w:spacing w:after="0" w:line="66" w:lineRule="exact"/>
        <w:rPr>
          <w:color w:val="auto"/>
          <w:sz w:val="20"/>
          <w:szCs w:val="20"/>
        </w:rPr>
      </w:pPr>
    </w:p>
    <w:p>
      <w:pPr>
        <w:spacing w:after="0" w:line="439" w:lineRule="auto"/>
        <w:ind w:left="720" w:right="640"/>
        <w:rPr>
          <w:color w:val="auto"/>
          <w:sz w:val="20"/>
          <w:szCs w:val="20"/>
        </w:rPr>
      </w:pPr>
      <w:r>
        <w:rPr>
          <w:rFonts w:ascii="Cambria" w:hAnsi="Cambria" w:eastAsia="Cambria" w:cs="Cambria"/>
          <w:color w:val="auto"/>
          <w:sz w:val="24"/>
          <w:szCs w:val="24"/>
        </w:rPr>
        <w:t>alone had no effect. Importantly, VDR mRNA was increased by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compared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in Experiment 1 with a</w:t>
      </w:r>
    </w:p>
    <w:p>
      <w:pPr>
        <w:spacing w:after="0" w:line="96" w:lineRule="exact"/>
        <w:rPr>
          <w:color w:val="auto"/>
          <w:sz w:val="20"/>
          <w:szCs w:val="20"/>
        </w:rPr>
      </w:pPr>
    </w:p>
    <w:p>
      <w:pPr>
        <w:spacing w:after="0" w:line="439" w:lineRule="auto"/>
        <w:ind w:left="720" w:right="400"/>
        <w:rPr>
          <w:color w:val="auto"/>
          <w:sz w:val="20"/>
          <w:szCs w:val="20"/>
        </w:rPr>
      </w:pPr>
      <w:r>
        <w:rPr>
          <w:rFonts w:ascii="Cambria" w:hAnsi="Cambria" w:eastAsia="Cambria" w:cs="Cambria"/>
          <w:color w:val="auto"/>
          <w:sz w:val="24"/>
          <w:szCs w:val="24"/>
        </w:rPr>
        <w:t>similar, but not statistically significant, trend in Experiment 2. As expected,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markedly increased CYP24A1 mRNA. Unexpectedly, treatment with</w:t>
      </w:r>
    </w:p>
    <w:p>
      <w:pPr>
        <w:spacing w:after="0" w:line="96" w:lineRule="exact"/>
        <w:rPr>
          <w:color w:val="auto"/>
          <w:sz w:val="20"/>
          <w:szCs w:val="20"/>
        </w:rPr>
      </w:pPr>
    </w:p>
    <w:p>
      <w:pPr>
        <w:spacing w:after="0" w:line="469" w:lineRule="auto"/>
        <w:ind w:left="720" w:right="20"/>
        <w:rPr>
          <w:color w:val="auto"/>
          <w:sz w:val="20"/>
          <w:szCs w:val="20"/>
        </w:rPr>
      </w:pPr>
      <w:r>
        <w:rPr>
          <w:rFonts w:ascii="Cambria" w:hAnsi="Cambria" w:eastAsia="Cambria" w:cs="Cambria"/>
          <w:color w:val="auto"/>
          <w:sz w:val="24"/>
          <w:szCs w:val="24"/>
        </w:rPr>
        <w:t>either TSA or SFN alone increased CYP24A1 mRNA, suggesting that endogenous expression of CYP24A1 may be normally suppressed in MCF-7 cells by epigenetic mechanisms involving histone acetylation status. An apparent increase in CYP24A1 mRNA following co-treatment of TSA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 both experiments was not statistically significant. SFN co-treatment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also did not cause a</w:t>
      </w:r>
    </w:p>
    <w:p>
      <w:pPr>
        <w:spacing w:after="0" w:line="1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further increase in CYP24A1 mRNA.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increased CYP27B1</w:t>
      </w:r>
      <w:bookmarkStart w:id="2" w:name="page9"/>
      <w:bookmarkEnd w:id="2"/>
      <w:r>
        <w:rPr>
          <w:rFonts w:hint="default" w:ascii="Cambria" w:hAnsi="Cambria" w:eastAsia="Cambria" w:cs="Cambria"/>
          <w:color w:val="auto"/>
          <w:sz w:val="24"/>
          <w:szCs w:val="24"/>
          <w:lang w:val="en-US"/>
        </w:rPr>
        <w:t xml:space="preserve"> </w:t>
      </w:r>
      <w:r>
        <w:rPr>
          <w:rFonts w:ascii="Cambria" w:hAnsi="Cambria" w:eastAsia="Cambria" w:cs="Cambria"/>
          <w:color w:val="auto"/>
          <w:sz w:val="24"/>
          <w:szCs w:val="24"/>
        </w:rPr>
        <w:t>expression, but co-treatment with TSA had no additional effect. In contrast, co-treatment of SFN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inhibited much of the positive effects of vitamin</w:t>
      </w:r>
    </w:p>
    <w:p>
      <w:pPr>
        <w:spacing w:after="0" w:line="101" w:lineRule="exact"/>
        <w:rPr>
          <w:color w:val="auto"/>
          <w:sz w:val="20"/>
          <w:szCs w:val="20"/>
        </w:rPr>
      </w:pPr>
    </w:p>
    <w:p>
      <w:pPr>
        <w:spacing w:after="0" w:line="469" w:lineRule="auto"/>
        <w:ind w:left="720" w:right="140"/>
        <w:rPr>
          <w:color w:val="auto"/>
          <w:sz w:val="20"/>
          <w:szCs w:val="20"/>
        </w:rPr>
      </w:pPr>
      <w:r>
        <w:rPr>
          <w:rFonts w:ascii="Cambria" w:hAnsi="Cambria" w:eastAsia="Cambria" w:cs="Cambria"/>
          <w:color w:val="auto"/>
          <w:sz w:val="24"/>
          <w:szCs w:val="24"/>
        </w:rPr>
        <w:t>D. TSA is already being used as a co-treatment in cancer therapy. Vorinostat, a drug with the same chemical structure as TSA, is being investigated in hundreds of clinical trials. (Marks &amp; Breslow, 2007) Our findings support further study of the effects of the HDACI TSA in breast cancer, and suggest that this HDACI may be beneficial in augmenting vitamin D cellular responsiveness.</w:t>
      </w:r>
    </w:p>
    <w:bookmarkEnd w:id="74"/>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ind w:left="3860"/>
        <w:rPr>
          <w:b/>
          <w:bCs/>
          <w:color w:val="auto"/>
          <w:sz w:val="20"/>
          <w:szCs w:val="20"/>
        </w:rPr>
      </w:pPr>
      <w:bookmarkStart w:id="3" w:name="page10"/>
      <w:bookmarkEnd w:id="3"/>
      <w:r>
        <w:rPr>
          <w:rFonts w:ascii="Cambria" w:hAnsi="Cambria" w:eastAsia="Cambria" w:cs="Cambria"/>
          <w:b/>
          <w:bCs/>
          <w:color w:val="auto"/>
          <w:sz w:val="24"/>
          <w:szCs w:val="24"/>
        </w:rPr>
        <w:t>TABLE OF CONTENTS</w:t>
      </w:r>
    </w:p>
    <w:p>
      <w:pPr>
        <w:spacing w:after="0" w:line="280" w:lineRule="exact"/>
        <w:rPr>
          <w:color w:val="auto"/>
          <w:sz w:val="20"/>
          <w:szCs w:val="20"/>
        </w:rPr>
      </w:pPr>
    </w:p>
    <w:p>
      <w:pPr>
        <w:spacing w:after="0"/>
        <w:jc w:val="right"/>
        <w:rPr>
          <w:color w:val="auto"/>
          <w:sz w:val="20"/>
          <w:szCs w:val="20"/>
        </w:rPr>
      </w:pPr>
      <w:r>
        <w:rPr>
          <w:rFonts w:ascii="Cambria" w:hAnsi="Cambria" w:eastAsia="Cambria" w:cs="Cambria"/>
          <w:color w:val="auto"/>
          <w:sz w:val="24"/>
          <w:szCs w:val="24"/>
        </w:rPr>
        <w:t>Page</w:t>
      </w:r>
    </w:p>
    <w:p>
      <w:pPr>
        <w:spacing w:after="0" w:line="283" w:lineRule="exact"/>
        <w:rPr>
          <w:color w:val="auto"/>
          <w:sz w:val="20"/>
          <w:szCs w:val="20"/>
        </w:rPr>
      </w:pPr>
    </w:p>
    <w:p>
      <w:pPr>
        <w:tabs>
          <w:tab w:val="left" w:leader="dot" w:pos="9200"/>
        </w:tabs>
        <w:spacing w:after="0"/>
        <w:ind w:left="780"/>
        <w:rPr>
          <w:color w:val="auto"/>
          <w:sz w:val="20"/>
          <w:szCs w:val="20"/>
        </w:rPr>
      </w:pPr>
      <w:r>
        <w:rPr>
          <w:rFonts w:ascii="Cambria" w:hAnsi="Cambria" w:eastAsia="Cambria" w:cs="Cambria"/>
          <w:color w:val="auto"/>
          <w:sz w:val="24"/>
          <w:szCs w:val="24"/>
        </w:rPr>
        <w:t>ACKNOWLEDGMENTS</w:t>
      </w:r>
      <w:r>
        <w:rPr>
          <w:color w:val="auto"/>
          <w:sz w:val="20"/>
          <w:szCs w:val="20"/>
        </w:rPr>
        <w:tab/>
      </w:r>
      <w:r>
        <w:rPr>
          <w:rFonts w:ascii="Cambria" w:hAnsi="Cambria" w:eastAsia="Cambria" w:cs="Cambria"/>
          <w:color w:val="auto"/>
          <w:sz w:val="24"/>
          <w:szCs w:val="24"/>
        </w:rPr>
        <w:t>v</w:t>
      </w:r>
    </w:p>
    <w:p>
      <w:pPr>
        <w:spacing w:after="0" w:line="280" w:lineRule="exact"/>
        <w:rPr>
          <w:color w:val="auto"/>
          <w:sz w:val="20"/>
          <w:szCs w:val="20"/>
        </w:rPr>
      </w:pPr>
    </w:p>
    <w:p>
      <w:pPr>
        <w:tabs>
          <w:tab w:val="left" w:leader="dot" w:pos="9140"/>
        </w:tabs>
        <w:spacing w:after="0"/>
        <w:ind w:left="720"/>
        <w:rPr>
          <w:color w:val="auto"/>
          <w:sz w:val="20"/>
          <w:szCs w:val="20"/>
        </w:rPr>
      </w:pPr>
      <w:r>
        <w:rPr>
          <w:rFonts w:ascii="Cambria" w:hAnsi="Cambria" w:eastAsia="Cambria" w:cs="Cambria"/>
          <w:color w:val="auto"/>
          <w:sz w:val="24"/>
          <w:szCs w:val="24"/>
        </w:rPr>
        <w:t>ABSTRACT</w:t>
      </w:r>
      <w:r>
        <w:rPr>
          <w:color w:val="auto"/>
          <w:sz w:val="20"/>
          <w:szCs w:val="20"/>
        </w:rPr>
        <w:tab/>
      </w:r>
      <w:r>
        <w:rPr>
          <w:rFonts w:ascii="Cambria" w:hAnsi="Cambria" w:eastAsia="Cambria" w:cs="Cambria"/>
          <w:color w:val="auto"/>
          <w:sz w:val="24"/>
          <w:szCs w:val="24"/>
        </w:rPr>
        <w:t>vi</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LIST OF TABLES</w:t>
      </w:r>
      <w:r>
        <w:rPr>
          <w:color w:val="auto"/>
          <w:sz w:val="20"/>
          <w:szCs w:val="20"/>
        </w:rPr>
        <w:tab/>
      </w:r>
      <w:r>
        <w:rPr>
          <w:rFonts w:ascii="Cambria" w:hAnsi="Cambria" w:eastAsia="Cambria" w:cs="Cambria"/>
          <w:color w:val="auto"/>
          <w:sz w:val="23"/>
          <w:szCs w:val="23"/>
        </w:rPr>
        <w:t>xii</w:t>
      </w:r>
    </w:p>
    <w:p>
      <w:pPr>
        <w:spacing w:after="0" w:line="280" w:lineRule="exact"/>
        <w:rPr>
          <w:color w:val="auto"/>
          <w:sz w:val="20"/>
          <w:szCs w:val="20"/>
        </w:rPr>
      </w:pPr>
    </w:p>
    <w:p>
      <w:pPr>
        <w:tabs>
          <w:tab w:val="left" w:leader="dot" w:pos="9020"/>
        </w:tabs>
        <w:spacing w:after="0"/>
        <w:ind w:left="720"/>
        <w:rPr>
          <w:color w:val="auto"/>
          <w:sz w:val="20"/>
          <w:szCs w:val="20"/>
        </w:rPr>
      </w:pPr>
      <w:r>
        <w:rPr>
          <w:rFonts w:ascii="Cambria" w:hAnsi="Cambria" w:eastAsia="Cambria" w:cs="Cambria"/>
          <w:color w:val="auto"/>
          <w:sz w:val="24"/>
          <w:szCs w:val="24"/>
        </w:rPr>
        <w:t>LIST OF FIGURES</w:t>
      </w:r>
      <w:r>
        <w:rPr>
          <w:color w:val="auto"/>
          <w:sz w:val="20"/>
          <w:szCs w:val="20"/>
        </w:rPr>
        <w:tab/>
      </w:r>
      <w:r>
        <w:rPr>
          <w:rFonts w:ascii="Cambria" w:hAnsi="Cambria" w:eastAsia="Cambria" w:cs="Cambria"/>
          <w:color w:val="auto"/>
          <w:sz w:val="22"/>
          <w:szCs w:val="22"/>
        </w:rPr>
        <w:t>xiii</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CHAPTER</w:t>
      </w:r>
    </w:p>
    <w:p>
      <w:pPr>
        <w:spacing w:after="0" w:line="280" w:lineRule="exact"/>
        <w:rPr>
          <w:color w:val="auto"/>
          <w:sz w:val="20"/>
          <w:szCs w:val="20"/>
        </w:rPr>
      </w:pPr>
    </w:p>
    <w:p>
      <w:pPr>
        <w:tabs>
          <w:tab w:val="left" w:leader="dot" w:pos="9200"/>
        </w:tabs>
        <w:spacing w:after="0"/>
        <w:ind w:left="720"/>
        <w:rPr>
          <w:color w:val="auto"/>
          <w:sz w:val="20"/>
          <w:szCs w:val="20"/>
        </w:rPr>
      </w:pPr>
      <w:r>
        <w:rPr>
          <w:rFonts w:ascii="Cambria" w:hAnsi="Cambria" w:eastAsia="Cambria" w:cs="Cambria"/>
          <w:color w:val="auto"/>
          <w:sz w:val="24"/>
          <w:szCs w:val="24"/>
        </w:rPr>
        <w:t>1. LITERATURE REVIEW</w:t>
      </w:r>
      <w:r>
        <w:rPr>
          <w:color w:val="auto"/>
          <w:sz w:val="20"/>
          <w:szCs w:val="20"/>
        </w:rPr>
        <w:tab/>
      </w:r>
      <w:r>
        <w:rPr>
          <w:rFonts w:ascii="Cambria" w:hAnsi="Cambria" w:eastAsia="Cambria" w:cs="Cambria"/>
          <w:color w:val="auto"/>
          <w:sz w:val="24"/>
          <w:szCs w:val="24"/>
        </w:rPr>
        <w:t>1</w:t>
      </w:r>
    </w:p>
    <w:p>
      <w:pPr>
        <w:spacing w:after="0" w:line="283" w:lineRule="exact"/>
        <w:rPr>
          <w:color w:val="auto"/>
          <w:sz w:val="20"/>
          <w:szCs w:val="20"/>
        </w:rPr>
      </w:pPr>
    </w:p>
    <w:p>
      <w:pPr>
        <w:tabs>
          <w:tab w:val="left" w:leader="dot" w:pos="9200"/>
        </w:tabs>
        <w:spacing w:after="0"/>
        <w:ind w:left="960"/>
        <w:rPr>
          <w:color w:val="auto"/>
          <w:sz w:val="20"/>
          <w:szCs w:val="20"/>
        </w:rPr>
      </w:pPr>
      <w:r>
        <w:rPr>
          <w:rFonts w:ascii="Cambria" w:hAnsi="Cambria" w:eastAsia="Cambria" w:cs="Cambria"/>
          <w:color w:val="auto"/>
          <w:sz w:val="24"/>
          <w:szCs w:val="24"/>
        </w:rPr>
        <w:t>1.1 Breast Cancer</w:t>
      </w:r>
      <w:r>
        <w:rPr>
          <w:color w:val="auto"/>
          <w:sz w:val="20"/>
          <w:szCs w:val="20"/>
        </w:rPr>
        <w:tab/>
      </w:r>
      <w:r>
        <w:rPr>
          <w:rFonts w:ascii="Cambria" w:hAnsi="Cambria" w:eastAsia="Cambria" w:cs="Cambria"/>
          <w:color w:val="auto"/>
          <w:sz w:val="24"/>
          <w:szCs w:val="24"/>
        </w:rPr>
        <w:t>1</w:t>
      </w:r>
    </w:p>
    <w:p>
      <w:pPr>
        <w:spacing w:after="0" w:line="280" w:lineRule="exact"/>
        <w:rPr>
          <w:color w:val="auto"/>
          <w:sz w:val="20"/>
          <w:szCs w:val="20"/>
        </w:rPr>
      </w:pPr>
    </w:p>
    <w:p>
      <w:pPr>
        <w:tabs>
          <w:tab w:val="left" w:leader="dot" w:pos="9200"/>
        </w:tabs>
        <w:spacing w:after="0"/>
        <w:ind w:left="960"/>
        <w:rPr>
          <w:color w:val="auto"/>
          <w:sz w:val="20"/>
          <w:szCs w:val="20"/>
        </w:rPr>
      </w:pPr>
      <w:r>
        <w:rPr>
          <w:rFonts w:ascii="Cambria" w:hAnsi="Cambria" w:eastAsia="Cambria" w:cs="Cambria"/>
          <w:color w:val="auto"/>
          <w:sz w:val="24"/>
          <w:szCs w:val="24"/>
        </w:rPr>
        <w:t>1.2 Vitamin D and Breast Cancer</w:t>
      </w:r>
      <w:r>
        <w:rPr>
          <w:color w:val="auto"/>
          <w:sz w:val="20"/>
          <w:szCs w:val="20"/>
        </w:rPr>
        <w:tab/>
      </w:r>
      <w:r>
        <w:rPr>
          <w:rFonts w:ascii="Cambria" w:hAnsi="Cambria" w:eastAsia="Cambria" w:cs="Cambria"/>
          <w:color w:val="auto"/>
          <w:sz w:val="24"/>
          <w:szCs w:val="24"/>
        </w:rPr>
        <w:t>2</w:t>
      </w:r>
    </w:p>
    <w:p>
      <w:pPr>
        <w:spacing w:after="0" w:line="283" w:lineRule="exact"/>
        <w:rPr>
          <w:color w:val="auto"/>
          <w:sz w:val="20"/>
          <w:szCs w:val="20"/>
        </w:rPr>
      </w:pPr>
    </w:p>
    <w:p>
      <w:pPr>
        <w:tabs>
          <w:tab w:val="left" w:leader="dot" w:pos="9200"/>
        </w:tabs>
        <w:spacing w:after="0"/>
        <w:ind w:left="960"/>
        <w:rPr>
          <w:color w:val="auto"/>
          <w:sz w:val="20"/>
          <w:szCs w:val="20"/>
        </w:rPr>
      </w:pPr>
      <w:r>
        <w:rPr>
          <w:rFonts w:ascii="Cambria" w:hAnsi="Cambria" w:eastAsia="Cambria" w:cs="Cambria"/>
          <w:color w:val="auto"/>
          <w:sz w:val="24"/>
          <w:szCs w:val="24"/>
        </w:rPr>
        <w:t>1.3 Vitamin D Sources</w:t>
      </w:r>
      <w:r>
        <w:rPr>
          <w:color w:val="auto"/>
          <w:sz w:val="20"/>
          <w:szCs w:val="20"/>
        </w:rPr>
        <w:tab/>
      </w:r>
      <w:r>
        <w:rPr>
          <w:rFonts w:ascii="Cambria" w:hAnsi="Cambria" w:eastAsia="Cambria" w:cs="Cambria"/>
          <w:color w:val="auto"/>
          <w:sz w:val="24"/>
          <w:szCs w:val="24"/>
        </w:rPr>
        <w:t>4</w:t>
      </w:r>
    </w:p>
    <w:p>
      <w:pPr>
        <w:spacing w:after="0" w:line="280" w:lineRule="exact"/>
        <w:rPr>
          <w:color w:val="auto"/>
          <w:sz w:val="20"/>
          <w:szCs w:val="20"/>
        </w:rPr>
      </w:pPr>
    </w:p>
    <w:p>
      <w:pPr>
        <w:tabs>
          <w:tab w:val="left" w:leader="dot" w:pos="9200"/>
        </w:tabs>
        <w:spacing w:after="0"/>
        <w:ind w:left="1000"/>
        <w:rPr>
          <w:color w:val="auto"/>
          <w:sz w:val="20"/>
          <w:szCs w:val="20"/>
        </w:rPr>
      </w:pPr>
      <w:r>
        <w:rPr>
          <w:rFonts w:ascii="Cambria" w:hAnsi="Cambria" w:eastAsia="Cambria" w:cs="Cambria"/>
          <w:color w:val="auto"/>
          <w:sz w:val="24"/>
          <w:szCs w:val="24"/>
        </w:rPr>
        <w:t>1.3.1 Vitamin D Absorption, Transport, Metabolism and Biodegradation</w:t>
      </w:r>
      <w:r>
        <w:rPr>
          <w:color w:val="auto"/>
          <w:sz w:val="20"/>
          <w:szCs w:val="20"/>
        </w:rPr>
        <w:tab/>
      </w:r>
      <w:r>
        <w:rPr>
          <w:rFonts w:ascii="Cambria" w:hAnsi="Cambria" w:eastAsia="Cambria" w:cs="Cambria"/>
          <w:color w:val="auto"/>
          <w:sz w:val="24"/>
          <w:szCs w:val="24"/>
        </w:rPr>
        <w:t>5</w:t>
      </w:r>
    </w:p>
    <w:p>
      <w:pPr>
        <w:spacing w:after="0" w:line="283" w:lineRule="exact"/>
        <w:rPr>
          <w:color w:val="auto"/>
          <w:sz w:val="20"/>
          <w:szCs w:val="20"/>
        </w:rPr>
      </w:pPr>
    </w:p>
    <w:p>
      <w:pPr>
        <w:tabs>
          <w:tab w:val="left" w:leader="dot" w:pos="9200"/>
        </w:tabs>
        <w:spacing w:after="0"/>
        <w:ind w:left="960"/>
        <w:rPr>
          <w:color w:val="auto"/>
          <w:sz w:val="20"/>
          <w:szCs w:val="20"/>
        </w:rPr>
      </w:pPr>
      <w:r>
        <w:rPr>
          <w:rFonts w:ascii="Cambria" w:hAnsi="Cambria" w:eastAsia="Cambria" w:cs="Cambria"/>
          <w:color w:val="auto"/>
          <w:sz w:val="24"/>
          <w:szCs w:val="24"/>
        </w:rPr>
        <w:t>1.4 Vitamin D</w:t>
      </w:r>
      <w:r>
        <w:rPr>
          <w:rFonts w:ascii="Cambria" w:hAnsi="Cambria" w:eastAsia="Cambria" w:cs="Cambria"/>
          <w:color w:val="auto"/>
          <w:sz w:val="16"/>
          <w:szCs w:val="16"/>
        </w:rPr>
        <w:t>3</w:t>
      </w:r>
      <w:r>
        <w:rPr>
          <w:rFonts w:ascii="Cambria" w:hAnsi="Cambria" w:eastAsia="Cambria" w:cs="Cambria"/>
          <w:color w:val="auto"/>
          <w:sz w:val="24"/>
          <w:szCs w:val="24"/>
        </w:rPr>
        <w:t>: Calcemic Functions</w:t>
      </w:r>
      <w:r>
        <w:rPr>
          <w:color w:val="auto"/>
          <w:sz w:val="20"/>
          <w:szCs w:val="20"/>
        </w:rPr>
        <w:tab/>
      </w:r>
      <w:r>
        <w:rPr>
          <w:rFonts w:ascii="Cambria" w:hAnsi="Cambria" w:eastAsia="Cambria" w:cs="Cambria"/>
          <w:color w:val="auto"/>
          <w:sz w:val="24"/>
          <w:szCs w:val="24"/>
        </w:rPr>
        <w:t>7</w:t>
      </w:r>
    </w:p>
    <w:p>
      <w:pPr>
        <w:spacing w:after="0" w:line="279" w:lineRule="exact"/>
        <w:rPr>
          <w:color w:val="auto"/>
          <w:sz w:val="20"/>
          <w:szCs w:val="20"/>
        </w:rPr>
      </w:pPr>
    </w:p>
    <w:p>
      <w:pPr>
        <w:tabs>
          <w:tab w:val="left" w:leader="dot" w:pos="9200"/>
        </w:tabs>
        <w:spacing w:after="0"/>
        <w:ind w:left="1000"/>
        <w:rPr>
          <w:color w:val="auto"/>
          <w:sz w:val="20"/>
          <w:szCs w:val="20"/>
        </w:rPr>
      </w:pPr>
      <w:r>
        <w:rPr>
          <w:rFonts w:ascii="Cambria" w:hAnsi="Cambria" w:eastAsia="Cambria" w:cs="Cambria"/>
          <w:color w:val="auto"/>
          <w:sz w:val="24"/>
          <w:szCs w:val="24"/>
        </w:rPr>
        <w:t>1.4.1 Vitamin D</w:t>
      </w:r>
      <w:r>
        <w:rPr>
          <w:rFonts w:ascii="Cambria" w:hAnsi="Cambria" w:eastAsia="Cambria" w:cs="Cambria"/>
          <w:color w:val="auto"/>
          <w:sz w:val="16"/>
          <w:szCs w:val="16"/>
        </w:rPr>
        <w:t>3</w:t>
      </w:r>
      <w:r>
        <w:rPr>
          <w:rFonts w:ascii="Cambria" w:hAnsi="Cambria" w:eastAsia="Cambria" w:cs="Cambria"/>
          <w:color w:val="auto"/>
          <w:sz w:val="24"/>
          <w:szCs w:val="24"/>
        </w:rPr>
        <w:t>: Non-calcemic Functions</w:t>
      </w:r>
      <w:r>
        <w:rPr>
          <w:color w:val="auto"/>
          <w:sz w:val="20"/>
          <w:szCs w:val="20"/>
        </w:rPr>
        <w:tab/>
      </w:r>
      <w:r>
        <w:rPr>
          <w:rFonts w:ascii="Cambria" w:hAnsi="Cambria" w:eastAsia="Cambria" w:cs="Cambria"/>
          <w:color w:val="auto"/>
          <w:sz w:val="24"/>
          <w:szCs w:val="24"/>
        </w:rPr>
        <w:t>8</w:t>
      </w:r>
    </w:p>
    <w:p>
      <w:pPr>
        <w:spacing w:after="0" w:line="281" w:lineRule="exact"/>
        <w:rPr>
          <w:color w:val="auto"/>
          <w:sz w:val="20"/>
          <w:szCs w:val="20"/>
        </w:rPr>
      </w:pPr>
    </w:p>
    <w:p>
      <w:pPr>
        <w:tabs>
          <w:tab w:val="left" w:leader="dot" w:pos="9200"/>
        </w:tabs>
        <w:spacing w:after="0"/>
        <w:ind w:left="960"/>
        <w:rPr>
          <w:color w:val="auto"/>
          <w:sz w:val="20"/>
          <w:szCs w:val="20"/>
        </w:rPr>
      </w:pPr>
      <w:r>
        <w:rPr>
          <w:rFonts w:ascii="Cambria" w:hAnsi="Cambria" w:eastAsia="Cambria" w:cs="Cambria"/>
          <w:color w:val="auto"/>
          <w:sz w:val="24"/>
          <w:szCs w:val="24"/>
        </w:rPr>
        <w:t>1.5 Molecular Mechanism of Vitamin D Genomic Activity</w:t>
      </w:r>
      <w:r>
        <w:rPr>
          <w:color w:val="auto"/>
          <w:sz w:val="20"/>
          <w:szCs w:val="20"/>
        </w:rPr>
        <w:tab/>
      </w:r>
      <w:r>
        <w:rPr>
          <w:rFonts w:ascii="Cambria" w:hAnsi="Cambria" w:eastAsia="Cambria" w:cs="Cambria"/>
          <w:color w:val="auto"/>
          <w:sz w:val="24"/>
          <w:szCs w:val="24"/>
        </w:rPr>
        <w:t>9</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1.6 Epigenetic Modulation of Gene Expression</w:t>
      </w:r>
      <w:r>
        <w:rPr>
          <w:color w:val="auto"/>
          <w:sz w:val="20"/>
          <w:szCs w:val="20"/>
        </w:rPr>
        <w:tab/>
      </w:r>
      <w:r>
        <w:rPr>
          <w:rFonts w:ascii="Cambria" w:hAnsi="Cambria" w:eastAsia="Cambria" w:cs="Cambria"/>
          <w:color w:val="auto"/>
          <w:sz w:val="23"/>
          <w:szCs w:val="23"/>
        </w:rPr>
        <w:t>11</w:t>
      </w:r>
    </w:p>
    <w:p>
      <w:pPr>
        <w:spacing w:after="0" w:line="283"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1.6.1 Histone Modification</w:t>
      </w:r>
      <w:r>
        <w:rPr>
          <w:color w:val="auto"/>
          <w:sz w:val="20"/>
          <w:szCs w:val="20"/>
        </w:rPr>
        <w:tab/>
      </w:r>
      <w:r>
        <w:rPr>
          <w:rFonts w:ascii="Cambria" w:hAnsi="Cambria" w:eastAsia="Cambria" w:cs="Cambria"/>
          <w:color w:val="auto"/>
          <w:sz w:val="23"/>
          <w:szCs w:val="23"/>
        </w:rPr>
        <w:t>12</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1.7 Histone Deacetylase Inhibitors (HDACI)</w:t>
      </w:r>
      <w:r>
        <w:rPr>
          <w:color w:val="auto"/>
          <w:sz w:val="20"/>
          <w:szCs w:val="20"/>
        </w:rPr>
        <w:tab/>
      </w:r>
      <w:r>
        <w:rPr>
          <w:rFonts w:ascii="Cambria" w:hAnsi="Cambria" w:eastAsia="Cambria" w:cs="Cambria"/>
          <w:color w:val="auto"/>
          <w:sz w:val="23"/>
          <w:szCs w:val="23"/>
        </w:rPr>
        <w:t>13</w:t>
      </w:r>
    </w:p>
    <w:p>
      <w:pPr>
        <w:spacing w:after="0" w:line="283"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1.7.1 Trichostatin A (TSA)</w:t>
      </w:r>
      <w:r>
        <w:rPr>
          <w:color w:val="auto"/>
          <w:sz w:val="20"/>
          <w:szCs w:val="20"/>
        </w:rPr>
        <w:tab/>
      </w:r>
      <w:r>
        <w:rPr>
          <w:rFonts w:ascii="Cambria" w:hAnsi="Cambria" w:eastAsia="Cambria" w:cs="Cambria"/>
          <w:color w:val="auto"/>
          <w:sz w:val="23"/>
          <w:szCs w:val="23"/>
        </w:rPr>
        <w:t>14</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1.7.2 Sulforaphane (SFN)</w:t>
      </w:r>
      <w:r>
        <w:rPr>
          <w:color w:val="auto"/>
          <w:sz w:val="20"/>
          <w:szCs w:val="20"/>
        </w:rPr>
        <w:tab/>
      </w:r>
      <w:r>
        <w:rPr>
          <w:rFonts w:ascii="Cambria" w:hAnsi="Cambria" w:eastAsia="Cambria" w:cs="Cambria"/>
          <w:color w:val="auto"/>
          <w:sz w:val="23"/>
          <w:szCs w:val="23"/>
        </w:rPr>
        <w:t>15</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1.7.3 Epigenetic Modulation of Vitamin D Mediated Genes by HDACI</w:t>
      </w:r>
      <w:r>
        <w:rPr>
          <w:color w:val="auto"/>
          <w:sz w:val="20"/>
          <w:szCs w:val="20"/>
        </w:rPr>
        <w:tab/>
      </w:r>
      <w:r>
        <w:rPr>
          <w:rFonts w:ascii="Cambria" w:hAnsi="Cambria" w:eastAsia="Cambria" w:cs="Cambria"/>
          <w:color w:val="auto"/>
          <w:sz w:val="23"/>
          <w:szCs w:val="23"/>
        </w:rPr>
        <w:t>16</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1.8 Vitamin D Effects on MCF-7 Cells</w:t>
      </w:r>
      <w:r>
        <w:rPr>
          <w:color w:val="auto"/>
          <w:sz w:val="20"/>
          <w:szCs w:val="20"/>
        </w:rPr>
        <w:tab/>
      </w:r>
      <w:r>
        <w:rPr>
          <w:rFonts w:ascii="Cambria" w:hAnsi="Cambria" w:eastAsia="Cambria" w:cs="Cambria"/>
          <w:color w:val="auto"/>
          <w:sz w:val="23"/>
          <w:szCs w:val="23"/>
        </w:rPr>
        <w:t>17</w:t>
      </w:r>
    </w:p>
    <w:p>
      <w:pPr>
        <w:sectPr>
          <w:pgSz w:w="12240" w:h="15840"/>
          <w:pgMar w:top="1438"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4940"/>
        <w:rPr>
          <w:color w:val="auto"/>
          <w:sz w:val="20"/>
          <w:szCs w:val="20"/>
        </w:rPr>
      </w:pPr>
      <w:r>
        <w:rPr>
          <w:rFonts w:ascii="Cambria" w:hAnsi="Cambria" w:eastAsia="Cambria" w:cs="Cambria"/>
          <w:color w:val="auto"/>
          <w:sz w:val="24"/>
          <w:szCs w:val="24"/>
        </w:rPr>
        <w:t>ix</w:t>
      </w:r>
    </w:p>
    <w:p>
      <w:pPr>
        <w:sectPr>
          <w:type w:val="continuous"/>
          <w:pgSz w:w="12240" w:h="15840"/>
          <w:pgMar w:top="1438" w:right="1440" w:bottom="156" w:left="1440" w:header="0" w:footer="0" w:gutter="0"/>
          <w:cols w:equalWidth="0" w:num="1">
            <w:col w:w="9360"/>
          </w:cols>
        </w:sectPr>
      </w:pPr>
    </w:p>
    <w:p>
      <w:pPr>
        <w:tabs>
          <w:tab w:val="left" w:leader="dot" w:pos="9060"/>
        </w:tabs>
        <w:spacing w:after="0"/>
        <w:ind w:left="720"/>
        <w:rPr>
          <w:color w:val="auto"/>
          <w:sz w:val="20"/>
          <w:szCs w:val="20"/>
        </w:rPr>
      </w:pPr>
      <w:bookmarkStart w:id="4" w:name="page11"/>
      <w:bookmarkEnd w:id="4"/>
      <w:r>
        <w:rPr>
          <w:rFonts w:ascii="Cambria" w:hAnsi="Cambria" w:eastAsia="Cambria" w:cs="Cambria"/>
          <w:color w:val="auto"/>
          <w:sz w:val="24"/>
          <w:szCs w:val="24"/>
        </w:rPr>
        <w:t>2. PURPOSE OF STUDY</w:t>
      </w:r>
      <w:r>
        <w:rPr>
          <w:color w:val="auto"/>
          <w:sz w:val="20"/>
          <w:szCs w:val="20"/>
        </w:rPr>
        <w:tab/>
      </w:r>
      <w:r>
        <w:rPr>
          <w:rFonts w:ascii="Cambria" w:hAnsi="Cambria" w:eastAsia="Cambria" w:cs="Cambria"/>
          <w:color w:val="auto"/>
          <w:sz w:val="23"/>
          <w:szCs w:val="23"/>
        </w:rPr>
        <w:t>22</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2.1. Overview</w:t>
      </w:r>
      <w:r>
        <w:rPr>
          <w:color w:val="auto"/>
          <w:sz w:val="20"/>
          <w:szCs w:val="20"/>
        </w:rPr>
        <w:tab/>
      </w:r>
      <w:r>
        <w:rPr>
          <w:rFonts w:ascii="Cambria" w:hAnsi="Cambria" w:eastAsia="Cambria" w:cs="Cambria"/>
          <w:color w:val="auto"/>
          <w:sz w:val="23"/>
          <w:szCs w:val="23"/>
        </w:rPr>
        <w:t>22</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2.2. Specific Aims and Hypotheses</w:t>
      </w:r>
      <w:r>
        <w:rPr>
          <w:color w:val="auto"/>
          <w:sz w:val="20"/>
          <w:szCs w:val="20"/>
        </w:rPr>
        <w:tab/>
      </w:r>
      <w:r>
        <w:rPr>
          <w:rFonts w:ascii="Cambria" w:hAnsi="Cambria" w:eastAsia="Cambria" w:cs="Cambria"/>
          <w:color w:val="auto"/>
          <w:sz w:val="23"/>
          <w:szCs w:val="23"/>
        </w:rPr>
        <w:t>23</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2.3. Significance</w:t>
      </w:r>
      <w:r>
        <w:rPr>
          <w:color w:val="auto"/>
          <w:sz w:val="20"/>
          <w:szCs w:val="20"/>
        </w:rPr>
        <w:tab/>
      </w:r>
      <w:r>
        <w:rPr>
          <w:rFonts w:ascii="Cambria" w:hAnsi="Cambria" w:eastAsia="Cambria" w:cs="Cambria"/>
          <w:color w:val="auto"/>
          <w:sz w:val="23"/>
          <w:szCs w:val="23"/>
        </w:rPr>
        <w:t>24</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2.4. Limitations</w:t>
      </w:r>
      <w:r>
        <w:rPr>
          <w:color w:val="auto"/>
          <w:sz w:val="20"/>
          <w:szCs w:val="20"/>
        </w:rPr>
        <w:tab/>
      </w:r>
      <w:r>
        <w:rPr>
          <w:rFonts w:ascii="Cambria" w:hAnsi="Cambria" w:eastAsia="Cambria" w:cs="Cambria"/>
          <w:color w:val="auto"/>
          <w:sz w:val="23"/>
          <w:szCs w:val="23"/>
        </w:rPr>
        <w:t>25</w:t>
      </w:r>
    </w:p>
    <w:p>
      <w:pPr>
        <w:spacing w:after="0" w:line="200" w:lineRule="exact"/>
        <w:rPr>
          <w:color w:val="auto"/>
          <w:sz w:val="20"/>
          <w:szCs w:val="20"/>
        </w:rPr>
      </w:pPr>
    </w:p>
    <w:p>
      <w:pPr>
        <w:spacing w:after="0" w:line="363"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3. EXPERIMENTAL DESIGN AND METHODS</w:t>
      </w:r>
      <w:r>
        <w:rPr>
          <w:color w:val="auto"/>
          <w:sz w:val="20"/>
          <w:szCs w:val="20"/>
        </w:rPr>
        <w:tab/>
      </w:r>
      <w:r>
        <w:rPr>
          <w:rFonts w:ascii="Cambria" w:hAnsi="Cambria" w:eastAsia="Cambria" w:cs="Cambria"/>
          <w:color w:val="auto"/>
          <w:sz w:val="23"/>
          <w:szCs w:val="23"/>
        </w:rPr>
        <w:t>26</w:t>
      </w:r>
    </w:p>
    <w:p>
      <w:pPr>
        <w:spacing w:after="0" w:line="280" w:lineRule="exact"/>
        <w:rPr>
          <w:color w:val="auto"/>
          <w:sz w:val="20"/>
          <w:szCs w:val="20"/>
        </w:rPr>
      </w:pPr>
    </w:p>
    <w:p>
      <w:pPr>
        <w:tabs>
          <w:tab w:val="left" w:pos="1500"/>
          <w:tab w:val="left" w:leader="dot" w:pos="9060"/>
        </w:tabs>
        <w:spacing w:after="0"/>
        <w:ind w:left="960"/>
        <w:rPr>
          <w:color w:val="auto"/>
          <w:sz w:val="20"/>
          <w:szCs w:val="20"/>
        </w:rPr>
      </w:pPr>
      <w:r>
        <w:rPr>
          <w:rFonts w:ascii="Cambria" w:hAnsi="Cambria" w:eastAsia="Cambria" w:cs="Cambria"/>
          <w:color w:val="auto"/>
          <w:sz w:val="24"/>
          <w:szCs w:val="24"/>
        </w:rPr>
        <w:t>3.1</w:t>
      </w:r>
      <w:r>
        <w:rPr>
          <w:rFonts w:ascii="Cambria" w:hAnsi="Cambria" w:eastAsia="Cambria" w:cs="Cambria"/>
          <w:color w:val="auto"/>
          <w:sz w:val="24"/>
          <w:szCs w:val="24"/>
        </w:rPr>
        <w:tab/>
      </w:r>
      <w:r>
        <w:rPr>
          <w:rFonts w:ascii="Cambria" w:hAnsi="Cambria" w:eastAsia="Cambria" w:cs="Cambria"/>
          <w:color w:val="auto"/>
          <w:sz w:val="24"/>
          <w:szCs w:val="24"/>
        </w:rPr>
        <w:t>Experimental Design</w:t>
      </w:r>
      <w:r>
        <w:rPr>
          <w:color w:val="auto"/>
          <w:sz w:val="20"/>
          <w:szCs w:val="20"/>
        </w:rPr>
        <w:tab/>
      </w:r>
      <w:r>
        <w:rPr>
          <w:rFonts w:ascii="Cambria" w:hAnsi="Cambria" w:eastAsia="Cambria" w:cs="Cambria"/>
          <w:color w:val="auto"/>
          <w:sz w:val="23"/>
          <w:szCs w:val="23"/>
        </w:rPr>
        <w:t>26</w:t>
      </w:r>
    </w:p>
    <w:p>
      <w:pPr>
        <w:spacing w:after="0" w:line="283" w:lineRule="exact"/>
        <w:rPr>
          <w:color w:val="auto"/>
          <w:sz w:val="20"/>
          <w:szCs w:val="20"/>
        </w:rPr>
      </w:pPr>
    </w:p>
    <w:p>
      <w:pPr>
        <w:tabs>
          <w:tab w:val="left" w:pos="1500"/>
          <w:tab w:val="left" w:leader="dot" w:pos="9060"/>
        </w:tabs>
        <w:spacing w:after="0"/>
        <w:ind w:left="960"/>
        <w:rPr>
          <w:color w:val="auto"/>
          <w:sz w:val="20"/>
          <w:szCs w:val="20"/>
        </w:rPr>
      </w:pPr>
      <w:r>
        <w:rPr>
          <w:rFonts w:ascii="Cambria" w:hAnsi="Cambria" w:eastAsia="Cambria" w:cs="Cambria"/>
          <w:color w:val="auto"/>
          <w:sz w:val="24"/>
          <w:szCs w:val="24"/>
        </w:rPr>
        <w:t>3.2</w:t>
      </w:r>
      <w:r>
        <w:rPr>
          <w:rFonts w:ascii="Cambria" w:hAnsi="Cambria" w:eastAsia="Cambria" w:cs="Cambria"/>
          <w:color w:val="auto"/>
          <w:sz w:val="24"/>
          <w:szCs w:val="24"/>
        </w:rPr>
        <w:tab/>
      </w:r>
      <w:r>
        <w:rPr>
          <w:rFonts w:ascii="Cambria" w:hAnsi="Cambria" w:eastAsia="Cambria" w:cs="Cambria"/>
          <w:color w:val="auto"/>
          <w:sz w:val="24"/>
          <w:szCs w:val="24"/>
        </w:rPr>
        <w:t>Methods</w:t>
      </w:r>
      <w:r>
        <w:rPr>
          <w:color w:val="auto"/>
          <w:sz w:val="20"/>
          <w:szCs w:val="20"/>
        </w:rPr>
        <w:tab/>
      </w:r>
      <w:r>
        <w:rPr>
          <w:rFonts w:ascii="Cambria" w:hAnsi="Cambria" w:eastAsia="Cambria" w:cs="Cambria"/>
          <w:color w:val="auto"/>
          <w:sz w:val="23"/>
          <w:szCs w:val="23"/>
        </w:rPr>
        <w:t>26</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3.2.1 Cell Culture</w:t>
      </w:r>
      <w:r>
        <w:rPr>
          <w:color w:val="auto"/>
          <w:sz w:val="20"/>
          <w:szCs w:val="20"/>
        </w:rPr>
        <w:tab/>
      </w:r>
      <w:r>
        <w:rPr>
          <w:rFonts w:ascii="Cambria" w:hAnsi="Cambria" w:eastAsia="Cambria" w:cs="Cambria"/>
          <w:color w:val="auto"/>
          <w:sz w:val="23"/>
          <w:szCs w:val="23"/>
        </w:rPr>
        <w:t>26</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3.2.2 Experiment 1: Effect of TSA on Vitamin D-Induced Gene Expression</w:t>
      </w:r>
      <w:r>
        <w:rPr>
          <w:color w:val="auto"/>
          <w:sz w:val="20"/>
          <w:szCs w:val="20"/>
        </w:rPr>
        <w:tab/>
      </w:r>
      <w:r>
        <w:rPr>
          <w:rFonts w:ascii="Cambria" w:hAnsi="Cambria" w:eastAsia="Cambria" w:cs="Cambria"/>
          <w:color w:val="auto"/>
          <w:sz w:val="23"/>
          <w:szCs w:val="23"/>
        </w:rPr>
        <w:t>27</w:t>
      </w:r>
    </w:p>
    <w:p>
      <w:pPr>
        <w:spacing w:after="0" w:line="294" w:lineRule="exact"/>
        <w:rPr>
          <w:color w:val="auto"/>
          <w:sz w:val="20"/>
          <w:szCs w:val="20"/>
        </w:rPr>
      </w:pPr>
    </w:p>
    <w:p>
      <w:pPr>
        <w:spacing w:after="0"/>
        <w:ind w:left="1000"/>
        <w:rPr>
          <w:color w:val="auto"/>
          <w:sz w:val="20"/>
          <w:szCs w:val="20"/>
        </w:rPr>
      </w:pPr>
      <w:r>
        <w:rPr>
          <w:rFonts w:ascii="Cambria" w:hAnsi="Cambria" w:eastAsia="Cambria" w:cs="Cambria"/>
          <w:color w:val="auto"/>
          <w:sz w:val="23"/>
          <w:szCs w:val="23"/>
        </w:rPr>
        <w:t>3.2.3 Experiment 2: Effect of SFN &amp; TSA on Vitamin D-Induced Gene Expression28</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3.3 Gene Expression Analysis</w:t>
      </w:r>
      <w:r>
        <w:rPr>
          <w:color w:val="auto"/>
          <w:sz w:val="20"/>
          <w:szCs w:val="20"/>
        </w:rPr>
        <w:tab/>
      </w:r>
      <w:r>
        <w:rPr>
          <w:rFonts w:ascii="Cambria" w:hAnsi="Cambria" w:eastAsia="Cambria" w:cs="Cambria"/>
          <w:color w:val="auto"/>
          <w:sz w:val="23"/>
          <w:szCs w:val="23"/>
        </w:rPr>
        <w:t>28</w:t>
      </w:r>
    </w:p>
    <w:p>
      <w:pPr>
        <w:spacing w:after="0" w:line="283"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3.3.1 RNA Isolation and Quantification</w:t>
      </w:r>
      <w:r>
        <w:rPr>
          <w:color w:val="auto"/>
          <w:sz w:val="20"/>
          <w:szCs w:val="20"/>
        </w:rPr>
        <w:tab/>
      </w:r>
      <w:r>
        <w:rPr>
          <w:rFonts w:ascii="Cambria" w:hAnsi="Cambria" w:eastAsia="Cambria" w:cs="Cambria"/>
          <w:color w:val="auto"/>
          <w:sz w:val="23"/>
          <w:szCs w:val="23"/>
        </w:rPr>
        <w:t>28</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3.3.2 Real Time PCR</w:t>
      </w:r>
      <w:r>
        <w:rPr>
          <w:color w:val="auto"/>
          <w:sz w:val="20"/>
          <w:szCs w:val="20"/>
        </w:rPr>
        <w:tab/>
      </w:r>
      <w:r>
        <w:rPr>
          <w:rFonts w:ascii="Cambria" w:hAnsi="Cambria" w:eastAsia="Cambria" w:cs="Cambria"/>
          <w:color w:val="auto"/>
          <w:sz w:val="23"/>
          <w:szCs w:val="23"/>
        </w:rPr>
        <w:t>29</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3.4 Statistical Analysis</w:t>
      </w:r>
      <w:r>
        <w:rPr>
          <w:color w:val="auto"/>
          <w:sz w:val="20"/>
          <w:szCs w:val="20"/>
        </w:rPr>
        <w:tab/>
      </w:r>
      <w:r>
        <w:rPr>
          <w:rFonts w:ascii="Cambria" w:hAnsi="Cambria" w:eastAsia="Cambria" w:cs="Cambria"/>
          <w:color w:val="auto"/>
          <w:sz w:val="23"/>
          <w:szCs w:val="23"/>
        </w:rPr>
        <w:t>30</w:t>
      </w:r>
    </w:p>
    <w:p>
      <w:pPr>
        <w:spacing w:after="0" w:line="200" w:lineRule="exact"/>
        <w:rPr>
          <w:color w:val="auto"/>
          <w:sz w:val="20"/>
          <w:szCs w:val="20"/>
        </w:rPr>
      </w:pPr>
    </w:p>
    <w:p>
      <w:pPr>
        <w:spacing w:after="0" w:line="363"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4.RESULTS</w:t>
      </w:r>
      <w:r>
        <w:rPr>
          <w:color w:val="auto"/>
          <w:sz w:val="20"/>
          <w:szCs w:val="20"/>
        </w:rPr>
        <w:tab/>
      </w:r>
      <w:r>
        <w:rPr>
          <w:rFonts w:ascii="Cambria" w:hAnsi="Cambria" w:eastAsia="Cambria" w:cs="Cambria"/>
          <w:color w:val="auto"/>
          <w:sz w:val="23"/>
          <w:szCs w:val="23"/>
        </w:rPr>
        <w:t>31</w:t>
      </w:r>
    </w:p>
    <w:p>
      <w:pPr>
        <w:spacing w:after="0" w:line="280" w:lineRule="exact"/>
        <w:rPr>
          <w:color w:val="auto"/>
          <w:sz w:val="20"/>
          <w:szCs w:val="20"/>
        </w:rPr>
      </w:pPr>
    </w:p>
    <w:p>
      <w:pPr>
        <w:tabs>
          <w:tab w:val="left" w:pos="1500"/>
          <w:tab w:val="left" w:leader="dot" w:pos="9060"/>
        </w:tabs>
        <w:spacing w:after="0"/>
        <w:ind w:left="960"/>
        <w:rPr>
          <w:color w:val="auto"/>
          <w:sz w:val="20"/>
          <w:szCs w:val="20"/>
        </w:rPr>
      </w:pPr>
      <w:r>
        <w:rPr>
          <w:rFonts w:ascii="Cambria" w:hAnsi="Cambria" w:eastAsia="Cambria" w:cs="Cambria"/>
          <w:color w:val="auto"/>
          <w:sz w:val="24"/>
          <w:szCs w:val="24"/>
        </w:rPr>
        <w:t>4.1</w:t>
      </w:r>
      <w:r>
        <w:rPr>
          <w:rFonts w:ascii="Cambria" w:hAnsi="Cambria" w:eastAsia="Cambria" w:cs="Cambria"/>
          <w:color w:val="auto"/>
          <w:sz w:val="24"/>
          <w:szCs w:val="24"/>
        </w:rPr>
        <w:tab/>
      </w:r>
      <w:r>
        <w:rPr>
          <w:rFonts w:ascii="Cambria" w:hAnsi="Cambria" w:eastAsia="Cambria" w:cs="Cambria"/>
          <w:color w:val="auto"/>
          <w:sz w:val="24"/>
          <w:szCs w:val="24"/>
        </w:rPr>
        <w:t>Experiment 1: Effect of TSA on Vitamin D-Induced Gene Expression</w:t>
      </w:r>
      <w:r>
        <w:rPr>
          <w:color w:val="auto"/>
          <w:sz w:val="20"/>
          <w:szCs w:val="20"/>
        </w:rPr>
        <w:tab/>
      </w:r>
      <w:r>
        <w:rPr>
          <w:rFonts w:ascii="Cambria" w:hAnsi="Cambria" w:eastAsia="Cambria" w:cs="Cambria"/>
          <w:color w:val="auto"/>
          <w:sz w:val="23"/>
          <w:szCs w:val="23"/>
        </w:rPr>
        <w:t>31</w:t>
      </w:r>
    </w:p>
    <w:p>
      <w:pPr>
        <w:spacing w:after="0" w:line="283"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4.1.1 VDR mRNA</w:t>
      </w:r>
      <w:r>
        <w:rPr>
          <w:color w:val="auto"/>
          <w:sz w:val="20"/>
          <w:szCs w:val="20"/>
        </w:rPr>
        <w:tab/>
      </w:r>
      <w:r>
        <w:rPr>
          <w:rFonts w:ascii="Cambria" w:hAnsi="Cambria" w:eastAsia="Cambria" w:cs="Cambria"/>
          <w:color w:val="auto"/>
          <w:sz w:val="23"/>
          <w:szCs w:val="23"/>
        </w:rPr>
        <w:t>31</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4.1.2 CYP24A1 mRNA</w:t>
      </w:r>
      <w:r>
        <w:rPr>
          <w:color w:val="auto"/>
          <w:sz w:val="20"/>
          <w:szCs w:val="20"/>
        </w:rPr>
        <w:tab/>
      </w:r>
      <w:r>
        <w:rPr>
          <w:rFonts w:ascii="Cambria" w:hAnsi="Cambria" w:eastAsia="Cambria" w:cs="Cambria"/>
          <w:color w:val="auto"/>
          <w:sz w:val="23"/>
          <w:szCs w:val="23"/>
        </w:rPr>
        <w:t>31</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4.1.3 TRPV6 mRNA</w:t>
      </w:r>
      <w:r>
        <w:rPr>
          <w:color w:val="auto"/>
          <w:sz w:val="20"/>
          <w:szCs w:val="20"/>
        </w:rPr>
        <w:tab/>
      </w:r>
      <w:r>
        <w:rPr>
          <w:rFonts w:ascii="Cambria" w:hAnsi="Cambria" w:eastAsia="Cambria" w:cs="Cambria"/>
          <w:color w:val="auto"/>
          <w:sz w:val="23"/>
          <w:szCs w:val="23"/>
        </w:rPr>
        <w:t>32</w:t>
      </w:r>
    </w:p>
    <w:p>
      <w:pPr>
        <w:spacing w:after="0" w:line="283" w:lineRule="exact"/>
        <w:rPr>
          <w:color w:val="auto"/>
          <w:sz w:val="20"/>
          <w:szCs w:val="20"/>
        </w:rPr>
      </w:pPr>
    </w:p>
    <w:p>
      <w:pPr>
        <w:tabs>
          <w:tab w:val="left" w:pos="1500"/>
        </w:tabs>
        <w:spacing w:after="0"/>
        <w:ind w:left="960"/>
        <w:rPr>
          <w:color w:val="auto"/>
          <w:sz w:val="20"/>
          <w:szCs w:val="20"/>
        </w:rPr>
      </w:pPr>
      <w:r>
        <w:rPr>
          <w:rFonts w:ascii="Cambria" w:hAnsi="Cambria" w:eastAsia="Cambria" w:cs="Cambria"/>
          <w:color w:val="auto"/>
          <w:sz w:val="24"/>
          <w:szCs w:val="24"/>
        </w:rPr>
        <w:t>4.2</w:t>
      </w:r>
      <w:r>
        <w:rPr>
          <w:color w:val="auto"/>
          <w:sz w:val="20"/>
          <w:szCs w:val="20"/>
        </w:rPr>
        <w:tab/>
      </w:r>
      <w:r>
        <w:rPr>
          <w:rFonts w:ascii="Cambria" w:hAnsi="Cambria" w:eastAsia="Cambria" w:cs="Cambria"/>
          <w:color w:val="auto"/>
          <w:sz w:val="23"/>
          <w:szCs w:val="23"/>
        </w:rPr>
        <w:t>Experiment 2: Effect of SFN &amp; TSA on Vitamin D-Induced Gene Expression 34</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4.2.1 VDR mRNA</w:t>
      </w:r>
      <w:r>
        <w:rPr>
          <w:color w:val="auto"/>
          <w:sz w:val="20"/>
          <w:szCs w:val="20"/>
        </w:rPr>
        <w:tab/>
      </w:r>
      <w:r>
        <w:rPr>
          <w:rFonts w:ascii="Cambria" w:hAnsi="Cambria" w:eastAsia="Cambria" w:cs="Cambria"/>
          <w:color w:val="auto"/>
          <w:sz w:val="23"/>
          <w:szCs w:val="23"/>
        </w:rPr>
        <w:t>34</w:t>
      </w:r>
    </w:p>
    <w:p>
      <w:pPr>
        <w:sectPr>
          <w:pgSz w:w="12240" w:h="15840"/>
          <w:pgMar w:top="1438"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x</w:t>
      </w:r>
    </w:p>
    <w:p>
      <w:pPr>
        <w:sectPr>
          <w:type w:val="continuous"/>
          <w:pgSz w:w="12240" w:h="15840"/>
          <w:pgMar w:top="1438" w:right="1440" w:bottom="156" w:left="1440" w:header="0" w:footer="0" w:gutter="0"/>
          <w:cols w:equalWidth="0" w:num="1">
            <w:col w:w="9360"/>
          </w:cols>
        </w:sectPr>
      </w:pPr>
    </w:p>
    <w:p>
      <w:pPr>
        <w:tabs>
          <w:tab w:val="left" w:leader="dot" w:pos="9060"/>
        </w:tabs>
        <w:spacing w:after="0"/>
        <w:ind w:left="1000"/>
        <w:rPr>
          <w:color w:val="auto"/>
          <w:sz w:val="20"/>
          <w:szCs w:val="20"/>
        </w:rPr>
      </w:pPr>
      <w:bookmarkStart w:id="5" w:name="page12"/>
      <w:bookmarkEnd w:id="5"/>
      <w:r>
        <w:rPr>
          <w:rFonts w:ascii="Cambria" w:hAnsi="Cambria" w:eastAsia="Cambria" w:cs="Cambria"/>
          <w:color w:val="auto"/>
          <w:sz w:val="24"/>
          <w:szCs w:val="24"/>
        </w:rPr>
        <w:t>4.2.2 CYP24A1 mRNA</w:t>
      </w:r>
      <w:r>
        <w:rPr>
          <w:color w:val="auto"/>
          <w:sz w:val="20"/>
          <w:szCs w:val="20"/>
        </w:rPr>
        <w:tab/>
      </w:r>
      <w:r>
        <w:rPr>
          <w:rFonts w:ascii="Cambria" w:hAnsi="Cambria" w:eastAsia="Cambria" w:cs="Cambria"/>
          <w:color w:val="auto"/>
          <w:sz w:val="23"/>
          <w:szCs w:val="23"/>
        </w:rPr>
        <w:t>35</w:t>
      </w:r>
    </w:p>
    <w:p>
      <w:pPr>
        <w:spacing w:after="0" w:line="280"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4.2.3 CYP27B1 mRNA</w:t>
      </w:r>
      <w:r>
        <w:rPr>
          <w:color w:val="auto"/>
          <w:sz w:val="20"/>
          <w:szCs w:val="20"/>
        </w:rPr>
        <w:tab/>
      </w:r>
      <w:r>
        <w:rPr>
          <w:rFonts w:ascii="Cambria" w:hAnsi="Cambria" w:eastAsia="Cambria" w:cs="Cambria"/>
          <w:color w:val="auto"/>
          <w:sz w:val="23"/>
          <w:szCs w:val="23"/>
        </w:rPr>
        <w:t>35</w:t>
      </w:r>
    </w:p>
    <w:p>
      <w:pPr>
        <w:spacing w:after="0" w:line="283" w:lineRule="exact"/>
        <w:rPr>
          <w:color w:val="auto"/>
          <w:sz w:val="20"/>
          <w:szCs w:val="20"/>
        </w:rPr>
      </w:pPr>
    </w:p>
    <w:p>
      <w:pPr>
        <w:tabs>
          <w:tab w:val="left" w:leader="dot" w:pos="9060"/>
        </w:tabs>
        <w:spacing w:after="0"/>
        <w:ind w:left="1000"/>
        <w:rPr>
          <w:color w:val="auto"/>
          <w:sz w:val="20"/>
          <w:szCs w:val="20"/>
        </w:rPr>
      </w:pPr>
      <w:r>
        <w:rPr>
          <w:rFonts w:ascii="Cambria" w:hAnsi="Cambria" w:eastAsia="Cambria" w:cs="Cambria"/>
          <w:color w:val="auto"/>
          <w:sz w:val="24"/>
          <w:szCs w:val="24"/>
        </w:rPr>
        <w:t>4.2.4 TRPV6 mRNA</w:t>
      </w:r>
      <w:r>
        <w:rPr>
          <w:color w:val="auto"/>
          <w:sz w:val="20"/>
          <w:szCs w:val="20"/>
        </w:rPr>
        <w:tab/>
      </w:r>
      <w:r>
        <w:rPr>
          <w:rFonts w:ascii="Cambria" w:hAnsi="Cambria" w:eastAsia="Cambria" w:cs="Cambria"/>
          <w:color w:val="auto"/>
          <w:sz w:val="23"/>
          <w:szCs w:val="23"/>
        </w:rPr>
        <w:t>36</w:t>
      </w:r>
    </w:p>
    <w:p>
      <w:pPr>
        <w:spacing w:after="0" w:line="200" w:lineRule="exact"/>
        <w:rPr>
          <w:color w:val="auto"/>
          <w:sz w:val="20"/>
          <w:szCs w:val="20"/>
        </w:rPr>
      </w:pPr>
    </w:p>
    <w:p>
      <w:pPr>
        <w:spacing w:after="0" w:line="363"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5. DISCUSSION</w:t>
      </w:r>
      <w:r>
        <w:rPr>
          <w:color w:val="auto"/>
          <w:sz w:val="20"/>
          <w:szCs w:val="20"/>
        </w:rPr>
        <w:tab/>
      </w:r>
      <w:r>
        <w:rPr>
          <w:rFonts w:ascii="Cambria" w:hAnsi="Cambria" w:eastAsia="Cambria" w:cs="Cambria"/>
          <w:color w:val="auto"/>
          <w:sz w:val="23"/>
          <w:szCs w:val="23"/>
        </w:rPr>
        <w:t>39</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5.1 Treatment Effects on VDR Gene Expression</w:t>
      </w:r>
      <w:r>
        <w:rPr>
          <w:color w:val="auto"/>
          <w:sz w:val="20"/>
          <w:szCs w:val="20"/>
        </w:rPr>
        <w:tab/>
      </w:r>
      <w:r>
        <w:rPr>
          <w:rFonts w:ascii="Cambria" w:hAnsi="Cambria" w:eastAsia="Cambria" w:cs="Cambria"/>
          <w:color w:val="auto"/>
          <w:sz w:val="23"/>
          <w:szCs w:val="23"/>
        </w:rPr>
        <w:t>41</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5.2 Treatment Effects on CYP24A1 Gene Expression</w:t>
      </w:r>
      <w:r>
        <w:rPr>
          <w:color w:val="auto"/>
          <w:sz w:val="20"/>
          <w:szCs w:val="20"/>
        </w:rPr>
        <w:tab/>
      </w:r>
      <w:r>
        <w:rPr>
          <w:rFonts w:ascii="Cambria" w:hAnsi="Cambria" w:eastAsia="Cambria" w:cs="Cambria"/>
          <w:color w:val="auto"/>
          <w:sz w:val="23"/>
          <w:szCs w:val="23"/>
        </w:rPr>
        <w:t>44</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5.3 Treatment Effects on CYP27B1 Gene Expression</w:t>
      </w:r>
      <w:r>
        <w:rPr>
          <w:color w:val="auto"/>
          <w:sz w:val="20"/>
          <w:szCs w:val="20"/>
        </w:rPr>
        <w:tab/>
      </w:r>
      <w:r>
        <w:rPr>
          <w:rFonts w:ascii="Cambria" w:hAnsi="Cambria" w:eastAsia="Cambria" w:cs="Cambria"/>
          <w:color w:val="auto"/>
          <w:sz w:val="23"/>
          <w:szCs w:val="23"/>
        </w:rPr>
        <w:t>45</w:t>
      </w:r>
    </w:p>
    <w:p>
      <w:pPr>
        <w:spacing w:after="0" w:line="283"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5.4 Treatment Effects on TRPV6 Gene Expression</w:t>
      </w:r>
      <w:r>
        <w:rPr>
          <w:color w:val="auto"/>
          <w:sz w:val="20"/>
          <w:szCs w:val="20"/>
        </w:rPr>
        <w:tab/>
      </w:r>
      <w:r>
        <w:rPr>
          <w:rFonts w:ascii="Cambria" w:hAnsi="Cambria" w:eastAsia="Cambria" w:cs="Cambria"/>
          <w:color w:val="auto"/>
          <w:sz w:val="23"/>
          <w:szCs w:val="23"/>
        </w:rPr>
        <w:t>47</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5.5 Limitations</w:t>
      </w:r>
      <w:r>
        <w:rPr>
          <w:color w:val="auto"/>
          <w:sz w:val="20"/>
          <w:szCs w:val="20"/>
        </w:rPr>
        <w:tab/>
      </w:r>
      <w:r>
        <w:rPr>
          <w:rFonts w:ascii="Cambria" w:hAnsi="Cambria" w:eastAsia="Cambria" w:cs="Cambria"/>
          <w:color w:val="auto"/>
          <w:sz w:val="23"/>
          <w:szCs w:val="23"/>
        </w:rPr>
        <w:t>47</w:t>
      </w:r>
    </w:p>
    <w:p>
      <w:pPr>
        <w:spacing w:after="0" w:line="200" w:lineRule="exact"/>
        <w:rPr>
          <w:color w:val="auto"/>
          <w:sz w:val="20"/>
          <w:szCs w:val="20"/>
        </w:rPr>
      </w:pPr>
    </w:p>
    <w:p>
      <w:pPr>
        <w:spacing w:after="0" w:line="363"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6. SUMMARY AND CONCLUSIONS</w:t>
      </w:r>
      <w:r>
        <w:rPr>
          <w:color w:val="auto"/>
          <w:sz w:val="20"/>
          <w:szCs w:val="20"/>
        </w:rPr>
        <w:tab/>
      </w:r>
      <w:r>
        <w:rPr>
          <w:rFonts w:ascii="Cambria" w:hAnsi="Cambria" w:eastAsia="Cambria" w:cs="Cambria"/>
          <w:color w:val="auto"/>
          <w:sz w:val="23"/>
          <w:szCs w:val="23"/>
        </w:rPr>
        <w:t>49</w:t>
      </w:r>
    </w:p>
    <w:p>
      <w:pPr>
        <w:spacing w:after="0" w:line="280" w:lineRule="exact"/>
        <w:rPr>
          <w:color w:val="auto"/>
          <w:sz w:val="20"/>
          <w:szCs w:val="20"/>
        </w:rPr>
      </w:pPr>
    </w:p>
    <w:p>
      <w:pPr>
        <w:tabs>
          <w:tab w:val="left" w:leader="dot" w:pos="9060"/>
        </w:tabs>
        <w:spacing w:after="0"/>
        <w:ind w:left="960"/>
        <w:rPr>
          <w:color w:val="auto"/>
          <w:sz w:val="20"/>
          <w:szCs w:val="20"/>
        </w:rPr>
      </w:pPr>
      <w:r>
        <w:rPr>
          <w:rFonts w:ascii="Cambria" w:hAnsi="Cambria" w:eastAsia="Cambria" w:cs="Cambria"/>
          <w:color w:val="auto"/>
          <w:sz w:val="24"/>
          <w:szCs w:val="24"/>
        </w:rPr>
        <w:t>6.1 Further Research</w:t>
      </w:r>
      <w:r>
        <w:rPr>
          <w:color w:val="auto"/>
          <w:sz w:val="20"/>
          <w:szCs w:val="20"/>
        </w:rPr>
        <w:tab/>
      </w:r>
      <w:r>
        <w:rPr>
          <w:rFonts w:ascii="Cambria" w:hAnsi="Cambria" w:eastAsia="Cambria" w:cs="Cambria"/>
          <w:color w:val="auto"/>
          <w:sz w:val="23"/>
          <w:szCs w:val="23"/>
        </w:rPr>
        <w:t>50</w:t>
      </w:r>
    </w:p>
    <w:p>
      <w:pPr>
        <w:spacing w:after="0" w:line="200" w:lineRule="exact"/>
        <w:rPr>
          <w:color w:val="auto"/>
          <w:sz w:val="20"/>
          <w:szCs w:val="20"/>
        </w:rPr>
      </w:pPr>
    </w:p>
    <w:p>
      <w:pPr>
        <w:spacing w:after="0" w:line="36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APPENDICES</w:t>
      </w:r>
    </w:p>
    <w:p>
      <w:pPr>
        <w:spacing w:after="0" w:line="280"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A. TREATMENT CALCULATIONS</w:t>
      </w:r>
      <w:r>
        <w:rPr>
          <w:color w:val="auto"/>
          <w:sz w:val="20"/>
          <w:szCs w:val="20"/>
        </w:rPr>
        <w:tab/>
      </w:r>
      <w:r>
        <w:rPr>
          <w:rFonts w:ascii="Cambria" w:hAnsi="Cambria" w:eastAsia="Cambria" w:cs="Cambria"/>
          <w:color w:val="auto"/>
          <w:sz w:val="23"/>
          <w:szCs w:val="23"/>
        </w:rPr>
        <w:t>52</w:t>
      </w:r>
    </w:p>
    <w:p>
      <w:pPr>
        <w:spacing w:after="0" w:line="283"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B. LABORATORY PROTOCOLS</w:t>
      </w:r>
      <w:r>
        <w:rPr>
          <w:color w:val="auto"/>
          <w:sz w:val="20"/>
          <w:szCs w:val="20"/>
        </w:rPr>
        <w:tab/>
      </w:r>
      <w:r>
        <w:rPr>
          <w:rFonts w:ascii="Cambria" w:hAnsi="Cambria" w:eastAsia="Cambria" w:cs="Cambria"/>
          <w:color w:val="auto"/>
          <w:sz w:val="23"/>
          <w:szCs w:val="23"/>
        </w:rPr>
        <w:t>53</w:t>
      </w:r>
    </w:p>
    <w:p>
      <w:pPr>
        <w:spacing w:after="0" w:line="280" w:lineRule="exact"/>
        <w:rPr>
          <w:color w:val="auto"/>
          <w:sz w:val="20"/>
          <w:szCs w:val="20"/>
        </w:rPr>
      </w:pPr>
    </w:p>
    <w:p>
      <w:pPr>
        <w:tabs>
          <w:tab w:val="left" w:leader="dot" w:pos="9060"/>
        </w:tabs>
        <w:spacing w:after="0"/>
        <w:ind w:left="720"/>
        <w:rPr>
          <w:color w:val="auto"/>
          <w:sz w:val="20"/>
          <w:szCs w:val="20"/>
        </w:rPr>
      </w:pPr>
      <w:r>
        <w:rPr>
          <w:rFonts w:ascii="Cambria" w:hAnsi="Cambria" w:eastAsia="Cambria" w:cs="Cambria"/>
          <w:color w:val="auto"/>
          <w:sz w:val="24"/>
          <w:szCs w:val="24"/>
        </w:rPr>
        <w:t>REFERENCES</w:t>
      </w:r>
      <w:r>
        <w:rPr>
          <w:color w:val="auto"/>
          <w:sz w:val="20"/>
          <w:szCs w:val="20"/>
        </w:rPr>
        <w:tab/>
      </w:r>
      <w:r>
        <w:rPr>
          <w:rFonts w:ascii="Cambria" w:hAnsi="Cambria" w:eastAsia="Cambria" w:cs="Cambria"/>
          <w:color w:val="auto"/>
          <w:sz w:val="23"/>
          <w:szCs w:val="23"/>
        </w:rPr>
        <w:t>60</w:t>
      </w:r>
    </w:p>
    <w:p>
      <w:pPr>
        <w:sectPr>
          <w:pgSz w:w="12240" w:h="15840"/>
          <w:pgMar w:top="1438"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ind w:left="4940"/>
        <w:rPr>
          <w:color w:val="auto"/>
          <w:sz w:val="20"/>
          <w:szCs w:val="20"/>
        </w:rPr>
      </w:pPr>
      <w:r>
        <w:rPr>
          <w:rFonts w:ascii="Cambria" w:hAnsi="Cambria" w:eastAsia="Cambria" w:cs="Cambria"/>
          <w:color w:val="auto"/>
          <w:sz w:val="24"/>
          <w:szCs w:val="24"/>
        </w:rPr>
        <w:t>xi</w:t>
      </w:r>
    </w:p>
    <w:p>
      <w:pPr>
        <w:sectPr>
          <w:type w:val="continuous"/>
          <w:pgSz w:w="12240" w:h="15840"/>
          <w:pgMar w:top="1438" w:right="1440" w:bottom="156" w:left="1440" w:header="0" w:footer="0" w:gutter="0"/>
          <w:cols w:equalWidth="0" w:num="1">
            <w:col w:w="9360"/>
          </w:cols>
        </w:sectPr>
      </w:pPr>
    </w:p>
    <w:p>
      <w:pPr>
        <w:spacing w:after="0"/>
        <w:ind w:left="4160"/>
        <w:rPr>
          <w:color w:val="auto"/>
          <w:sz w:val="20"/>
          <w:szCs w:val="20"/>
        </w:rPr>
      </w:pPr>
      <w:bookmarkStart w:id="6" w:name="page13"/>
      <w:bookmarkEnd w:id="6"/>
      <w:r>
        <w:rPr>
          <w:rFonts w:ascii="Cambria" w:hAnsi="Cambria" w:eastAsia="Cambria" w:cs="Cambria"/>
          <w:color w:val="auto"/>
          <w:sz w:val="24"/>
          <w:szCs w:val="24"/>
        </w:rPr>
        <w:t>LIST OF TABLES</w:t>
      </w:r>
    </w:p>
    <w:p>
      <w:pPr>
        <w:spacing w:after="0" w:line="280" w:lineRule="exact"/>
        <w:rPr>
          <w:color w:val="auto"/>
          <w:sz w:val="20"/>
          <w:szCs w:val="20"/>
        </w:rPr>
      </w:pPr>
    </w:p>
    <w:p>
      <w:pPr>
        <w:tabs>
          <w:tab w:val="left" w:pos="8860"/>
        </w:tabs>
        <w:spacing w:after="0"/>
        <w:ind w:left="720"/>
        <w:rPr>
          <w:color w:val="auto"/>
          <w:sz w:val="20"/>
          <w:szCs w:val="20"/>
        </w:rPr>
      </w:pPr>
      <w:r>
        <w:rPr>
          <w:rFonts w:ascii="Cambria" w:hAnsi="Cambria" w:eastAsia="Cambria" w:cs="Cambria"/>
          <w:color w:val="auto"/>
          <w:sz w:val="24"/>
          <w:szCs w:val="24"/>
        </w:rPr>
        <w:t>Table</w:t>
      </w:r>
      <w:r>
        <w:rPr>
          <w:color w:val="auto"/>
          <w:sz w:val="20"/>
          <w:szCs w:val="20"/>
        </w:rPr>
        <w:tab/>
      </w:r>
      <w:r>
        <w:rPr>
          <w:rFonts w:ascii="Cambria" w:hAnsi="Cambria" w:eastAsia="Cambria" w:cs="Cambria"/>
          <w:color w:val="auto"/>
          <w:sz w:val="23"/>
          <w:szCs w:val="23"/>
        </w:rPr>
        <w:t>Page</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1.1 TSA Study Experimental Parameters</w:t>
      </w:r>
      <w:r>
        <w:rPr>
          <w:color w:val="auto"/>
          <w:sz w:val="20"/>
          <w:szCs w:val="20"/>
        </w:rPr>
        <w:tab/>
      </w:r>
      <w:r>
        <w:rPr>
          <w:rFonts w:ascii="Cambria" w:hAnsi="Cambria" w:eastAsia="Cambria" w:cs="Cambria"/>
          <w:color w:val="auto"/>
          <w:sz w:val="23"/>
          <w:szCs w:val="23"/>
        </w:rPr>
        <w:t>19</w:t>
      </w:r>
    </w:p>
    <w:p>
      <w:pPr>
        <w:spacing w:after="0" w:line="280"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1.2 SFN Study Experimental Parameters</w:t>
      </w:r>
      <w:r>
        <w:rPr>
          <w:color w:val="auto"/>
          <w:sz w:val="20"/>
          <w:szCs w:val="20"/>
        </w:rPr>
        <w:tab/>
      </w:r>
      <w:r>
        <w:rPr>
          <w:rFonts w:ascii="Cambria" w:hAnsi="Cambria" w:eastAsia="Cambria" w:cs="Cambria"/>
          <w:color w:val="auto"/>
          <w:sz w:val="23"/>
          <w:szCs w:val="23"/>
        </w:rPr>
        <w:t>20</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1.3 Modulation of Vitamin D-mediated Gene Expression by HDACI</w:t>
      </w:r>
      <w:r>
        <w:rPr>
          <w:color w:val="auto"/>
          <w:sz w:val="20"/>
          <w:szCs w:val="20"/>
        </w:rPr>
        <w:tab/>
      </w:r>
      <w:r>
        <w:rPr>
          <w:rFonts w:ascii="Cambria" w:hAnsi="Cambria" w:eastAsia="Cambria" w:cs="Cambria"/>
          <w:color w:val="auto"/>
          <w:sz w:val="23"/>
          <w:szCs w:val="23"/>
        </w:rPr>
        <w:t>21</w:t>
      </w:r>
    </w:p>
    <w:p>
      <w:pPr>
        <w:spacing w:after="0" w:line="280"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3.1 Experiment 1 Samples and Treatments</w:t>
      </w:r>
      <w:r>
        <w:rPr>
          <w:color w:val="auto"/>
          <w:sz w:val="20"/>
          <w:szCs w:val="20"/>
        </w:rPr>
        <w:tab/>
      </w:r>
      <w:r>
        <w:rPr>
          <w:rFonts w:ascii="Cambria" w:hAnsi="Cambria" w:eastAsia="Cambria" w:cs="Cambria"/>
          <w:color w:val="auto"/>
          <w:sz w:val="23"/>
          <w:szCs w:val="23"/>
        </w:rPr>
        <w:t>27</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3.2 Experiment 2 Samples and Treatments</w:t>
      </w:r>
      <w:r>
        <w:rPr>
          <w:color w:val="auto"/>
          <w:sz w:val="20"/>
          <w:szCs w:val="20"/>
        </w:rPr>
        <w:tab/>
      </w:r>
      <w:r>
        <w:rPr>
          <w:rFonts w:ascii="Cambria" w:hAnsi="Cambria" w:eastAsia="Cambria" w:cs="Cambria"/>
          <w:color w:val="auto"/>
          <w:sz w:val="23"/>
          <w:szCs w:val="23"/>
        </w:rPr>
        <w:t>28</w:t>
      </w:r>
    </w:p>
    <w:p>
      <w:pPr>
        <w:sectPr>
          <w:pgSz w:w="12240" w:h="15840"/>
          <w:pgMar w:top="1438"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4920"/>
        <w:rPr>
          <w:color w:val="auto"/>
          <w:sz w:val="20"/>
          <w:szCs w:val="20"/>
        </w:rPr>
      </w:pPr>
      <w:r>
        <w:rPr>
          <w:rFonts w:ascii="Cambria" w:hAnsi="Cambria" w:eastAsia="Cambria" w:cs="Cambria"/>
          <w:color w:val="auto"/>
          <w:sz w:val="23"/>
          <w:szCs w:val="23"/>
        </w:rPr>
        <w:t>xii</w:t>
      </w:r>
    </w:p>
    <w:p>
      <w:pPr>
        <w:sectPr>
          <w:type w:val="continuous"/>
          <w:pgSz w:w="12240" w:h="15840"/>
          <w:pgMar w:top="1438" w:right="1440" w:bottom="156" w:left="1440" w:header="0" w:footer="0" w:gutter="0"/>
          <w:cols w:equalWidth="0" w:num="1">
            <w:col w:w="9360"/>
          </w:cols>
        </w:sectPr>
      </w:pPr>
    </w:p>
    <w:p>
      <w:pPr>
        <w:spacing w:after="0"/>
        <w:ind w:left="4120"/>
        <w:rPr>
          <w:color w:val="auto"/>
          <w:sz w:val="20"/>
          <w:szCs w:val="20"/>
        </w:rPr>
      </w:pPr>
      <w:bookmarkStart w:id="7" w:name="page14"/>
      <w:bookmarkEnd w:id="7"/>
      <w:r>
        <w:rPr>
          <w:rFonts w:ascii="Cambria" w:hAnsi="Cambria" w:eastAsia="Cambria" w:cs="Cambria"/>
          <w:color w:val="auto"/>
          <w:sz w:val="24"/>
          <w:szCs w:val="24"/>
        </w:rPr>
        <w:t>LIST OF FIGURES</w:t>
      </w:r>
    </w:p>
    <w:p>
      <w:pPr>
        <w:spacing w:after="0" w:line="280" w:lineRule="exact"/>
        <w:rPr>
          <w:color w:val="auto"/>
          <w:sz w:val="20"/>
          <w:szCs w:val="20"/>
        </w:rPr>
      </w:pPr>
    </w:p>
    <w:p>
      <w:pPr>
        <w:tabs>
          <w:tab w:val="left" w:pos="8860"/>
        </w:tabs>
        <w:spacing w:after="0"/>
        <w:ind w:left="720"/>
        <w:rPr>
          <w:color w:val="auto"/>
          <w:sz w:val="20"/>
          <w:szCs w:val="20"/>
        </w:rPr>
      </w:pPr>
      <w:r>
        <w:rPr>
          <w:rFonts w:ascii="Cambria" w:hAnsi="Cambria" w:eastAsia="Cambria" w:cs="Cambria"/>
          <w:color w:val="auto"/>
          <w:sz w:val="24"/>
          <w:szCs w:val="24"/>
        </w:rPr>
        <w:t>Figure</w:t>
      </w:r>
      <w:r>
        <w:rPr>
          <w:color w:val="auto"/>
          <w:sz w:val="20"/>
          <w:szCs w:val="20"/>
        </w:rPr>
        <w:tab/>
      </w:r>
      <w:r>
        <w:rPr>
          <w:rFonts w:ascii="Cambria" w:hAnsi="Cambria" w:eastAsia="Cambria" w:cs="Cambria"/>
          <w:color w:val="auto"/>
          <w:sz w:val="23"/>
          <w:szCs w:val="23"/>
        </w:rPr>
        <w:t>Page</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4.1 Experiment 1: Effects of TSA on VDR Gene Expression</w:t>
      </w:r>
      <w:r>
        <w:rPr>
          <w:color w:val="auto"/>
          <w:sz w:val="20"/>
          <w:szCs w:val="20"/>
        </w:rPr>
        <w:tab/>
      </w:r>
      <w:r>
        <w:rPr>
          <w:rFonts w:ascii="Cambria" w:hAnsi="Cambria" w:eastAsia="Cambria" w:cs="Cambria"/>
          <w:color w:val="auto"/>
          <w:sz w:val="23"/>
          <w:szCs w:val="23"/>
        </w:rPr>
        <w:t>33</w:t>
      </w:r>
    </w:p>
    <w:p>
      <w:pPr>
        <w:spacing w:after="0" w:line="280"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4.2 Experiment 1: Effects of TSA on CYP24A1 Gene Expression</w:t>
      </w:r>
      <w:r>
        <w:rPr>
          <w:color w:val="auto"/>
          <w:sz w:val="20"/>
          <w:szCs w:val="20"/>
        </w:rPr>
        <w:tab/>
      </w:r>
      <w:r>
        <w:rPr>
          <w:rFonts w:ascii="Cambria" w:hAnsi="Cambria" w:eastAsia="Cambria" w:cs="Cambria"/>
          <w:color w:val="auto"/>
          <w:sz w:val="23"/>
          <w:szCs w:val="23"/>
        </w:rPr>
        <w:t>33</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4.3 Experiment 2: Effects of SFN &amp; TSA on VDR mRNA</w:t>
      </w:r>
      <w:r>
        <w:rPr>
          <w:color w:val="auto"/>
          <w:sz w:val="20"/>
          <w:szCs w:val="20"/>
        </w:rPr>
        <w:tab/>
      </w:r>
      <w:r>
        <w:rPr>
          <w:rFonts w:ascii="Cambria" w:hAnsi="Cambria" w:eastAsia="Cambria" w:cs="Cambria"/>
          <w:color w:val="auto"/>
          <w:sz w:val="23"/>
          <w:szCs w:val="23"/>
        </w:rPr>
        <w:t>37</w:t>
      </w:r>
    </w:p>
    <w:p>
      <w:pPr>
        <w:spacing w:after="0" w:line="280"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4.4 Experiment 2: Effects of SFN &amp; TSA on CYP24A1 mRNA</w:t>
      </w:r>
      <w:r>
        <w:rPr>
          <w:color w:val="auto"/>
          <w:sz w:val="20"/>
          <w:szCs w:val="20"/>
        </w:rPr>
        <w:tab/>
      </w:r>
      <w:r>
        <w:rPr>
          <w:rFonts w:ascii="Cambria" w:hAnsi="Cambria" w:eastAsia="Cambria" w:cs="Cambria"/>
          <w:color w:val="auto"/>
          <w:sz w:val="23"/>
          <w:szCs w:val="23"/>
        </w:rPr>
        <w:t>37</w:t>
      </w:r>
    </w:p>
    <w:p>
      <w:pPr>
        <w:spacing w:after="0" w:line="283" w:lineRule="exact"/>
        <w:rPr>
          <w:color w:val="auto"/>
          <w:sz w:val="20"/>
          <w:szCs w:val="20"/>
        </w:rPr>
      </w:pPr>
    </w:p>
    <w:p>
      <w:pPr>
        <w:tabs>
          <w:tab w:val="left" w:leader="dot" w:pos="9080"/>
        </w:tabs>
        <w:spacing w:after="0"/>
        <w:ind w:left="720"/>
        <w:rPr>
          <w:color w:val="auto"/>
          <w:sz w:val="20"/>
          <w:szCs w:val="20"/>
        </w:rPr>
      </w:pPr>
      <w:r>
        <w:rPr>
          <w:rFonts w:ascii="Cambria" w:hAnsi="Cambria" w:eastAsia="Cambria" w:cs="Cambria"/>
          <w:color w:val="auto"/>
          <w:sz w:val="24"/>
          <w:szCs w:val="24"/>
        </w:rPr>
        <w:t>4.5 Experiment 2: Effects of SFN &amp; TSA on CYP27B1 mRNA</w:t>
      </w:r>
      <w:r>
        <w:rPr>
          <w:color w:val="auto"/>
          <w:sz w:val="20"/>
          <w:szCs w:val="20"/>
        </w:rPr>
        <w:tab/>
      </w:r>
      <w:r>
        <w:rPr>
          <w:rFonts w:ascii="Cambria" w:hAnsi="Cambria" w:eastAsia="Cambria" w:cs="Cambria"/>
          <w:color w:val="auto"/>
          <w:sz w:val="23"/>
          <w:szCs w:val="23"/>
        </w:rPr>
        <w:t>38</w:t>
      </w:r>
    </w:p>
    <w:p>
      <w:pPr>
        <w:sectPr>
          <w:pgSz w:w="12240" w:h="15840"/>
          <w:pgMar w:top="1438"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ind w:left="4880"/>
        <w:rPr>
          <w:color w:val="auto"/>
          <w:sz w:val="20"/>
          <w:szCs w:val="20"/>
        </w:rPr>
      </w:pPr>
      <w:r>
        <w:rPr>
          <w:rFonts w:ascii="Cambria" w:hAnsi="Cambria" w:eastAsia="Cambria" w:cs="Cambria"/>
          <w:color w:val="auto"/>
          <w:sz w:val="24"/>
          <w:szCs w:val="24"/>
        </w:rPr>
        <w:t>xiii</w:t>
      </w:r>
    </w:p>
    <w:p>
      <w:pPr>
        <w:sectPr>
          <w:type w:val="continuous"/>
          <w:pgSz w:w="12240" w:h="15840"/>
          <w:pgMar w:top="1438" w:right="1440" w:bottom="156" w:left="1440" w:header="0" w:footer="0" w:gutter="0"/>
          <w:cols w:equalWidth="0" w:num="1">
            <w:col w:w="9360"/>
          </w:cols>
        </w:sectPr>
      </w:pPr>
    </w:p>
    <w:p>
      <w:pPr>
        <w:spacing w:after="0"/>
        <w:ind w:left="4400"/>
        <w:rPr>
          <w:color w:val="auto"/>
          <w:sz w:val="20"/>
          <w:szCs w:val="20"/>
        </w:rPr>
      </w:pPr>
      <w:bookmarkStart w:id="8" w:name="page15"/>
      <w:bookmarkEnd w:id="8"/>
      <w:r>
        <w:rPr>
          <w:rFonts w:ascii="Cambria" w:hAnsi="Cambria" w:eastAsia="Cambria" w:cs="Cambria"/>
          <w:color w:val="auto"/>
          <w:sz w:val="24"/>
          <w:szCs w:val="24"/>
        </w:rPr>
        <w:t>CHAPTER 1</w:t>
      </w:r>
    </w:p>
    <w:p>
      <w:pPr>
        <w:spacing w:after="0" w:line="280" w:lineRule="exact"/>
        <w:rPr>
          <w:color w:val="auto"/>
          <w:sz w:val="20"/>
          <w:szCs w:val="20"/>
        </w:rPr>
      </w:pPr>
    </w:p>
    <w:p>
      <w:pPr>
        <w:spacing w:after="0"/>
        <w:ind w:left="3840"/>
        <w:rPr>
          <w:color w:val="auto"/>
          <w:sz w:val="20"/>
          <w:szCs w:val="20"/>
        </w:rPr>
      </w:pPr>
      <w:r>
        <w:rPr>
          <w:rFonts w:ascii="Cambria" w:hAnsi="Cambria" w:eastAsia="Cambria" w:cs="Cambria"/>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1.1 Breast Cancer</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2" w:lineRule="auto"/>
        <w:ind w:left="720" w:right="140" w:firstLine="720"/>
        <w:rPr>
          <w:color w:val="auto"/>
          <w:sz w:val="20"/>
          <w:szCs w:val="20"/>
        </w:rPr>
      </w:pPr>
      <w:r>
        <w:rPr>
          <w:rFonts w:ascii="Cambria" w:hAnsi="Cambria" w:eastAsia="Cambria" w:cs="Cambria"/>
          <w:color w:val="auto"/>
          <w:sz w:val="24"/>
          <w:szCs w:val="24"/>
        </w:rPr>
        <w:t>Cancer represents a group of diseases that all share the same fundamental feature, the abnormal growth of cells. The National Cancer Institute (NCI) defines cancer as a collection of diseases that results from the breakdown of regulatory mechanisms, due to damaged DNA, which govern normal cell behavior. When cell regulation is lost, cancer cells uncontrollably grow and divide, ultimately spreading throughout the body and thus interfering with the normal function of tissues and organs. (National Cancer Institute, 2013)</w:t>
      </w:r>
    </w:p>
    <w:p>
      <w:pPr>
        <w:spacing w:after="0" w:line="65" w:lineRule="exact"/>
        <w:rPr>
          <w:color w:val="auto"/>
          <w:sz w:val="20"/>
          <w:szCs w:val="20"/>
        </w:rPr>
      </w:pPr>
    </w:p>
    <w:p>
      <w:pPr>
        <w:spacing w:after="0" w:line="475" w:lineRule="auto"/>
        <w:ind w:left="720" w:right="100" w:firstLine="720"/>
        <w:rPr>
          <w:color w:val="auto"/>
          <w:sz w:val="20"/>
          <w:szCs w:val="20"/>
        </w:rPr>
      </w:pPr>
      <w:r>
        <w:rPr>
          <w:rFonts w:ascii="Cambria" w:hAnsi="Cambria" w:eastAsia="Cambria" w:cs="Cambria"/>
          <w:color w:val="auto"/>
          <w:sz w:val="24"/>
          <w:szCs w:val="24"/>
        </w:rPr>
        <w:t>According to the American Cancer Society, breast cancer is the second most common cancer, to lung cancer, among women in the United States; it represents 26% of all cancer cases in women. Breast cancer forms in the breast tissue, usually the ducts and lobules, and can occur in both men and women, but male cases are rare. Although incidence rates have been decreasing over the last decade, 12% of women in the United States will develop invasive breast cancer at one point in their lifetime; and it is more likely to occur in white women than African American, Hispanic or Indian women. Estimates for 2013 show just over 232,000 new cases of breast cancer will be diagnosed among women in the US; and about 40,000 women will die of breast cancer. (American Cancer Society, 2013)</w:t>
      </w:r>
    </w:p>
    <w:p>
      <w:pPr>
        <w:spacing w:after="0" w:line="59" w:lineRule="exact"/>
        <w:rPr>
          <w:color w:val="auto"/>
          <w:sz w:val="20"/>
          <w:szCs w:val="20"/>
        </w:rPr>
      </w:pPr>
    </w:p>
    <w:p>
      <w:pPr>
        <w:spacing w:after="0" w:line="467" w:lineRule="auto"/>
        <w:ind w:left="720" w:right="660" w:firstLine="720"/>
        <w:rPr>
          <w:color w:val="auto"/>
          <w:sz w:val="20"/>
          <w:szCs w:val="20"/>
        </w:rPr>
      </w:pPr>
      <w:r>
        <w:rPr>
          <w:rFonts w:ascii="Cambria" w:hAnsi="Cambria" w:eastAsia="Cambria" w:cs="Cambria"/>
          <w:color w:val="auto"/>
          <w:sz w:val="23"/>
          <w:szCs w:val="23"/>
        </w:rPr>
        <w:t>Breast cancer has emotional and physical implications on the women it affects. Treatment can be long and arduous, leading to depression, decreased</w:t>
      </w:r>
    </w:p>
    <w:p>
      <w:pPr>
        <w:spacing w:after="0" w:line="381"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1</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9" w:name="page16"/>
      <w:bookmarkEnd w:id="9"/>
    </w:p>
    <w:p>
      <w:pPr>
        <w:spacing w:after="0" w:line="471" w:lineRule="auto"/>
        <w:ind w:left="720" w:right="320"/>
        <w:rPr>
          <w:color w:val="auto"/>
          <w:sz w:val="20"/>
          <w:szCs w:val="20"/>
        </w:rPr>
      </w:pPr>
      <w:r>
        <w:rPr>
          <w:rFonts w:ascii="Cambria" w:hAnsi="Cambria" w:eastAsia="Cambria" w:cs="Cambria"/>
          <w:color w:val="auto"/>
          <w:sz w:val="24"/>
          <w:szCs w:val="24"/>
        </w:rPr>
        <w:t>physical ability, family strain and even financial hardship. The financial burden is also felt by the society as a whole; according to the NCI, in 2006 breast cancer totaled $14 billion in total health expenditures, and additionally $16 billion in indirect mortality cost, such as loss of productivity from premature death. Clearly breast cancer is a far-reaching public health issue with serious implications and consequences. (National Cancer Institute, 2013)</w:t>
      </w:r>
    </w:p>
    <w:p>
      <w:pPr>
        <w:spacing w:after="0" w:line="64" w:lineRule="exact"/>
        <w:rPr>
          <w:color w:val="auto"/>
          <w:sz w:val="20"/>
          <w:szCs w:val="20"/>
        </w:rPr>
      </w:pPr>
    </w:p>
    <w:p>
      <w:pPr>
        <w:spacing w:after="0" w:line="476" w:lineRule="auto"/>
        <w:ind w:left="720" w:right="20" w:firstLine="720"/>
        <w:rPr>
          <w:color w:val="auto"/>
          <w:sz w:val="20"/>
          <w:szCs w:val="20"/>
        </w:rPr>
      </w:pPr>
      <w:r>
        <w:rPr>
          <w:rFonts w:ascii="Cambria" w:hAnsi="Cambria" w:eastAsia="Cambria" w:cs="Cambria"/>
          <w:color w:val="auto"/>
          <w:sz w:val="24"/>
          <w:szCs w:val="24"/>
        </w:rPr>
        <w:t>Breast cancer is caused by an interaction between genetic and environmental factors. Risk factors include gender, age, race and genetics; there are other risk factors that have the potential to be modified, thus offering the opportunity to develop useful preventative strategies. In vivo and in vitro studies strongly suggest a relationship between certain nutrient exposure and breast cancer risk. (Vera-Ramirez et al., 2013) A review of observational studies identified that alcohol intake as well as a high-energy intake were associated with an increased risk of breast cancer, whereas low-fat and high-fiber diets reduced the risk. (Thomson, 2012) Preclinical studies support a potential role for vitamin D in breast cancer prevention and treatment, and low vitamin D intake in women has been implicated as a risk factor for breast cancer (Lee, 2011), but the need for vitamin D supplementation in breast cancer prevention remains controversial.</w:t>
      </w:r>
    </w:p>
    <w:p>
      <w:pPr>
        <w:spacing w:after="0" w:line="200" w:lineRule="exact"/>
        <w:rPr>
          <w:color w:val="auto"/>
          <w:sz w:val="20"/>
          <w:szCs w:val="20"/>
        </w:rPr>
      </w:pPr>
    </w:p>
    <w:p>
      <w:pPr>
        <w:spacing w:after="0" w:line="22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1.2 Vitamin D and Breast Cancer</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83" w:lineRule="auto"/>
        <w:ind w:left="720" w:right="320" w:firstLine="720"/>
        <w:rPr>
          <w:color w:val="auto"/>
          <w:sz w:val="20"/>
          <w:szCs w:val="20"/>
        </w:rPr>
      </w:pPr>
      <w:r>
        <w:rPr>
          <w:rFonts w:ascii="Cambria" w:hAnsi="Cambria" w:eastAsia="Cambria" w:cs="Cambria"/>
          <w:color w:val="auto"/>
          <w:sz w:val="23"/>
          <w:szCs w:val="23"/>
        </w:rPr>
        <w:t>Although the relationship between vitamin D and breast cancer remains unclear, there is increasing evidence that optimal vitamin D status does play a marginal role in reducing breast cancer risk. (Bertone-Johnson, 2009) There have</w:t>
      </w:r>
    </w:p>
    <w:p>
      <w:pPr>
        <w:spacing w:after="0" w:line="364"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2</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0" w:name="page17"/>
      <w:bookmarkEnd w:id="10"/>
    </w:p>
    <w:p>
      <w:pPr>
        <w:spacing w:after="0" w:line="458" w:lineRule="auto"/>
        <w:ind w:left="720" w:right="360"/>
        <w:rPr>
          <w:color w:val="auto"/>
          <w:sz w:val="20"/>
          <w:szCs w:val="20"/>
        </w:rPr>
      </w:pPr>
      <w:r>
        <w:rPr>
          <w:rFonts w:ascii="Cambria" w:hAnsi="Cambria" w:eastAsia="Cambria" w:cs="Cambria"/>
          <w:color w:val="auto"/>
          <w:sz w:val="24"/>
          <w:szCs w:val="24"/>
        </w:rPr>
        <w:t>been numerous experimental studies to show that vitamin D inhibits cellular proliferation as well as induces differentiation and apoptosis in both normal and transformed breast cells. (Colston, 2008; Vera-Ramirez et al., 2013; Welsh, 2011)</w:t>
      </w:r>
    </w:p>
    <w:p>
      <w:pPr>
        <w:spacing w:after="0" w:line="76" w:lineRule="exact"/>
        <w:rPr>
          <w:color w:val="auto"/>
          <w:sz w:val="20"/>
          <w:szCs w:val="20"/>
        </w:rPr>
      </w:pPr>
    </w:p>
    <w:p>
      <w:pPr>
        <w:spacing w:after="0" w:line="475" w:lineRule="auto"/>
        <w:ind w:left="720" w:right="40" w:firstLine="720"/>
        <w:rPr>
          <w:color w:val="auto"/>
          <w:sz w:val="20"/>
          <w:szCs w:val="20"/>
        </w:rPr>
      </w:pPr>
      <w:r>
        <w:rPr>
          <w:rFonts w:ascii="Cambria" w:hAnsi="Cambria" w:eastAsia="Cambria" w:cs="Cambria"/>
          <w:color w:val="auto"/>
          <w:sz w:val="24"/>
          <w:szCs w:val="24"/>
        </w:rPr>
        <w:t>Case-control studies have shown a significant and inverse association between vitamin D levels and breast cancer risk. (Abbas et al., 2008; Blackmore et al., 2008; Knight, Lesosky, Barnett, Raboud, &amp; Vieth, 2007; Rossi et al., 2009) Ecological and observational studies yield the strongest evidence that higher serum 25-hydroxyvitamin D levels are associated with a reduce risk of breast cancer. A meta-analysis of six observational studies concluded that there is a 50% reduction in incidence rate for breast cancer associated with an increased serum 25 hydroxyvitamin D from 24nmole/L to 78nmol/L. (Grant, 2010) Another meta-analysis looking at vitamin D intake and breast cancer risk reflected a trend towards lower risk of breast cancer with intakes of vitamin D ≥ 400 IU/day. (Hong, Tian, &amp; Zhang, 2012)</w:t>
      </w:r>
    </w:p>
    <w:p>
      <w:pPr>
        <w:spacing w:after="0" w:line="66" w:lineRule="exact"/>
        <w:rPr>
          <w:color w:val="auto"/>
          <w:sz w:val="20"/>
          <w:szCs w:val="20"/>
        </w:rPr>
      </w:pPr>
    </w:p>
    <w:p>
      <w:pPr>
        <w:spacing w:after="0" w:line="474" w:lineRule="auto"/>
        <w:ind w:left="720" w:right="100" w:firstLine="720"/>
        <w:rPr>
          <w:color w:val="auto"/>
          <w:sz w:val="20"/>
          <w:szCs w:val="20"/>
        </w:rPr>
      </w:pPr>
      <w:r>
        <w:rPr>
          <w:rFonts w:ascii="Cambria" w:hAnsi="Cambria" w:eastAsia="Cambria" w:cs="Cambria"/>
          <w:color w:val="auto"/>
          <w:sz w:val="24"/>
          <w:szCs w:val="24"/>
        </w:rPr>
        <w:t>Despite this evidence, vitamin D supplementation trials have not shown convincing effects of vitamin D supplementation on primary prevention of breast cancer. The Women’s Lifestyle and Health Cohort Study looked at 42,000 Swedish women and examined solar exposure and vitamin D intake to find serum levels had no significant relationship to breast cancer risk. (Kuper et al., 2009) This study concludes a need for large randomized control trials, designed to adjust for confounding variables, in order to delineate the possible relationship between serum vitamin D status and breast cancer risk. The Women’s Health Initiative study supplemented over 36,000 women with 1,000 mg of calcium and 400IU of vitamin</w:t>
      </w:r>
    </w:p>
    <w:p>
      <w:pPr>
        <w:spacing w:after="0" w:line="200" w:lineRule="exact"/>
        <w:rPr>
          <w:color w:val="auto"/>
          <w:sz w:val="20"/>
          <w:szCs w:val="20"/>
        </w:rPr>
      </w:pPr>
    </w:p>
    <w:p>
      <w:pPr>
        <w:spacing w:after="0" w:line="304"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3</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11" w:name="page18"/>
      <w:bookmarkEnd w:id="11"/>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daily for 7 years, and they did not find a strong reduction of breast cancer risk</w:t>
      </w:r>
    </w:p>
    <w:p>
      <w:pPr>
        <w:spacing w:after="0" w:line="329" w:lineRule="exact"/>
        <w:rPr>
          <w:color w:val="auto"/>
          <w:sz w:val="20"/>
          <w:szCs w:val="20"/>
        </w:rPr>
      </w:pPr>
    </w:p>
    <w:p>
      <w:pPr>
        <w:spacing w:after="0" w:line="439" w:lineRule="auto"/>
        <w:ind w:left="720" w:right="280"/>
        <w:rPr>
          <w:color w:val="auto"/>
          <w:sz w:val="20"/>
          <w:szCs w:val="20"/>
        </w:rPr>
      </w:pPr>
      <w:r>
        <w:rPr>
          <w:rFonts w:ascii="Cambria" w:hAnsi="Cambria" w:eastAsia="Cambria" w:cs="Cambria"/>
          <w:color w:val="auto"/>
          <w:sz w:val="24"/>
          <w:szCs w:val="24"/>
        </w:rPr>
        <w:t>among the supplemented group. (Prentice et al., 2013) Despite those outcomes, in vivo and in vitro research is still showing vitamin D</w:t>
      </w:r>
      <w:r>
        <w:rPr>
          <w:rFonts w:ascii="Cambria" w:hAnsi="Cambria" w:eastAsia="Cambria" w:cs="Cambria"/>
          <w:color w:val="auto"/>
          <w:sz w:val="16"/>
          <w:szCs w:val="16"/>
        </w:rPr>
        <w:t>3</w:t>
      </w:r>
      <w:r>
        <w:rPr>
          <w:rFonts w:ascii="Cambria" w:hAnsi="Cambria" w:eastAsia="Cambria" w:cs="Cambria"/>
          <w:color w:val="auto"/>
          <w:sz w:val="24"/>
          <w:szCs w:val="24"/>
        </w:rPr>
        <w:t xml:space="preserve"> to have chemo-protective</w:t>
      </w:r>
    </w:p>
    <w:p>
      <w:pPr>
        <w:spacing w:after="0" w:line="4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effects, warranting further investigation.</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1.3 Vitamin D Sources</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5" w:lineRule="auto"/>
        <w:ind w:left="720" w:right="40" w:firstLine="720"/>
        <w:rPr>
          <w:color w:val="auto"/>
          <w:sz w:val="20"/>
          <w:szCs w:val="20"/>
        </w:rPr>
      </w:pPr>
      <w:r>
        <w:rPr>
          <w:rFonts w:ascii="Cambria" w:hAnsi="Cambria" w:eastAsia="Cambria" w:cs="Cambria"/>
          <w:color w:val="auto"/>
          <w:sz w:val="24"/>
          <w:szCs w:val="24"/>
        </w:rPr>
        <w:t>Optimal vitamin D status is dependent upon a variety of factors. Vitamin D is obtained from both dietary sources and from cutaneous synthesis with exposure to UVB sunlight. The Recommended Dietary Allowances (RDA) for healthy adults ages 19 to 50 is 15μg (600IU) daily; this equates to a serum level of 50nM. (National Institute of Health, 2011) Natural dietary sources include oily fish, such as mackerel and salmon, but the major dietary sources are fortified dairy products and cereal grains. (Stipanuk &amp; Holick, 2006) A cup of skim, 1%, 2% or whole milk fortified with vitamin D contains 115 to 125 IU, which amounts to about 20% of the RDA (600 IU/day). A cup of fortified breakfast cereal contains about 40 IU, about 7% of the RDA. Since it can be difficult to obtain the recommended 600 IU of vitamin D from dietary sources, vitamin D supplements are readily available.</w:t>
      </w:r>
    </w:p>
    <w:p>
      <w:pPr>
        <w:spacing w:after="0" w:line="64" w:lineRule="exact"/>
        <w:rPr>
          <w:color w:val="auto"/>
          <w:sz w:val="20"/>
          <w:szCs w:val="20"/>
        </w:rPr>
      </w:pPr>
    </w:p>
    <w:p>
      <w:pPr>
        <w:spacing w:after="0" w:line="494" w:lineRule="auto"/>
        <w:ind w:left="720" w:right="300" w:firstLine="720"/>
        <w:rPr>
          <w:color w:val="auto"/>
          <w:sz w:val="20"/>
          <w:szCs w:val="20"/>
        </w:rPr>
      </w:pPr>
      <w:r>
        <w:rPr>
          <w:rFonts w:ascii="Cambria" w:hAnsi="Cambria" w:eastAsia="Cambria" w:cs="Cambria"/>
          <w:color w:val="auto"/>
          <w:sz w:val="23"/>
          <w:szCs w:val="23"/>
        </w:rPr>
        <w:t>Daily sunlight exposure is the main contributing factor, 90%, to vitamin D status, and can be sufficient to meet vitamin D requirements in certain situations. However, the time of day, season of the year, and the geographical latitude have dramatic effects on the amount of solar UVB radiation that reaches the earth’s surface. In winter months, the ability to produce vitamin D in the skin is reduced because the vitamin D-producing UVB photons pass through the ozone layer at an</w:t>
      </w:r>
    </w:p>
    <w:p>
      <w:pPr>
        <w:spacing w:after="0" w:line="352"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4</w:t>
      </w:r>
    </w:p>
    <w:p>
      <w:pPr>
        <w:sectPr>
          <w:pgSz w:w="12240" w:h="15840"/>
          <w:pgMar w:top="1439" w:right="1440" w:bottom="120" w:left="1440" w:header="0" w:footer="0" w:gutter="0"/>
          <w:cols w:equalWidth="0" w:num="1">
            <w:col w:w="9360"/>
          </w:cols>
        </w:sectPr>
      </w:pPr>
    </w:p>
    <w:p>
      <w:pPr>
        <w:spacing w:after="0" w:line="49" w:lineRule="exact"/>
        <w:rPr>
          <w:color w:val="auto"/>
          <w:sz w:val="20"/>
          <w:szCs w:val="20"/>
        </w:rPr>
      </w:pPr>
      <w:bookmarkStart w:id="12" w:name="page19"/>
      <w:bookmarkEnd w:id="12"/>
    </w:p>
    <w:p>
      <w:pPr>
        <w:spacing w:after="0" w:line="473" w:lineRule="auto"/>
        <w:ind w:left="720" w:right="80"/>
        <w:rPr>
          <w:color w:val="auto"/>
          <w:sz w:val="20"/>
          <w:szCs w:val="20"/>
        </w:rPr>
      </w:pPr>
      <w:r>
        <w:rPr>
          <w:rFonts w:ascii="Cambria" w:hAnsi="Cambria" w:eastAsia="Cambria" w:cs="Cambria"/>
          <w:color w:val="auto"/>
          <w:sz w:val="24"/>
          <w:szCs w:val="24"/>
        </w:rPr>
        <w:t>oblique angle and are absorbed to a greater extent by the ozone reducing surface radiation. In contrast, the relative position of the sun in spring and summer months allows for less ozone UVB absorption and therefore more UVB photons to penetrate to the earth’s surface. At a latitude of 42°N (Boston), sunlight is incapable of producing vitamin D in the skin from November through February. (Stipanuk &amp; Holick, 2006) Since our exposure to sunlight provides 90% of our vitamin D exposure, people living in more northern and southern latitudes will frequently show insufficient vitamin D levels during their respective winter months.</w:t>
      </w:r>
    </w:p>
    <w:p>
      <w:pPr>
        <w:spacing w:after="0" w:line="66" w:lineRule="exact"/>
        <w:rPr>
          <w:color w:val="auto"/>
          <w:sz w:val="20"/>
          <w:szCs w:val="20"/>
        </w:rPr>
      </w:pPr>
    </w:p>
    <w:p>
      <w:pPr>
        <w:spacing w:after="0" w:line="473" w:lineRule="auto"/>
        <w:ind w:left="720" w:right="80" w:firstLine="720"/>
        <w:rPr>
          <w:color w:val="auto"/>
          <w:sz w:val="20"/>
          <w:szCs w:val="20"/>
        </w:rPr>
      </w:pPr>
      <w:r>
        <w:rPr>
          <w:rFonts w:ascii="Cambria" w:hAnsi="Cambria" w:eastAsia="Cambria" w:cs="Cambria"/>
          <w:color w:val="auto"/>
          <w:sz w:val="24"/>
          <w:szCs w:val="24"/>
        </w:rPr>
        <w:t>The influence of latitude on cutaneous vitamin D production has initiated a hypothesis as to why women in the northern hemisphere, North America and northern European countries, exhibit the highest incidence rate of breast cancer, where women in regions with relatively more sun exposure are relatively protected from breast cancer. (Suba, 2012) If this hypothesis is correct, achieving a higher vitamin D status in these women living in areas that put them at a higher risk of developing breast cancer could help to prevent the initiation and development of the disease.</w:t>
      </w:r>
    </w:p>
    <w:p>
      <w:pPr>
        <w:spacing w:after="0" w:line="200" w:lineRule="exact"/>
        <w:rPr>
          <w:color w:val="auto"/>
          <w:sz w:val="20"/>
          <w:szCs w:val="20"/>
        </w:rPr>
      </w:pPr>
    </w:p>
    <w:p>
      <w:pPr>
        <w:spacing w:after="0" w:line="236" w:lineRule="exact"/>
        <w:rPr>
          <w:color w:val="auto"/>
          <w:sz w:val="20"/>
          <w:szCs w:val="20"/>
        </w:rPr>
      </w:pPr>
    </w:p>
    <w:p>
      <w:pPr>
        <w:spacing w:after="0"/>
        <w:ind w:right="40"/>
        <w:jc w:val="center"/>
        <w:rPr>
          <w:color w:val="auto"/>
          <w:sz w:val="20"/>
          <w:szCs w:val="20"/>
        </w:rPr>
      </w:pPr>
      <w:r>
        <w:rPr>
          <w:rFonts w:ascii="Cambria" w:hAnsi="Cambria" w:eastAsia="Cambria" w:cs="Cambria"/>
          <w:color w:val="auto"/>
          <w:sz w:val="24"/>
          <w:szCs w:val="24"/>
        </w:rPr>
        <w:t>1.3.1 Vitamin D Absorption, Transport, Metabolism and Biodegradation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59" w:lineRule="auto"/>
        <w:ind w:left="720" w:right="120" w:firstLine="720"/>
        <w:rPr>
          <w:color w:val="auto"/>
          <w:sz w:val="20"/>
          <w:szCs w:val="20"/>
        </w:rPr>
      </w:pPr>
      <w:r>
        <w:rPr>
          <w:rFonts w:ascii="Cambria" w:hAnsi="Cambria" w:eastAsia="Cambria" w:cs="Cambria"/>
          <w:color w:val="auto"/>
          <w:sz w:val="24"/>
          <w:szCs w:val="24"/>
        </w:rPr>
        <w:t>The first step of vitamin D activation and metabolism involves the formation of vitamin D</w:t>
      </w:r>
      <w:r>
        <w:rPr>
          <w:rFonts w:ascii="Cambria" w:hAnsi="Cambria" w:eastAsia="Cambria" w:cs="Cambria"/>
          <w:color w:val="auto"/>
          <w:sz w:val="16"/>
          <w:szCs w:val="16"/>
        </w:rPr>
        <w:t>3</w:t>
      </w:r>
      <w:r>
        <w:rPr>
          <w:rFonts w:ascii="Cambria" w:hAnsi="Cambria" w:eastAsia="Cambria" w:cs="Cambria"/>
          <w:color w:val="auto"/>
          <w:sz w:val="24"/>
          <w:szCs w:val="24"/>
        </w:rPr>
        <w:t xml:space="preserve"> in the skin from ultraviolet irradiation at 290nm – 315nm (P. H. Anderson, May, &amp; Morris, 2003) , or vitamin D</w:t>
      </w:r>
      <w:r>
        <w:rPr>
          <w:rFonts w:ascii="Cambria" w:hAnsi="Cambria" w:eastAsia="Cambria" w:cs="Cambria"/>
          <w:color w:val="auto"/>
          <w:sz w:val="16"/>
          <w:szCs w:val="16"/>
        </w:rPr>
        <w:t>3</w:t>
      </w:r>
      <w:r>
        <w:rPr>
          <w:rFonts w:ascii="Cambria" w:hAnsi="Cambria" w:eastAsia="Cambria" w:cs="Cambria"/>
          <w:color w:val="auto"/>
          <w:sz w:val="24"/>
          <w:szCs w:val="24"/>
        </w:rPr>
        <w:t xml:space="preserve"> (cholecalciferol) intake from eating</w:t>
      </w:r>
    </w:p>
    <w:p>
      <w:pPr>
        <w:spacing w:after="0" w:line="2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certain animal-based foods in the diet or vitamin D</w:t>
      </w:r>
      <w:r>
        <w:rPr>
          <w:rFonts w:ascii="Cambria" w:hAnsi="Cambria" w:eastAsia="Cambria" w:cs="Cambria"/>
          <w:color w:val="auto"/>
          <w:sz w:val="16"/>
          <w:szCs w:val="16"/>
        </w:rPr>
        <w:t>2</w:t>
      </w:r>
      <w:r>
        <w:rPr>
          <w:rFonts w:ascii="Cambria" w:hAnsi="Cambria" w:eastAsia="Cambria" w:cs="Cambria"/>
          <w:color w:val="auto"/>
          <w:sz w:val="24"/>
          <w:szCs w:val="24"/>
        </w:rPr>
        <w:t xml:space="preserve"> (ergocalciferol) derived from</w:t>
      </w:r>
    </w:p>
    <w:p>
      <w:pPr>
        <w:spacing w:after="0" w:line="281" w:lineRule="exact"/>
        <w:rPr>
          <w:color w:val="auto"/>
          <w:sz w:val="20"/>
          <w:szCs w:val="20"/>
        </w:rPr>
      </w:pPr>
    </w:p>
    <w:p>
      <w:pPr>
        <w:spacing w:after="0"/>
        <w:ind w:right="20"/>
        <w:jc w:val="center"/>
        <w:rPr>
          <w:color w:val="auto"/>
          <w:sz w:val="20"/>
          <w:szCs w:val="20"/>
        </w:rPr>
      </w:pPr>
      <w:r>
        <w:rPr>
          <w:rFonts w:ascii="Cambria" w:hAnsi="Cambria" w:eastAsia="Cambria" w:cs="Cambria"/>
          <w:color w:val="auto"/>
          <w:sz w:val="24"/>
          <w:szCs w:val="24"/>
        </w:rPr>
        <w:t>plant sources. Vitamin D is fat soluble and is incorporated with other lipids in</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5</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3" w:name="page20"/>
      <w:bookmarkEnd w:id="13"/>
    </w:p>
    <w:p>
      <w:pPr>
        <w:spacing w:after="0" w:line="458" w:lineRule="auto"/>
        <w:ind w:left="720" w:right="140"/>
        <w:rPr>
          <w:color w:val="auto"/>
          <w:sz w:val="20"/>
          <w:szCs w:val="20"/>
        </w:rPr>
      </w:pPr>
      <w:r>
        <w:rPr>
          <w:rFonts w:ascii="Cambria" w:hAnsi="Cambria" w:eastAsia="Cambria" w:cs="Cambria"/>
          <w:color w:val="auto"/>
          <w:sz w:val="24"/>
          <w:szCs w:val="24"/>
        </w:rPr>
        <w:t>micelles in the digestive track. The vitamin D taken up by intestinal enterocytes is incorporated into chylomicrons. The chylomicron is released by the enterocyte and is drained into the lymphatic circulation for systemic delivery.</w:t>
      </w:r>
    </w:p>
    <w:p>
      <w:pPr>
        <w:spacing w:after="0" w:line="76" w:lineRule="exact"/>
        <w:rPr>
          <w:color w:val="auto"/>
          <w:sz w:val="20"/>
          <w:szCs w:val="20"/>
        </w:rPr>
      </w:pPr>
    </w:p>
    <w:p>
      <w:pPr>
        <w:spacing w:after="0" w:line="466" w:lineRule="auto"/>
        <w:ind w:left="720" w:right="80" w:firstLine="720"/>
        <w:rPr>
          <w:color w:val="auto"/>
          <w:sz w:val="20"/>
          <w:szCs w:val="20"/>
        </w:rPr>
      </w:pPr>
      <w:r>
        <w:rPr>
          <w:rFonts w:ascii="Cambria" w:hAnsi="Cambria" w:eastAsia="Cambria" w:cs="Cambria"/>
          <w:color w:val="auto"/>
          <w:sz w:val="24"/>
          <w:szCs w:val="24"/>
        </w:rPr>
        <w:t>When vitamin D</w:t>
      </w:r>
      <w:r>
        <w:rPr>
          <w:rFonts w:ascii="Cambria" w:hAnsi="Cambria" w:eastAsia="Cambria" w:cs="Cambria"/>
          <w:color w:val="auto"/>
          <w:sz w:val="16"/>
          <w:szCs w:val="16"/>
        </w:rPr>
        <w:t>3</w:t>
      </w:r>
      <w:r>
        <w:rPr>
          <w:rFonts w:ascii="Cambria" w:hAnsi="Cambria" w:eastAsia="Cambria" w:cs="Cambria"/>
          <w:color w:val="auto"/>
          <w:sz w:val="24"/>
          <w:szCs w:val="24"/>
        </w:rPr>
        <w:t xml:space="preserve"> reaches the liver from either endogenous cutaneous production or from the diet, 25-hydroxylation of vitamin D occurs with the action of the liver enzyme 25-hydroxylases (25-OHase; encoded by the gene CYP27A1) to produce 25-hydroxyvitamin D</w:t>
      </w:r>
      <w:r>
        <w:rPr>
          <w:rFonts w:ascii="Cambria" w:hAnsi="Cambria" w:eastAsia="Cambria" w:cs="Cambria"/>
          <w:color w:val="auto"/>
          <w:sz w:val="16"/>
          <w:szCs w:val="16"/>
        </w:rPr>
        <w:t>3</w:t>
      </w:r>
      <w:r>
        <w:rPr>
          <w:rFonts w:ascii="Cambria" w:hAnsi="Cambria" w:eastAsia="Cambria" w:cs="Cambria"/>
          <w:color w:val="auto"/>
          <w:sz w:val="24"/>
          <w:szCs w:val="24"/>
        </w:rPr>
        <w:t xml:space="preserve"> (25(OH)D</w:t>
      </w:r>
      <w:r>
        <w:rPr>
          <w:rFonts w:ascii="Cambria" w:hAnsi="Cambria" w:eastAsia="Cambria" w:cs="Cambria"/>
          <w:color w:val="auto"/>
          <w:sz w:val="16"/>
          <w:szCs w:val="16"/>
        </w:rPr>
        <w:t>3</w:t>
      </w:r>
      <w:r>
        <w:rPr>
          <w:rFonts w:ascii="Cambria" w:hAnsi="Cambria" w:eastAsia="Cambria" w:cs="Cambria"/>
          <w:color w:val="auto"/>
          <w:sz w:val="24"/>
          <w:szCs w:val="24"/>
        </w:rPr>
        <w:t>), the main storage and circulating form</w:t>
      </w:r>
    </w:p>
    <w:p>
      <w:pPr>
        <w:spacing w:after="0" w:line="1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for vitamin D. The 25(OH)D</w:t>
      </w:r>
      <w:r>
        <w:rPr>
          <w:rFonts w:ascii="Cambria" w:hAnsi="Cambria" w:eastAsia="Cambria" w:cs="Cambria"/>
          <w:color w:val="auto"/>
          <w:sz w:val="16"/>
          <w:szCs w:val="16"/>
        </w:rPr>
        <w:t>3</w:t>
      </w:r>
      <w:r>
        <w:rPr>
          <w:rFonts w:ascii="Cambria" w:hAnsi="Cambria" w:eastAsia="Cambria" w:cs="Cambria"/>
          <w:color w:val="auto"/>
          <w:sz w:val="24"/>
          <w:szCs w:val="24"/>
        </w:rPr>
        <w:t xml:space="preserve"> metabolite produced in the liver is attached to plasma</w:t>
      </w:r>
    </w:p>
    <w:p>
      <w:pPr>
        <w:spacing w:after="0" w:line="301" w:lineRule="exact"/>
        <w:rPr>
          <w:color w:val="auto"/>
          <w:sz w:val="20"/>
          <w:szCs w:val="20"/>
        </w:rPr>
      </w:pPr>
    </w:p>
    <w:p>
      <w:pPr>
        <w:spacing w:after="0"/>
        <w:ind w:left="720"/>
        <w:rPr>
          <w:color w:val="auto"/>
          <w:sz w:val="20"/>
          <w:szCs w:val="20"/>
        </w:rPr>
      </w:pPr>
      <w:r>
        <w:rPr>
          <w:rFonts w:ascii="Cambria" w:hAnsi="Cambria" w:eastAsia="Cambria" w:cs="Cambria"/>
          <w:color w:val="auto"/>
          <w:sz w:val="23"/>
          <w:szCs w:val="23"/>
        </w:rPr>
        <w:t>vitamin D-binding protein (DBP)</w:t>
      </w:r>
      <w:r>
        <w:rPr>
          <w:rFonts w:ascii="Cambria" w:hAnsi="Cambria" w:eastAsia="Cambria" w:cs="Cambria"/>
          <w:color w:val="auto"/>
          <w:sz w:val="31"/>
          <w:szCs w:val="31"/>
          <w:vertAlign w:val="superscript"/>
        </w:rPr>
        <w:t>1</w:t>
      </w:r>
      <w:r>
        <w:rPr>
          <w:rFonts w:ascii="Cambria" w:hAnsi="Cambria" w:eastAsia="Cambria" w:cs="Cambria"/>
          <w:color w:val="auto"/>
          <w:sz w:val="23"/>
          <w:szCs w:val="23"/>
        </w:rPr>
        <w:t xml:space="preserve"> to then re-enter circulation. (P. H. Anderson, May,</w:t>
      </w:r>
    </w:p>
    <w:p>
      <w:pPr>
        <w:spacing w:after="0" w:line="229" w:lineRule="exact"/>
        <w:rPr>
          <w:color w:val="auto"/>
          <w:sz w:val="20"/>
          <w:szCs w:val="20"/>
        </w:rPr>
      </w:pPr>
    </w:p>
    <w:p>
      <w:pPr>
        <w:numPr>
          <w:ilvl w:val="0"/>
          <w:numId w:val="1"/>
        </w:numPr>
        <w:tabs>
          <w:tab w:val="left" w:pos="938"/>
        </w:tabs>
        <w:spacing w:after="0" w:line="476" w:lineRule="auto"/>
        <w:ind w:left="720" w:right="60"/>
        <w:rPr>
          <w:rFonts w:ascii="Cambria" w:hAnsi="Cambria" w:eastAsia="Cambria" w:cs="Cambria"/>
          <w:color w:val="auto"/>
          <w:sz w:val="24"/>
          <w:szCs w:val="24"/>
        </w:rPr>
      </w:pPr>
      <w:r>
        <w:rPr>
          <w:rFonts w:ascii="Cambria" w:hAnsi="Cambria" w:eastAsia="Cambria" w:cs="Cambria"/>
          <w:color w:val="auto"/>
          <w:sz w:val="24"/>
          <w:szCs w:val="24"/>
        </w:rPr>
        <w:t>Morris, 2003) Once 25(OH)D</w:t>
      </w:r>
      <w:r>
        <w:rPr>
          <w:rFonts w:ascii="Cambria" w:hAnsi="Cambria" w:eastAsia="Cambria" w:cs="Cambria"/>
          <w:color w:val="auto"/>
          <w:sz w:val="16"/>
          <w:szCs w:val="16"/>
        </w:rPr>
        <w:t>3</w:t>
      </w:r>
      <w:r>
        <w:rPr>
          <w:rFonts w:ascii="Cambria" w:hAnsi="Cambria" w:eastAsia="Cambria" w:cs="Cambria"/>
          <w:color w:val="auto"/>
          <w:sz w:val="24"/>
          <w:szCs w:val="24"/>
        </w:rPr>
        <w:t xml:space="preserve"> reaches the kidney, it can be then 1α-hydroxylated by the enzyme 1α-hydroxylase (1α-OHase; encoded by the gene CYP27B1). This yields the hormonally active secosteroid 1,25-dihydroxyvitamin D</w:t>
      </w:r>
      <w:r>
        <w:rPr>
          <w:rFonts w:ascii="Cambria" w:hAnsi="Cambria" w:eastAsia="Cambria" w:cs="Cambria"/>
          <w:color w:val="auto"/>
          <w:sz w:val="16"/>
          <w:szCs w:val="16"/>
        </w:rPr>
        <w:t>3</w:t>
      </w:r>
      <w:r>
        <w:rPr>
          <w:rFonts w:ascii="Cambria" w:hAnsi="Cambria" w:eastAsia="Cambria" w:cs="Cambria"/>
          <w:color w:val="auto"/>
          <w:sz w:val="24"/>
          <w:szCs w:val="24"/>
        </w:rPr>
        <w:t xml:space="preserv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also called calcitriol. Circulating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can enter cells and bind to the vitamin D receptor (VDR), which activates this transcription factor to initiate the process of transcription of vitamin D-dependent genes by binding to a vitamin D response element in the promoter region of certain genes. In addition, it is now appreciated the 1α-hydroxylase CYP27B1 gene can also be expressed in non-renal cell types, which opens the possibility of local cellular control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exposure by coordinating the cellular expression of CYP27B1 to increase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CYP24A1 to decrease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The possible complex paracrine and intracrine vitamin D pathways has provided an intriguing scientific basis for interpreting</w:t>
      </w:r>
    </w:p>
    <w:p>
      <w:pPr>
        <w:spacing w:after="0" w:line="72" w:lineRule="exact"/>
        <w:rPr>
          <w:rFonts w:ascii="Cambria" w:hAnsi="Cambria" w:eastAsia="Cambria" w:cs="Cambria"/>
          <w:color w:val="auto"/>
          <w:sz w:val="24"/>
          <w:szCs w:val="24"/>
        </w:rPr>
      </w:pPr>
    </w:p>
    <w:p>
      <w:pPr>
        <w:spacing w:after="0" w:line="211" w:lineRule="auto"/>
        <w:ind w:left="720" w:right="200" w:firstLine="720"/>
        <w:rPr>
          <w:rFonts w:ascii="Cambria" w:hAnsi="Cambria" w:eastAsia="Cambria" w:cs="Cambria"/>
          <w:color w:val="auto"/>
          <w:sz w:val="24"/>
          <w:szCs w:val="24"/>
        </w:rPr>
      </w:pPr>
      <w:r>
        <w:rPr>
          <w:rFonts w:ascii="Cambria" w:hAnsi="Cambria" w:eastAsia="Cambria" w:cs="Cambria"/>
          <w:color w:val="auto"/>
          <w:sz w:val="32"/>
          <w:szCs w:val="32"/>
          <w:vertAlign w:val="superscript"/>
        </w:rPr>
        <w:t>1</w:t>
      </w:r>
      <w:r>
        <w:rPr>
          <w:rFonts w:ascii="Cambria" w:hAnsi="Cambria" w:eastAsia="Cambria" w:cs="Cambria"/>
          <w:color w:val="auto"/>
          <w:sz w:val="24"/>
          <w:szCs w:val="24"/>
          <w:vertAlign w:val="superscript"/>
        </w:rPr>
        <w:t xml:space="preserve"> </w:t>
      </w:r>
      <w:r>
        <w:rPr>
          <w:rFonts w:ascii="Cambria" w:hAnsi="Cambria" w:eastAsia="Cambria" w:cs="Cambria"/>
          <w:color w:val="auto"/>
          <w:sz w:val="24"/>
          <w:szCs w:val="24"/>
        </w:rPr>
        <w:t>The 25(OH)D</w:t>
      </w:r>
      <w:r>
        <w:rPr>
          <w:rFonts w:ascii="Cambria" w:hAnsi="Cambria" w:eastAsia="Cambria" w:cs="Cambria"/>
          <w:color w:val="auto"/>
          <w:sz w:val="16"/>
          <w:szCs w:val="16"/>
        </w:rPr>
        <w:t>3</w:t>
      </w:r>
      <w:r>
        <w:rPr>
          <w:rFonts w:ascii="Cambria" w:hAnsi="Cambria" w:eastAsia="Cambria" w:cs="Cambria"/>
          <w:color w:val="auto"/>
          <w:sz w:val="24"/>
          <w:szCs w:val="24"/>
        </w:rPr>
        <w:t xml:space="preserve"> metabolite bound to vitamin D-binding protein has a relatively long biological half-life and is stable in the blood for a significant periods of time (weeks) making it a more useful biomarker to assess overall vitamin D exposure.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457200</wp:posOffset>
                </wp:positionH>
                <wp:positionV relativeFrom="paragraph">
                  <wp:posOffset>-778510</wp:posOffset>
                </wp:positionV>
                <wp:extent cx="1828800" cy="0"/>
                <wp:effectExtent l="0" t="0" r="0" b="0"/>
                <wp:wrapNone/>
                <wp:docPr id="5" name="Shape 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7639">
                          <a:solidFill>
                            <a:srgbClr val="000000"/>
                          </a:solidFill>
                          <a:miter lim="800000"/>
                        </a:ln>
                      </wps:spPr>
                      <wps:bodyPr/>
                    </wps:wsp>
                  </a:graphicData>
                </a:graphic>
              </wp:anchor>
            </w:drawing>
          </mc:Choice>
          <mc:Fallback>
            <w:pict>
              <v:line id="Shape 5" o:spid="_x0000_s1026" o:spt="20" style="position:absolute;left:0pt;margin-left:36pt;margin-top:-61.3pt;height:0pt;width:144pt;z-index:-251657216;mso-width-relative:page;mso-height-relative:page;" fillcolor="#FFFFFF" filled="t" stroked="t" coordsize="21600,21600" o:allowincell="f" o:gfxdata="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xYj&#10;S9cAAAAMAQAADwAAAAAAAAABACAAAAAiAAAAZHJzL2Rvd25yZXYueG1sUEsBAhQAFAAAAAgAh07i&#10;QFFrAGCxAQAAmQMAAA4AAAAAAAAAAQAgAAAAJgEAAGRycy9lMm9Eb2MueG1sUEsFBgAAAAAGAAYA&#10;WQEAAEkFAAAAAA==&#10;">
                <v:fill on="t" focussize="0,0"/>
                <v:stroke weight="0.601496062992126pt" color="#000000" miterlimit="8" joinstyle="miter"/>
                <v:imagedata o:title=""/>
                <o:lock v:ext="edit" aspectratio="f"/>
              </v:line>
            </w:pict>
          </mc:Fallback>
        </mc:AlternateContent>
      </w:r>
    </w:p>
    <w:p>
      <w:pPr>
        <w:spacing w:after="0" w:line="200" w:lineRule="exact"/>
        <w:rPr>
          <w:color w:val="auto"/>
          <w:sz w:val="20"/>
          <w:szCs w:val="20"/>
        </w:rPr>
      </w:pPr>
    </w:p>
    <w:p>
      <w:pPr>
        <w:spacing w:after="0" w:line="259"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6</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4" w:name="page21"/>
      <w:bookmarkEnd w:id="14"/>
    </w:p>
    <w:p>
      <w:pPr>
        <w:spacing w:after="0" w:line="436" w:lineRule="auto"/>
        <w:ind w:left="720" w:right="520"/>
        <w:rPr>
          <w:color w:val="auto"/>
          <w:sz w:val="20"/>
          <w:szCs w:val="20"/>
        </w:rPr>
      </w:pPr>
      <w:r>
        <w:rPr>
          <w:rFonts w:ascii="Cambria" w:hAnsi="Cambria" w:eastAsia="Cambria" w:cs="Cambria"/>
          <w:color w:val="auto"/>
          <w:sz w:val="24"/>
          <w:szCs w:val="24"/>
        </w:rPr>
        <w:t>possible effects of vitamin D exposure in a variety of chronic diseases, including cancer.</w:t>
      </w:r>
    </w:p>
    <w:p>
      <w:pPr>
        <w:spacing w:after="0" w:line="54"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is inactivated by metabolism through a C-24 oxidation pathway.</w:t>
      </w:r>
    </w:p>
    <w:p>
      <w:pPr>
        <w:spacing w:after="0" w:line="329" w:lineRule="exact"/>
        <w:rPr>
          <w:color w:val="auto"/>
          <w:sz w:val="20"/>
          <w:szCs w:val="20"/>
        </w:rPr>
      </w:pPr>
    </w:p>
    <w:p>
      <w:pPr>
        <w:spacing w:after="0" w:line="468" w:lineRule="auto"/>
        <w:ind w:left="720" w:right="60"/>
        <w:rPr>
          <w:color w:val="auto"/>
          <w:sz w:val="20"/>
          <w:szCs w:val="20"/>
        </w:rPr>
      </w:pPr>
      <w:r>
        <w:rPr>
          <w:rFonts w:ascii="Cambria" w:hAnsi="Cambria" w:eastAsia="Cambria" w:cs="Cambria"/>
          <w:color w:val="auto"/>
          <w:sz w:val="23"/>
          <w:szCs w:val="23"/>
        </w:rPr>
        <w:t>This biodegradation pathway is comprised of five enzymatic steps involving 24-hydroxylase, (encoded by gene CYP24A1) which breaks down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to a final</w:t>
      </w:r>
    </w:p>
    <w:p>
      <w:pPr>
        <w:spacing w:after="0" w:line="74" w:lineRule="exact"/>
        <w:rPr>
          <w:color w:val="auto"/>
          <w:sz w:val="20"/>
          <w:szCs w:val="20"/>
        </w:rPr>
      </w:pPr>
    </w:p>
    <w:p>
      <w:pPr>
        <w:spacing w:after="0" w:line="466" w:lineRule="auto"/>
        <w:ind w:left="720" w:right="20"/>
        <w:rPr>
          <w:color w:val="auto"/>
          <w:sz w:val="20"/>
          <w:szCs w:val="20"/>
        </w:rPr>
      </w:pPr>
      <w:r>
        <w:rPr>
          <w:rFonts w:ascii="Cambria" w:hAnsi="Cambria" w:eastAsia="Cambria" w:cs="Cambria"/>
          <w:color w:val="auto"/>
          <w:sz w:val="24"/>
          <w:szCs w:val="24"/>
        </w:rPr>
        <w:t>water-soluble excretory product (calcitroic acid) that can be eliminated in the urine. Due to the presence of multiple vitamin D response elements in the promoter region of the CYP24A1 gene, the expression of CYP24A1 mRNA is highly responsive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activation of the VDR. The response of CYP24A1 expression in a cell</w:t>
      </w:r>
    </w:p>
    <w:p>
      <w:pPr>
        <w:spacing w:after="0" w:line="1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can thus be used as an index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activity in a cell. (P. H. Anderson, May,</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&amp; Morris, 2003)</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1.4 Vitamin D</w:t>
      </w:r>
      <w:r>
        <w:rPr>
          <w:rFonts w:ascii="Cambria" w:hAnsi="Cambria" w:eastAsia="Cambria" w:cs="Cambria"/>
          <w:color w:val="auto"/>
          <w:sz w:val="16"/>
          <w:szCs w:val="16"/>
        </w:rPr>
        <w:t>3</w:t>
      </w:r>
      <w:r>
        <w:rPr>
          <w:rFonts w:ascii="Cambria" w:hAnsi="Cambria" w:eastAsia="Cambria" w:cs="Cambria"/>
          <w:color w:val="auto"/>
          <w:sz w:val="24"/>
          <w:szCs w:val="24"/>
        </w:rPr>
        <w:t>: Calcemic Functions</w:t>
      </w:r>
    </w:p>
    <w:p>
      <w:pPr>
        <w:spacing w:after="0" w:line="200" w:lineRule="exact"/>
        <w:rPr>
          <w:color w:val="auto"/>
          <w:sz w:val="20"/>
          <w:szCs w:val="20"/>
        </w:rPr>
      </w:pPr>
    </w:p>
    <w:p>
      <w:pPr>
        <w:spacing w:after="0" w:line="361"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is an important hormone in the regulation of serum calcium</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homeostasis and proper bone metabolism.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helps to maintain serum</w:t>
      </w:r>
    </w:p>
    <w:p>
      <w:pPr>
        <w:spacing w:after="0" w:line="329" w:lineRule="exact"/>
        <w:rPr>
          <w:color w:val="auto"/>
          <w:sz w:val="20"/>
          <w:szCs w:val="20"/>
        </w:rPr>
      </w:pPr>
    </w:p>
    <w:p>
      <w:pPr>
        <w:spacing w:after="0" w:line="494" w:lineRule="auto"/>
        <w:ind w:left="720" w:right="140"/>
        <w:rPr>
          <w:color w:val="auto"/>
          <w:sz w:val="20"/>
          <w:szCs w:val="20"/>
        </w:rPr>
      </w:pPr>
      <w:r>
        <w:rPr>
          <w:rFonts w:ascii="Cambria" w:hAnsi="Cambria" w:eastAsia="Cambria" w:cs="Cambria"/>
          <w:color w:val="auto"/>
          <w:sz w:val="23"/>
          <w:szCs w:val="23"/>
        </w:rPr>
        <w:t>calcium homeostasis by increasing the efficiency of intestinal calcium absorption in response to a drop in serum calcium. This calcemic effect of vitamin D effect occurs indirectly. A drop in serum calcium leads to increased secretion of parathyroid hormone (PTH) from the parathyroid gland, which then increases the renal synthesis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by increasing CYP27B1 (1α-hydroxylase) expression. Higher circulating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concentrations help maintain calcium homeostasis</w:t>
      </w:r>
    </w:p>
    <w:p>
      <w:pPr>
        <w:spacing w:after="0" w:line="47" w:lineRule="exact"/>
        <w:rPr>
          <w:color w:val="auto"/>
          <w:sz w:val="20"/>
          <w:szCs w:val="20"/>
        </w:rPr>
      </w:pPr>
    </w:p>
    <w:p>
      <w:pPr>
        <w:spacing w:after="0" w:line="438" w:lineRule="auto"/>
        <w:ind w:left="720" w:right="20"/>
        <w:rPr>
          <w:color w:val="auto"/>
          <w:sz w:val="20"/>
          <w:szCs w:val="20"/>
        </w:rPr>
      </w:pPr>
      <w:r>
        <w:rPr>
          <w:rFonts w:ascii="Cambria" w:hAnsi="Cambria" w:eastAsia="Cambria" w:cs="Cambria"/>
          <w:color w:val="auto"/>
          <w:sz w:val="24"/>
          <w:szCs w:val="24"/>
        </w:rPr>
        <w:t>by increasing vitamin D-dependent expression of calcium transport proteins, TRPV6 and calbindin D, in the enterocyte, which promote increased calcium absorption.</w:t>
      </w:r>
    </w:p>
    <w:p>
      <w:pPr>
        <w:spacing w:after="0" w:line="200" w:lineRule="exact"/>
        <w:rPr>
          <w:color w:val="auto"/>
          <w:sz w:val="20"/>
          <w:szCs w:val="20"/>
        </w:rPr>
      </w:pPr>
    </w:p>
    <w:p>
      <w:pPr>
        <w:spacing w:after="0" w:line="203"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7</w:t>
      </w:r>
    </w:p>
    <w:p>
      <w:pPr>
        <w:sectPr>
          <w:pgSz w:w="12240" w:h="15840"/>
          <w:pgMar w:top="1440" w:right="1440" w:bottom="120" w:left="1440" w:header="0" w:footer="0" w:gutter="0"/>
          <w:cols w:equalWidth="0" w:num="1">
            <w:col w:w="9360"/>
          </w:cols>
        </w:sectPr>
      </w:pPr>
    </w:p>
    <w:p>
      <w:pPr>
        <w:spacing w:after="0"/>
        <w:ind w:right="-19"/>
        <w:jc w:val="center"/>
        <w:rPr>
          <w:color w:val="auto"/>
          <w:sz w:val="20"/>
          <w:szCs w:val="20"/>
        </w:rPr>
      </w:pPr>
      <w:bookmarkStart w:id="15" w:name="page22"/>
      <w:bookmarkEnd w:id="15"/>
      <w:r>
        <w:rPr>
          <w:rFonts w:ascii="Cambria" w:hAnsi="Cambria" w:eastAsia="Cambria" w:cs="Cambria"/>
          <w:color w:val="auto"/>
          <w:sz w:val="24"/>
          <w:szCs w:val="24"/>
        </w:rPr>
        <w:t>This physiologic effect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 the intestine is complimented by the</w:t>
      </w:r>
    </w:p>
    <w:p>
      <w:pPr>
        <w:spacing w:after="0" w:line="329" w:lineRule="exact"/>
        <w:rPr>
          <w:color w:val="auto"/>
          <w:sz w:val="20"/>
          <w:szCs w:val="20"/>
        </w:rPr>
      </w:pPr>
    </w:p>
    <w:p>
      <w:pPr>
        <w:spacing w:after="0" w:line="439" w:lineRule="auto"/>
        <w:ind w:left="720" w:right="560"/>
        <w:rPr>
          <w:color w:val="auto"/>
          <w:sz w:val="20"/>
          <w:szCs w:val="20"/>
        </w:rPr>
      </w:pPr>
      <w:r>
        <w:rPr>
          <w:rFonts w:ascii="Cambria" w:hAnsi="Cambria" w:eastAsia="Cambria" w:cs="Cambria"/>
          <w:color w:val="auto"/>
          <w:sz w:val="24"/>
          <w:szCs w:val="24"/>
        </w:rPr>
        <w:t>anticalcuric and bone-resorbing effect of PTH. Once serum calcium levels are increased back to normal, PTH secretion is reduced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synthesis</w:t>
      </w:r>
    </w:p>
    <w:p>
      <w:pPr>
        <w:spacing w:after="0" w:line="96" w:lineRule="exact"/>
        <w:rPr>
          <w:color w:val="auto"/>
          <w:sz w:val="20"/>
          <w:szCs w:val="20"/>
        </w:rPr>
      </w:pPr>
    </w:p>
    <w:p>
      <w:pPr>
        <w:spacing w:after="0" w:line="466" w:lineRule="auto"/>
        <w:ind w:left="720" w:right="120"/>
        <w:rPr>
          <w:color w:val="auto"/>
          <w:sz w:val="20"/>
          <w:szCs w:val="20"/>
        </w:rPr>
      </w:pPr>
      <w:r>
        <w:rPr>
          <w:rFonts w:ascii="Cambria" w:hAnsi="Cambria" w:eastAsia="Cambria" w:cs="Cambria"/>
          <w:color w:val="auto"/>
          <w:sz w:val="24"/>
          <w:szCs w:val="24"/>
        </w:rPr>
        <w:t>decreases. Elevated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participates in a negative feedback signal on the parathyroid glands to suppress further synthesis of the PTH precursor, and vitamin D-induced CYP24A1 expression leads to increased breakdown of the vitamin D hormone.</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1.4.1 Vitamin D</w:t>
      </w:r>
      <w:r>
        <w:rPr>
          <w:rFonts w:ascii="Cambria" w:hAnsi="Cambria" w:eastAsia="Cambria" w:cs="Cambria"/>
          <w:color w:val="auto"/>
          <w:sz w:val="16"/>
          <w:szCs w:val="16"/>
        </w:rPr>
        <w:t>3</w:t>
      </w:r>
      <w:r>
        <w:rPr>
          <w:rFonts w:ascii="Cambria" w:hAnsi="Cambria" w:eastAsia="Cambria" w:cs="Cambria"/>
          <w:color w:val="auto"/>
          <w:sz w:val="24"/>
          <w:szCs w:val="24"/>
        </w:rPr>
        <w:t>: Non-calcemic Functions</w:t>
      </w:r>
    </w:p>
    <w:p>
      <w:pPr>
        <w:spacing w:after="0" w:line="332" w:lineRule="exact"/>
        <w:rPr>
          <w:color w:val="auto"/>
          <w:sz w:val="20"/>
          <w:szCs w:val="20"/>
        </w:rPr>
      </w:pPr>
    </w:p>
    <w:p>
      <w:pPr>
        <w:spacing w:after="0" w:line="469" w:lineRule="auto"/>
        <w:ind w:left="720" w:right="240" w:firstLine="720"/>
        <w:rPr>
          <w:color w:val="auto"/>
          <w:sz w:val="20"/>
          <w:szCs w:val="20"/>
        </w:rPr>
      </w:pPr>
      <w:r>
        <w:rPr>
          <w:rFonts w:ascii="Cambria" w:hAnsi="Cambria" w:eastAsia="Cambria" w:cs="Cambria"/>
          <w:color w:val="auto"/>
          <w:sz w:val="24"/>
          <w:szCs w:val="24"/>
        </w:rPr>
        <w:t>As mentioned above, the non-calcemic functions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may have important implications for carcinogenesis and include the regulation of cell proliferation and differentiation, hormone secretion, and immunomodulation. Vitamin D exerts most of its biological activities by binding to specific high-affinity vitamin D receptor (VDR). (Lopes et al., 2010) As the mediator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66" w:lineRule="exact"/>
        <w:rPr>
          <w:color w:val="auto"/>
          <w:sz w:val="20"/>
          <w:szCs w:val="20"/>
        </w:rPr>
      </w:pPr>
    </w:p>
    <w:p>
      <w:pPr>
        <w:spacing w:after="0" w:line="491" w:lineRule="auto"/>
        <w:ind w:left="720" w:right="20"/>
        <w:rPr>
          <w:color w:val="auto"/>
          <w:sz w:val="20"/>
          <w:szCs w:val="20"/>
        </w:rPr>
      </w:pPr>
      <w:r>
        <w:rPr>
          <w:rFonts w:ascii="Cambria" w:hAnsi="Cambria" w:eastAsia="Cambria" w:cs="Cambria"/>
          <w:color w:val="auto"/>
          <w:sz w:val="23"/>
          <w:szCs w:val="23"/>
        </w:rPr>
        <w:t>action, the VDR is now widely recognized to be expressed in almost every tissue in the body; including: breast, brain, pituitary, stomach, skin, pancreas, central nervous system, and immune system. (Welsh et al., 2003) The presence of VDRs in these diverse tissues suggests that these tissues are in some way vitamin D responsive, and the physiological effect of vitamin D is an active area of investigation.</w:t>
      </w:r>
    </w:p>
    <w:p>
      <w:pPr>
        <w:spacing w:after="0" w:line="55" w:lineRule="exact"/>
        <w:rPr>
          <w:color w:val="auto"/>
          <w:sz w:val="20"/>
          <w:szCs w:val="20"/>
        </w:rPr>
      </w:pPr>
    </w:p>
    <w:p>
      <w:pPr>
        <w:spacing w:after="0" w:line="466" w:lineRule="auto"/>
        <w:ind w:left="720" w:right="180" w:firstLine="720"/>
        <w:rPr>
          <w:color w:val="auto"/>
          <w:sz w:val="20"/>
          <w:szCs w:val="20"/>
        </w:rPr>
      </w:pPr>
      <w:r>
        <w:rPr>
          <w:rFonts w:ascii="Cambria" w:hAnsi="Cambria" w:eastAsia="Cambria" w:cs="Cambria"/>
          <w:color w:val="auto"/>
          <w:sz w:val="23"/>
          <w:szCs w:val="23"/>
        </w:rPr>
        <w:t>Research has shown that proliferation and differentiation of cancerous cells are affected by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via an alteration of transcription of various cell cycle</w:t>
      </w:r>
    </w:p>
    <w:p>
      <w:pPr>
        <w:spacing w:after="0" w:line="78" w:lineRule="exact"/>
        <w:rPr>
          <w:color w:val="auto"/>
          <w:sz w:val="20"/>
          <w:szCs w:val="20"/>
        </w:rPr>
      </w:pPr>
    </w:p>
    <w:p>
      <w:pPr>
        <w:spacing w:after="0" w:line="466" w:lineRule="auto"/>
        <w:ind w:left="720" w:right="300"/>
        <w:rPr>
          <w:color w:val="auto"/>
          <w:sz w:val="20"/>
          <w:szCs w:val="20"/>
        </w:rPr>
      </w:pPr>
      <w:r>
        <w:rPr>
          <w:rFonts w:ascii="Cambria" w:hAnsi="Cambria" w:eastAsia="Cambria" w:cs="Cambria"/>
          <w:color w:val="auto"/>
          <w:sz w:val="23"/>
          <w:szCs w:val="23"/>
        </w:rPr>
        <w:t>and other regulatory genes. For example, in human cell lines derived from normal breast tissue and breast cancers,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other VDR agonists can induce</w:t>
      </w: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8</w:t>
      </w:r>
    </w:p>
    <w:p>
      <w:pPr>
        <w:sectPr>
          <w:pgSz w:w="12240" w:h="15840"/>
          <w:pgMar w:top="1439" w:right="1440" w:bottom="120" w:left="1440" w:header="0" w:footer="0" w:gutter="0"/>
          <w:cols w:equalWidth="0" w:num="1">
            <w:col w:w="9360"/>
          </w:cols>
        </w:sectPr>
      </w:pPr>
    </w:p>
    <w:p>
      <w:pPr>
        <w:spacing w:after="0" w:line="49" w:lineRule="exact"/>
        <w:rPr>
          <w:color w:val="auto"/>
          <w:sz w:val="20"/>
          <w:szCs w:val="20"/>
        </w:rPr>
      </w:pPr>
      <w:bookmarkStart w:id="16" w:name="page23"/>
      <w:bookmarkEnd w:id="16"/>
    </w:p>
    <w:p>
      <w:pPr>
        <w:spacing w:after="0" w:line="459" w:lineRule="auto"/>
        <w:ind w:left="720" w:right="260"/>
        <w:rPr>
          <w:color w:val="auto"/>
          <w:sz w:val="20"/>
          <w:szCs w:val="20"/>
        </w:rPr>
      </w:pPr>
      <w:r>
        <w:rPr>
          <w:rFonts w:ascii="Cambria" w:hAnsi="Cambria" w:eastAsia="Cambria" w:cs="Cambria"/>
          <w:color w:val="auto"/>
          <w:sz w:val="24"/>
          <w:szCs w:val="24"/>
        </w:rPr>
        <w:t>cell cycle arrest, differentiation, and apoptosis. (Welsh et al., 2003) Welsh and colleagues discovered that both HME (non-tumorigenic mammary epithelial cells) and MCF-7 (breast cancer cells) responded to increasing doses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w:t>
      </w:r>
    </w:p>
    <w:p>
      <w:pPr>
        <w:spacing w:after="0" w:line="73" w:lineRule="exact"/>
        <w:rPr>
          <w:color w:val="auto"/>
          <w:sz w:val="20"/>
          <w:szCs w:val="20"/>
        </w:rPr>
      </w:pPr>
    </w:p>
    <w:p>
      <w:pPr>
        <w:spacing w:after="0" w:line="466" w:lineRule="auto"/>
        <w:ind w:left="720" w:right="40"/>
        <w:rPr>
          <w:color w:val="auto"/>
          <w:sz w:val="20"/>
          <w:szCs w:val="20"/>
        </w:rPr>
      </w:pPr>
      <w:r>
        <w:rPr>
          <w:rFonts w:ascii="Cambria" w:hAnsi="Cambria" w:eastAsia="Cambria" w:cs="Cambria"/>
          <w:color w:val="auto"/>
          <w:sz w:val="24"/>
          <w:szCs w:val="24"/>
        </w:rPr>
        <w:t>which triggered cell growth arrest and apoptosis in comparison to non-treated cells. In a subsequent study, Welsh measured CYP24A1 gene expression (a marker of vitamin D status and biodegradation) in HME, MCF-7 and HKC-8 (proximal renal tubule cells), and found that after a 48 hour treatment with 100nM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w:t>
      </w:r>
    </w:p>
    <w:p>
      <w:pPr>
        <w:spacing w:after="0" w:line="1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gene expression was increased by 60, 110, and 150% respectively. (Welsh, 2011)</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1.5 Molecular Mechanism of Vitamin D Genomic Activity</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6" w:lineRule="auto"/>
        <w:ind w:left="720" w:right="60" w:firstLine="720"/>
        <w:rPr>
          <w:color w:val="auto"/>
          <w:sz w:val="20"/>
          <w:szCs w:val="20"/>
        </w:rPr>
      </w:pPr>
      <w:r>
        <w:rPr>
          <w:rFonts w:ascii="Cambria" w:hAnsi="Cambria" w:eastAsia="Cambria" w:cs="Cambria"/>
          <w:color w:val="auto"/>
          <w:sz w:val="24"/>
          <w:szCs w:val="24"/>
        </w:rPr>
        <w:t>Nuclear receptors (NR) are a class of proteins that are intracellular transcription factors that directly regulate gene expression, thereby controlling development, homeostasis and metabolism of an organism. (Nuclear Receptor Resource, 2011) The regulation of gene expression by NR usually only occur when a ligand is present. When a cognate ligand binds to its NR, it causes a conformational change in the receptor protein that activates the receptor, which can lead to an increased or decreased regulation of expression on certain genes. (Seuter, Heikkinen, &amp; Carlberg, 2013a) The transcriptional outcome and dynamic balance of gene alterations of these nuclear receptors is determined by the ligand. The NR contains ligand-binding domains that will selectively bind lipid-soluble ligands, and DNA-binding domains that recognize and bind specific nucleotide sequences in target genes; thus inducing or repressing target gene promoters. (Welsh et al., 2003).</w:t>
      </w:r>
    </w:p>
    <w:p>
      <w:pPr>
        <w:spacing w:after="0" w:line="365"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9</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7" w:name="page24"/>
      <w:bookmarkEnd w:id="17"/>
    </w:p>
    <w:p>
      <w:pPr>
        <w:spacing w:after="0" w:line="459" w:lineRule="auto"/>
        <w:ind w:left="720" w:right="60" w:firstLine="720"/>
        <w:rPr>
          <w:color w:val="auto"/>
          <w:sz w:val="20"/>
          <w:szCs w:val="20"/>
        </w:rPr>
      </w:pPr>
      <w:r>
        <w:rPr>
          <w:rFonts w:ascii="Cambria" w:hAnsi="Cambria" w:eastAsia="Cambria" w:cs="Cambria"/>
          <w:color w:val="auto"/>
          <w:sz w:val="24"/>
          <w:szCs w:val="24"/>
        </w:rPr>
        <w:t>The VDR is a member of the nuclear receptor family of proteins that acts as ligand-dependent transcription factors to modulate expression of specific genes in a tissue-specific manner. The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-VDR-dependent transcriptional activity is</w:t>
      </w:r>
    </w:p>
    <w:p>
      <w:pPr>
        <w:spacing w:after="0" w:line="73" w:lineRule="exact"/>
        <w:rPr>
          <w:color w:val="auto"/>
          <w:sz w:val="20"/>
          <w:szCs w:val="20"/>
        </w:rPr>
      </w:pPr>
    </w:p>
    <w:p>
      <w:pPr>
        <w:spacing w:after="0" w:line="466" w:lineRule="auto"/>
        <w:ind w:left="720"/>
        <w:rPr>
          <w:color w:val="auto"/>
          <w:sz w:val="20"/>
          <w:szCs w:val="20"/>
        </w:rPr>
      </w:pPr>
      <w:r>
        <w:rPr>
          <w:rFonts w:ascii="Cambria" w:hAnsi="Cambria" w:eastAsia="Cambria" w:cs="Cambria"/>
          <w:color w:val="auto"/>
          <w:sz w:val="24"/>
          <w:szCs w:val="24"/>
        </w:rPr>
        <w:t>modulated through synergistic ligand-binding and dimerization with retinoic X receptor (RXR). This VDR-RXR receptor heterodimer is able to enter deep grooves in DNA and recognize vitamin D responsive elements in the promoter regions of vitamin D target genes. It is hypothesized that the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-VDR complex</w:t>
      </w:r>
    </w:p>
    <w:p>
      <w:pPr>
        <w:spacing w:after="0" w:line="66" w:lineRule="exact"/>
        <w:rPr>
          <w:color w:val="auto"/>
          <w:sz w:val="20"/>
          <w:szCs w:val="20"/>
        </w:rPr>
      </w:pPr>
    </w:p>
    <w:p>
      <w:pPr>
        <w:spacing w:after="0" w:line="471" w:lineRule="auto"/>
        <w:ind w:left="720" w:right="80"/>
        <w:rPr>
          <w:color w:val="auto"/>
          <w:sz w:val="20"/>
          <w:szCs w:val="20"/>
        </w:rPr>
      </w:pPr>
      <w:r>
        <w:rPr>
          <w:rFonts w:ascii="Cambria" w:hAnsi="Cambria" w:eastAsia="Cambria" w:cs="Cambria"/>
          <w:color w:val="auto"/>
          <w:sz w:val="24"/>
          <w:szCs w:val="24"/>
        </w:rPr>
        <w:t>induces a program of gene expression that suppress cancer cell proliferation and stimulates differentiation in the normal mammary gland. This would mean that a dysregulation of VDR-mediated gene expression would lead to altered development and possible cell transformation leading to cell mutation. (Welsh et al., 2003) An important goal of VDR research is to identify the optimization of VDR signaling in the mammary gland to protect against breast cancer.</w:t>
      </w:r>
    </w:p>
    <w:p>
      <w:pPr>
        <w:spacing w:after="0" w:line="64" w:lineRule="exact"/>
        <w:rPr>
          <w:color w:val="auto"/>
          <w:sz w:val="20"/>
          <w:szCs w:val="20"/>
        </w:rPr>
      </w:pPr>
    </w:p>
    <w:p>
      <w:pPr>
        <w:spacing w:after="0" w:line="469" w:lineRule="auto"/>
        <w:ind w:left="720" w:right="40" w:firstLine="720"/>
        <w:rPr>
          <w:color w:val="auto"/>
          <w:sz w:val="20"/>
          <w:szCs w:val="20"/>
        </w:rPr>
      </w:pPr>
      <w:r>
        <w:rPr>
          <w:rFonts w:ascii="Cambria" w:hAnsi="Cambria" w:eastAsia="Cambria" w:cs="Cambria"/>
          <w:color w:val="auto"/>
          <w:sz w:val="24"/>
          <w:szCs w:val="24"/>
        </w:rPr>
        <w:t>Vitamin D exerts its biological activities by activating the VDR using a mechanism similar to that of other members of the steroid hormone superfamily. Its cellular actions are achieved by regulating the expression of the vitamin D responsive genes in the target tissues. (Chen &amp; Deluca, 1995) There are many genes that have been shown to be responsive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many of them play a direct</w:t>
      </w:r>
    </w:p>
    <w:p>
      <w:pPr>
        <w:spacing w:after="0" w:line="66" w:lineRule="exact"/>
        <w:rPr>
          <w:color w:val="auto"/>
          <w:sz w:val="20"/>
          <w:szCs w:val="20"/>
        </w:rPr>
      </w:pPr>
    </w:p>
    <w:p>
      <w:pPr>
        <w:spacing w:after="0" w:line="465" w:lineRule="auto"/>
        <w:ind w:left="720" w:right="220"/>
        <w:rPr>
          <w:color w:val="auto"/>
          <w:sz w:val="20"/>
          <w:szCs w:val="20"/>
        </w:rPr>
      </w:pPr>
      <w:r>
        <w:rPr>
          <w:rFonts w:ascii="Cambria" w:hAnsi="Cambria" w:eastAsia="Cambria" w:cs="Cambria"/>
          <w:color w:val="auto"/>
          <w:sz w:val="24"/>
          <w:szCs w:val="24"/>
        </w:rPr>
        <w:t>role in calcium regulation and bone formation; osteocalcin, osteopontin, PTH, the hydroxylases CYP24A1 and the calbindin genes. The bone protein osteocalcin is upregulated by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whereas PTH is down regulated. The calbindin-D9k gene is upregulated with increased calcium absorption and increased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18"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expression. (Jones, Tighilet, Tran, &amp; Huntsman, 1998)</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10</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8" w:name="page25"/>
      <w:bookmarkEnd w:id="18"/>
    </w:p>
    <w:p>
      <w:pPr>
        <w:spacing w:after="0" w:line="484" w:lineRule="auto"/>
        <w:ind w:left="720" w:right="40" w:firstLine="720"/>
        <w:rPr>
          <w:color w:val="auto"/>
          <w:sz w:val="20"/>
          <w:szCs w:val="20"/>
        </w:rPr>
      </w:pPr>
      <w:r>
        <w:rPr>
          <w:rFonts w:ascii="Cambria" w:hAnsi="Cambria" w:eastAsia="Cambria" w:cs="Cambria"/>
          <w:color w:val="auto"/>
          <w:sz w:val="23"/>
          <w:szCs w:val="23"/>
        </w:rPr>
        <w:t>The 24-hydroxylase gene CYP24A1 is an immediate target gene of VDR expression, it is one of the most highly regulated genes that respond to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and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is thought to be the sole physiological inducer of 24-hydroxylase</w:t>
      </w:r>
    </w:p>
    <w:p>
      <w:pPr>
        <w:spacing w:after="0" w:line="56" w:lineRule="exact"/>
        <w:rPr>
          <w:color w:val="auto"/>
          <w:sz w:val="20"/>
          <w:szCs w:val="20"/>
        </w:rPr>
      </w:pPr>
    </w:p>
    <w:p>
      <w:pPr>
        <w:spacing w:after="0" w:line="459" w:lineRule="auto"/>
        <w:ind w:left="720" w:right="440"/>
        <w:rPr>
          <w:color w:val="auto"/>
          <w:sz w:val="20"/>
          <w:szCs w:val="20"/>
        </w:rPr>
      </w:pPr>
      <w:r>
        <w:rPr>
          <w:rFonts w:ascii="Cambria" w:hAnsi="Cambria" w:eastAsia="Cambria" w:cs="Cambria"/>
          <w:color w:val="auto"/>
          <w:sz w:val="24"/>
          <w:szCs w:val="24"/>
        </w:rPr>
        <w:t>activity. (Johnson, Chung, &amp; Trump, 2010) Increased expression of the CYP24 enzyme initiates a negative feedback loop and leads to increased catabolism and inactivation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Studies have clearly demonstrated that the 24-</w:t>
      </w:r>
    </w:p>
    <w:p>
      <w:pPr>
        <w:spacing w:after="0" w:line="75" w:lineRule="exact"/>
        <w:rPr>
          <w:color w:val="auto"/>
          <w:sz w:val="20"/>
          <w:szCs w:val="20"/>
        </w:rPr>
      </w:pPr>
    </w:p>
    <w:p>
      <w:pPr>
        <w:spacing w:after="0" w:line="466" w:lineRule="auto"/>
        <w:ind w:left="720" w:right="280"/>
        <w:rPr>
          <w:color w:val="auto"/>
          <w:sz w:val="20"/>
          <w:szCs w:val="20"/>
        </w:rPr>
      </w:pPr>
      <w:r>
        <w:rPr>
          <w:rFonts w:ascii="Cambria" w:hAnsi="Cambria" w:eastAsia="Cambria" w:cs="Cambria"/>
          <w:color w:val="auto"/>
          <w:sz w:val="23"/>
          <w:szCs w:val="23"/>
        </w:rPr>
        <w:t>hydroxylase gene (CYP24A1) is regulated at the transcriptional level by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 With the presence of the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ligand, it is a sensitive marker</w:t>
      </w:r>
    </w:p>
    <w:p>
      <w:pPr>
        <w:spacing w:after="0" w:line="79" w:lineRule="exact"/>
        <w:rPr>
          <w:color w:val="auto"/>
          <w:sz w:val="20"/>
          <w:szCs w:val="20"/>
        </w:rPr>
      </w:pPr>
    </w:p>
    <w:p>
      <w:pPr>
        <w:spacing w:after="0" w:line="436" w:lineRule="auto"/>
        <w:ind w:left="720" w:right="120"/>
        <w:rPr>
          <w:color w:val="auto"/>
          <w:sz w:val="20"/>
          <w:szCs w:val="20"/>
        </w:rPr>
      </w:pPr>
      <w:r>
        <w:rPr>
          <w:rFonts w:ascii="Cambria" w:hAnsi="Cambria" w:eastAsia="Cambria" w:cs="Cambria"/>
          <w:color w:val="auto"/>
          <w:sz w:val="24"/>
          <w:szCs w:val="24"/>
        </w:rPr>
        <w:t>for VDR function because its promoter region contains multiple vitamin D response elements (VDRE). (Chen &amp; Deluca, 1995)</w:t>
      </w:r>
    </w:p>
    <w:p>
      <w:pPr>
        <w:spacing w:after="0" w:line="103" w:lineRule="exact"/>
        <w:rPr>
          <w:color w:val="auto"/>
          <w:sz w:val="20"/>
          <w:szCs w:val="20"/>
        </w:rPr>
      </w:pPr>
    </w:p>
    <w:p>
      <w:pPr>
        <w:spacing w:after="0" w:line="474" w:lineRule="auto"/>
        <w:ind w:left="720" w:right="100" w:firstLine="720"/>
        <w:rPr>
          <w:color w:val="auto"/>
          <w:sz w:val="20"/>
          <w:szCs w:val="20"/>
        </w:rPr>
      </w:pPr>
      <w:r>
        <w:rPr>
          <w:rFonts w:ascii="Cambria" w:hAnsi="Cambria" w:eastAsia="Cambria" w:cs="Cambria"/>
          <w:color w:val="auto"/>
          <w:sz w:val="24"/>
          <w:szCs w:val="24"/>
        </w:rPr>
        <w:t>Shinki and colleagues (Shinki et al., 1992) investigated tumor-derived endothelial cells, TDEC, and Martigel plugs, MDEC, by exposing them to 1,25-dihydroxycholecalciferol and then measuring the mRNA of CYP24A1. The analysis found that there was no induced expression of the VDR signaling pathway in the tumor-derived cell study, and the normal MDEC showed the expected level of CYP24A1 expression. This shows that untreated tumor cells can epigenetically alter gene expression, and thus inhibit expression of VDR. Combating the tumor’s epigenetic change and induce CYP24A1 expression could increased the benefits found with calcitriol-mediated therapies.</w:t>
      </w:r>
    </w:p>
    <w:p>
      <w:pPr>
        <w:spacing w:after="0" w:line="200" w:lineRule="exact"/>
        <w:rPr>
          <w:color w:val="auto"/>
          <w:sz w:val="20"/>
          <w:szCs w:val="20"/>
        </w:rPr>
      </w:pPr>
    </w:p>
    <w:p>
      <w:pPr>
        <w:spacing w:after="0" w:line="232"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1.6 Epigenetic Modulation of Gene Expression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38" w:lineRule="auto"/>
        <w:ind w:left="720" w:right="20" w:firstLine="720"/>
        <w:rPr>
          <w:color w:val="auto"/>
          <w:sz w:val="20"/>
          <w:szCs w:val="20"/>
        </w:rPr>
      </w:pPr>
      <w:r>
        <w:rPr>
          <w:rFonts w:ascii="Cambria" w:hAnsi="Cambria" w:eastAsia="Cambria" w:cs="Cambria"/>
          <w:color w:val="auto"/>
          <w:sz w:val="24"/>
          <w:szCs w:val="24"/>
        </w:rPr>
        <w:t>C. H. Waddington first introduced the concept of epigenetics in 1939 as a way to name the “causal interactions between genes and their products, which bring the</w:t>
      </w:r>
    </w:p>
    <w:p>
      <w:pPr>
        <w:spacing w:after="0" w:line="200" w:lineRule="exact"/>
        <w:rPr>
          <w:color w:val="auto"/>
          <w:sz w:val="20"/>
          <w:szCs w:val="20"/>
        </w:rPr>
      </w:pPr>
    </w:p>
    <w:p>
      <w:pPr>
        <w:spacing w:after="0" w:line="20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11</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19" w:name="page26"/>
      <w:bookmarkEnd w:id="19"/>
    </w:p>
    <w:p>
      <w:pPr>
        <w:spacing w:after="0" w:line="465" w:lineRule="auto"/>
        <w:ind w:left="720" w:right="180"/>
        <w:rPr>
          <w:color w:val="auto"/>
          <w:sz w:val="20"/>
          <w:szCs w:val="20"/>
        </w:rPr>
      </w:pPr>
      <w:r>
        <w:rPr>
          <w:rFonts w:ascii="Cambria" w:hAnsi="Cambria" w:eastAsia="Cambria" w:cs="Cambria"/>
          <w:color w:val="auto"/>
          <w:sz w:val="24"/>
          <w:szCs w:val="24"/>
        </w:rPr>
        <w:t>phenotype into being.” (Esteller, 2003) Currently the term epigenetics refers to the modification in gene expression caused by heritable, and potentially reversible, alterations in chromatin structure and/or DNA methylation without changes in the DNA sequence. (Gerhaeuser, 2012)</w:t>
      </w:r>
    </w:p>
    <w:p>
      <w:pPr>
        <w:spacing w:after="0" w:line="71" w:lineRule="exact"/>
        <w:rPr>
          <w:color w:val="auto"/>
          <w:sz w:val="20"/>
          <w:szCs w:val="20"/>
        </w:rPr>
      </w:pPr>
    </w:p>
    <w:p>
      <w:pPr>
        <w:spacing w:after="0" w:line="475" w:lineRule="auto"/>
        <w:ind w:left="720" w:right="100" w:firstLine="720"/>
        <w:rPr>
          <w:color w:val="auto"/>
          <w:sz w:val="20"/>
          <w:szCs w:val="20"/>
        </w:rPr>
      </w:pPr>
      <w:r>
        <w:rPr>
          <w:rFonts w:ascii="Cambria" w:hAnsi="Cambria" w:eastAsia="Cambria" w:cs="Cambria"/>
          <w:color w:val="auto"/>
          <w:sz w:val="24"/>
          <w:szCs w:val="24"/>
        </w:rPr>
        <w:t>The DNA nucleotide sequences are the genetic instructions that are used to develop and regulate the functioning of all cell processes. Epigenetics is the study of changes in the gene expression or cellular phenotype caused by mechanisms other than changes to the underlying DNA sequence. It refers to the functionally relevant modifications to the genome that do not involve a change in the nucleotide sequence. Examples of such modifications are DNA methylation, histone protein modifications and microRNA expression. These changes remain through cell division for the remainder of the cell’s life, and may also last for multiple generations. These epigenetic changes can be inherited by daughter cells, thus having the potential to correct altered gene expression patterns that have been established as a consequence of environmental stimuli. (Gerhaeuser, 2012)</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1.6.1 Histone Modification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94" w:lineRule="auto"/>
        <w:ind w:left="720" w:right="40" w:firstLine="720"/>
        <w:rPr>
          <w:color w:val="auto"/>
          <w:sz w:val="20"/>
          <w:szCs w:val="20"/>
        </w:rPr>
      </w:pPr>
      <w:r>
        <w:rPr>
          <w:rFonts w:ascii="Cambria" w:hAnsi="Cambria" w:eastAsia="Cambria" w:cs="Cambria"/>
          <w:color w:val="auto"/>
          <w:sz w:val="23"/>
          <w:szCs w:val="23"/>
        </w:rPr>
        <w:t>Histone modification is defined as, post-translational modification at the N-terminal histone tails of histone proteins; acetylation and methylation are the two most recognized mechanisms. These contribute to epigenetic regulation of gene expression, genomic stability, DNA damage response and cell cycle checkpoint integrity. (Gerhaeuser, 2012) Histone acetylation and deacetylation are mediated by an interplay of enzymes that activate and deactivate the paired processes. Histone</w:t>
      </w:r>
    </w:p>
    <w:p>
      <w:pPr>
        <w:spacing w:after="0" w:line="35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12</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0" w:name="page27"/>
      <w:bookmarkEnd w:id="20"/>
    </w:p>
    <w:p>
      <w:pPr>
        <w:spacing w:after="0" w:line="469" w:lineRule="auto"/>
        <w:ind w:left="720" w:right="180"/>
        <w:rPr>
          <w:color w:val="auto"/>
          <w:sz w:val="20"/>
          <w:szCs w:val="20"/>
        </w:rPr>
      </w:pPr>
      <w:r>
        <w:rPr>
          <w:rFonts w:ascii="Cambria" w:hAnsi="Cambria" w:eastAsia="Cambria" w:cs="Cambria"/>
          <w:color w:val="auto"/>
          <w:sz w:val="24"/>
          <w:szCs w:val="24"/>
        </w:rPr>
        <w:t>acetylation, by histone acetyltransferase (HAT), acetylates the lysine residues to decrease compaction, in part due to the weakened charge attraction between the DNA and histone proteins; this increases gene activation and transcription. While histone deacetylase (HDAC) works to remove that acetyl group from the lysine and increase compaction and decrease transcription.</w:t>
      </w:r>
    </w:p>
    <w:p>
      <w:pPr>
        <w:spacing w:after="0" w:line="64" w:lineRule="exact"/>
        <w:rPr>
          <w:color w:val="auto"/>
          <w:sz w:val="20"/>
          <w:szCs w:val="20"/>
        </w:rPr>
      </w:pPr>
    </w:p>
    <w:p>
      <w:pPr>
        <w:spacing w:after="0" w:line="474" w:lineRule="auto"/>
        <w:ind w:left="720" w:right="120" w:firstLine="360"/>
        <w:rPr>
          <w:color w:val="auto"/>
          <w:sz w:val="20"/>
          <w:szCs w:val="20"/>
        </w:rPr>
      </w:pPr>
      <w:r>
        <w:rPr>
          <w:rFonts w:ascii="Cambria" w:hAnsi="Cambria" w:eastAsia="Cambria" w:cs="Cambria"/>
          <w:color w:val="auto"/>
          <w:sz w:val="24"/>
          <w:szCs w:val="24"/>
        </w:rPr>
        <w:t>Perturbation of the balance between histone acetylation and deacetylation is considered a key factor in cancer development, and an overexpression of HDAC is a characteristic often seen in cancer cells. Reversible acetylation of histones and non-histone proteins has been shown to affect cell metabolism and other cellular processes, thus can be targeted by inhibitors of histone deacetylases, which will increase acetylation and can cause the chromatin structure to remain open and available for transcription of important anti-cancer genes, such as those involved in apoptosis; thus, limiting one of the cancer cell’s self-preservation mechanisms.</w:t>
      </w:r>
    </w:p>
    <w:p>
      <w:pPr>
        <w:spacing w:after="0" w:line="200" w:lineRule="exact"/>
        <w:rPr>
          <w:color w:val="auto"/>
          <w:sz w:val="20"/>
          <w:szCs w:val="20"/>
        </w:rPr>
      </w:pPr>
    </w:p>
    <w:p>
      <w:pPr>
        <w:spacing w:after="0" w:line="22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1.7 Histone Deacetylase Inhibitors (HDACI)</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4" w:lineRule="auto"/>
        <w:ind w:left="720" w:firstLine="720"/>
        <w:rPr>
          <w:color w:val="auto"/>
          <w:sz w:val="20"/>
          <w:szCs w:val="20"/>
        </w:rPr>
      </w:pPr>
      <w:r>
        <w:rPr>
          <w:rFonts w:ascii="Cambria" w:hAnsi="Cambria" w:eastAsia="Cambria" w:cs="Cambria"/>
          <w:color w:val="auto"/>
          <w:sz w:val="24"/>
          <w:szCs w:val="24"/>
        </w:rPr>
        <w:t>As HDAC are associated with transcriptional repression (Christensen &amp; Marsit, 2011) , histone deacetylase inhibitors (HDACI) are a class of compounds that interfere with the function of HDAC and have been known to induce hyperacetylation, which affects gene expression by modulating the chromatin structure. (Dashwood &amp; Ho, 2007; Davis &amp; Ross, 2007) Numerous data have shown that a main characteristic of cancer is global hypomethylation and hypermethylation of specific DNA regions, mainly within the promoters of tumor suppressor genes. The increase in promoter DNA methylation was reported as a common mechanism</w:t>
      </w:r>
    </w:p>
    <w:p>
      <w:pPr>
        <w:spacing w:after="0" w:line="36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13</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1" w:name="page28"/>
      <w:bookmarkEnd w:id="21"/>
    </w:p>
    <w:p>
      <w:pPr>
        <w:spacing w:after="0" w:line="436" w:lineRule="auto"/>
        <w:ind w:left="720" w:right="180"/>
        <w:rPr>
          <w:color w:val="auto"/>
          <w:sz w:val="20"/>
          <w:szCs w:val="20"/>
        </w:rPr>
      </w:pPr>
      <w:r>
        <w:rPr>
          <w:rFonts w:ascii="Cambria" w:hAnsi="Cambria" w:eastAsia="Cambria" w:cs="Cambria"/>
          <w:color w:val="auto"/>
          <w:sz w:val="24"/>
          <w:szCs w:val="24"/>
        </w:rPr>
        <w:t>of tumor suppressor gene silencing observed in many types of cancers. (Stefanska, Karlic, Varga, Fabianowska-Majewska, &amp; Haslberger, 2012)</w:t>
      </w:r>
    </w:p>
    <w:p>
      <w:pPr>
        <w:spacing w:after="0" w:line="103" w:lineRule="exact"/>
        <w:rPr>
          <w:color w:val="auto"/>
          <w:sz w:val="20"/>
          <w:szCs w:val="20"/>
        </w:rPr>
      </w:pPr>
    </w:p>
    <w:p>
      <w:pPr>
        <w:spacing w:after="0" w:line="472" w:lineRule="auto"/>
        <w:ind w:left="720" w:right="140" w:firstLine="720"/>
        <w:rPr>
          <w:color w:val="auto"/>
          <w:sz w:val="20"/>
          <w:szCs w:val="20"/>
        </w:rPr>
      </w:pPr>
      <w:r>
        <w:rPr>
          <w:rFonts w:ascii="Cambria" w:hAnsi="Cambria" w:eastAsia="Cambria" w:cs="Cambria"/>
          <w:color w:val="auto"/>
          <w:sz w:val="24"/>
          <w:szCs w:val="24"/>
        </w:rPr>
        <w:t>A working hypothesis is that in the presence of HDAC, a cancer cells chromatin interactions are kept in a constrained state. HDACI enable the net transfer of acetyl groups to lysine tails in histones, thereby loosening the interactions with DNA and facilitating transcription factor access and gene activation. (Dashwood &amp; Ho, 2007) Enabling increased transcription and activation of important tumor suppressor genes via HDACI, could yield promising treatment outcomes for cancer patients.</w:t>
      </w:r>
    </w:p>
    <w:p>
      <w:pPr>
        <w:spacing w:after="0" w:line="65" w:lineRule="exact"/>
        <w:rPr>
          <w:color w:val="auto"/>
          <w:sz w:val="20"/>
          <w:szCs w:val="20"/>
        </w:rPr>
      </w:pPr>
    </w:p>
    <w:p>
      <w:pPr>
        <w:spacing w:after="0" w:line="466" w:lineRule="auto"/>
        <w:ind w:left="720" w:right="240" w:firstLine="720"/>
        <w:rPr>
          <w:color w:val="auto"/>
          <w:sz w:val="20"/>
          <w:szCs w:val="20"/>
        </w:rPr>
      </w:pPr>
      <w:r>
        <w:rPr>
          <w:rFonts w:ascii="Cambria" w:hAnsi="Cambria" w:eastAsia="Cambria" w:cs="Cambria"/>
          <w:color w:val="auto"/>
          <w:sz w:val="24"/>
          <w:szCs w:val="24"/>
        </w:rPr>
        <w:t>The classical HDACI that have been recognized are as follows in decreasing order of potency; hydroxamic acids, such as trichostatin A (TSA); cyclic tetrapeptides, such as trapoxin B; benzamides; electrophilic ketones; and aliphatic acid compounds, such as phenylbutyrate and valproic acid.</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1.7.1 Trichostatin A (TSA)</w:t>
      </w:r>
    </w:p>
    <w:p>
      <w:pPr>
        <w:spacing w:after="0" w:line="333" w:lineRule="exact"/>
        <w:rPr>
          <w:color w:val="auto"/>
          <w:sz w:val="20"/>
          <w:szCs w:val="20"/>
        </w:rPr>
      </w:pPr>
    </w:p>
    <w:p>
      <w:pPr>
        <w:spacing w:after="0" w:line="472" w:lineRule="auto"/>
        <w:ind w:left="720" w:right="60" w:firstLine="720"/>
        <w:rPr>
          <w:color w:val="auto"/>
          <w:sz w:val="20"/>
          <w:szCs w:val="20"/>
        </w:rPr>
      </w:pPr>
      <w:r>
        <w:rPr>
          <w:rFonts w:ascii="Cambria" w:hAnsi="Cambria" w:eastAsia="Cambria" w:cs="Cambria"/>
          <w:color w:val="auto"/>
          <w:sz w:val="24"/>
          <w:szCs w:val="24"/>
        </w:rPr>
        <w:t>Trichostatin A (7-(4-(dimethylamino)phenyl)-N-hydroxy-4,6-dimethyl-7-oxohepta-2,4-dienamide) is the most potent HDACI chemical agent that has been discovered thus far. It is an organic compound that was originally used as an antifungal antibiotic. It has now been discovered as a potent anti-proliferative agent from its ability to alter gene expression. (Yoshida, 2007) It has a large spectrum of epigenetic activities; promotes the expression of the apoptosis-related genes, induces cell differentiation thus acting to mature some of the de-differentiated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14</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2" w:name="page29"/>
      <w:bookmarkEnd w:id="22"/>
    </w:p>
    <w:p>
      <w:pPr>
        <w:spacing w:after="0" w:line="436" w:lineRule="auto"/>
        <w:ind w:left="720" w:right="840"/>
        <w:rPr>
          <w:color w:val="auto"/>
          <w:sz w:val="20"/>
          <w:szCs w:val="20"/>
        </w:rPr>
      </w:pPr>
      <w:r>
        <w:rPr>
          <w:rFonts w:ascii="Cambria" w:hAnsi="Cambria" w:eastAsia="Cambria" w:cs="Cambria"/>
          <w:color w:val="auto"/>
          <w:sz w:val="24"/>
          <w:szCs w:val="24"/>
        </w:rPr>
        <w:t>found in tumors and acts as an anti-cancer drug by slowing down cancer cell survival and progression. (Kim, Kang, Na, &amp; Lee, 2010; Meadows, 2012)</w:t>
      </w:r>
    </w:p>
    <w:p>
      <w:pPr>
        <w:spacing w:after="0" w:line="103" w:lineRule="exact"/>
        <w:rPr>
          <w:color w:val="auto"/>
          <w:sz w:val="20"/>
          <w:szCs w:val="20"/>
        </w:rPr>
      </w:pPr>
    </w:p>
    <w:p>
      <w:pPr>
        <w:spacing w:after="0" w:line="471" w:lineRule="auto"/>
        <w:ind w:left="720" w:right="440" w:firstLine="720"/>
        <w:rPr>
          <w:color w:val="auto"/>
          <w:sz w:val="20"/>
          <w:szCs w:val="20"/>
        </w:rPr>
      </w:pPr>
      <w:r>
        <w:rPr>
          <w:rFonts w:ascii="Cambria" w:hAnsi="Cambria" w:eastAsia="Cambria" w:cs="Cambria"/>
          <w:color w:val="auto"/>
          <w:sz w:val="24"/>
          <w:szCs w:val="24"/>
        </w:rPr>
        <w:t>TSA has been found to be effective at nanomolar concentrations, among a variety of human and animal cancer cells. Table 1.1 identifies experimental parameters tested in TSA oncology studies. Various human breast and prostate cancer cells show decreased protein stability as well as increased CYP24A1 expression with TSA treatments ranging from 3 to 400 nM. (Drzewiecka &amp; Jagodzinski, 2012a; Kim, Kang, Na, &amp; Lee, 2010; Luo et al., 2010)</w:t>
      </w:r>
    </w:p>
    <w:p>
      <w:pPr>
        <w:spacing w:after="0" w:line="200" w:lineRule="exact"/>
        <w:rPr>
          <w:color w:val="auto"/>
          <w:sz w:val="20"/>
          <w:szCs w:val="20"/>
        </w:rPr>
      </w:pPr>
    </w:p>
    <w:p>
      <w:pPr>
        <w:spacing w:after="0" w:line="23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1.7.2 Sulforaphane (SFN)</w:t>
      </w:r>
    </w:p>
    <w:p>
      <w:pPr>
        <w:spacing w:after="0" w:line="333" w:lineRule="exact"/>
        <w:rPr>
          <w:color w:val="auto"/>
          <w:sz w:val="20"/>
          <w:szCs w:val="20"/>
        </w:rPr>
      </w:pPr>
    </w:p>
    <w:p>
      <w:pPr>
        <w:spacing w:after="0" w:line="474" w:lineRule="auto"/>
        <w:ind w:left="720" w:right="120" w:firstLine="720"/>
        <w:rPr>
          <w:color w:val="auto"/>
          <w:sz w:val="20"/>
          <w:szCs w:val="20"/>
        </w:rPr>
      </w:pPr>
      <w:r>
        <w:rPr>
          <w:rFonts w:ascii="Cambria" w:hAnsi="Cambria" w:eastAsia="Cambria" w:cs="Cambria"/>
          <w:color w:val="auto"/>
          <w:sz w:val="24"/>
          <w:szCs w:val="24"/>
        </w:rPr>
        <w:t>Sulforaphane (1-Isothiocyanato-4-methylsulfinylbutane) is a newly researched bioactive food compound that shows promising HDACI properties. SFN is predominantly found in Brassica vegetables; which are a genus of plants from the mustard family that include cruciferous vegetables (broccoli, cauliflower, water cress, and bok choy), cabbages and mustard greens. Sulforaphane is a molecule within the isothiocyanate group of organosulfur compounds. It is produced when the enzyme myrosinase transforms glucoraphanin into sulforaphane upon damage to the plant (such as mechanical chewing), which allows the two compounds to mix and react.</w:t>
      </w:r>
    </w:p>
    <w:p>
      <w:pPr>
        <w:spacing w:after="0" w:line="63" w:lineRule="exact"/>
        <w:rPr>
          <w:color w:val="auto"/>
          <w:sz w:val="20"/>
          <w:szCs w:val="20"/>
        </w:rPr>
      </w:pPr>
    </w:p>
    <w:p>
      <w:pPr>
        <w:spacing w:after="0" w:line="465" w:lineRule="auto"/>
        <w:ind w:left="720" w:right="120" w:firstLine="720"/>
        <w:rPr>
          <w:color w:val="auto"/>
          <w:sz w:val="20"/>
          <w:szCs w:val="20"/>
        </w:rPr>
      </w:pPr>
      <w:r>
        <w:rPr>
          <w:rFonts w:ascii="Cambria" w:hAnsi="Cambria" w:eastAsia="Cambria" w:cs="Cambria"/>
          <w:color w:val="auto"/>
          <w:sz w:val="24"/>
          <w:szCs w:val="24"/>
        </w:rPr>
        <w:t>Further research into sulforaphane has shown that it exhibits similar HDACI activity as TSA, but at a lower intensity. SFN acts as a weak ligand for histone deacetylase, and has been shown to cause inhibition of cancer cell proliferation and stimulation of apoptosis. (Dashwood &amp; Ho, 2007) SFN shows promise as a co-</w:t>
      </w: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15</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3" w:name="page30"/>
      <w:bookmarkEnd w:id="23"/>
    </w:p>
    <w:p>
      <w:pPr>
        <w:spacing w:after="0" w:line="458" w:lineRule="auto"/>
        <w:ind w:left="720" w:right="60"/>
        <w:jc w:val="both"/>
        <w:rPr>
          <w:color w:val="auto"/>
          <w:sz w:val="20"/>
          <w:szCs w:val="20"/>
        </w:rPr>
      </w:pPr>
      <w:r>
        <w:rPr>
          <w:rFonts w:ascii="Cambria" w:hAnsi="Cambria" w:eastAsia="Cambria" w:cs="Cambria"/>
          <w:color w:val="auto"/>
          <w:sz w:val="24"/>
          <w:szCs w:val="24"/>
        </w:rPr>
        <w:t>cancer-treatment and especially for cancer prevention because it is so bioavailable from food sources, just 1¼-cup broccoli sprouts metabolizes to a 5μmol/L SFN level in breast tissue. (Li et al., 2010a)</w:t>
      </w:r>
    </w:p>
    <w:p>
      <w:pPr>
        <w:spacing w:after="0" w:line="76" w:lineRule="exact"/>
        <w:rPr>
          <w:color w:val="auto"/>
          <w:sz w:val="20"/>
          <w:szCs w:val="20"/>
        </w:rPr>
      </w:pPr>
    </w:p>
    <w:p>
      <w:pPr>
        <w:spacing w:after="0" w:line="471" w:lineRule="auto"/>
        <w:ind w:left="720" w:firstLine="720"/>
        <w:rPr>
          <w:color w:val="auto"/>
          <w:sz w:val="20"/>
          <w:szCs w:val="20"/>
        </w:rPr>
      </w:pPr>
      <w:r>
        <w:rPr>
          <w:rFonts w:ascii="Cambria" w:hAnsi="Cambria" w:eastAsia="Cambria" w:cs="Cambria"/>
          <w:color w:val="auto"/>
          <w:sz w:val="24"/>
          <w:szCs w:val="24"/>
        </w:rPr>
        <w:t>Table 1.2 provides information on the experimental parameters in cancer cell research with SFN. In a human hepatoma cell line, a moderate dose of 1 to 10μM SFN had a dose dependent response of increasing mRNA expression of the CYP1A1 gene. (Anwar-Mohamed &amp; El-Kadi, 2009) As well, a 1 to 20μM dose of SFN in human colorectal cells showed significant increases in human β-defensin-2. (Schwab et al., 2008)</w:t>
      </w:r>
    </w:p>
    <w:p>
      <w:pPr>
        <w:spacing w:after="0" w:line="200" w:lineRule="exact"/>
        <w:rPr>
          <w:color w:val="auto"/>
          <w:sz w:val="20"/>
          <w:szCs w:val="20"/>
        </w:rPr>
      </w:pPr>
    </w:p>
    <w:p>
      <w:pPr>
        <w:spacing w:after="0" w:line="23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1.7.3 Epigenetic Modulation of Vitamin D Mediated Genes by HDACI</w:t>
      </w:r>
    </w:p>
    <w:p>
      <w:pPr>
        <w:spacing w:after="0" w:line="333" w:lineRule="exact"/>
        <w:rPr>
          <w:color w:val="auto"/>
          <w:sz w:val="20"/>
          <w:szCs w:val="20"/>
        </w:rPr>
      </w:pPr>
    </w:p>
    <w:p>
      <w:pPr>
        <w:spacing w:after="0" w:line="468" w:lineRule="auto"/>
        <w:ind w:left="720" w:right="80" w:firstLine="720"/>
        <w:rPr>
          <w:color w:val="auto"/>
          <w:sz w:val="20"/>
          <w:szCs w:val="20"/>
        </w:rPr>
      </w:pPr>
      <w:r>
        <w:rPr>
          <w:rFonts w:ascii="Cambria" w:hAnsi="Cambria" w:eastAsia="Cambria" w:cs="Cambria"/>
          <w:color w:val="auto"/>
          <w:sz w:val="23"/>
          <w:szCs w:val="23"/>
        </w:rPr>
        <w:t>There have been a variety of studies that demonstrate the VDR modulating antiproliferative effects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can be greatly enhanced with a combination</w:t>
      </w:r>
    </w:p>
    <w:p>
      <w:pPr>
        <w:spacing w:after="0" w:line="74" w:lineRule="exact"/>
        <w:rPr>
          <w:color w:val="auto"/>
          <w:sz w:val="20"/>
          <w:szCs w:val="20"/>
        </w:rPr>
      </w:pPr>
    </w:p>
    <w:p>
      <w:pPr>
        <w:spacing w:after="0" w:line="466" w:lineRule="auto"/>
        <w:ind w:left="720" w:right="60"/>
        <w:rPr>
          <w:color w:val="auto"/>
          <w:sz w:val="20"/>
          <w:szCs w:val="20"/>
        </w:rPr>
      </w:pPr>
      <w:r>
        <w:rPr>
          <w:rFonts w:ascii="Cambria" w:hAnsi="Cambria" w:eastAsia="Cambria" w:cs="Cambria"/>
          <w:color w:val="auto"/>
          <w:sz w:val="24"/>
          <w:szCs w:val="24"/>
        </w:rPr>
        <w:t>treatment of HDACI; as illustrated in Table 1.3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co-treatments. Banwell and colleagues (C. Banwell, O'Neill, Uskokovic, &amp; Campbell, 2004) identified a class of breast cancer cells that show resistance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thus correlating to reduced VDR activity and increased nuclear co-receptors (NCoR)</w:t>
      </w:r>
    </w:p>
    <w:p>
      <w:pPr>
        <w:spacing w:after="0" w:line="1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activity. NCoR will maintain chromatin in a transcriptionally repressed state; NCoRs</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are often overexpressed in several types of cancer. Recent research is showing that</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increasing VDR signaling will epigenetically block NCoR activity and thus maintain</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VDR gene expression. (Deeb, Trump, &amp; Johnson, 2007) Banwell and colleagues</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examined the MDA-MB-231 cell line that is resistant to antiproliferative</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action. With a solo treatment of 1nM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these cells exhibited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16</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4" w:name="page31"/>
      <w:bookmarkEnd w:id="24"/>
    </w:p>
    <w:p>
      <w:pPr>
        <w:spacing w:after="0" w:line="484" w:lineRule="auto"/>
        <w:ind w:left="720" w:right="340"/>
        <w:rPr>
          <w:color w:val="auto"/>
          <w:sz w:val="20"/>
          <w:szCs w:val="20"/>
        </w:rPr>
      </w:pPr>
      <w:r>
        <w:rPr>
          <w:rFonts w:ascii="Cambria" w:hAnsi="Cambria" w:eastAsia="Cambria" w:cs="Cambria"/>
          <w:color w:val="auto"/>
          <w:sz w:val="23"/>
          <w:szCs w:val="23"/>
        </w:rPr>
        <w:t>an altered expression ratio of 0.1 fold reduction in VDR and 1.7 fold increase in NCoR1, in comparison to the MCF-12A (non-malignant) cell line which shows normal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responsiveness. With a co-treatment of 15nM TSA, the MDA-</w:t>
      </w:r>
    </w:p>
    <w:p>
      <w:pPr>
        <w:spacing w:after="0" w:line="56" w:lineRule="exact"/>
        <w:rPr>
          <w:color w:val="auto"/>
          <w:sz w:val="20"/>
          <w:szCs w:val="20"/>
        </w:rPr>
      </w:pPr>
    </w:p>
    <w:p>
      <w:pPr>
        <w:spacing w:after="0" w:line="466" w:lineRule="auto"/>
        <w:ind w:left="720" w:right="140"/>
        <w:jc w:val="both"/>
        <w:rPr>
          <w:color w:val="auto"/>
          <w:sz w:val="20"/>
          <w:szCs w:val="20"/>
        </w:rPr>
      </w:pPr>
      <w:r>
        <w:rPr>
          <w:rFonts w:ascii="Cambria" w:hAnsi="Cambria" w:eastAsia="Cambria" w:cs="Cambria"/>
          <w:color w:val="auto"/>
          <w:sz w:val="24"/>
          <w:szCs w:val="24"/>
        </w:rPr>
        <w:t>MB231 cell line previously non-responsive to vitamin D, showed drastic changes in antiproliferative effects; there was a 60% inhibition of colony formation, compared to no inhibition with only 1nM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a mere 30% inhibition with 15nM TSA. Concluding that the combination treatments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can</w:t>
      </w:r>
    </w:p>
    <w:p>
      <w:pPr>
        <w:spacing w:after="0" w:line="66" w:lineRule="exact"/>
        <w:rPr>
          <w:color w:val="auto"/>
          <w:sz w:val="20"/>
          <w:szCs w:val="20"/>
        </w:rPr>
      </w:pPr>
    </w:p>
    <w:p>
      <w:pPr>
        <w:spacing w:after="0" w:line="438" w:lineRule="auto"/>
        <w:ind w:left="720" w:right="140"/>
        <w:jc w:val="both"/>
        <w:rPr>
          <w:color w:val="auto"/>
          <w:sz w:val="20"/>
          <w:szCs w:val="20"/>
        </w:rPr>
      </w:pPr>
      <w:r>
        <w:rPr>
          <w:rFonts w:ascii="Cambria" w:hAnsi="Cambria" w:eastAsia="Cambria" w:cs="Cambria"/>
          <w:color w:val="auto"/>
          <w:sz w:val="24"/>
          <w:szCs w:val="24"/>
        </w:rPr>
        <w:t>significantly increase breast cancer cells reception to the antiproliferative effects of vitamin D.</w:t>
      </w:r>
    </w:p>
    <w:p>
      <w:pPr>
        <w:spacing w:after="0" w:line="99" w:lineRule="exact"/>
        <w:rPr>
          <w:color w:val="auto"/>
          <w:sz w:val="20"/>
          <w:szCs w:val="20"/>
        </w:rPr>
      </w:pPr>
    </w:p>
    <w:p>
      <w:pPr>
        <w:spacing w:after="0" w:line="468" w:lineRule="auto"/>
        <w:ind w:left="720" w:right="80" w:firstLine="720"/>
        <w:rPr>
          <w:color w:val="auto"/>
          <w:sz w:val="20"/>
          <w:szCs w:val="20"/>
        </w:rPr>
      </w:pPr>
      <w:r>
        <w:rPr>
          <w:rFonts w:ascii="Cambria" w:hAnsi="Cambria" w:eastAsia="Cambria" w:cs="Cambria"/>
          <w:color w:val="auto"/>
          <w:sz w:val="23"/>
          <w:szCs w:val="23"/>
        </w:rPr>
        <w:t>Banwell and colleague’s follow-up study (C. Banwell et al., 2006) looked more closely at the epigenetic changes with combination treatments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p>
    <w:p>
      <w:pPr>
        <w:spacing w:after="0" w:line="2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and TSA. She examined CYP24A1 gene expression as well as the antiproliferative</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genes GADD45α and VDUP-1. She found that by increasing the dosage of</w:t>
      </w:r>
    </w:p>
    <w:p>
      <w:pPr>
        <w:spacing w:after="0" w:line="331" w:lineRule="exact"/>
        <w:rPr>
          <w:color w:val="auto"/>
          <w:sz w:val="20"/>
          <w:szCs w:val="20"/>
        </w:rPr>
      </w:pPr>
    </w:p>
    <w:p>
      <w:pPr>
        <w:spacing w:after="0" w:line="459" w:lineRule="auto"/>
        <w:ind w:left="72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to 100nM, and maintaining the same TSA treatment of 15nM, there was a 15 fold increase in CYP24A1 expression, and about a 2 fold increase in the other two antiproliferative genes as compared to the solo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Similar</w:t>
      </w:r>
    </w:p>
    <w:p>
      <w:pPr>
        <w:spacing w:after="0" w:line="75" w:lineRule="exact"/>
        <w:rPr>
          <w:color w:val="auto"/>
          <w:sz w:val="20"/>
          <w:szCs w:val="20"/>
        </w:rPr>
      </w:pPr>
    </w:p>
    <w:p>
      <w:pPr>
        <w:spacing w:after="0" w:line="458" w:lineRule="auto"/>
        <w:ind w:left="720" w:right="60"/>
        <w:jc w:val="both"/>
        <w:rPr>
          <w:color w:val="auto"/>
          <w:sz w:val="20"/>
          <w:szCs w:val="20"/>
        </w:rPr>
      </w:pPr>
      <w:r>
        <w:rPr>
          <w:rFonts w:ascii="Cambria" w:hAnsi="Cambria" w:eastAsia="Cambria" w:cs="Cambria"/>
          <w:color w:val="auto"/>
          <w:sz w:val="24"/>
          <w:szCs w:val="24"/>
        </w:rPr>
        <w:t>results have also been seen with human prostate cells DU-145. The same dosages as the Banwell’s study yielded a 2-fold increase in CYP24A1 expression. (Rashid et al., 2001)</w:t>
      </w:r>
    </w:p>
    <w:p>
      <w:pPr>
        <w:spacing w:after="0" w:line="200" w:lineRule="exact"/>
        <w:rPr>
          <w:color w:val="auto"/>
          <w:sz w:val="20"/>
          <w:szCs w:val="20"/>
        </w:rPr>
      </w:pPr>
    </w:p>
    <w:p>
      <w:pPr>
        <w:spacing w:after="0" w:line="24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1.8 Vitamin D Effects on MCF-7 Cells</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38" w:lineRule="auto"/>
        <w:ind w:left="720" w:right="160" w:firstLine="720"/>
        <w:rPr>
          <w:color w:val="auto"/>
          <w:sz w:val="20"/>
          <w:szCs w:val="20"/>
        </w:rPr>
      </w:pPr>
      <w:r>
        <w:rPr>
          <w:rFonts w:ascii="Cambria" w:hAnsi="Cambria" w:eastAsia="Cambria" w:cs="Cambria"/>
          <w:color w:val="auto"/>
          <w:sz w:val="24"/>
          <w:szCs w:val="24"/>
        </w:rPr>
        <w:t>Despite the research, the antiproliferative effect of vitamin D on cancer cells is still controversial. Research with breast cancer cells has shown that there are a</w:t>
      </w:r>
    </w:p>
    <w:p>
      <w:pPr>
        <w:spacing w:after="0" w:line="200" w:lineRule="exact"/>
        <w:rPr>
          <w:color w:val="auto"/>
          <w:sz w:val="20"/>
          <w:szCs w:val="20"/>
        </w:rPr>
      </w:pPr>
    </w:p>
    <w:p>
      <w:pPr>
        <w:spacing w:after="0" w:line="20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17</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25" w:name="page32"/>
      <w:bookmarkEnd w:id="25"/>
    </w:p>
    <w:p>
      <w:pPr>
        <w:spacing w:after="0" w:line="473" w:lineRule="auto"/>
        <w:ind w:left="720" w:right="200"/>
        <w:rPr>
          <w:color w:val="auto"/>
          <w:sz w:val="20"/>
          <w:szCs w:val="20"/>
        </w:rPr>
      </w:pPr>
      <w:r>
        <w:rPr>
          <w:rFonts w:ascii="Cambria" w:hAnsi="Cambria" w:eastAsia="Cambria" w:cs="Cambria"/>
          <w:color w:val="auto"/>
          <w:sz w:val="24"/>
          <w:szCs w:val="24"/>
        </w:rPr>
        <w:t>variety of characteristics between cell types, making the results varied and non-generalizable. Many researchers have utilized the unique properties of the MCF-7 cell when investigating vitamin D and HDACI with breast cancer. It is a mammary gland cell from a breast adenocarcinoma derived at a metastatic site, from a 69-year-old Caucasian female. (ATCC, 2013) MCF-7 have been found to have a specific calcitonin receptor and calcitonin-responsive adenylate cyclase, as well as have a specific macromolecular cytosol receptor for the vitamin D hormone,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57" w:lineRule="exact"/>
        <w:rPr>
          <w:color w:val="auto"/>
          <w:sz w:val="20"/>
          <w:szCs w:val="20"/>
        </w:rPr>
      </w:pPr>
    </w:p>
    <w:p>
      <w:pPr>
        <w:spacing w:after="0" w:line="439" w:lineRule="auto"/>
        <w:ind w:left="720" w:right="20"/>
        <w:rPr>
          <w:color w:val="auto"/>
          <w:sz w:val="20"/>
          <w:szCs w:val="20"/>
        </w:rPr>
      </w:pPr>
      <w:r>
        <w:rPr>
          <w:rFonts w:ascii="Cambria" w:hAnsi="Cambria" w:eastAsia="Cambria" w:cs="Cambria"/>
          <w:color w:val="auto"/>
          <w:sz w:val="24"/>
          <w:szCs w:val="24"/>
        </w:rPr>
        <w:t>(Levenson &amp; Jordan, 1997) , making them estrogen receptor positive (ER+) cells and quite responsive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(C. Banwell et al., 2006) The laboratory work on</w:t>
      </w:r>
    </w:p>
    <w:p>
      <w:pPr>
        <w:spacing w:after="0" w:line="96" w:lineRule="exact"/>
        <w:rPr>
          <w:color w:val="auto"/>
          <w:sz w:val="20"/>
          <w:szCs w:val="20"/>
        </w:rPr>
      </w:pPr>
    </w:p>
    <w:p>
      <w:pPr>
        <w:spacing w:after="0" w:line="458" w:lineRule="auto"/>
        <w:ind w:left="720" w:right="600"/>
        <w:rPr>
          <w:color w:val="auto"/>
          <w:sz w:val="20"/>
          <w:szCs w:val="20"/>
        </w:rPr>
      </w:pPr>
      <w:r>
        <w:rPr>
          <w:rFonts w:ascii="Cambria" w:hAnsi="Cambria" w:eastAsia="Cambria" w:cs="Cambria"/>
          <w:color w:val="auto"/>
          <w:sz w:val="24"/>
          <w:szCs w:val="24"/>
        </w:rPr>
        <w:t>the systematic dissection of hormone action that lead to significant progress in breast cancer treatment was made possible by the MCF-7 cells hormone responsiveness.</w:t>
      </w:r>
    </w:p>
    <w:p>
      <w:pPr>
        <w:spacing w:after="0" w:line="79" w:lineRule="exact"/>
        <w:rPr>
          <w:color w:val="auto"/>
          <w:sz w:val="20"/>
          <w:szCs w:val="20"/>
        </w:rPr>
      </w:pPr>
    </w:p>
    <w:p>
      <w:pPr>
        <w:spacing w:after="0" w:line="473" w:lineRule="auto"/>
        <w:ind w:left="720" w:right="40" w:firstLine="720"/>
        <w:rPr>
          <w:color w:val="auto"/>
          <w:sz w:val="20"/>
          <w:szCs w:val="20"/>
        </w:rPr>
      </w:pPr>
      <w:r>
        <w:rPr>
          <w:rFonts w:ascii="Cambria" w:hAnsi="Cambria" w:eastAsia="Cambria" w:cs="Cambria"/>
          <w:color w:val="auto"/>
          <w:sz w:val="24"/>
          <w:szCs w:val="24"/>
        </w:rPr>
        <w:t>An intensely studied model of cancer/vitamin D research is that increasing vitamin D status in breast cancer MCF-7 cells as protective against cancerous mutations, which lead to cancer cell proliferation and malignancy. (Colston, 2008) TSA has been researched to show an increase in vitamin D responsiveness in MCF-7 cells, but SFN, a bioactive food component, has had little research and may have protective capabilities as well. Therefore, in this study we propose to investigate the effects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on vitamin D dependent gene expression in MCF-7 human</w:t>
      </w:r>
    </w:p>
    <w:p>
      <w:pPr>
        <w:spacing w:after="0" w:line="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breast cancer cells in the presence of the HDACI, TSA and SFN.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18</w:t>
      </w:r>
    </w:p>
    <w:p>
      <w:pPr>
        <w:sectPr>
          <w:pgSz w:w="12240" w:h="15840"/>
          <w:pgMar w:top="1440" w:right="1440" w:bottom="120" w:left="1440" w:header="0" w:footer="0" w:gutter="0"/>
          <w:cols w:equalWidth="0" w:num="1">
            <w:col w:w="9360"/>
          </w:cols>
        </w:sectPr>
      </w:pPr>
    </w:p>
    <w:p>
      <w:pPr>
        <w:spacing w:after="0" w:line="279" w:lineRule="exact"/>
        <w:rPr>
          <w:color w:val="auto"/>
          <w:sz w:val="20"/>
          <w:szCs w:val="20"/>
        </w:rPr>
      </w:pPr>
      <w:bookmarkStart w:id="26" w:name="page33"/>
      <w:bookmarkEnd w:id="26"/>
    </w:p>
    <w:p>
      <w:pPr>
        <w:spacing w:after="0"/>
        <w:ind w:left="2500"/>
        <w:rPr>
          <w:color w:val="auto"/>
          <w:sz w:val="20"/>
          <w:szCs w:val="20"/>
        </w:rPr>
      </w:pPr>
      <w:r>
        <w:rPr>
          <w:rFonts w:ascii="Cambria" w:hAnsi="Cambria" w:eastAsia="Cambria" w:cs="Cambria"/>
          <w:color w:val="auto"/>
          <w:sz w:val="24"/>
          <w:szCs w:val="24"/>
        </w:rPr>
        <w:t>Table 1.1 TSA Study Experimental Parameters</w:t>
      </w:r>
    </w:p>
    <w:p>
      <w:pPr>
        <w:spacing w:after="0" w:line="264" w:lineRule="exact"/>
        <w:rPr>
          <w:color w:val="auto"/>
          <w:sz w:val="20"/>
          <w:szCs w:val="20"/>
        </w:rPr>
      </w:pPr>
    </w:p>
    <w:tbl>
      <w:tblPr>
        <w:tblStyle w:val="3"/>
        <w:tblW w:w="0" w:type="auto"/>
        <w:tblInd w:w="670" w:type="dxa"/>
        <w:tblLayout w:type="fixed"/>
        <w:tblCellMar>
          <w:top w:w="0" w:type="dxa"/>
          <w:left w:w="0" w:type="dxa"/>
          <w:bottom w:w="0" w:type="dxa"/>
          <w:right w:w="0" w:type="dxa"/>
        </w:tblCellMar>
      </w:tblPr>
      <w:tblGrid>
        <w:gridCol w:w="1200"/>
        <w:gridCol w:w="1040"/>
        <w:gridCol w:w="1300"/>
        <w:gridCol w:w="1760"/>
        <w:gridCol w:w="1880"/>
        <w:gridCol w:w="1600"/>
        <w:gridCol w:w="360"/>
      </w:tblGrid>
      <w:tr>
        <w:tblPrEx>
          <w:tblCellMar>
            <w:top w:w="0" w:type="dxa"/>
            <w:left w:w="0" w:type="dxa"/>
            <w:bottom w:w="0" w:type="dxa"/>
            <w:right w:w="0" w:type="dxa"/>
          </w:tblCellMar>
        </w:tblPrEx>
        <w:trPr>
          <w:trHeight w:val="290" w:hRule="atLeast"/>
        </w:trPr>
        <w:tc>
          <w:tcPr>
            <w:tcW w:w="1200" w:type="dxa"/>
            <w:tcBorders>
              <w:top w:val="single" w:color="auto" w:sz="8" w:space="0"/>
              <w:left w:val="single" w:color="auto" w:sz="8" w:space="0"/>
              <w:right w:val="single" w:color="auto" w:sz="8" w:space="0"/>
            </w:tcBorders>
            <w:vAlign w:val="bottom"/>
          </w:tcPr>
          <w:p>
            <w:pPr>
              <w:spacing w:after="0"/>
              <w:ind w:left="400"/>
              <w:rPr>
                <w:color w:val="auto"/>
                <w:sz w:val="20"/>
                <w:szCs w:val="20"/>
              </w:rPr>
            </w:pPr>
            <w:r>
              <w:rPr>
                <w:rFonts w:ascii="Cambria" w:hAnsi="Cambria" w:eastAsia="Cambria" w:cs="Cambria"/>
                <w:color w:val="auto"/>
                <w:sz w:val="24"/>
                <w:szCs w:val="24"/>
              </w:rPr>
              <w:t>Cell</w:t>
            </w:r>
          </w:p>
        </w:tc>
        <w:tc>
          <w:tcPr>
            <w:tcW w:w="1040" w:type="dxa"/>
            <w:tcBorders>
              <w:top w:val="single" w:color="auto" w:sz="8" w:space="0"/>
              <w:right w:val="single" w:color="auto" w:sz="8" w:space="0"/>
            </w:tcBorders>
            <w:vAlign w:val="bottom"/>
          </w:tcPr>
          <w:p>
            <w:pPr>
              <w:spacing w:after="0"/>
              <w:ind w:left="280"/>
              <w:rPr>
                <w:color w:val="auto"/>
                <w:sz w:val="20"/>
                <w:szCs w:val="20"/>
              </w:rPr>
            </w:pPr>
            <w:r>
              <w:rPr>
                <w:rFonts w:ascii="Cambria" w:hAnsi="Cambria" w:eastAsia="Cambria" w:cs="Cambria"/>
                <w:color w:val="auto"/>
                <w:sz w:val="24"/>
                <w:szCs w:val="24"/>
              </w:rPr>
              <w:t>TSA</w:t>
            </w:r>
          </w:p>
        </w:tc>
        <w:tc>
          <w:tcPr>
            <w:tcW w:w="1300" w:type="dxa"/>
            <w:tcBorders>
              <w:top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Exposure</w:t>
            </w:r>
          </w:p>
        </w:tc>
        <w:tc>
          <w:tcPr>
            <w:tcW w:w="1760" w:type="dxa"/>
            <w:tcBorders>
              <w:top w:val="single" w:color="auto" w:sz="8" w:space="0"/>
              <w:right w:val="single" w:color="auto" w:sz="8" w:space="0"/>
            </w:tcBorders>
            <w:vAlign w:val="bottom"/>
          </w:tcPr>
          <w:p>
            <w:pPr>
              <w:spacing w:after="0"/>
              <w:ind w:left="360"/>
              <w:rPr>
                <w:color w:val="auto"/>
                <w:sz w:val="20"/>
                <w:szCs w:val="20"/>
              </w:rPr>
            </w:pPr>
            <w:r>
              <w:rPr>
                <w:rFonts w:ascii="Cambria" w:hAnsi="Cambria" w:eastAsia="Cambria" w:cs="Cambria"/>
                <w:color w:val="auto"/>
                <w:sz w:val="24"/>
                <w:szCs w:val="24"/>
              </w:rPr>
              <w:t>Outcome</w:t>
            </w:r>
          </w:p>
        </w:tc>
        <w:tc>
          <w:tcPr>
            <w:tcW w:w="1880" w:type="dxa"/>
            <w:tcBorders>
              <w:top w:val="single" w:color="auto" w:sz="8" w:space="0"/>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Effects</w:t>
            </w:r>
          </w:p>
        </w:tc>
        <w:tc>
          <w:tcPr>
            <w:tcW w:w="1600" w:type="dxa"/>
            <w:tcBorders>
              <w:top w:val="single" w:color="auto" w:sz="8" w:space="0"/>
              <w:right w:val="single" w:color="auto" w:sz="8" w:space="0"/>
            </w:tcBorders>
            <w:vAlign w:val="bottom"/>
          </w:tcPr>
          <w:p>
            <w:pPr>
              <w:spacing w:after="0"/>
              <w:ind w:right="120"/>
              <w:jc w:val="right"/>
              <w:rPr>
                <w:color w:val="auto"/>
                <w:sz w:val="20"/>
                <w:szCs w:val="20"/>
              </w:rPr>
            </w:pPr>
            <w:r>
              <w:rPr>
                <w:rFonts w:ascii="Cambria" w:hAnsi="Cambria" w:eastAsia="Cambria" w:cs="Cambria"/>
                <w:color w:val="auto"/>
                <w:sz w:val="24"/>
                <w:szCs w:val="24"/>
              </w:rPr>
              <w:t>Reference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320"/>
              <w:rPr>
                <w:color w:val="auto"/>
                <w:sz w:val="20"/>
                <w:szCs w:val="20"/>
              </w:rPr>
            </w:pPr>
            <w:r>
              <w:rPr>
                <w:rFonts w:ascii="Cambria" w:hAnsi="Cambria" w:eastAsia="Cambria" w:cs="Cambria"/>
                <w:color w:val="auto"/>
                <w:sz w:val="24"/>
                <w:szCs w:val="24"/>
              </w:rPr>
              <w:t>Type</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Dosage</w:t>
            </w:r>
          </w:p>
        </w:tc>
        <w:tc>
          <w:tcPr>
            <w:tcW w:w="1300" w:type="dxa"/>
            <w:tcBorders>
              <w:right w:val="single" w:color="auto" w:sz="8" w:space="0"/>
            </w:tcBorders>
            <w:vAlign w:val="bottom"/>
          </w:tcPr>
          <w:p>
            <w:pPr>
              <w:spacing w:after="0"/>
              <w:ind w:left="340"/>
              <w:rPr>
                <w:color w:val="auto"/>
                <w:sz w:val="20"/>
                <w:szCs w:val="20"/>
              </w:rPr>
            </w:pPr>
            <w:r>
              <w:rPr>
                <w:rFonts w:ascii="Cambria" w:hAnsi="Cambria" w:eastAsia="Cambria" w:cs="Cambria"/>
                <w:color w:val="auto"/>
                <w:sz w:val="24"/>
                <w:szCs w:val="24"/>
              </w:rPr>
              <w:t>Time</w:t>
            </w:r>
          </w:p>
        </w:tc>
        <w:tc>
          <w:tcPr>
            <w:tcW w:w="1760" w:type="dxa"/>
            <w:tcBorders>
              <w:right w:val="single" w:color="auto" w:sz="8" w:space="0"/>
            </w:tcBorders>
            <w:vAlign w:val="bottom"/>
          </w:tcPr>
          <w:p>
            <w:pPr>
              <w:spacing w:after="0"/>
              <w:ind w:left="380"/>
              <w:rPr>
                <w:color w:val="auto"/>
                <w:sz w:val="20"/>
                <w:szCs w:val="20"/>
              </w:rPr>
            </w:pPr>
            <w:r>
              <w:rPr>
                <w:rFonts w:ascii="Cambria" w:hAnsi="Cambria" w:eastAsia="Cambria" w:cs="Cambria"/>
                <w:color w:val="auto"/>
                <w:sz w:val="24"/>
                <w:szCs w:val="24"/>
              </w:rPr>
              <w:t>Measure</w:t>
            </w:r>
          </w:p>
        </w:tc>
        <w:tc>
          <w:tcPr>
            <w:tcW w:w="1880" w:type="dxa"/>
            <w:tcBorders>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Compared to</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rPr>
                <w:color w:val="auto"/>
                <w:sz w:val="24"/>
                <w:szCs w:val="24"/>
              </w:rPr>
            </w:pPr>
          </w:p>
        </w:tc>
        <w:tc>
          <w:tcPr>
            <w:tcW w:w="1880" w:type="dxa"/>
            <w:tcBorders>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Control</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c>
          <w:tcPr>
            <w:tcW w:w="1880" w:type="dxa"/>
            <w:tcBorders>
              <w:bottom w:val="single" w:color="auto" w:sz="8" w:space="0"/>
              <w:right w:val="single" w:color="auto" w:sz="8" w:space="0"/>
            </w:tcBorders>
            <w:vAlign w:val="bottom"/>
          </w:tcPr>
          <w:p>
            <w:pPr>
              <w:spacing w:after="0"/>
              <w:rPr>
                <w:color w:val="auto"/>
                <w:sz w:val="24"/>
                <w:szCs w:val="24"/>
              </w:rPr>
            </w:pPr>
          </w:p>
        </w:tc>
        <w:tc>
          <w:tcPr>
            <w:tcW w:w="160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Human</w:t>
            </w:r>
          </w:p>
        </w:tc>
        <w:tc>
          <w:tcPr>
            <w:tcW w:w="104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3nM</w:t>
            </w:r>
          </w:p>
        </w:tc>
        <w:tc>
          <w:tcPr>
            <w:tcW w:w="1300" w:type="dxa"/>
            <w:tcBorders>
              <w:right w:val="single" w:color="auto" w:sz="8" w:space="0"/>
            </w:tcBorders>
            <w:vAlign w:val="bottom"/>
          </w:tcPr>
          <w:p>
            <w:pPr>
              <w:spacing w:after="0" w:line="269" w:lineRule="exact"/>
              <w:ind w:left="80"/>
              <w:rPr>
                <w:color w:val="auto"/>
                <w:sz w:val="20"/>
                <w:szCs w:val="20"/>
              </w:rPr>
            </w:pPr>
            <w:r>
              <w:rPr>
                <w:rFonts w:ascii="Cambria" w:hAnsi="Cambria" w:eastAsia="Cambria" w:cs="Cambria"/>
                <w:color w:val="auto"/>
                <w:sz w:val="24"/>
                <w:szCs w:val="24"/>
              </w:rPr>
              <w:t>48 hours</w:t>
            </w:r>
          </w:p>
        </w:tc>
        <w:tc>
          <w:tcPr>
            <w:tcW w:w="176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Cellular</w:t>
            </w:r>
          </w:p>
        </w:tc>
        <w:tc>
          <w:tcPr>
            <w:tcW w:w="1880" w:type="dxa"/>
            <w:tcBorders>
              <w:right w:val="single" w:color="auto" w:sz="8" w:space="0"/>
            </w:tcBorders>
            <w:vAlign w:val="bottom"/>
          </w:tcPr>
          <w:p>
            <w:pPr>
              <w:spacing w:after="0" w:line="269" w:lineRule="exact"/>
              <w:ind w:left="80"/>
              <w:rPr>
                <w:color w:val="auto"/>
                <w:sz w:val="20"/>
                <w:szCs w:val="20"/>
              </w:rPr>
            </w:pPr>
            <w:r>
              <w:rPr>
                <w:rFonts w:ascii="Cambria" w:hAnsi="Cambria" w:eastAsia="Cambria" w:cs="Cambria"/>
                <w:color w:val="auto"/>
                <w:sz w:val="24"/>
                <w:szCs w:val="24"/>
              </w:rPr>
              <w:t>Transcription</w:t>
            </w:r>
          </w:p>
        </w:tc>
        <w:tc>
          <w:tcPr>
            <w:tcW w:w="1600" w:type="dxa"/>
            <w:tcBorders>
              <w:right w:val="single" w:color="auto" w:sz="8" w:space="0"/>
            </w:tcBorders>
            <w:vAlign w:val="bottom"/>
          </w:tcPr>
          <w:p>
            <w:pPr>
              <w:spacing w:after="0" w:line="267" w:lineRule="exact"/>
              <w:ind w:left="100"/>
              <w:rPr>
                <w:color w:val="auto"/>
                <w:sz w:val="20"/>
                <w:szCs w:val="20"/>
              </w:rPr>
            </w:pPr>
            <w:r>
              <w:rPr>
                <w:rFonts w:ascii="Cambria" w:hAnsi="Cambria" w:eastAsia="Cambria" w:cs="Cambria"/>
                <w:color w:val="auto"/>
                <w:sz w:val="24"/>
                <w:szCs w:val="24"/>
              </w:rPr>
              <w:t>(Drzewiecka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Breast</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30nM</w:t>
            </w: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contents of</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and protein</w:t>
            </w:r>
          </w:p>
        </w:tc>
        <w:tc>
          <w:tcPr>
            <w:tcW w:w="16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&amp;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120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Cambria" w:hAnsi="Cambria" w:eastAsia="Cambria" w:cs="Cambria"/>
                <w:color w:val="auto"/>
                <w:sz w:val="24"/>
                <w:szCs w:val="24"/>
              </w:rPr>
              <w:t>Cancer</w:t>
            </w:r>
          </w:p>
        </w:tc>
        <w:tc>
          <w:tcPr>
            <w:tcW w:w="1040" w:type="dxa"/>
            <w:tcBorders>
              <w:right w:val="single" w:color="auto" w:sz="8" w:space="0"/>
            </w:tcBorders>
            <w:vAlign w:val="bottom"/>
          </w:tcPr>
          <w:p>
            <w:pPr>
              <w:spacing w:after="0"/>
              <w:rPr>
                <w:color w:val="auto"/>
                <w:sz w:val="20"/>
                <w:szCs w:val="20"/>
              </w:rPr>
            </w:pPr>
          </w:p>
        </w:tc>
        <w:tc>
          <w:tcPr>
            <w:tcW w:w="1300" w:type="dxa"/>
            <w:tcBorders>
              <w:right w:val="single" w:color="auto" w:sz="8" w:space="0"/>
            </w:tcBorders>
            <w:vAlign w:val="bottom"/>
          </w:tcPr>
          <w:p>
            <w:pPr>
              <w:spacing w:after="0"/>
              <w:rPr>
                <w:color w:val="auto"/>
                <w:sz w:val="20"/>
                <w:szCs w:val="20"/>
              </w:rPr>
            </w:pPr>
          </w:p>
        </w:tc>
        <w:tc>
          <w:tcPr>
            <w:tcW w:w="1760" w:type="dxa"/>
            <w:tcBorders>
              <w:right w:val="single" w:color="auto" w:sz="8" w:space="0"/>
            </w:tcBorders>
            <w:vAlign w:val="bottom"/>
          </w:tcPr>
          <w:p>
            <w:pPr>
              <w:spacing w:after="0" w:line="240" w:lineRule="exact"/>
              <w:ind w:left="100"/>
              <w:rPr>
                <w:color w:val="auto"/>
                <w:sz w:val="20"/>
                <w:szCs w:val="20"/>
              </w:rPr>
            </w:pPr>
            <w:r>
              <w:rPr>
                <w:rFonts w:ascii="Cambria" w:hAnsi="Cambria" w:eastAsia="Cambria" w:cs="Cambria"/>
                <w:color w:val="auto"/>
                <w:sz w:val="24"/>
                <w:szCs w:val="24"/>
              </w:rPr>
              <w:t>PLCγ1</w:t>
            </w:r>
          </w:p>
        </w:tc>
        <w:tc>
          <w:tcPr>
            <w:tcW w:w="1880" w:type="dxa"/>
            <w:tcBorders>
              <w:right w:val="single" w:color="auto" w:sz="8" w:space="0"/>
            </w:tcBorders>
            <w:vAlign w:val="bottom"/>
          </w:tcPr>
          <w:p>
            <w:pPr>
              <w:spacing w:after="0" w:line="240" w:lineRule="exact"/>
              <w:ind w:left="80"/>
              <w:rPr>
                <w:color w:val="auto"/>
                <w:sz w:val="20"/>
                <w:szCs w:val="20"/>
              </w:rPr>
            </w:pPr>
            <w:r>
              <w:rPr>
                <w:rFonts w:ascii="Cambria" w:hAnsi="Cambria" w:eastAsia="Cambria" w:cs="Cambria"/>
                <w:color w:val="auto"/>
                <w:sz w:val="24"/>
                <w:szCs w:val="24"/>
              </w:rPr>
              <w:t>levels were</w:t>
            </w:r>
          </w:p>
        </w:tc>
        <w:tc>
          <w:tcPr>
            <w:tcW w:w="160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Jagodzinski,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4" w:hRule="atLeast"/>
        </w:trPr>
        <w:tc>
          <w:tcPr>
            <w:tcW w:w="1200" w:type="dxa"/>
            <w:vMerge w:val="restart"/>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40" w:type="dxa"/>
            <w:tcBorders>
              <w:right w:val="single" w:color="auto" w:sz="8" w:space="0"/>
            </w:tcBorders>
            <w:vAlign w:val="bottom"/>
          </w:tcPr>
          <w:p>
            <w:pPr>
              <w:spacing w:after="0"/>
              <w:rPr>
                <w:color w:val="auto"/>
                <w:sz w:val="7"/>
                <w:szCs w:val="7"/>
              </w:rPr>
            </w:pPr>
          </w:p>
        </w:tc>
        <w:tc>
          <w:tcPr>
            <w:tcW w:w="1300" w:type="dxa"/>
            <w:tcBorders>
              <w:right w:val="single" w:color="auto" w:sz="8" w:space="0"/>
            </w:tcBorders>
            <w:vAlign w:val="bottom"/>
          </w:tcPr>
          <w:p>
            <w:pPr>
              <w:spacing w:after="0"/>
              <w:rPr>
                <w:color w:val="auto"/>
                <w:sz w:val="7"/>
                <w:szCs w:val="7"/>
              </w:rPr>
            </w:pPr>
          </w:p>
        </w:tc>
        <w:tc>
          <w:tcPr>
            <w:tcW w:w="1760" w:type="dxa"/>
            <w:tcBorders>
              <w:right w:val="single" w:color="auto" w:sz="8" w:space="0"/>
            </w:tcBorders>
            <w:vAlign w:val="bottom"/>
          </w:tcPr>
          <w:p>
            <w:pPr>
              <w:spacing w:after="0"/>
              <w:rPr>
                <w:color w:val="auto"/>
                <w:sz w:val="7"/>
                <w:szCs w:val="7"/>
              </w:rPr>
            </w:pPr>
          </w:p>
        </w:tc>
        <w:tc>
          <w:tcPr>
            <w:tcW w:w="1880" w:type="dxa"/>
            <w:vMerge w:val="restart"/>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reduced four</w:t>
            </w:r>
          </w:p>
        </w:tc>
        <w:tc>
          <w:tcPr>
            <w:tcW w:w="1600" w:type="dxa"/>
            <w:vMerge w:val="continue"/>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1200" w:type="dxa"/>
            <w:vMerge w:val="continue"/>
            <w:tcBorders>
              <w:left w:val="single" w:color="auto" w:sz="8" w:space="0"/>
              <w:right w:val="single" w:color="auto" w:sz="8" w:space="0"/>
            </w:tcBorders>
            <w:vAlign w:val="bottom"/>
          </w:tcPr>
          <w:p>
            <w:pPr>
              <w:spacing w:after="0"/>
              <w:rPr>
                <w:color w:val="auto"/>
                <w:sz w:val="17"/>
                <w:szCs w:val="17"/>
              </w:rPr>
            </w:pPr>
          </w:p>
        </w:tc>
        <w:tc>
          <w:tcPr>
            <w:tcW w:w="1040" w:type="dxa"/>
            <w:tcBorders>
              <w:right w:val="single" w:color="auto" w:sz="8" w:space="0"/>
            </w:tcBorders>
            <w:vAlign w:val="bottom"/>
          </w:tcPr>
          <w:p>
            <w:pPr>
              <w:spacing w:after="0"/>
              <w:rPr>
                <w:color w:val="auto"/>
                <w:sz w:val="17"/>
                <w:szCs w:val="17"/>
              </w:rPr>
            </w:pPr>
          </w:p>
        </w:tc>
        <w:tc>
          <w:tcPr>
            <w:tcW w:w="1300" w:type="dxa"/>
            <w:tcBorders>
              <w:right w:val="single" w:color="auto" w:sz="8" w:space="0"/>
            </w:tcBorders>
            <w:vAlign w:val="bottom"/>
          </w:tcPr>
          <w:p>
            <w:pPr>
              <w:spacing w:after="0"/>
              <w:rPr>
                <w:color w:val="auto"/>
                <w:sz w:val="17"/>
                <w:szCs w:val="17"/>
              </w:rPr>
            </w:pPr>
          </w:p>
        </w:tc>
        <w:tc>
          <w:tcPr>
            <w:tcW w:w="1760" w:type="dxa"/>
            <w:tcBorders>
              <w:right w:val="single" w:color="auto" w:sz="8" w:space="0"/>
            </w:tcBorders>
            <w:vAlign w:val="bottom"/>
          </w:tcPr>
          <w:p>
            <w:pPr>
              <w:spacing w:after="0"/>
              <w:rPr>
                <w:color w:val="auto"/>
                <w:sz w:val="17"/>
                <w:szCs w:val="17"/>
              </w:rPr>
            </w:pPr>
          </w:p>
        </w:tc>
        <w:tc>
          <w:tcPr>
            <w:tcW w:w="1880" w:type="dxa"/>
            <w:vMerge w:val="continue"/>
            <w:tcBorders>
              <w:right w:val="single" w:color="auto" w:sz="8" w:space="0"/>
            </w:tcBorders>
            <w:vAlign w:val="bottom"/>
          </w:tcPr>
          <w:p>
            <w:pPr>
              <w:spacing w:after="0"/>
              <w:rPr>
                <w:color w:val="auto"/>
                <w:sz w:val="17"/>
                <w:szCs w:val="17"/>
              </w:rPr>
            </w:pPr>
          </w:p>
        </w:tc>
        <w:tc>
          <w:tcPr>
            <w:tcW w:w="160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2012b)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200" w:type="dxa"/>
            <w:vMerge w:val="restart"/>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MCF-7</w:t>
            </w:r>
          </w:p>
        </w:tc>
        <w:tc>
          <w:tcPr>
            <w:tcW w:w="1040" w:type="dxa"/>
            <w:tcBorders>
              <w:right w:val="single" w:color="auto" w:sz="8" w:space="0"/>
            </w:tcBorders>
            <w:vAlign w:val="bottom"/>
          </w:tcPr>
          <w:p>
            <w:pPr>
              <w:spacing w:after="0"/>
              <w:rPr>
                <w:color w:val="auto"/>
                <w:sz w:val="10"/>
                <w:szCs w:val="10"/>
              </w:rPr>
            </w:pPr>
          </w:p>
        </w:tc>
        <w:tc>
          <w:tcPr>
            <w:tcW w:w="1300" w:type="dxa"/>
            <w:tcBorders>
              <w:right w:val="single" w:color="auto" w:sz="8" w:space="0"/>
            </w:tcBorders>
            <w:vAlign w:val="bottom"/>
          </w:tcPr>
          <w:p>
            <w:pPr>
              <w:spacing w:after="0"/>
              <w:rPr>
                <w:color w:val="auto"/>
                <w:sz w:val="10"/>
                <w:szCs w:val="10"/>
              </w:rPr>
            </w:pPr>
          </w:p>
        </w:tc>
        <w:tc>
          <w:tcPr>
            <w:tcW w:w="1760" w:type="dxa"/>
            <w:tcBorders>
              <w:right w:val="single" w:color="auto" w:sz="8" w:space="0"/>
            </w:tcBorders>
            <w:vAlign w:val="bottom"/>
          </w:tcPr>
          <w:p>
            <w:pPr>
              <w:spacing w:after="0"/>
              <w:rPr>
                <w:color w:val="auto"/>
                <w:sz w:val="10"/>
                <w:szCs w:val="10"/>
              </w:rPr>
            </w:pPr>
          </w:p>
        </w:tc>
        <w:tc>
          <w:tcPr>
            <w:tcW w:w="1880" w:type="dxa"/>
            <w:vMerge w:val="restart"/>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fold.</w:t>
            </w:r>
          </w:p>
        </w:tc>
        <w:tc>
          <w:tcPr>
            <w:tcW w:w="160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1040" w:type="dxa"/>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1760" w:type="dxa"/>
            <w:tcBorders>
              <w:right w:val="single" w:color="auto" w:sz="8" w:space="0"/>
            </w:tcBorders>
            <w:vAlign w:val="bottom"/>
          </w:tcPr>
          <w:p>
            <w:pPr>
              <w:spacing w:after="0"/>
              <w:rPr>
                <w:color w:val="auto"/>
                <w:sz w:val="13"/>
                <w:szCs w:val="13"/>
              </w:rPr>
            </w:pPr>
          </w:p>
        </w:tc>
        <w:tc>
          <w:tcPr>
            <w:tcW w:w="1880" w:type="dxa"/>
            <w:vMerge w:val="continue"/>
            <w:tcBorders>
              <w:right w:val="single" w:color="auto" w:sz="8" w:space="0"/>
            </w:tcBorders>
            <w:vAlign w:val="bottom"/>
          </w:tcPr>
          <w:p>
            <w:pPr>
              <w:spacing w:after="0"/>
              <w:rPr>
                <w:color w:val="auto"/>
                <w:sz w:val="13"/>
                <w:szCs w:val="13"/>
              </w:rPr>
            </w:pPr>
          </w:p>
        </w:tc>
        <w:tc>
          <w:tcPr>
            <w:tcW w:w="160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c>
          <w:tcPr>
            <w:tcW w:w="1880" w:type="dxa"/>
            <w:tcBorders>
              <w:bottom w:val="single" w:color="auto" w:sz="8" w:space="0"/>
              <w:right w:val="single" w:color="auto" w:sz="8" w:space="0"/>
            </w:tcBorders>
            <w:vAlign w:val="bottom"/>
          </w:tcPr>
          <w:p>
            <w:pPr>
              <w:spacing w:after="0"/>
              <w:rPr>
                <w:color w:val="auto"/>
                <w:sz w:val="24"/>
                <w:szCs w:val="24"/>
              </w:rPr>
            </w:pPr>
          </w:p>
        </w:tc>
        <w:tc>
          <w:tcPr>
            <w:tcW w:w="160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1200" w:type="dxa"/>
            <w:tcBorders>
              <w:left w:val="single" w:color="auto" w:sz="8" w:space="0"/>
              <w:right w:val="single" w:color="auto" w:sz="8" w:space="0"/>
            </w:tcBorders>
            <w:vAlign w:val="bottom"/>
          </w:tcPr>
          <w:p>
            <w:pPr>
              <w:spacing w:after="0" w:line="272" w:lineRule="exact"/>
              <w:ind w:left="120"/>
              <w:rPr>
                <w:color w:val="auto"/>
                <w:sz w:val="20"/>
                <w:szCs w:val="20"/>
              </w:rPr>
            </w:pPr>
            <w:r>
              <w:rPr>
                <w:rFonts w:ascii="Cambria" w:hAnsi="Cambria" w:eastAsia="Cambria" w:cs="Cambria"/>
                <w:color w:val="auto"/>
                <w:sz w:val="24"/>
                <w:szCs w:val="24"/>
              </w:rPr>
              <w:t>Human</w:t>
            </w:r>
          </w:p>
        </w:tc>
        <w:tc>
          <w:tcPr>
            <w:tcW w:w="104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1μM</w:t>
            </w:r>
          </w:p>
        </w:tc>
        <w:tc>
          <w:tcPr>
            <w:tcW w:w="130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 to 3</w:t>
            </w:r>
          </w:p>
        </w:tc>
        <w:tc>
          <w:tcPr>
            <w:tcW w:w="176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Protein</w:t>
            </w:r>
          </w:p>
        </w:tc>
        <w:tc>
          <w:tcPr>
            <w:tcW w:w="188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ERα and p300</w:t>
            </w:r>
          </w:p>
        </w:tc>
        <w:tc>
          <w:tcPr>
            <w:tcW w:w="1600" w:type="dxa"/>
            <w:tcBorders>
              <w:right w:val="single" w:color="auto" w:sz="8" w:space="0"/>
            </w:tcBorders>
            <w:vAlign w:val="bottom"/>
          </w:tcPr>
          <w:p>
            <w:pPr>
              <w:spacing w:after="0" w:line="272" w:lineRule="exact"/>
              <w:ind w:right="120"/>
              <w:jc w:val="right"/>
              <w:rPr>
                <w:color w:val="auto"/>
                <w:sz w:val="20"/>
                <w:szCs w:val="20"/>
              </w:rPr>
            </w:pPr>
            <w:r>
              <w:rPr>
                <w:rFonts w:ascii="Cambria" w:hAnsi="Cambria" w:eastAsia="Cambria" w:cs="Cambria"/>
                <w:color w:val="auto"/>
                <w:sz w:val="24"/>
                <w:szCs w:val="24"/>
              </w:rPr>
              <w:t>(Kim, Kang,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Breast</w:t>
            </w: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hours</w:t>
            </w: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stability of</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protein stability</w:t>
            </w:r>
          </w:p>
        </w:tc>
        <w:tc>
          <w:tcPr>
            <w:tcW w:w="16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Na, &amp; Lee,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Cancer</w:t>
            </w: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ERα and p300</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increased by</w:t>
            </w:r>
          </w:p>
        </w:tc>
        <w:tc>
          <w:tcPr>
            <w:tcW w:w="16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T47D</w:t>
            </w: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proteins, to</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30%, in a dose</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signify</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dependent</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changes in</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manner.</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acetylation</w:t>
            </w:r>
          </w:p>
        </w:tc>
        <w:tc>
          <w:tcPr>
            <w:tcW w:w="1880" w:type="dxa"/>
            <w:tcBorders>
              <w:bottom w:val="single" w:color="auto" w:sz="8" w:space="0"/>
              <w:right w:val="single" w:color="auto" w:sz="8" w:space="0"/>
            </w:tcBorders>
            <w:vAlign w:val="bottom"/>
          </w:tcPr>
          <w:p>
            <w:pPr>
              <w:spacing w:after="0"/>
              <w:rPr>
                <w:color w:val="auto"/>
                <w:sz w:val="24"/>
                <w:szCs w:val="24"/>
              </w:rPr>
            </w:pPr>
          </w:p>
        </w:tc>
        <w:tc>
          <w:tcPr>
            <w:tcW w:w="160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Cambria" w:hAnsi="Cambria" w:eastAsia="Cambria" w:cs="Cambria"/>
                <w:color w:val="auto"/>
                <w:sz w:val="24"/>
                <w:szCs w:val="24"/>
              </w:rPr>
              <w:t>Human</w:t>
            </w:r>
          </w:p>
        </w:tc>
        <w:tc>
          <w:tcPr>
            <w:tcW w:w="104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50nM</w:t>
            </w:r>
          </w:p>
        </w:tc>
        <w:tc>
          <w:tcPr>
            <w:tcW w:w="130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8 hours</w:t>
            </w:r>
          </w:p>
        </w:tc>
        <w:tc>
          <w:tcPr>
            <w:tcW w:w="176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Changes in</w:t>
            </w:r>
          </w:p>
        </w:tc>
        <w:tc>
          <w:tcPr>
            <w:tcW w:w="188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CYP24A1 gene</w:t>
            </w:r>
          </w:p>
        </w:tc>
        <w:tc>
          <w:tcPr>
            <w:tcW w:w="160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(Luo et 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Prostate</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100nM</w:t>
            </w: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CYP24A1 gene</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expression was</w:t>
            </w:r>
          </w:p>
        </w:tc>
        <w:tc>
          <w:tcPr>
            <w:tcW w:w="16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Cancer</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200nM</w:t>
            </w: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w:t>
            </w: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increased by</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300nM</w:t>
            </w: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rPr>
                <w:color w:val="auto"/>
                <w:sz w:val="24"/>
                <w:szCs w:val="24"/>
              </w:rPr>
            </w:pPr>
          </w:p>
        </w:tc>
        <w:tc>
          <w:tcPr>
            <w:tcW w:w="188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1.6-4.0 fold</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DU145</w:t>
            </w:r>
          </w:p>
        </w:tc>
        <w:tc>
          <w:tcPr>
            <w:tcW w:w="104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400nM</w:t>
            </w: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rPr>
                <w:color w:val="auto"/>
                <w:sz w:val="24"/>
                <w:szCs w:val="24"/>
              </w:rPr>
            </w:pPr>
          </w:p>
        </w:tc>
        <w:tc>
          <w:tcPr>
            <w:tcW w:w="1880" w:type="dxa"/>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LNCaP</w:t>
            </w: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rPr>
                <w:color w:val="auto"/>
                <w:sz w:val="24"/>
                <w:szCs w:val="24"/>
              </w:rPr>
            </w:pPr>
          </w:p>
        </w:tc>
        <w:tc>
          <w:tcPr>
            <w:tcW w:w="1880" w:type="dxa"/>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0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PC3</w:t>
            </w:r>
          </w:p>
        </w:tc>
        <w:tc>
          <w:tcPr>
            <w:tcW w:w="10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760" w:type="dxa"/>
            <w:tcBorders>
              <w:right w:val="single" w:color="auto" w:sz="8" w:space="0"/>
            </w:tcBorders>
            <w:vAlign w:val="bottom"/>
          </w:tcPr>
          <w:p>
            <w:pPr>
              <w:spacing w:after="0"/>
              <w:rPr>
                <w:color w:val="auto"/>
                <w:sz w:val="24"/>
                <w:szCs w:val="24"/>
              </w:rPr>
            </w:pPr>
          </w:p>
        </w:tc>
        <w:tc>
          <w:tcPr>
            <w:tcW w:w="1880" w:type="dxa"/>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c>
          <w:tcPr>
            <w:tcW w:w="1880" w:type="dxa"/>
            <w:tcBorders>
              <w:bottom w:val="single" w:color="auto" w:sz="8" w:space="0"/>
              <w:right w:val="single" w:color="auto" w:sz="8" w:space="0"/>
            </w:tcBorders>
            <w:vAlign w:val="bottom"/>
          </w:tcPr>
          <w:p>
            <w:pPr>
              <w:spacing w:after="0"/>
              <w:rPr>
                <w:color w:val="auto"/>
                <w:sz w:val="24"/>
                <w:szCs w:val="24"/>
              </w:rPr>
            </w:pPr>
          </w:p>
        </w:tc>
        <w:tc>
          <w:tcPr>
            <w:tcW w:w="160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19</w:t>
      </w:r>
    </w:p>
    <w:p>
      <w:pPr>
        <w:sectPr>
          <w:pgSz w:w="12240" w:h="15840"/>
          <w:pgMar w:top="1440" w:right="1380" w:bottom="120" w:left="1440" w:header="0" w:footer="0" w:gutter="0"/>
          <w:cols w:equalWidth="0" w:num="1">
            <w:col w:w="9420"/>
          </w:cols>
        </w:sectPr>
      </w:pPr>
    </w:p>
    <w:p>
      <w:pPr>
        <w:spacing w:after="0"/>
        <w:ind w:left="2500"/>
        <w:rPr>
          <w:color w:val="auto"/>
          <w:sz w:val="20"/>
          <w:szCs w:val="20"/>
        </w:rPr>
      </w:pPr>
      <w:bookmarkStart w:id="27" w:name="page34"/>
      <w:bookmarkEnd w:id="27"/>
      <w:r>
        <w:rPr>
          <w:rFonts w:ascii="Cambria" w:hAnsi="Cambria" w:eastAsia="Cambria" w:cs="Cambria"/>
          <w:color w:val="auto"/>
          <w:sz w:val="24"/>
          <w:szCs w:val="24"/>
        </w:rPr>
        <w:t>Table 1.2 SFN Study Experimental Parameters</w:t>
      </w:r>
    </w:p>
    <w:p>
      <w:pPr>
        <w:spacing w:after="0" w:line="262" w:lineRule="exact"/>
        <w:rPr>
          <w:color w:val="auto"/>
          <w:sz w:val="20"/>
          <w:szCs w:val="20"/>
        </w:rPr>
      </w:pPr>
    </w:p>
    <w:tbl>
      <w:tblPr>
        <w:tblStyle w:val="3"/>
        <w:tblW w:w="0" w:type="auto"/>
        <w:tblInd w:w="590" w:type="dxa"/>
        <w:tblLayout w:type="fixed"/>
        <w:tblCellMar>
          <w:top w:w="0" w:type="dxa"/>
          <w:left w:w="0" w:type="dxa"/>
          <w:bottom w:w="0" w:type="dxa"/>
          <w:right w:w="0" w:type="dxa"/>
        </w:tblCellMar>
      </w:tblPr>
      <w:tblGrid>
        <w:gridCol w:w="1360"/>
        <w:gridCol w:w="1080"/>
        <w:gridCol w:w="1260"/>
        <w:gridCol w:w="1800"/>
        <w:gridCol w:w="1980"/>
        <w:gridCol w:w="1460"/>
        <w:gridCol w:w="360"/>
      </w:tblGrid>
      <w:tr>
        <w:tblPrEx>
          <w:tblCellMar>
            <w:top w:w="0" w:type="dxa"/>
            <w:left w:w="0" w:type="dxa"/>
            <w:bottom w:w="0" w:type="dxa"/>
            <w:right w:w="0" w:type="dxa"/>
          </w:tblCellMar>
        </w:tblPrEx>
        <w:trPr>
          <w:trHeight w:val="292" w:hRule="atLeast"/>
        </w:trPr>
        <w:tc>
          <w:tcPr>
            <w:tcW w:w="1360" w:type="dxa"/>
            <w:tcBorders>
              <w:top w:val="single" w:color="auto" w:sz="8" w:space="0"/>
              <w:left w:val="single" w:color="auto" w:sz="8" w:space="0"/>
              <w:right w:val="single" w:color="auto" w:sz="8" w:space="0"/>
            </w:tcBorders>
            <w:vAlign w:val="bottom"/>
          </w:tcPr>
          <w:p>
            <w:pPr>
              <w:spacing w:after="0"/>
              <w:ind w:left="180"/>
              <w:rPr>
                <w:color w:val="auto"/>
                <w:sz w:val="20"/>
                <w:szCs w:val="20"/>
              </w:rPr>
            </w:pPr>
            <w:r>
              <w:rPr>
                <w:rFonts w:ascii="Cambria" w:hAnsi="Cambria" w:eastAsia="Cambria" w:cs="Cambria"/>
                <w:color w:val="auto"/>
                <w:sz w:val="24"/>
                <w:szCs w:val="24"/>
              </w:rPr>
              <w:t>Cell Type</w:t>
            </w:r>
          </w:p>
        </w:tc>
        <w:tc>
          <w:tcPr>
            <w:tcW w:w="1080" w:type="dxa"/>
            <w:tcBorders>
              <w:top w:val="single" w:color="auto" w:sz="8" w:space="0"/>
              <w:right w:val="single" w:color="auto" w:sz="8" w:space="0"/>
            </w:tcBorders>
            <w:vAlign w:val="bottom"/>
          </w:tcPr>
          <w:p>
            <w:pPr>
              <w:spacing w:after="0"/>
              <w:ind w:left="320"/>
              <w:rPr>
                <w:color w:val="auto"/>
                <w:sz w:val="20"/>
                <w:szCs w:val="20"/>
              </w:rPr>
            </w:pPr>
            <w:r>
              <w:rPr>
                <w:rFonts w:ascii="Cambria" w:hAnsi="Cambria" w:eastAsia="Cambria" w:cs="Cambria"/>
                <w:color w:val="auto"/>
                <w:sz w:val="24"/>
                <w:szCs w:val="24"/>
              </w:rPr>
              <w:t>SFN</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Exposure</w:t>
            </w:r>
          </w:p>
        </w:tc>
        <w:tc>
          <w:tcPr>
            <w:tcW w:w="1800" w:type="dxa"/>
            <w:tcBorders>
              <w:top w:val="single" w:color="auto" w:sz="8" w:space="0"/>
              <w:right w:val="single" w:color="auto" w:sz="8" w:space="0"/>
            </w:tcBorders>
            <w:vAlign w:val="bottom"/>
          </w:tcPr>
          <w:p>
            <w:pPr>
              <w:spacing w:after="0"/>
              <w:ind w:left="400"/>
              <w:rPr>
                <w:color w:val="auto"/>
                <w:sz w:val="20"/>
                <w:szCs w:val="20"/>
              </w:rPr>
            </w:pPr>
            <w:r>
              <w:rPr>
                <w:rFonts w:ascii="Cambria" w:hAnsi="Cambria" w:eastAsia="Cambria" w:cs="Cambria"/>
                <w:color w:val="auto"/>
                <w:sz w:val="24"/>
                <w:szCs w:val="24"/>
              </w:rPr>
              <w:t>Outcome</w:t>
            </w:r>
          </w:p>
        </w:tc>
        <w:tc>
          <w:tcPr>
            <w:tcW w:w="1980" w:type="dxa"/>
            <w:tcBorders>
              <w:top w:val="single" w:color="auto" w:sz="8" w:space="0"/>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Effects</w:t>
            </w:r>
          </w:p>
        </w:tc>
        <w:tc>
          <w:tcPr>
            <w:tcW w:w="1460" w:type="dxa"/>
            <w:tcBorders>
              <w:top w:val="single" w:color="auto" w:sz="8" w:space="0"/>
              <w:right w:val="single" w:color="auto" w:sz="8" w:space="0"/>
            </w:tcBorders>
            <w:vAlign w:val="bottom"/>
          </w:tcPr>
          <w:p>
            <w:pPr>
              <w:spacing w:after="0"/>
              <w:ind w:left="160"/>
              <w:rPr>
                <w:color w:val="auto"/>
                <w:sz w:val="20"/>
                <w:szCs w:val="20"/>
              </w:rPr>
            </w:pPr>
            <w:r>
              <w:rPr>
                <w:rFonts w:ascii="Cambria" w:hAnsi="Cambria" w:eastAsia="Cambria" w:cs="Cambria"/>
                <w:color w:val="auto"/>
                <w:sz w:val="24"/>
                <w:szCs w:val="24"/>
              </w:rPr>
              <w:t>Reference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40"/>
              <w:rPr>
                <w:color w:val="auto"/>
                <w:sz w:val="20"/>
                <w:szCs w:val="20"/>
              </w:rPr>
            </w:pPr>
            <w:r>
              <w:rPr>
                <w:rFonts w:ascii="Cambria" w:hAnsi="Cambria" w:eastAsia="Cambria" w:cs="Cambria"/>
                <w:color w:val="auto"/>
                <w:sz w:val="24"/>
                <w:szCs w:val="24"/>
              </w:rPr>
              <w:t>Dosage</w:t>
            </w:r>
          </w:p>
        </w:tc>
        <w:tc>
          <w:tcPr>
            <w:tcW w:w="1260" w:type="dxa"/>
            <w:tcBorders>
              <w:right w:val="single" w:color="auto" w:sz="8" w:space="0"/>
            </w:tcBorders>
            <w:vAlign w:val="bottom"/>
          </w:tcPr>
          <w:p>
            <w:pPr>
              <w:spacing w:after="0"/>
              <w:ind w:left="340"/>
              <w:rPr>
                <w:color w:val="auto"/>
                <w:sz w:val="20"/>
                <w:szCs w:val="20"/>
              </w:rPr>
            </w:pPr>
            <w:r>
              <w:rPr>
                <w:rFonts w:ascii="Cambria" w:hAnsi="Cambria" w:eastAsia="Cambria" w:cs="Cambria"/>
                <w:color w:val="auto"/>
                <w:sz w:val="24"/>
                <w:szCs w:val="24"/>
              </w:rPr>
              <w:t>Time</w:t>
            </w:r>
          </w:p>
        </w:tc>
        <w:tc>
          <w:tcPr>
            <w:tcW w:w="1800" w:type="dxa"/>
            <w:tcBorders>
              <w:right w:val="single" w:color="auto" w:sz="8" w:space="0"/>
            </w:tcBorders>
            <w:vAlign w:val="bottom"/>
          </w:tcPr>
          <w:p>
            <w:pPr>
              <w:spacing w:after="0"/>
              <w:ind w:left="420"/>
              <w:rPr>
                <w:color w:val="auto"/>
                <w:sz w:val="20"/>
                <w:szCs w:val="20"/>
              </w:rPr>
            </w:pPr>
            <w:r>
              <w:rPr>
                <w:rFonts w:ascii="Cambria" w:hAnsi="Cambria" w:eastAsia="Cambria" w:cs="Cambria"/>
                <w:color w:val="auto"/>
                <w:sz w:val="24"/>
                <w:szCs w:val="24"/>
              </w:rPr>
              <w:t>Measure</w:t>
            </w:r>
          </w:p>
        </w:tc>
        <w:tc>
          <w:tcPr>
            <w:tcW w:w="1980" w:type="dxa"/>
            <w:tcBorders>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Compared to</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jc w:val="center"/>
              <w:rPr>
                <w:color w:val="auto"/>
                <w:sz w:val="20"/>
                <w:szCs w:val="20"/>
              </w:rPr>
            </w:pPr>
            <w:r>
              <w:rPr>
                <w:rFonts w:ascii="Cambria" w:hAnsi="Cambria" w:eastAsia="Cambria" w:cs="Cambria"/>
                <w:color w:val="auto"/>
                <w:sz w:val="24"/>
                <w:szCs w:val="24"/>
              </w:rPr>
              <w:t>Control</w:t>
            </w: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1360" w:type="dxa"/>
            <w:tcBorders>
              <w:left w:val="single" w:color="auto" w:sz="8" w:space="0"/>
              <w:right w:val="single" w:color="auto" w:sz="8" w:space="0"/>
            </w:tcBorders>
            <w:vAlign w:val="bottom"/>
          </w:tcPr>
          <w:p>
            <w:pPr>
              <w:spacing w:after="0" w:line="272" w:lineRule="exact"/>
              <w:ind w:left="120"/>
              <w:rPr>
                <w:color w:val="auto"/>
                <w:sz w:val="20"/>
                <w:szCs w:val="20"/>
              </w:rPr>
            </w:pPr>
            <w:r>
              <w:rPr>
                <w:rFonts w:ascii="Cambria" w:hAnsi="Cambria" w:eastAsia="Cambria" w:cs="Cambria"/>
                <w:color w:val="auto"/>
                <w:sz w:val="24"/>
                <w:szCs w:val="24"/>
              </w:rPr>
              <w:t>Human</w:t>
            </w:r>
          </w:p>
        </w:tc>
        <w:tc>
          <w:tcPr>
            <w:tcW w:w="108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SFN</w:t>
            </w:r>
          </w:p>
        </w:tc>
        <w:tc>
          <w:tcPr>
            <w:tcW w:w="126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48 hours</w:t>
            </w:r>
          </w:p>
        </w:tc>
        <w:tc>
          <w:tcPr>
            <w:tcW w:w="180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HDAC activity</w:t>
            </w:r>
          </w:p>
        </w:tc>
        <w:tc>
          <w:tcPr>
            <w:tcW w:w="198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HDAC activity</w:t>
            </w:r>
          </w:p>
        </w:tc>
        <w:tc>
          <w:tcPr>
            <w:tcW w:w="1460" w:type="dxa"/>
            <w:tcBorders>
              <w:right w:val="single" w:color="auto" w:sz="8" w:space="0"/>
            </w:tcBorders>
            <w:vAlign w:val="bottom"/>
          </w:tcPr>
          <w:p>
            <w:pPr>
              <w:spacing w:after="0" w:line="270" w:lineRule="exact"/>
              <w:ind w:left="160"/>
              <w:rPr>
                <w:color w:val="auto"/>
                <w:sz w:val="20"/>
                <w:szCs w:val="20"/>
              </w:rPr>
            </w:pPr>
            <w:r>
              <w:rPr>
                <w:rFonts w:ascii="Cambria" w:hAnsi="Cambria" w:eastAsia="Cambria" w:cs="Cambria"/>
                <w:color w:val="auto"/>
                <w:sz w:val="24"/>
                <w:szCs w:val="24"/>
              </w:rPr>
              <w:t>(M. 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Embryonic</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5μM +</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was depressed:</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Myzak,</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1360" w:type="dxa"/>
            <w:tcBorders>
              <w:left w:val="single" w:color="auto" w:sz="8" w:space="0"/>
              <w:right w:val="single" w:color="auto" w:sz="8" w:space="0"/>
            </w:tcBorders>
            <w:vAlign w:val="bottom"/>
          </w:tcPr>
          <w:p>
            <w:pPr>
              <w:spacing w:after="0" w:line="242" w:lineRule="exact"/>
              <w:ind w:left="120"/>
              <w:rPr>
                <w:color w:val="auto"/>
                <w:sz w:val="20"/>
                <w:szCs w:val="20"/>
              </w:rPr>
            </w:pPr>
            <w:r>
              <w:rPr>
                <w:rFonts w:ascii="Cambria" w:hAnsi="Cambria" w:eastAsia="Cambria" w:cs="Cambria"/>
                <w:color w:val="auto"/>
                <w:sz w:val="24"/>
                <w:szCs w:val="24"/>
              </w:rPr>
              <w:t>Kidney</w:t>
            </w:r>
          </w:p>
        </w:tc>
        <w:tc>
          <w:tcPr>
            <w:tcW w:w="1080" w:type="dxa"/>
            <w:tcBorders>
              <w:right w:val="single" w:color="auto" w:sz="8" w:space="0"/>
            </w:tcBorders>
            <w:vAlign w:val="bottom"/>
          </w:tcPr>
          <w:p>
            <w:pPr>
              <w:spacing w:after="0" w:line="242" w:lineRule="exact"/>
              <w:ind w:left="100"/>
              <w:rPr>
                <w:color w:val="auto"/>
                <w:sz w:val="20"/>
                <w:szCs w:val="20"/>
              </w:rPr>
            </w:pPr>
            <w:r>
              <w:rPr>
                <w:rFonts w:ascii="Cambria" w:hAnsi="Cambria" w:eastAsia="Cambria" w:cs="Cambria"/>
                <w:color w:val="auto"/>
                <w:sz w:val="24"/>
                <w:szCs w:val="24"/>
              </w:rPr>
              <w:t>TSA</w:t>
            </w:r>
          </w:p>
        </w:tc>
        <w:tc>
          <w:tcPr>
            <w:tcW w:w="1260" w:type="dxa"/>
            <w:tcBorders>
              <w:right w:val="single" w:color="auto" w:sz="8" w:space="0"/>
            </w:tcBorders>
            <w:vAlign w:val="bottom"/>
          </w:tcPr>
          <w:p>
            <w:pPr>
              <w:spacing w:after="0"/>
              <w:rPr>
                <w:color w:val="auto"/>
                <w:sz w:val="21"/>
                <w:szCs w:val="21"/>
              </w:rPr>
            </w:pPr>
          </w:p>
        </w:tc>
        <w:tc>
          <w:tcPr>
            <w:tcW w:w="1800" w:type="dxa"/>
            <w:tcBorders>
              <w:right w:val="single" w:color="auto" w:sz="8" w:space="0"/>
            </w:tcBorders>
            <w:vAlign w:val="bottom"/>
          </w:tcPr>
          <w:p>
            <w:pPr>
              <w:spacing w:after="0"/>
              <w:rPr>
                <w:color w:val="auto"/>
                <w:sz w:val="21"/>
                <w:szCs w:val="21"/>
              </w:rPr>
            </w:pPr>
          </w:p>
        </w:tc>
        <w:tc>
          <w:tcPr>
            <w:tcW w:w="1980" w:type="dxa"/>
            <w:tcBorders>
              <w:right w:val="single" w:color="auto" w:sz="8" w:space="0"/>
            </w:tcBorders>
            <w:vAlign w:val="bottom"/>
          </w:tcPr>
          <w:p>
            <w:pPr>
              <w:spacing w:after="0" w:line="242" w:lineRule="exact"/>
              <w:ind w:left="100"/>
              <w:rPr>
                <w:color w:val="auto"/>
                <w:sz w:val="20"/>
                <w:szCs w:val="20"/>
              </w:rPr>
            </w:pPr>
            <w:r>
              <w:rPr>
                <w:rFonts w:ascii="Cambria" w:hAnsi="Cambria" w:eastAsia="Cambria" w:cs="Cambria"/>
                <w:color w:val="auto"/>
                <w:sz w:val="24"/>
                <w:szCs w:val="24"/>
              </w:rPr>
              <w:t>SFN + TSA</w:t>
            </w:r>
          </w:p>
        </w:tc>
        <w:tc>
          <w:tcPr>
            <w:tcW w:w="146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Tong,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2" w:hRule="atLeast"/>
        </w:trPr>
        <w:tc>
          <w:tcPr>
            <w:tcW w:w="1360" w:type="dxa"/>
            <w:vMerge w:val="restart"/>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8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100ng/</w:t>
            </w:r>
          </w:p>
        </w:tc>
        <w:tc>
          <w:tcPr>
            <w:tcW w:w="1260" w:type="dxa"/>
            <w:tcBorders>
              <w:right w:val="single" w:color="auto" w:sz="8" w:space="0"/>
            </w:tcBorders>
            <w:vAlign w:val="bottom"/>
          </w:tcPr>
          <w:p>
            <w:pPr>
              <w:spacing w:after="0"/>
              <w:rPr>
                <w:color w:val="auto"/>
                <w:sz w:val="7"/>
                <w:szCs w:val="7"/>
              </w:rPr>
            </w:pPr>
          </w:p>
        </w:tc>
        <w:tc>
          <w:tcPr>
            <w:tcW w:w="1800" w:type="dxa"/>
            <w:tcBorders>
              <w:right w:val="single" w:color="auto" w:sz="8" w:space="0"/>
            </w:tcBorders>
            <w:vAlign w:val="bottom"/>
          </w:tcPr>
          <w:p>
            <w:pPr>
              <w:spacing w:after="0"/>
              <w:rPr>
                <w:color w:val="auto"/>
                <w:sz w:val="7"/>
                <w:szCs w:val="7"/>
              </w:rPr>
            </w:pPr>
          </w:p>
        </w:tc>
        <w:tc>
          <w:tcPr>
            <w:tcW w:w="198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(60%) &gt; SFN</w:t>
            </w:r>
          </w:p>
        </w:tc>
        <w:tc>
          <w:tcPr>
            <w:tcW w:w="1460" w:type="dxa"/>
            <w:vMerge w:val="continue"/>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1360" w:type="dxa"/>
            <w:vMerge w:val="continue"/>
            <w:tcBorders>
              <w:left w:val="single" w:color="auto" w:sz="8" w:space="0"/>
              <w:right w:val="single" w:color="auto" w:sz="8" w:space="0"/>
            </w:tcBorders>
            <w:vAlign w:val="bottom"/>
          </w:tcPr>
          <w:p>
            <w:pPr>
              <w:spacing w:after="0"/>
              <w:rPr>
                <w:color w:val="auto"/>
                <w:sz w:val="17"/>
                <w:szCs w:val="17"/>
              </w:rPr>
            </w:pPr>
          </w:p>
        </w:tc>
        <w:tc>
          <w:tcPr>
            <w:tcW w:w="1080" w:type="dxa"/>
            <w:vMerge w:val="continue"/>
            <w:tcBorders>
              <w:right w:val="single" w:color="auto" w:sz="8" w:space="0"/>
            </w:tcBorders>
            <w:vAlign w:val="bottom"/>
          </w:tcPr>
          <w:p>
            <w:pPr>
              <w:spacing w:after="0"/>
              <w:rPr>
                <w:color w:val="auto"/>
                <w:sz w:val="17"/>
                <w:szCs w:val="17"/>
              </w:rPr>
            </w:pPr>
          </w:p>
        </w:tc>
        <w:tc>
          <w:tcPr>
            <w:tcW w:w="1260" w:type="dxa"/>
            <w:tcBorders>
              <w:right w:val="single" w:color="auto" w:sz="8" w:space="0"/>
            </w:tcBorders>
            <w:vAlign w:val="bottom"/>
          </w:tcPr>
          <w:p>
            <w:pPr>
              <w:spacing w:after="0"/>
              <w:rPr>
                <w:color w:val="auto"/>
                <w:sz w:val="17"/>
                <w:szCs w:val="17"/>
              </w:rPr>
            </w:pPr>
          </w:p>
        </w:tc>
        <w:tc>
          <w:tcPr>
            <w:tcW w:w="1800" w:type="dxa"/>
            <w:tcBorders>
              <w:right w:val="single" w:color="auto" w:sz="8" w:space="0"/>
            </w:tcBorders>
            <w:vAlign w:val="bottom"/>
          </w:tcPr>
          <w:p>
            <w:pPr>
              <w:spacing w:after="0"/>
              <w:rPr>
                <w:color w:val="auto"/>
                <w:sz w:val="17"/>
                <w:szCs w:val="17"/>
              </w:rPr>
            </w:pPr>
          </w:p>
        </w:tc>
        <w:tc>
          <w:tcPr>
            <w:tcW w:w="1980" w:type="dxa"/>
            <w:vMerge w:val="continue"/>
            <w:tcBorders>
              <w:right w:val="single" w:color="auto" w:sz="8" w:space="0"/>
            </w:tcBorders>
            <w:vAlign w:val="bottom"/>
          </w:tcPr>
          <w:p>
            <w:pPr>
              <w:spacing w:after="0"/>
              <w:rPr>
                <w:color w:val="auto"/>
                <w:sz w:val="17"/>
                <w:szCs w:val="17"/>
              </w:rPr>
            </w:pPr>
          </w:p>
        </w:tc>
        <w:tc>
          <w:tcPr>
            <w:tcW w:w="146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Dashwood,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360" w:type="dxa"/>
            <w:vMerge w:val="restart"/>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HEK293</w:t>
            </w:r>
          </w:p>
        </w:tc>
        <w:tc>
          <w:tcPr>
            <w:tcW w:w="108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mL</w:t>
            </w:r>
          </w:p>
        </w:tc>
        <w:tc>
          <w:tcPr>
            <w:tcW w:w="1260" w:type="dxa"/>
            <w:tcBorders>
              <w:right w:val="single" w:color="auto" w:sz="8" w:space="0"/>
            </w:tcBorders>
            <w:vAlign w:val="bottom"/>
          </w:tcPr>
          <w:p>
            <w:pPr>
              <w:spacing w:after="0"/>
              <w:rPr>
                <w:color w:val="auto"/>
                <w:sz w:val="10"/>
                <w:szCs w:val="10"/>
              </w:rPr>
            </w:pPr>
          </w:p>
        </w:tc>
        <w:tc>
          <w:tcPr>
            <w:tcW w:w="1800" w:type="dxa"/>
            <w:tcBorders>
              <w:right w:val="single" w:color="auto" w:sz="8" w:space="0"/>
            </w:tcBorders>
            <w:vAlign w:val="bottom"/>
          </w:tcPr>
          <w:p>
            <w:pPr>
              <w:spacing w:after="0"/>
              <w:rPr>
                <w:color w:val="auto"/>
                <w:sz w:val="10"/>
                <w:szCs w:val="10"/>
              </w:rPr>
            </w:pPr>
          </w:p>
        </w:tc>
        <w:tc>
          <w:tcPr>
            <w:tcW w:w="198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(30%) &gt; TSA</w:t>
            </w:r>
          </w:p>
        </w:tc>
        <w:tc>
          <w:tcPr>
            <w:tcW w:w="146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360" w:type="dxa"/>
            <w:vMerge w:val="continue"/>
            <w:tcBorders>
              <w:left w:val="single" w:color="auto" w:sz="8" w:space="0"/>
              <w:right w:val="single" w:color="auto" w:sz="8" w:space="0"/>
            </w:tcBorders>
            <w:vAlign w:val="bottom"/>
          </w:tcPr>
          <w:p>
            <w:pPr>
              <w:spacing w:after="0"/>
              <w:rPr>
                <w:color w:val="auto"/>
                <w:sz w:val="13"/>
                <w:szCs w:val="13"/>
              </w:rPr>
            </w:pPr>
          </w:p>
        </w:tc>
        <w:tc>
          <w:tcPr>
            <w:tcW w:w="1080" w:type="dxa"/>
            <w:vMerge w:val="continue"/>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1800" w:type="dxa"/>
            <w:tcBorders>
              <w:right w:val="single" w:color="auto" w:sz="8" w:space="0"/>
            </w:tcBorders>
            <w:vAlign w:val="bottom"/>
          </w:tcPr>
          <w:p>
            <w:pPr>
              <w:spacing w:after="0"/>
              <w:rPr>
                <w:color w:val="auto"/>
                <w:sz w:val="13"/>
                <w:szCs w:val="13"/>
              </w:rPr>
            </w:pPr>
          </w:p>
        </w:tc>
        <w:tc>
          <w:tcPr>
            <w:tcW w:w="1980" w:type="dxa"/>
            <w:vMerge w:val="continue"/>
            <w:tcBorders>
              <w:right w:val="single" w:color="auto" w:sz="8" w:space="0"/>
            </w:tcBorders>
            <w:vAlign w:val="bottom"/>
          </w:tcPr>
          <w:p>
            <w:pPr>
              <w:spacing w:after="0"/>
              <w:rPr>
                <w:color w:val="auto"/>
                <w:sz w:val="13"/>
                <w:szCs w:val="13"/>
              </w:rPr>
            </w:pPr>
          </w:p>
        </w:tc>
        <w:tc>
          <w:tcPr>
            <w:tcW w:w="146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Dashwood,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1360" w:type="dxa"/>
            <w:tcBorders>
              <w:left w:val="single" w:color="auto" w:sz="8" w:space="0"/>
              <w:right w:val="single" w:color="auto" w:sz="8" w:space="0"/>
            </w:tcBorders>
            <w:vAlign w:val="bottom"/>
          </w:tcPr>
          <w:p>
            <w:pPr>
              <w:spacing w:after="0"/>
              <w:rPr>
                <w:color w:val="auto"/>
                <w:sz w:val="14"/>
                <w:szCs w:val="14"/>
              </w:rPr>
            </w:pPr>
          </w:p>
        </w:tc>
        <w:tc>
          <w:tcPr>
            <w:tcW w:w="1080" w:type="dxa"/>
            <w:tcBorders>
              <w:right w:val="single" w:color="auto" w:sz="8" w:space="0"/>
            </w:tcBorders>
            <w:vAlign w:val="bottom"/>
          </w:tcPr>
          <w:p>
            <w:pPr>
              <w:spacing w:after="0"/>
              <w:rPr>
                <w:color w:val="auto"/>
                <w:sz w:val="14"/>
                <w:szCs w:val="14"/>
              </w:rPr>
            </w:pPr>
          </w:p>
        </w:tc>
        <w:tc>
          <w:tcPr>
            <w:tcW w:w="1260" w:type="dxa"/>
            <w:tcBorders>
              <w:right w:val="single" w:color="auto" w:sz="8" w:space="0"/>
            </w:tcBorders>
            <w:vAlign w:val="bottom"/>
          </w:tcPr>
          <w:p>
            <w:pPr>
              <w:spacing w:after="0"/>
              <w:rPr>
                <w:color w:val="auto"/>
                <w:sz w:val="14"/>
                <w:szCs w:val="14"/>
              </w:rPr>
            </w:pPr>
          </w:p>
        </w:tc>
        <w:tc>
          <w:tcPr>
            <w:tcW w:w="1800" w:type="dxa"/>
            <w:tcBorders>
              <w:right w:val="single" w:color="auto" w:sz="8" w:space="0"/>
            </w:tcBorders>
            <w:vAlign w:val="bottom"/>
          </w:tcPr>
          <w:p>
            <w:pPr>
              <w:spacing w:after="0"/>
              <w:rPr>
                <w:color w:val="auto"/>
                <w:sz w:val="14"/>
                <w:szCs w:val="14"/>
              </w:rPr>
            </w:pPr>
          </w:p>
        </w:tc>
        <w:tc>
          <w:tcPr>
            <w:tcW w:w="198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(25%)</w:t>
            </w:r>
          </w:p>
        </w:tc>
        <w:tc>
          <w:tcPr>
            <w:tcW w:w="1460" w:type="dxa"/>
            <w:vMerge w:val="continue"/>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1360" w:type="dxa"/>
            <w:tcBorders>
              <w:left w:val="single" w:color="auto" w:sz="8" w:space="0"/>
              <w:right w:val="single" w:color="auto" w:sz="8" w:space="0"/>
            </w:tcBorders>
            <w:vAlign w:val="bottom"/>
          </w:tcPr>
          <w:p>
            <w:pPr>
              <w:spacing w:after="0"/>
              <w:rPr>
                <w:color w:val="auto"/>
                <w:sz w:val="10"/>
                <w:szCs w:val="10"/>
              </w:rPr>
            </w:pPr>
          </w:p>
        </w:tc>
        <w:tc>
          <w:tcPr>
            <w:tcW w:w="1080" w:type="dxa"/>
            <w:tcBorders>
              <w:right w:val="single" w:color="auto" w:sz="8" w:space="0"/>
            </w:tcBorders>
            <w:vAlign w:val="bottom"/>
          </w:tcPr>
          <w:p>
            <w:pPr>
              <w:spacing w:after="0"/>
              <w:rPr>
                <w:color w:val="auto"/>
                <w:sz w:val="10"/>
                <w:szCs w:val="10"/>
              </w:rPr>
            </w:pPr>
          </w:p>
        </w:tc>
        <w:tc>
          <w:tcPr>
            <w:tcW w:w="1260" w:type="dxa"/>
            <w:tcBorders>
              <w:right w:val="single" w:color="auto" w:sz="8" w:space="0"/>
            </w:tcBorders>
            <w:vAlign w:val="bottom"/>
          </w:tcPr>
          <w:p>
            <w:pPr>
              <w:spacing w:after="0"/>
              <w:rPr>
                <w:color w:val="auto"/>
                <w:sz w:val="10"/>
                <w:szCs w:val="10"/>
              </w:rPr>
            </w:pPr>
          </w:p>
        </w:tc>
        <w:tc>
          <w:tcPr>
            <w:tcW w:w="1800" w:type="dxa"/>
            <w:tcBorders>
              <w:right w:val="single" w:color="auto" w:sz="8" w:space="0"/>
            </w:tcBorders>
            <w:vAlign w:val="bottom"/>
          </w:tcPr>
          <w:p>
            <w:pPr>
              <w:spacing w:after="0"/>
              <w:rPr>
                <w:color w:val="auto"/>
                <w:sz w:val="10"/>
                <w:szCs w:val="10"/>
              </w:rPr>
            </w:pPr>
          </w:p>
        </w:tc>
        <w:tc>
          <w:tcPr>
            <w:tcW w:w="1980" w:type="dxa"/>
            <w:vMerge w:val="continue"/>
            <w:tcBorders>
              <w:right w:val="single" w:color="auto" w:sz="8" w:space="0"/>
            </w:tcBorders>
            <w:vAlign w:val="bottom"/>
          </w:tcPr>
          <w:p>
            <w:pPr>
              <w:spacing w:after="0"/>
              <w:rPr>
                <w:color w:val="auto"/>
                <w:sz w:val="10"/>
                <w:szCs w:val="10"/>
              </w:rPr>
            </w:pPr>
          </w:p>
        </w:tc>
        <w:tc>
          <w:tcPr>
            <w:tcW w:w="146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&amp; Ho,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1360" w:type="dxa"/>
            <w:tcBorders>
              <w:left w:val="single" w:color="auto" w:sz="8" w:space="0"/>
              <w:right w:val="single" w:color="auto" w:sz="8" w:space="0"/>
            </w:tcBorders>
            <w:vAlign w:val="bottom"/>
          </w:tcPr>
          <w:p>
            <w:pPr>
              <w:spacing w:after="0"/>
              <w:rPr>
                <w:color w:val="auto"/>
                <w:sz w:val="18"/>
                <w:szCs w:val="18"/>
              </w:rPr>
            </w:pPr>
          </w:p>
        </w:tc>
        <w:tc>
          <w:tcPr>
            <w:tcW w:w="1080" w:type="dxa"/>
            <w:tcBorders>
              <w:right w:val="single" w:color="auto" w:sz="8" w:space="0"/>
            </w:tcBorders>
            <w:vAlign w:val="bottom"/>
          </w:tcPr>
          <w:p>
            <w:pPr>
              <w:spacing w:after="0"/>
              <w:rPr>
                <w:color w:val="auto"/>
                <w:sz w:val="18"/>
                <w:szCs w:val="18"/>
              </w:rPr>
            </w:pPr>
          </w:p>
        </w:tc>
        <w:tc>
          <w:tcPr>
            <w:tcW w:w="1260" w:type="dxa"/>
            <w:tcBorders>
              <w:right w:val="single" w:color="auto" w:sz="8" w:space="0"/>
            </w:tcBorders>
            <w:vAlign w:val="bottom"/>
          </w:tcPr>
          <w:p>
            <w:pPr>
              <w:spacing w:after="0"/>
              <w:rPr>
                <w:color w:val="auto"/>
                <w:sz w:val="18"/>
                <w:szCs w:val="18"/>
              </w:rPr>
            </w:pPr>
          </w:p>
        </w:tc>
        <w:tc>
          <w:tcPr>
            <w:tcW w:w="1800" w:type="dxa"/>
            <w:tcBorders>
              <w:right w:val="single" w:color="auto" w:sz="8" w:space="0"/>
            </w:tcBorders>
            <w:vAlign w:val="bottom"/>
          </w:tcPr>
          <w:p>
            <w:pPr>
              <w:spacing w:after="0"/>
              <w:rPr>
                <w:color w:val="auto"/>
                <w:sz w:val="18"/>
                <w:szCs w:val="18"/>
              </w:rPr>
            </w:pPr>
          </w:p>
        </w:tc>
        <w:tc>
          <w:tcPr>
            <w:tcW w:w="1980" w:type="dxa"/>
            <w:tcBorders>
              <w:right w:val="single" w:color="auto" w:sz="8" w:space="0"/>
            </w:tcBorders>
            <w:vAlign w:val="bottom"/>
          </w:tcPr>
          <w:p>
            <w:pPr>
              <w:spacing w:after="0"/>
              <w:rPr>
                <w:color w:val="auto"/>
                <w:sz w:val="18"/>
                <w:szCs w:val="18"/>
              </w:rPr>
            </w:pPr>
          </w:p>
        </w:tc>
        <w:tc>
          <w:tcPr>
            <w:tcW w:w="1460" w:type="dxa"/>
            <w:vMerge w:val="continue"/>
            <w:tcBorders>
              <w:right w:val="single" w:color="auto" w:sz="8" w:space="0"/>
            </w:tcBorders>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4"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1080" w:type="dxa"/>
            <w:tcBorders>
              <w:bottom w:val="single" w:color="auto" w:sz="8" w:space="0"/>
              <w:right w:val="single" w:color="auto" w:sz="8" w:space="0"/>
            </w:tcBorders>
            <w:vAlign w:val="bottom"/>
          </w:tcPr>
          <w:p>
            <w:pPr>
              <w:spacing w:after="0"/>
              <w:rPr>
                <w:color w:val="auto"/>
                <w:sz w:val="21"/>
                <w:szCs w:val="21"/>
              </w:rPr>
            </w:pPr>
          </w:p>
        </w:tc>
        <w:tc>
          <w:tcPr>
            <w:tcW w:w="1260" w:type="dxa"/>
            <w:tcBorders>
              <w:bottom w:val="single" w:color="auto" w:sz="8" w:space="0"/>
              <w:right w:val="single" w:color="auto" w:sz="8" w:space="0"/>
            </w:tcBorders>
            <w:vAlign w:val="bottom"/>
          </w:tcPr>
          <w:p>
            <w:pPr>
              <w:spacing w:after="0"/>
              <w:rPr>
                <w:color w:val="auto"/>
                <w:sz w:val="21"/>
                <w:szCs w:val="21"/>
              </w:rPr>
            </w:pPr>
          </w:p>
        </w:tc>
        <w:tc>
          <w:tcPr>
            <w:tcW w:w="1800" w:type="dxa"/>
            <w:tcBorders>
              <w:bottom w:val="single" w:color="auto" w:sz="8" w:space="0"/>
              <w:right w:val="single" w:color="auto" w:sz="8" w:space="0"/>
            </w:tcBorders>
            <w:vAlign w:val="bottom"/>
          </w:tcPr>
          <w:p>
            <w:pPr>
              <w:spacing w:after="0"/>
              <w:rPr>
                <w:color w:val="auto"/>
                <w:sz w:val="21"/>
                <w:szCs w:val="21"/>
              </w:rPr>
            </w:pPr>
          </w:p>
        </w:tc>
        <w:tc>
          <w:tcPr>
            <w:tcW w:w="1980" w:type="dxa"/>
            <w:tcBorders>
              <w:bottom w:val="single" w:color="auto" w:sz="8" w:space="0"/>
              <w:right w:val="single" w:color="auto" w:sz="8" w:space="0"/>
            </w:tcBorders>
            <w:vAlign w:val="bottom"/>
          </w:tcPr>
          <w:p>
            <w:pPr>
              <w:spacing w:after="0"/>
              <w:rPr>
                <w:color w:val="auto"/>
                <w:sz w:val="21"/>
                <w:szCs w:val="21"/>
              </w:rPr>
            </w:pPr>
          </w:p>
        </w:tc>
        <w:tc>
          <w:tcPr>
            <w:tcW w:w="146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36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Human</w:t>
            </w:r>
          </w:p>
        </w:tc>
        <w:tc>
          <w:tcPr>
            <w:tcW w:w="108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10μM</w:t>
            </w:r>
          </w:p>
        </w:tc>
        <w:tc>
          <w:tcPr>
            <w:tcW w:w="126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24 hours</w:t>
            </w:r>
          </w:p>
        </w:tc>
        <w:tc>
          <w:tcPr>
            <w:tcW w:w="180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Levels of</w:t>
            </w:r>
          </w:p>
        </w:tc>
        <w:tc>
          <w:tcPr>
            <w:tcW w:w="198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AR mRNA</w:t>
            </w:r>
          </w:p>
        </w:tc>
        <w:tc>
          <w:tcPr>
            <w:tcW w:w="1460" w:type="dxa"/>
            <w:tcBorders>
              <w:right w:val="single" w:color="auto" w:sz="8" w:space="0"/>
            </w:tcBorders>
            <w:vAlign w:val="bottom"/>
          </w:tcPr>
          <w:p>
            <w:pPr>
              <w:spacing w:after="0" w:line="269" w:lineRule="exact"/>
              <w:ind w:left="160"/>
              <w:rPr>
                <w:color w:val="auto"/>
                <w:sz w:val="20"/>
                <w:szCs w:val="20"/>
              </w:rPr>
            </w:pPr>
            <w:r>
              <w:rPr>
                <w:rFonts w:ascii="Cambria" w:hAnsi="Cambria" w:eastAsia="Cambria" w:cs="Cambria"/>
                <w:color w:val="auto"/>
                <w:sz w:val="24"/>
                <w:szCs w:val="24"/>
              </w:rPr>
              <w:t>(Kim &amp;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Prostate</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Androgen</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decreased by</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Singh,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Cancer</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40μM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Receptor (AR)</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40% to 80% in</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and</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both cell lines.</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LNCaP</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Prostate</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PSA protein</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C4-2</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Specific</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levels decreased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Antigen (PSA)</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 both cell lines.</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36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Human</w:t>
            </w:r>
          </w:p>
        </w:tc>
        <w:tc>
          <w:tcPr>
            <w:tcW w:w="108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1.0μM</w:t>
            </w:r>
          </w:p>
        </w:tc>
        <w:tc>
          <w:tcPr>
            <w:tcW w:w="126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6 hours</w:t>
            </w:r>
          </w:p>
        </w:tc>
        <w:tc>
          <w:tcPr>
            <w:tcW w:w="180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CYP1A1 mRNA</w:t>
            </w:r>
          </w:p>
        </w:tc>
        <w:tc>
          <w:tcPr>
            <w:tcW w:w="1980" w:type="dxa"/>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Dose-dependent</w:t>
            </w:r>
          </w:p>
        </w:tc>
        <w:tc>
          <w:tcPr>
            <w:tcW w:w="1460" w:type="dxa"/>
            <w:tcBorders>
              <w:right w:val="single" w:color="auto" w:sz="8" w:space="0"/>
            </w:tcBorders>
            <w:vAlign w:val="bottom"/>
          </w:tcPr>
          <w:p>
            <w:pPr>
              <w:spacing w:after="0" w:line="269" w:lineRule="exact"/>
              <w:ind w:left="160"/>
              <w:rPr>
                <w:color w:val="auto"/>
                <w:sz w:val="20"/>
                <w:szCs w:val="20"/>
              </w:rPr>
            </w:pPr>
            <w:r>
              <w:rPr>
                <w:rFonts w:ascii="Cambria" w:hAnsi="Cambria" w:eastAsia="Cambria" w:cs="Cambria"/>
                <w:color w:val="auto"/>
                <w:sz w:val="24"/>
                <w:szCs w:val="24"/>
              </w:rPr>
              <w:t>(Anwar-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Hepatoma</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2.5μM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increased mRNA</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Mohamed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5.0μM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&amp; El-Kadi,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HepG2</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1.0μM = 2.2 fold</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2.5μM = 2.8 fold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5.0μM = 3.8 fold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10μM = 3.6 fold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36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Cambria" w:hAnsi="Cambria" w:eastAsia="Cambria" w:cs="Cambria"/>
                <w:color w:val="auto"/>
                <w:sz w:val="24"/>
                <w:szCs w:val="24"/>
              </w:rPr>
              <w:t>Human</w:t>
            </w:r>
          </w:p>
        </w:tc>
        <w:tc>
          <w:tcPr>
            <w:tcW w:w="108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1μM</w:t>
            </w:r>
          </w:p>
        </w:tc>
        <w:tc>
          <w:tcPr>
            <w:tcW w:w="126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24 hours</w:t>
            </w:r>
          </w:p>
        </w:tc>
        <w:tc>
          <w:tcPr>
            <w:tcW w:w="180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Human β-</w:t>
            </w:r>
          </w:p>
        </w:tc>
        <w:tc>
          <w:tcPr>
            <w:tcW w:w="198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At 24 hours</w:t>
            </w:r>
          </w:p>
        </w:tc>
        <w:tc>
          <w:tcPr>
            <w:tcW w:w="146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(Schwab et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Colorectal</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5μM</w:t>
            </w:r>
          </w:p>
        </w:tc>
        <w:tc>
          <w:tcPr>
            <w:tcW w:w="12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and</w:t>
            </w: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defensin-2</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there was a 1.6</w:t>
            </w:r>
          </w:p>
        </w:tc>
        <w:tc>
          <w:tcPr>
            <w:tcW w:w="14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al., 2008b)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Cancer</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10μM</w:t>
            </w:r>
          </w:p>
        </w:tc>
        <w:tc>
          <w:tcPr>
            <w:tcW w:w="126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48 hours</w:t>
            </w: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(HBD-2) gene</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fold increased in</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Cells</w:t>
            </w:r>
          </w:p>
        </w:tc>
        <w:tc>
          <w:tcPr>
            <w:tcW w:w="10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20μM</w:t>
            </w: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w:t>
            </w: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HBD-2</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Caco-2</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 with</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HT-29</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20μM SFN.</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SW480</w:t>
            </w: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At 48 hours</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there was a 2-</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fold increase.</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20</w:t>
      </w:r>
    </w:p>
    <w:p>
      <w:pPr>
        <w:sectPr>
          <w:pgSz w:w="12240" w:h="15840"/>
          <w:pgMar w:top="1438" w:right="1300" w:bottom="120" w:left="1440" w:header="0" w:footer="0" w:gutter="0"/>
          <w:cols w:equalWidth="0" w:num="1">
            <w:col w:w="9500"/>
          </w:cols>
        </w:sectPr>
      </w:pPr>
    </w:p>
    <w:p>
      <w:pPr>
        <w:spacing w:after="0"/>
        <w:ind w:left="1100"/>
        <w:rPr>
          <w:color w:val="auto"/>
          <w:sz w:val="20"/>
          <w:szCs w:val="20"/>
        </w:rPr>
      </w:pPr>
      <w:bookmarkStart w:id="28" w:name="page35"/>
      <w:bookmarkEnd w:id="28"/>
      <w:r>
        <w:rPr>
          <w:rFonts w:ascii="Cambria" w:hAnsi="Cambria" w:eastAsia="Cambria" w:cs="Cambria"/>
          <w:color w:val="auto"/>
          <w:sz w:val="24"/>
          <w:szCs w:val="24"/>
        </w:rPr>
        <w:t>Table 1.3 Modulation of Vitamin D-mediated Gene Expression by HDACI</w:t>
      </w:r>
    </w:p>
    <w:p>
      <w:pPr>
        <w:spacing w:after="0" w:line="262" w:lineRule="exact"/>
        <w:rPr>
          <w:color w:val="auto"/>
          <w:sz w:val="20"/>
          <w:szCs w:val="20"/>
        </w:rPr>
      </w:pPr>
    </w:p>
    <w:tbl>
      <w:tblPr>
        <w:tblStyle w:val="3"/>
        <w:tblW w:w="0" w:type="auto"/>
        <w:tblInd w:w="550" w:type="dxa"/>
        <w:tblLayout w:type="fixed"/>
        <w:tblCellMar>
          <w:top w:w="0" w:type="dxa"/>
          <w:left w:w="0" w:type="dxa"/>
          <w:bottom w:w="0" w:type="dxa"/>
          <w:right w:w="0" w:type="dxa"/>
        </w:tblCellMar>
      </w:tblPr>
      <w:tblGrid>
        <w:gridCol w:w="1280"/>
        <w:gridCol w:w="1620"/>
        <w:gridCol w:w="1260"/>
        <w:gridCol w:w="1700"/>
        <w:gridCol w:w="1720"/>
        <w:gridCol w:w="1460"/>
        <w:gridCol w:w="360"/>
      </w:tblGrid>
      <w:tr>
        <w:tblPrEx>
          <w:tblCellMar>
            <w:top w:w="0" w:type="dxa"/>
            <w:left w:w="0" w:type="dxa"/>
            <w:bottom w:w="0" w:type="dxa"/>
            <w:right w:w="0" w:type="dxa"/>
          </w:tblCellMar>
        </w:tblPrEx>
        <w:trPr>
          <w:trHeight w:val="292" w:hRule="atLeast"/>
        </w:trPr>
        <w:tc>
          <w:tcPr>
            <w:tcW w:w="128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Cambria" w:hAnsi="Cambria" w:eastAsia="Cambria" w:cs="Cambria"/>
                <w:color w:val="auto"/>
                <w:sz w:val="24"/>
                <w:szCs w:val="24"/>
              </w:rPr>
              <w:t>Cell Type</w:t>
            </w:r>
          </w:p>
        </w:tc>
        <w:tc>
          <w:tcPr>
            <w:tcW w:w="1620" w:type="dxa"/>
            <w:tcBorders>
              <w:top w:val="single" w:color="auto" w:sz="8" w:space="0"/>
              <w:right w:val="single" w:color="auto" w:sz="8" w:space="0"/>
            </w:tcBorders>
            <w:vAlign w:val="bottom"/>
          </w:tcPr>
          <w:p>
            <w:pPr>
              <w:spacing w:after="0"/>
              <w:ind w:left="440"/>
              <w:rPr>
                <w:color w:val="auto"/>
                <w:sz w:val="20"/>
                <w:szCs w:val="20"/>
              </w:rPr>
            </w:pPr>
            <w:r>
              <w:rPr>
                <w:rFonts w:ascii="Cambria" w:hAnsi="Cambria" w:eastAsia="Cambria" w:cs="Cambria"/>
                <w:color w:val="auto"/>
                <w:sz w:val="24"/>
                <w:szCs w:val="24"/>
              </w:rPr>
              <w:t>HDACI</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Exposure</w:t>
            </w:r>
          </w:p>
        </w:tc>
        <w:tc>
          <w:tcPr>
            <w:tcW w:w="1700" w:type="dxa"/>
            <w:tcBorders>
              <w:top w:val="single" w:color="auto" w:sz="8" w:space="0"/>
              <w:right w:val="single" w:color="auto" w:sz="8" w:space="0"/>
            </w:tcBorders>
            <w:vAlign w:val="bottom"/>
          </w:tcPr>
          <w:p>
            <w:pPr>
              <w:spacing w:after="0"/>
              <w:ind w:left="340"/>
              <w:rPr>
                <w:color w:val="auto"/>
                <w:sz w:val="20"/>
                <w:szCs w:val="20"/>
              </w:rPr>
            </w:pPr>
            <w:r>
              <w:rPr>
                <w:rFonts w:ascii="Cambria" w:hAnsi="Cambria" w:eastAsia="Cambria" w:cs="Cambria"/>
                <w:color w:val="auto"/>
                <w:sz w:val="24"/>
                <w:szCs w:val="24"/>
              </w:rPr>
              <w:t>Outcome</w:t>
            </w:r>
          </w:p>
        </w:tc>
        <w:tc>
          <w:tcPr>
            <w:tcW w:w="1720" w:type="dxa"/>
            <w:tcBorders>
              <w:top w:val="single" w:color="auto" w:sz="8" w:space="0"/>
              <w:right w:val="single" w:color="auto" w:sz="8" w:space="0"/>
            </w:tcBorders>
            <w:vAlign w:val="bottom"/>
          </w:tcPr>
          <w:p>
            <w:pPr>
              <w:spacing w:after="0"/>
              <w:ind w:left="140"/>
              <w:rPr>
                <w:color w:val="auto"/>
                <w:sz w:val="20"/>
                <w:szCs w:val="20"/>
              </w:rPr>
            </w:pPr>
            <w:r>
              <w:rPr>
                <w:rFonts w:ascii="Cambria" w:hAnsi="Cambria" w:eastAsia="Cambria" w:cs="Cambria"/>
                <w:color w:val="auto"/>
                <w:sz w:val="24"/>
                <w:szCs w:val="24"/>
              </w:rPr>
              <w:t>Effects of Co-</w:t>
            </w:r>
          </w:p>
        </w:tc>
        <w:tc>
          <w:tcPr>
            <w:tcW w:w="1460" w:type="dxa"/>
            <w:tcBorders>
              <w:top w:val="single" w:color="auto" w:sz="8" w:space="0"/>
              <w:right w:val="single" w:color="auto" w:sz="8" w:space="0"/>
            </w:tcBorders>
            <w:vAlign w:val="bottom"/>
          </w:tcPr>
          <w:p>
            <w:pPr>
              <w:spacing w:after="0"/>
              <w:ind w:left="140"/>
              <w:rPr>
                <w:color w:val="auto"/>
                <w:sz w:val="20"/>
                <w:szCs w:val="20"/>
              </w:rPr>
            </w:pPr>
            <w:r>
              <w:rPr>
                <w:rFonts w:ascii="Cambria" w:hAnsi="Cambria" w:eastAsia="Cambria" w:cs="Cambria"/>
                <w:color w:val="auto"/>
                <w:sz w:val="24"/>
                <w:szCs w:val="24"/>
              </w:rPr>
              <w:t>Reference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400"/>
              <w:rPr>
                <w:color w:val="auto"/>
                <w:sz w:val="20"/>
                <w:szCs w:val="20"/>
              </w:rPr>
            </w:pPr>
            <w:r>
              <w:rPr>
                <w:rFonts w:ascii="Cambria" w:hAnsi="Cambria" w:eastAsia="Cambria" w:cs="Cambria"/>
                <w:color w:val="auto"/>
                <w:sz w:val="24"/>
                <w:szCs w:val="24"/>
              </w:rPr>
              <w:t>Dosage</w:t>
            </w:r>
          </w:p>
        </w:tc>
        <w:tc>
          <w:tcPr>
            <w:tcW w:w="1260" w:type="dxa"/>
            <w:tcBorders>
              <w:right w:val="single" w:color="auto" w:sz="8" w:space="0"/>
            </w:tcBorders>
            <w:vAlign w:val="bottom"/>
          </w:tcPr>
          <w:p>
            <w:pPr>
              <w:spacing w:after="0"/>
              <w:ind w:left="320"/>
              <w:rPr>
                <w:color w:val="auto"/>
                <w:sz w:val="20"/>
                <w:szCs w:val="20"/>
              </w:rPr>
            </w:pPr>
            <w:r>
              <w:rPr>
                <w:rFonts w:ascii="Cambria" w:hAnsi="Cambria" w:eastAsia="Cambria" w:cs="Cambria"/>
                <w:color w:val="auto"/>
                <w:sz w:val="24"/>
                <w:szCs w:val="24"/>
              </w:rPr>
              <w:t>Time</w:t>
            </w:r>
          </w:p>
        </w:tc>
        <w:tc>
          <w:tcPr>
            <w:tcW w:w="1700" w:type="dxa"/>
            <w:tcBorders>
              <w:right w:val="single" w:color="auto" w:sz="8" w:space="0"/>
            </w:tcBorders>
            <w:vAlign w:val="bottom"/>
          </w:tcPr>
          <w:p>
            <w:pPr>
              <w:spacing w:after="0"/>
              <w:ind w:left="360"/>
              <w:rPr>
                <w:color w:val="auto"/>
                <w:sz w:val="20"/>
                <w:szCs w:val="20"/>
              </w:rPr>
            </w:pPr>
            <w:r>
              <w:rPr>
                <w:rFonts w:ascii="Cambria" w:hAnsi="Cambria" w:eastAsia="Cambria" w:cs="Cambria"/>
                <w:color w:val="auto"/>
                <w:sz w:val="24"/>
                <w:szCs w:val="24"/>
              </w:rPr>
              <w:t>Measure</w:t>
            </w:r>
          </w:p>
        </w:tc>
        <w:tc>
          <w:tcPr>
            <w:tcW w:w="1720" w:type="dxa"/>
            <w:tcBorders>
              <w:right w:val="single" w:color="auto" w:sz="8" w:space="0"/>
            </w:tcBorders>
            <w:vAlign w:val="bottom"/>
          </w:tcPr>
          <w:p>
            <w:pPr>
              <w:spacing w:after="0"/>
              <w:ind w:left="260"/>
              <w:rPr>
                <w:color w:val="auto"/>
                <w:sz w:val="20"/>
                <w:szCs w:val="20"/>
              </w:rPr>
            </w:pPr>
            <w:r>
              <w:rPr>
                <w:rFonts w:ascii="Cambria" w:hAnsi="Cambria" w:eastAsia="Cambria" w:cs="Cambria"/>
                <w:color w:val="auto"/>
                <w:sz w:val="24"/>
                <w:szCs w:val="24"/>
              </w:rPr>
              <w:t>Treatment</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1280" w:type="dxa"/>
            <w:tcBorders>
              <w:left w:val="single" w:color="auto" w:sz="8" w:space="0"/>
              <w:right w:val="single" w:color="auto" w:sz="8" w:space="0"/>
            </w:tcBorders>
            <w:vAlign w:val="bottom"/>
          </w:tcPr>
          <w:p>
            <w:pPr>
              <w:spacing w:after="0"/>
              <w:rPr>
                <w:color w:val="auto"/>
                <w:sz w:val="23"/>
                <w:szCs w:val="23"/>
              </w:rPr>
            </w:pPr>
          </w:p>
        </w:tc>
        <w:tc>
          <w:tcPr>
            <w:tcW w:w="1620" w:type="dxa"/>
            <w:tcBorders>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rPr>
                <w:color w:val="auto"/>
                <w:sz w:val="23"/>
                <w:szCs w:val="23"/>
              </w:rPr>
            </w:pPr>
          </w:p>
        </w:tc>
        <w:tc>
          <w:tcPr>
            <w:tcW w:w="1720" w:type="dxa"/>
            <w:tcBorders>
              <w:right w:val="single" w:color="auto" w:sz="8" w:space="0"/>
            </w:tcBorders>
            <w:vAlign w:val="bottom"/>
          </w:tcPr>
          <w:p>
            <w:pPr>
              <w:spacing w:after="0" w:line="261" w:lineRule="exact"/>
              <w:ind w:left="140"/>
              <w:rPr>
                <w:color w:val="auto"/>
                <w:sz w:val="20"/>
                <w:szCs w:val="20"/>
              </w:rPr>
            </w:pPr>
            <w:r>
              <w:rPr>
                <w:rFonts w:ascii="Cambria" w:hAnsi="Cambria" w:eastAsia="Cambria" w:cs="Cambria"/>
                <w:color w:val="auto"/>
                <w:sz w:val="24"/>
                <w:szCs w:val="24"/>
              </w:rPr>
              <w:t>Compared to</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12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400"/>
              <w:rPr>
                <w:color w:val="auto"/>
                <w:sz w:val="20"/>
                <w:szCs w:val="20"/>
              </w:rPr>
            </w:pPr>
            <w:r>
              <w:rPr>
                <w:rFonts w:ascii="Cambria" w:hAnsi="Cambria" w:eastAsia="Cambria" w:cs="Cambria"/>
                <w:color w:val="auto"/>
                <w:sz w:val="24"/>
                <w:szCs w:val="24"/>
              </w:rPr>
              <w:t>Dosage</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line="271" w:lineRule="exact"/>
              <w:ind w:left="160"/>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80" w:type="dxa"/>
            <w:tcBorders>
              <w:left w:val="single" w:color="auto" w:sz="8" w:space="0"/>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Human</w:t>
            </w:r>
          </w:p>
        </w:tc>
        <w:tc>
          <w:tcPr>
            <w:tcW w:w="162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15 nM(TSA)</w:t>
            </w:r>
          </w:p>
        </w:tc>
        <w:tc>
          <w:tcPr>
            <w:tcW w:w="126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36 hours</w:t>
            </w:r>
          </w:p>
        </w:tc>
        <w:tc>
          <w:tcPr>
            <w:tcW w:w="170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Colony</w:t>
            </w:r>
          </w:p>
        </w:tc>
        <w:tc>
          <w:tcPr>
            <w:tcW w:w="172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60%</w:t>
            </w:r>
          </w:p>
        </w:tc>
        <w:tc>
          <w:tcPr>
            <w:tcW w:w="1460" w:type="dxa"/>
            <w:tcBorders>
              <w:right w:val="single" w:color="auto" w:sz="8" w:space="0"/>
            </w:tcBorders>
            <w:vAlign w:val="bottom"/>
          </w:tcPr>
          <w:p>
            <w:pPr>
              <w:spacing w:after="0" w:line="270" w:lineRule="exact"/>
              <w:ind w:left="140"/>
              <w:rPr>
                <w:color w:val="auto"/>
                <w:sz w:val="20"/>
                <w:szCs w:val="20"/>
              </w:rPr>
            </w:pPr>
            <w:r>
              <w:rPr>
                <w:rFonts w:ascii="Cambria" w:hAnsi="Cambria" w:eastAsia="Cambria" w:cs="Cambria"/>
                <w:color w:val="auto"/>
                <w:sz w:val="24"/>
                <w:szCs w:val="24"/>
              </w:rPr>
              <w: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Breast</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Formation</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inhibition of</w:t>
            </w: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Banwell,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9" w:hRule="atLeast"/>
        </w:trPr>
        <w:tc>
          <w:tcPr>
            <w:tcW w:w="1280" w:type="dxa"/>
            <w:vMerge w:val="restart"/>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Cancer</w:t>
            </w:r>
          </w:p>
        </w:tc>
        <w:tc>
          <w:tcPr>
            <w:tcW w:w="1620" w:type="dxa"/>
            <w:tcBorders>
              <w:bottom w:val="single" w:color="auto" w:sz="8" w:space="0"/>
              <w:right w:val="single" w:color="auto" w:sz="8" w:space="0"/>
            </w:tcBorders>
            <w:vAlign w:val="bottom"/>
          </w:tcPr>
          <w:p>
            <w:pPr>
              <w:spacing w:after="0"/>
              <w:rPr>
                <w:color w:val="auto"/>
                <w:sz w:val="19"/>
                <w:szCs w:val="19"/>
              </w:rPr>
            </w:pPr>
          </w:p>
        </w:tc>
        <w:tc>
          <w:tcPr>
            <w:tcW w:w="1260" w:type="dxa"/>
            <w:tcBorders>
              <w:right w:val="single" w:color="auto" w:sz="8" w:space="0"/>
            </w:tcBorders>
            <w:vAlign w:val="bottom"/>
          </w:tcPr>
          <w:p>
            <w:pPr>
              <w:spacing w:after="0"/>
              <w:rPr>
                <w:color w:val="auto"/>
                <w:sz w:val="19"/>
                <w:szCs w:val="19"/>
              </w:rPr>
            </w:pPr>
          </w:p>
        </w:tc>
        <w:tc>
          <w:tcPr>
            <w:tcW w:w="1700" w:type="dxa"/>
            <w:tcBorders>
              <w:right w:val="single" w:color="auto" w:sz="8" w:space="0"/>
            </w:tcBorders>
            <w:vAlign w:val="bottom"/>
          </w:tcPr>
          <w:p>
            <w:pPr>
              <w:spacing w:after="0"/>
              <w:rPr>
                <w:color w:val="auto"/>
                <w:sz w:val="19"/>
                <w:szCs w:val="19"/>
              </w:rPr>
            </w:pPr>
          </w:p>
        </w:tc>
        <w:tc>
          <w:tcPr>
            <w:tcW w:w="1720" w:type="dxa"/>
            <w:vMerge w:val="restart"/>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colony</w:t>
            </w:r>
          </w:p>
        </w:tc>
        <w:tc>
          <w:tcPr>
            <w:tcW w:w="1460" w:type="dxa"/>
            <w:vMerge w:val="restart"/>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O'Neill,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 w:hRule="atLeast"/>
        </w:trPr>
        <w:tc>
          <w:tcPr>
            <w:tcW w:w="1280" w:type="dxa"/>
            <w:vMerge w:val="continue"/>
            <w:tcBorders>
              <w:left w:val="single" w:color="auto" w:sz="8" w:space="0"/>
              <w:right w:val="single" w:color="auto" w:sz="8" w:space="0"/>
            </w:tcBorders>
            <w:vAlign w:val="bottom"/>
          </w:tcPr>
          <w:p>
            <w:pPr>
              <w:spacing w:after="0"/>
              <w:rPr>
                <w:color w:val="auto"/>
                <w:sz w:val="3"/>
                <w:szCs w:val="3"/>
              </w:rPr>
            </w:pPr>
          </w:p>
        </w:tc>
        <w:tc>
          <w:tcPr>
            <w:tcW w:w="1620" w:type="dxa"/>
            <w:vMerge w:val="restart"/>
            <w:tcBorders>
              <w:right w:val="single" w:color="auto" w:sz="8" w:space="0"/>
            </w:tcBorders>
            <w:vAlign w:val="bottom"/>
          </w:tcPr>
          <w:p>
            <w:pPr>
              <w:spacing w:after="0" w:line="269" w:lineRule="exact"/>
              <w:ind w:left="80"/>
              <w:rPr>
                <w:color w:val="auto"/>
                <w:sz w:val="20"/>
                <w:szCs w:val="20"/>
              </w:rPr>
            </w:pPr>
            <w:r>
              <w:rPr>
                <w:rFonts w:ascii="Cambria" w:hAnsi="Cambria" w:eastAsia="Cambria" w:cs="Cambria"/>
                <w:color w:val="auto"/>
                <w:sz w:val="24"/>
                <w:szCs w:val="24"/>
              </w:rPr>
              <w:t>1 nM</w:t>
            </w:r>
          </w:p>
        </w:tc>
        <w:tc>
          <w:tcPr>
            <w:tcW w:w="1260" w:type="dxa"/>
            <w:tcBorders>
              <w:right w:val="single" w:color="auto" w:sz="8" w:space="0"/>
            </w:tcBorders>
            <w:vAlign w:val="bottom"/>
          </w:tcPr>
          <w:p>
            <w:pPr>
              <w:spacing w:after="0"/>
              <w:rPr>
                <w:color w:val="auto"/>
                <w:sz w:val="3"/>
                <w:szCs w:val="3"/>
              </w:rPr>
            </w:pPr>
          </w:p>
        </w:tc>
        <w:tc>
          <w:tcPr>
            <w:tcW w:w="1700" w:type="dxa"/>
            <w:tcBorders>
              <w:right w:val="single" w:color="auto" w:sz="8" w:space="0"/>
            </w:tcBorders>
            <w:vAlign w:val="bottom"/>
          </w:tcPr>
          <w:p>
            <w:pPr>
              <w:spacing w:after="0"/>
              <w:rPr>
                <w:color w:val="auto"/>
                <w:sz w:val="3"/>
                <w:szCs w:val="3"/>
              </w:rPr>
            </w:pPr>
          </w:p>
        </w:tc>
        <w:tc>
          <w:tcPr>
            <w:tcW w:w="1720" w:type="dxa"/>
            <w:vMerge w:val="continue"/>
            <w:tcBorders>
              <w:right w:val="single" w:color="auto" w:sz="8" w:space="0"/>
            </w:tcBorders>
            <w:vAlign w:val="bottom"/>
          </w:tcPr>
          <w:p>
            <w:pPr>
              <w:spacing w:after="0"/>
              <w:rPr>
                <w:color w:val="auto"/>
                <w:sz w:val="3"/>
                <w:szCs w:val="3"/>
              </w:rPr>
            </w:pPr>
          </w:p>
        </w:tc>
        <w:tc>
          <w:tcPr>
            <w:tcW w:w="146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cells</w:t>
            </w:r>
          </w:p>
        </w:tc>
        <w:tc>
          <w:tcPr>
            <w:tcW w:w="1620" w:type="dxa"/>
            <w:vMerge w:val="continue"/>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formation</w:t>
            </w: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Uskokovic,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MDA-MB-</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&amp;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231</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Campbell,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2004)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12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rPr>
                <w:color w:val="auto"/>
                <w:sz w:val="17"/>
                <w:szCs w:val="17"/>
              </w:rPr>
            </w:pPr>
          </w:p>
        </w:tc>
        <w:tc>
          <w:tcPr>
            <w:tcW w:w="1700" w:type="dxa"/>
            <w:tcBorders>
              <w:bottom w:val="single" w:color="auto" w:sz="8" w:space="0"/>
              <w:right w:val="single" w:color="auto" w:sz="8" w:space="0"/>
            </w:tcBorders>
            <w:vAlign w:val="bottom"/>
          </w:tcPr>
          <w:p>
            <w:pPr>
              <w:spacing w:after="0"/>
              <w:rPr>
                <w:color w:val="auto"/>
                <w:sz w:val="17"/>
                <w:szCs w:val="17"/>
              </w:rPr>
            </w:pPr>
          </w:p>
        </w:tc>
        <w:tc>
          <w:tcPr>
            <w:tcW w:w="1720" w:type="dxa"/>
            <w:tcBorders>
              <w:bottom w:val="single" w:color="auto" w:sz="8" w:space="0"/>
              <w:right w:val="single" w:color="auto" w:sz="8" w:space="0"/>
            </w:tcBorders>
            <w:vAlign w:val="bottom"/>
          </w:tcPr>
          <w:p>
            <w:pPr>
              <w:spacing w:after="0"/>
              <w:rPr>
                <w:color w:val="auto"/>
                <w:sz w:val="17"/>
                <w:szCs w:val="17"/>
              </w:rPr>
            </w:pPr>
          </w:p>
        </w:tc>
        <w:tc>
          <w:tcPr>
            <w:tcW w:w="1460" w:type="dxa"/>
            <w:tcBorders>
              <w:bottom w:val="single" w:color="auto" w:sz="8" w:space="0"/>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80" w:type="dxa"/>
            <w:tcBorders>
              <w:left w:val="single" w:color="auto" w:sz="8" w:space="0"/>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Human</w:t>
            </w:r>
          </w:p>
        </w:tc>
        <w:tc>
          <w:tcPr>
            <w:tcW w:w="162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15 nM (TSA)</w:t>
            </w:r>
          </w:p>
        </w:tc>
        <w:tc>
          <w:tcPr>
            <w:tcW w:w="126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72 hours</w:t>
            </w:r>
          </w:p>
        </w:tc>
        <w:tc>
          <w:tcPr>
            <w:tcW w:w="170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Change in</w:t>
            </w:r>
          </w:p>
        </w:tc>
        <w:tc>
          <w:tcPr>
            <w:tcW w:w="1720" w:type="dxa"/>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CYP24A1</w:t>
            </w:r>
          </w:p>
        </w:tc>
        <w:tc>
          <w:tcPr>
            <w:tcW w:w="146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(Rashid et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Prostate</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activity of</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expression</w:t>
            </w: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al., 2001)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128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Cambria" w:hAnsi="Cambria" w:eastAsia="Cambria" w:cs="Cambria"/>
                <w:color w:val="auto"/>
                <w:sz w:val="24"/>
                <w:szCs w:val="24"/>
              </w:rPr>
              <w:t>Cancer</w:t>
            </w:r>
          </w:p>
        </w:tc>
        <w:tc>
          <w:tcPr>
            <w:tcW w:w="162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100 nM</w:t>
            </w: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63" w:lineRule="exact"/>
              <w:ind w:left="80"/>
              <w:rPr>
                <w:color w:val="auto"/>
                <w:sz w:val="20"/>
                <w:szCs w:val="20"/>
              </w:rPr>
            </w:pPr>
            <w:r>
              <w:rPr>
                <w:rFonts w:ascii="Cambria" w:hAnsi="Cambria" w:eastAsia="Cambria" w:cs="Cambria"/>
                <w:color w:val="auto"/>
                <w:sz w:val="24"/>
                <w:szCs w:val="24"/>
              </w:rPr>
              <w:t>mRNA</w:t>
            </w:r>
          </w:p>
        </w:tc>
        <w:tc>
          <w:tcPr>
            <w:tcW w:w="1720" w:type="dxa"/>
            <w:tcBorders>
              <w:right w:val="single" w:color="auto" w:sz="8" w:space="0"/>
            </w:tcBorders>
            <w:vAlign w:val="bottom"/>
          </w:tcPr>
          <w:p>
            <w:pPr>
              <w:spacing w:after="0" w:line="263" w:lineRule="exact"/>
              <w:ind w:left="100"/>
              <w:rPr>
                <w:color w:val="auto"/>
                <w:sz w:val="20"/>
                <w:szCs w:val="20"/>
              </w:rPr>
            </w:pPr>
            <w:r>
              <w:rPr>
                <w:rFonts w:ascii="Cambria" w:hAnsi="Cambria" w:eastAsia="Cambria" w:cs="Cambria"/>
                <w:color w:val="auto"/>
                <w:sz w:val="24"/>
                <w:szCs w:val="24"/>
              </w:rPr>
              <w:t>increased 2.5</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128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cells</w:t>
            </w:r>
          </w:p>
        </w:tc>
        <w:tc>
          <w:tcPr>
            <w:tcW w:w="16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expression:</w:t>
            </w:r>
          </w:p>
        </w:tc>
        <w:tc>
          <w:tcPr>
            <w:tcW w:w="1720" w:type="dxa"/>
            <w:tcBorders>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fold.</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DU-145</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CYP24A1 and</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p21 increased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p21</w:t>
            </w:r>
          </w:p>
        </w:tc>
        <w:tc>
          <w:tcPr>
            <w:tcW w:w="1720" w:type="dxa"/>
            <w:tcBorders>
              <w:bottom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1 fold.</w:t>
            </w: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1280" w:type="dxa"/>
            <w:tcBorders>
              <w:left w:val="single" w:color="auto" w:sz="8" w:space="0"/>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Human</w:t>
            </w:r>
          </w:p>
        </w:tc>
        <w:tc>
          <w:tcPr>
            <w:tcW w:w="162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300 nM</w:t>
            </w:r>
          </w:p>
        </w:tc>
        <w:tc>
          <w:tcPr>
            <w:tcW w:w="126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150</w:t>
            </w:r>
          </w:p>
        </w:tc>
        <w:tc>
          <w:tcPr>
            <w:tcW w:w="170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Transcription-</w:t>
            </w:r>
          </w:p>
        </w:tc>
        <w:tc>
          <w:tcPr>
            <w:tcW w:w="172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80% increase</w:t>
            </w:r>
          </w:p>
        </w:tc>
        <w:tc>
          <w:tcPr>
            <w:tcW w:w="1460" w:type="dxa"/>
            <w:tcBorders>
              <w:right w:val="single" w:color="auto" w:sz="8" w:space="0"/>
            </w:tcBorders>
            <w:vAlign w:val="bottom"/>
          </w:tcPr>
          <w:p>
            <w:pPr>
              <w:spacing w:after="0" w:line="272" w:lineRule="exact"/>
              <w:ind w:left="140"/>
              <w:rPr>
                <w:color w:val="auto"/>
                <w:sz w:val="20"/>
                <w:szCs w:val="20"/>
              </w:rPr>
            </w:pPr>
            <w:r>
              <w:rPr>
                <w:rFonts w:ascii="Cambria" w:hAnsi="Cambria" w:eastAsia="Cambria" w:cs="Cambria"/>
                <w:color w:val="auto"/>
                <w:sz w:val="24"/>
                <w:szCs w:val="24"/>
              </w:rPr>
              <w:t>(Seuter,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Leukemia</w:t>
            </w:r>
          </w:p>
        </w:tc>
        <w:tc>
          <w:tcPr>
            <w:tcW w:w="162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(TSA)</w:t>
            </w:r>
          </w:p>
        </w:tc>
        <w:tc>
          <w:tcPr>
            <w:tcW w:w="12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minutes</w:t>
            </w: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al response of</w:t>
            </w:r>
          </w:p>
        </w:tc>
        <w:tc>
          <w:tcPr>
            <w:tcW w:w="172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Heikkinen,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Cells</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genes</w:t>
            </w:r>
          </w:p>
        </w:tc>
        <w:tc>
          <w:tcPr>
            <w:tcW w:w="172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&amp; Carlberg,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1280" w:type="dxa"/>
            <w:tcBorders>
              <w:left w:val="single" w:color="auto" w:sz="8" w:space="0"/>
              <w:right w:val="single" w:color="auto" w:sz="8" w:space="0"/>
            </w:tcBorders>
            <w:vAlign w:val="bottom"/>
          </w:tcPr>
          <w:p>
            <w:pPr>
              <w:spacing w:after="0" w:line="261" w:lineRule="exact"/>
              <w:ind w:left="100"/>
              <w:rPr>
                <w:color w:val="auto"/>
                <w:sz w:val="20"/>
                <w:szCs w:val="20"/>
              </w:rPr>
            </w:pPr>
            <w:r>
              <w:rPr>
                <w:rFonts w:ascii="Cambria" w:hAnsi="Cambria" w:eastAsia="Cambria" w:cs="Cambria"/>
                <w:color w:val="auto"/>
                <w:sz w:val="24"/>
                <w:szCs w:val="24"/>
              </w:rPr>
              <w:t>THP-1</w:t>
            </w:r>
          </w:p>
        </w:tc>
        <w:tc>
          <w:tcPr>
            <w:tcW w:w="162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100 nM</w:t>
            </w: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61" w:lineRule="exact"/>
              <w:ind w:left="80"/>
              <w:rPr>
                <w:color w:val="auto"/>
                <w:sz w:val="20"/>
                <w:szCs w:val="20"/>
              </w:rPr>
            </w:pPr>
            <w:r>
              <w:rPr>
                <w:rFonts w:ascii="Cambria" w:hAnsi="Cambria" w:eastAsia="Cambria" w:cs="Cambria"/>
                <w:color w:val="auto"/>
                <w:sz w:val="24"/>
                <w:szCs w:val="24"/>
              </w:rPr>
              <w:t>HBEGF</w:t>
            </w:r>
          </w:p>
        </w:tc>
        <w:tc>
          <w:tcPr>
            <w:tcW w:w="1720" w:type="dxa"/>
            <w:tcBorders>
              <w:right w:val="single" w:color="auto" w:sz="8" w:space="0"/>
            </w:tcBorders>
            <w:vAlign w:val="bottom"/>
          </w:tcPr>
          <w:p>
            <w:pPr>
              <w:spacing w:after="0"/>
              <w:rPr>
                <w:color w:val="auto"/>
                <w:sz w:val="23"/>
                <w:szCs w:val="23"/>
              </w:rPr>
            </w:pPr>
          </w:p>
        </w:tc>
        <w:tc>
          <w:tcPr>
            <w:tcW w:w="1460" w:type="dxa"/>
            <w:tcBorders>
              <w:right w:val="single" w:color="auto" w:sz="8" w:space="0"/>
            </w:tcBorders>
            <w:vAlign w:val="bottom"/>
          </w:tcPr>
          <w:p>
            <w:pPr>
              <w:spacing w:after="0" w:line="261" w:lineRule="exact"/>
              <w:ind w:left="80"/>
              <w:rPr>
                <w:color w:val="auto"/>
                <w:sz w:val="20"/>
                <w:szCs w:val="20"/>
              </w:rPr>
            </w:pPr>
            <w:r>
              <w:rPr>
                <w:rFonts w:ascii="Cambria" w:hAnsi="Cambria" w:eastAsia="Cambria" w:cs="Cambria"/>
                <w:color w:val="auto"/>
                <w:sz w:val="24"/>
                <w:szCs w:val="24"/>
              </w:rPr>
              <w:t>2013a)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1280" w:type="dxa"/>
            <w:tcBorders>
              <w:left w:val="single" w:color="auto" w:sz="8" w:space="0"/>
              <w:right w:val="single" w:color="auto" w:sz="8" w:space="0"/>
            </w:tcBorders>
            <w:vAlign w:val="bottom"/>
          </w:tcPr>
          <w:p>
            <w:pPr>
              <w:spacing w:after="0"/>
              <w:rPr>
                <w:color w:val="auto"/>
                <w:sz w:val="23"/>
                <w:szCs w:val="23"/>
              </w:rPr>
            </w:pPr>
          </w:p>
        </w:tc>
        <w:tc>
          <w:tcPr>
            <w:tcW w:w="16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DUSP10</w:t>
            </w:r>
          </w:p>
        </w:tc>
        <w:tc>
          <w:tcPr>
            <w:tcW w:w="1720" w:type="dxa"/>
            <w:tcBorders>
              <w:right w:val="single" w:color="auto" w:sz="8" w:space="0"/>
            </w:tcBorders>
            <w:vAlign w:val="bottom"/>
          </w:tcPr>
          <w:p>
            <w:pPr>
              <w:spacing w:after="0"/>
              <w:rPr>
                <w:color w:val="auto"/>
                <w:sz w:val="23"/>
                <w:szCs w:val="23"/>
              </w:rPr>
            </w:pP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128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620" w:type="dxa"/>
            <w:tcBorders>
              <w:bottom w:val="single" w:color="auto" w:sz="8" w:space="0"/>
              <w:right w:val="single" w:color="auto" w:sz="8" w:space="0"/>
            </w:tcBorders>
            <w:vAlign w:val="bottom"/>
          </w:tcPr>
          <w:p>
            <w:pPr>
              <w:spacing w:after="0"/>
              <w:rPr>
                <w:color w:val="auto"/>
                <w:sz w:val="7"/>
                <w:szCs w:val="7"/>
              </w:rPr>
            </w:pPr>
          </w:p>
        </w:tc>
        <w:tc>
          <w:tcPr>
            <w:tcW w:w="1260" w:type="dxa"/>
            <w:tcBorders>
              <w:bottom w:val="single" w:color="auto" w:sz="8" w:space="0"/>
              <w:right w:val="single" w:color="auto" w:sz="8" w:space="0"/>
            </w:tcBorders>
            <w:vAlign w:val="bottom"/>
          </w:tcPr>
          <w:p>
            <w:pPr>
              <w:spacing w:after="0"/>
              <w:rPr>
                <w:color w:val="auto"/>
                <w:sz w:val="7"/>
                <w:szCs w:val="7"/>
              </w:rPr>
            </w:pPr>
          </w:p>
        </w:tc>
        <w:tc>
          <w:tcPr>
            <w:tcW w:w="1700" w:type="dxa"/>
            <w:tcBorders>
              <w:bottom w:val="single" w:color="auto" w:sz="8" w:space="0"/>
              <w:right w:val="single" w:color="auto" w:sz="8" w:space="0"/>
            </w:tcBorders>
            <w:vAlign w:val="bottom"/>
          </w:tcPr>
          <w:p>
            <w:pPr>
              <w:spacing w:after="0"/>
              <w:rPr>
                <w:color w:val="auto"/>
                <w:sz w:val="7"/>
                <w:szCs w:val="7"/>
              </w:rPr>
            </w:pPr>
          </w:p>
        </w:tc>
        <w:tc>
          <w:tcPr>
            <w:tcW w:w="1720" w:type="dxa"/>
            <w:tcBorders>
              <w:bottom w:val="single" w:color="auto" w:sz="8" w:space="0"/>
              <w:right w:val="single" w:color="auto" w:sz="8" w:space="0"/>
            </w:tcBorders>
            <w:vAlign w:val="bottom"/>
          </w:tcPr>
          <w:p>
            <w:pPr>
              <w:spacing w:after="0"/>
              <w:rPr>
                <w:color w:val="auto"/>
                <w:sz w:val="7"/>
                <w:szCs w:val="7"/>
              </w:rPr>
            </w:pPr>
          </w:p>
        </w:tc>
        <w:tc>
          <w:tcPr>
            <w:tcW w:w="146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1280" w:type="dxa"/>
            <w:tcBorders>
              <w:left w:val="single" w:color="auto" w:sz="8" w:space="0"/>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Human</w:t>
            </w:r>
          </w:p>
        </w:tc>
        <w:tc>
          <w:tcPr>
            <w:tcW w:w="162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15 nM (TSA)</w:t>
            </w:r>
          </w:p>
        </w:tc>
        <w:tc>
          <w:tcPr>
            <w:tcW w:w="126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12 hours</w:t>
            </w:r>
          </w:p>
        </w:tc>
        <w:tc>
          <w:tcPr>
            <w:tcW w:w="170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Changes in</w:t>
            </w:r>
          </w:p>
        </w:tc>
        <w:tc>
          <w:tcPr>
            <w:tcW w:w="1720" w:type="dxa"/>
            <w:tcBorders>
              <w:right w:val="single" w:color="auto" w:sz="8" w:space="0"/>
            </w:tcBorders>
            <w:vAlign w:val="bottom"/>
          </w:tcPr>
          <w:p>
            <w:pPr>
              <w:spacing w:after="0" w:line="272" w:lineRule="exact"/>
              <w:ind w:left="100"/>
              <w:rPr>
                <w:color w:val="auto"/>
                <w:sz w:val="20"/>
                <w:szCs w:val="20"/>
              </w:rPr>
            </w:pPr>
            <w:r>
              <w:rPr>
                <w:rFonts w:ascii="Cambria" w:hAnsi="Cambria" w:eastAsia="Cambria" w:cs="Cambria"/>
                <w:color w:val="auto"/>
                <w:sz w:val="24"/>
                <w:szCs w:val="24"/>
              </w:rPr>
              <w:t>CYP24</w:t>
            </w:r>
          </w:p>
        </w:tc>
        <w:tc>
          <w:tcPr>
            <w:tcW w:w="1460" w:type="dxa"/>
            <w:tcBorders>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(C. Banwell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Breast</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CYP24A1,</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increased 15</w:t>
            </w: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et al., 2006)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80" w:type="dxa"/>
            <w:tcBorders>
              <w:left w:val="single" w:color="auto" w:sz="8" w:space="0"/>
              <w:right w:val="single" w:color="auto" w:sz="8" w:space="0"/>
            </w:tcBorders>
            <w:vAlign w:val="bottom"/>
          </w:tcPr>
          <w:p>
            <w:pPr>
              <w:spacing w:after="0" w:line="261" w:lineRule="exact"/>
              <w:ind w:left="100"/>
              <w:rPr>
                <w:color w:val="auto"/>
                <w:sz w:val="20"/>
                <w:szCs w:val="20"/>
              </w:rPr>
            </w:pPr>
            <w:r>
              <w:rPr>
                <w:rFonts w:ascii="Cambria" w:hAnsi="Cambria" w:eastAsia="Cambria" w:cs="Cambria"/>
                <w:color w:val="auto"/>
                <w:sz w:val="24"/>
                <w:szCs w:val="24"/>
              </w:rPr>
              <w:t>Cancer</w:t>
            </w:r>
          </w:p>
        </w:tc>
        <w:tc>
          <w:tcPr>
            <w:tcW w:w="162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100 nM</w:t>
            </w: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61" w:lineRule="exact"/>
              <w:ind w:left="80"/>
              <w:rPr>
                <w:color w:val="auto"/>
                <w:sz w:val="20"/>
                <w:szCs w:val="20"/>
              </w:rPr>
            </w:pPr>
            <w:r>
              <w:rPr>
                <w:rFonts w:ascii="Cambria" w:hAnsi="Cambria" w:eastAsia="Cambria" w:cs="Cambria"/>
                <w:color w:val="auto"/>
                <w:sz w:val="24"/>
                <w:szCs w:val="24"/>
              </w:rPr>
              <w:t>GADD45α and</w:t>
            </w:r>
          </w:p>
        </w:tc>
        <w:tc>
          <w:tcPr>
            <w:tcW w:w="1720" w:type="dxa"/>
            <w:tcBorders>
              <w:right w:val="single" w:color="auto" w:sz="8" w:space="0"/>
            </w:tcBorders>
            <w:vAlign w:val="bottom"/>
          </w:tcPr>
          <w:p>
            <w:pPr>
              <w:spacing w:after="0" w:line="261" w:lineRule="exact"/>
              <w:ind w:left="100"/>
              <w:rPr>
                <w:color w:val="auto"/>
                <w:sz w:val="20"/>
                <w:szCs w:val="20"/>
              </w:rPr>
            </w:pPr>
            <w:r>
              <w:rPr>
                <w:rFonts w:ascii="Cambria" w:hAnsi="Cambria" w:eastAsia="Cambria" w:cs="Cambria"/>
                <w:color w:val="auto"/>
                <w:sz w:val="24"/>
                <w:szCs w:val="24"/>
              </w:rPr>
              <w:t>fold.</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128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Cells</w:t>
            </w:r>
          </w:p>
        </w:tc>
        <w:tc>
          <w:tcPr>
            <w:tcW w:w="16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VDUP-1 gene</w:t>
            </w:r>
          </w:p>
        </w:tc>
        <w:tc>
          <w:tcPr>
            <w:tcW w:w="1720" w:type="dxa"/>
            <w:tcBorders>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GADD45α</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T-47D</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expression</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increased 2.4</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ZR-75-1</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fold. VDUP-1</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MCF-7</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increased 2.1</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MDA-MB-</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fold.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1280" w:type="dxa"/>
            <w:tcBorders>
              <w:left w:val="single" w:color="auto" w:sz="8" w:space="0"/>
              <w:bottom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231</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128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Human</w:t>
            </w:r>
          </w:p>
        </w:tc>
        <w:tc>
          <w:tcPr>
            <w:tcW w:w="162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15 nM (TSA)</w:t>
            </w:r>
          </w:p>
        </w:tc>
        <w:tc>
          <w:tcPr>
            <w:tcW w:w="126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3 hours</w:t>
            </w:r>
          </w:p>
        </w:tc>
        <w:tc>
          <w:tcPr>
            <w:tcW w:w="170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Fold change of</w:t>
            </w:r>
          </w:p>
        </w:tc>
        <w:tc>
          <w:tcPr>
            <w:tcW w:w="1720" w:type="dxa"/>
            <w:tcBorders>
              <w:right w:val="single" w:color="auto" w:sz="8" w:space="0"/>
            </w:tcBorders>
            <w:vAlign w:val="bottom"/>
          </w:tcPr>
          <w:p>
            <w:pPr>
              <w:spacing w:after="0" w:line="271" w:lineRule="exact"/>
              <w:ind w:left="100"/>
              <w:rPr>
                <w:color w:val="auto"/>
                <w:sz w:val="20"/>
                <w:szCs w:val="20"/>
              </w:rPr>
            </w:pPr>
            <w:r>
              <w:rPr>
                <w:rFonts w:ascii="Cambria" w:hAnsi="Cambria" w:eastAsia="Cambria" w:cs="Cambria"/>
                <w:color w:val="auto"/>
                <w:sz w:val="24"/>
                <w:szCs w:val="24"/>
              </w:rPr>
              <w:t>MCF-7</w:t>
            </w:r>
          </w:p>
        </w:tc>
        <w:tc>
          <w:tcPr>
            <w:tcW w:w="1460" w:type="dxa"/>
            <w:tcBorders>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(Malinen et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Breast</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mRNA</w:t>
            </w: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showed</w:t>
            </w:r>
          </w:p>
        </w:tc>
        <w:tc>
          <w:tcPr>
            <w:tcW w:w="1460" w:type="dxa"/>
            <w:tcBorders>
              <w:right w:val="single" w:color="auto" w:sz="8" w:space="0"/>
            </w:tcBorders>
            <w:vAlign w:val="bottom"/>
          </w:tcPr>
          <w:p>
            <w:pPr>
              <w:spacing w:after="0"/>
              <w:ind w:left="80"/>
              <w:rPr>
                <w:color w:val="auto"/>
                <w:sz w:val="20"/>
                <w:szCs w:val="20"/>
              </w:rPr>
            </w:pPr>
            <w:r>
              <w:rPr>
                <w:rFonts w:ascii="Cambria" w:hAnsi="Cambria" w:eastAsia="Cambria" w:cs="Cambria"/>
                <w:color w:val="auto"/>
                <w:sz w:val="24"/>
                <w:szCs w:val="24"/>
              </w:rPr>
              <w:t>al., 2008)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80" w:type="dxa"/>
            <w:tcBorders>
              <w:left w:val="single" w:color="auto" w:sz="8" w:space="0"/>
              <w:right w:val="single" w:color="auto" w:sz="8" w:space="0"/>
            </w:tcBorders>
            <w:vAlign w:val="bottom"/>
          </w:tcPr>
          <w:p>
            <w:pPr>
              <w:spacing w:after="0" w:line="261" w:lineRule="exact"/>
              <w:ind w:left="100"/>
              <w:rPr>
                <w:color w:val="auto"/>
                <w:sz w:val="20"/>
                <w:szCs w:val="20"/>
              </w:rPr>
            </w:pPr>
            <w:r>
              <w:rPr>
                <w:rFonts w:ascii="Cambria" w:hAnsi="Cambria" w:eastAsia="Cambria" w:cs="Cambria"/>
                <w:color w:val="auto"/>
                <w:sz w:val="24"/>
                <w:szCs w:val="24"/>
              </w:rPr>
              <w:t>Cancer</w:t>
            </w:r>
          </w:p>
        </w:tc>
        <w:tc>
          <w:tcPr>
            <w:tcW w:w="1620" w:type="dxa"/>
            <w:tcBorders>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10 nM</w:t>
            </w: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61" w:lineRule="exact"/>
              <w:ind w:left="80"/>
              <w:rPr>
                <w:color w:val="auto"/>
                <w:sz w:val="20"/>
                <w:szCs w:val="20"/>
              </w:rPr>
            </w:pPr>
            <w:r>
              <w:rPr>
                <w:rFonts w:ascii="Cambria" w:hAnsi="Cambria" w:eastAsia="Cambria" w:cs="Cambria"/>
                <w:color w:val="auto"/>
                <w:sz w:val="24"/>
                <w:szCs w:val="24"/>
              </w:rPr>
              <w:t>p18, p19, p21,</w:t>
            </w:r>
          </w:p>
        </w:tc>
        <w:tc>
          <w:tcPr>
            <w:tcW w:w="1720" w:type="dxa"/>
            <w:tcBorders>
              <w:right w:val="single" w:color="auto" w:sz="8" w:space="0"/>
            </w:tcBorders>
            <w:vAlign w:val="bottom"/>
          </w:tcPr>
          <w:p>
            <w:pPr>
              <w:spacing w:after="0" w:line="261" w:lineRule="exact"/>
              <w:ind w:left="100"/>
              <w:rPr>
                <w:color w:val="auto"/>
                <w:sz w:val="20"/>
                <w:szCs w:val="20"/>
              </w:rPr>
            </w:pPr>
            <w:r>
              <w:rPr>
                <w:rFonts w:ascii="Cambria" w:hAnsi="Cambria" w:eastAsia="Cambria" w:cs="Cambria"/>
                <w:color w:val="auto"/>
                <w:sz w:val="24"/>
                <w:szCs w:val="24"/>
              </w:rPr>
              <w:t>reduced p18</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1280" w:type="dxa"/>
            <w:tcBorders>
              <w:left w:val="single" w:color="auto" w:sz="8" w:space="0"/>
              <w:right w:val="single" w:color="auto" w:sz="8" w:space="0"/>
            </w:tcBorders>
            <w:vAlign w:val="bottom"/>
          </w:tcPr>
          <w:p>
            <w:pPr>
              <w:spacing w:after="0" w:line="274" w:lineRule="exact"/>
              <w:ind w:left="100"/>
              <w:rPr>
                <w:color w:val="auto"/>
                <w:sz w:val="20"/>
                <w:szCs w:val="20"/>
              </w:rPr>
            </w:pPr>
            <w:r>
              <w:rPr>
                <w:rFonts w:ascii="Cambria" w:hAnsi="Cambria" w:eastAsia="Cambria" w:cs="Cambria"/>
                <w:color w:val="auto"/>
                <w:sz w:val="24"/>
                <w:szCs w:val="24"/>
              </w:rPr>
              <w:t>cells</w:t>
            </w:r>
          </w:p>
        </w:tc>
        <w:tc>
          <w:tcPr>
            <w:tcW w:w="16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line="274" w:lineRule="exact"/>
              <w:ind w:left="80"/>
              <w:rPr>
                <w:color w:val="auto"/>
                <w:sz w:val="20"/>
                <w:szCs w:val="20"/>
              </w:rPr>
            </w:pPr>
            <w:r>
              <w:rPr>
                <w:rFonts w:ascii="Cambria" w:hAnsi="Cambria" w:eastAsia="Cambria" w:cs="Cambria"/>
                <w:color w:val="auto"/>
                <w:sz w:val="24"/>
                <w:szCs w:val="24"/>
              </w:rPr>
              <w:t>p27</w:t>
            </w:r>
          </w:p>
        </w:tc>
        <w:tc>
          <w:tcPr>
            <w:tcW w:w="1720" w:type="dxa"/>
            <w:tcBorders>
              <w:right w:val="single" w:color="auto" w:sz="8" w:space="0"/>
            </w:tcBorders>
            <w:vAlign w:val="bottom"/>
          </w:tcPr>
          <w:p>
            <w:pPr>
              <w:spacing w:after="0" w:line="274" w:lineRule="exact"/>
              <w:ind w:left="100"/>
              <w:rPr>
                <w:color w:val="auto"/>
                <w:sz w:val="20"/>
                <w:szCs w:val="20"/>
              </w:rPr>
            </w:pPr>
            <w:r>
              <w:rPr>
                <w:rFonts w:ascii="Cambria" w:hAnsi="Cambria" w:eastAsia="Cambria" w:cs="Cambria"/>
                <w:color w:val="auto"/>
                <w:sz w:val="24"/>
                <w:szCs w:val="24"/>
              </w:rPr>
              <w:t>and p19</w:t>
            </w: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MCF-7</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mRNA.</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MDA-</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MDA-MB453</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MB453</w:t>
            </w: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showed</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reduction in</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1280" w:type="dxa"/>
            <w:tcBorders>
              <w:left w:val="single" w:color="auto" w:sz="8" w:space="0"/>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7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p21 mRNA</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2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only.</w:t>
            </w: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21</w:t>
      </w:r>
    </w:p>
    <w:p>
      <w:pPr>
        <w:sectPr>
          <w:pgSz w:w="12240" w:h="15840"/>
          <w:pgMar w:top="1438" w:right="1260" w:bottom="120" w:left="1440" w:header="0" w:footer="0" w:gutter="0"/>
          <w:cols w:equalWidth="0" w:num="1">
            <w:col w:w="9540"/>
          </w:cols>
        </w:sectPr>
      </w:pPr>
    </w:p>
    <w:p>
      <w:pPr>
        <w:spacing w:after="0"/>
        <w:ind w:left="4400"/>
        <w:rPr>
          <w:color w:val="auto"/>
          <w:sz w:val="20"/>
          <w:szCs w:val="20"/>
        </w:rPr>
      </w:pPr>
      <w:bookmarkStart w:id="29" w:name="page36"/>
      <w:bookmarkEnd w:id="29"/>
      <w:r>
        <w:rPr>
          <w:rFonts w:ascii="Cambria" w:hAnsi="Cambria" w:eastAsia="Cambria" w:cs="Cambria"/>
          <w:color w:val="auto"/>
          <w:sz w:val="24"/>
          <w:szCs w:val="24"/>
        </w:rPr>
        <w:t>CHAPTER 2</w:t>
      </w:r>
    </w:p>
    <w:p>
      <w:pPr>
        <w:spacing w:after="0" w:line="280" w:lineRule="exact"/>
        <w:rPr>
          <w:color w:val="auto"/>
          <w:sz w:val="20"/>
          <w:szCs w:val="20"/>
        </w:rPr>
      </w:pPr>
    </w:p>
    <w:p>
      <w:pPr>
        <w:spacing w:after="0"/>
        <w:ind w:left="3940"/>
        <w:rPr>
          <w:color w:val="auto"/>
          <w:sz w:val="20"/>
          <w:szCs w:val="20"/>
        </w:rPr>
      </w:pPr>
      <w:r>
        <w:rPr>
          <w:rFonts w:ascii="Cambria" w:hAnsi="Cambria" w:eastAsia="Cambria" w:cs="Cambria"/>
          <w:color w:val="auto"/>
          <w:sz w:val="24"/>
          <w:szCs w:val="24"/>
        </w:rPr>
        <w:t>PURPOSE OF STUDY</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2.1. Overview</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7" w:lineRule="auto"/>
        <w:ind w:left="720" w:firstLine="720"/>
        <w:rPr>
          <w:color w:val="auto"/>
          <w:sz w:val="20"/>
          <w:szCs w:val="20"/>
        </w:rPr>
      </w:pPr>
      <w:r>
        <w:rPr>
          <w:rFonts w:ascii="Cambria" w:hAnsi="Cambria" w:eastAsia="Cambria" w:cs="Cambria"/>
          <w:color w:val="auto"/>
          <w:sz w:val="24"/>
          <w:szCs w:val="24"/>
        </w:rPr>
        <w:t>Many studies have investigated the effects of trichostatin A (TSA), a potent histone deacetylase inhibitor (HDACI), on vitamin D-dependent gene responsiveness in various cancer cell lines; for example, human prostate cancer DU-145 (Rashid et al., 2001), human leukemia cells THP-1 (Seuter, Heikkinen, &amp; Carlberg, 2013b) and multiple breast cancer cells lines MDA-MB-231, T-47D, ZR-75-1 and MCF-7 (C. M. Banwell, Singh, Stewart, Uskokovic, &amp; Campbell, 2003; C. Banwell et al., 2006; Malinen et al., 2008) . Sulforaphane (SFN) is a bioactive food component that has HDACI activity. However, there is a gap in our knowledge concerning the effects of SFN on vitamin D-mediated gene expression in breast cancer cells. This lack of knowledge is a problem because we are potentially missing an important opportunity to utilize a natural food component such as SFN as an epigenetic agent to alter breast cancer cell function, including the possibility of further enhancing vitamin D effects as an anti-cancer therapy. In addition, a stronger scientific understanding of the effects of SFN on the expression of certain vitamin D-dependent genes in breast cancer cells could encourage a new direction of research combining nutrients and bioactive food components with applications to other organs susceptible to cancer, such as the colon and prostate.</w:t>
      </w:r>
    </w:p>
    <w:p>
      <w:pPr>
        <w:spacing w:after="0" w:line="60" w:lineRule="exact"/>
        <w:rPr>
          <w:color w:val="auto"/>
          <w:sz w:val="20"/>
          <w:szCs w:val="20"/>
        </w:rPr>
      </w:pPr>
    </w:p>
    <w:p>
      <w:pPr>
        <w:spacing w:after="0" w:line="438" w:lineRule="auto"/>
        <w:ind w:left="720" w:right="60" w:firstLine="720"/>
        <w:rPr>
          <w:color w:val="auto"/>
          <w:sz w:val="20"/>
          <w:szCs w:val="20"/>
        </w:rPr>
      </w:pPr>
      <w:r>
        <w:rPr>
          <w:rFonts w:ascii="Cambria" w:hAnsi="Cambria" w:eastAsia="Cambria" w:cs="Cambria"/>
          <w:color w:val="auto"/>
          <w:sz w:val="24"/>
          <w:szCs w:val="24"/>
        </w:rPr>
        <w:t>The main objective of this study is to better understand to what extent the HDACI TSA and the bioactive food component SFN can modulate vitamin D action in</w:t>
      </w:r>
    </w:p>
    <w:p>
      <w:pPr>
        <w:spacing w:after="0" w:line="200" w:lineRule="exact"/>
        <w:rPr>
          <w:color w:val="auto"/>
          <w:sz w:val="20"/>
          <w:szCs w:val="20"/>
        </w:rPr>
      </w:pPr>
    </w:p>
    <w:p>
      <w:pPr>
        <w:spacing w:after="0" w:line="20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22</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30" w:name="page37"/>
      <w:bookmarkEnd w:id="30"/>
    </w:p>
    <w:p>
      <w:pPr>
        <w:spacing w:after="0" w:line="469" w:lineRule="auto"/>
        <w:ind w:left="720" w:right="40"/>
        <w:jc w:val="both"/>
        <w:rPr>
          <w:color w:val="auto"/>
          <w:sz w:val="20"/>
          <w:szCs w:val="20"/>
        </w:rPr>
      </w:pPr>
      <w:r>
        <w:rPr>
          <w:rFonts w:ascii="Cambria" w:hAnsi="Cambria" w:eastAsia="Cambria" w:cs="Cambria"/>
          <w:color w:val="auto"/>
          <w:sz w:val="24"/>
          <w:szCs w:val="24"/>
        </w:rPr>
        <w:t>the MCF-7 cell line. Our central hypothesis is that TSA and SFN will increase cellular vitamin D responsiveness, as measured by increased expression of specific vitamin D-induced genes. The hypotheses listed below are based upon the strong support in the published literature showing that there is an increased expression of vitamin D-induced genes following treatment with a HDACI.</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2.2. Specific Aims and Hypotheses</w:t>
      </w:r>
    </w:p>
    <w:p>
      <w:pPr>
        <w:spacing w:after="0" w:line="200" w:lineRule="exact"/>
        <w:rPr>
          <w:color w:val="auto"/>
          <w:sz w:val="20"/>
          <w:szCs w:val="20"/>
        </w:rPr>
      </w:pPr>
    </w:p>
    <w:p>
      <w:pPr>
        <w:spacing w:after="0" w:line="362" w:lineRule="exact"/>
        <w:rPr>
          <w:color w:val="auto"/>
          <w:sz w:val="20"/>
          <w:szCs w:val="20"/>
        </w:rPr>
      </w:pPr>
    </w:p>
    <w:p>
      <w:pPr>
        <w:numPr>
          <w:ilvl w:val="0"/>
          <w:numId w:val="2"/>
        </w:numPr>
        <w:tabs>
          <w:tab w:val="left" w:pos="1440"/>
        </w:tabs>
        <w:spacing w:after="0"/>
        <w:ind w:left="1440" w:hanging="360"/>
        <w:rPr>
          <w:rFonts w:ascii="Symbol" w:hAnsi="Symbol" w:eastAsia="Symbol" w:cs="Symbol"/>
          <w:color w:val="auto"/>
          <w:sz w:val="24"/>
          <w:szCs w:val="24"/>
        </w:rPr>
      </w:pPr>
      <w:r>
        <w:rPr>
          <w:rFonts w:ascii="Cambria" w:hAnsi="Cambria" w:eastAsia="Cambria" w:cs="Cambria"/>
          <w:color w:val="auto"/>
          <w:sz w:val="24"/>
          <w:szCs w:val="24"/>
        </w:rPr>
        <w:t>Experiment 1: Effect of TSA on Vitamin D-Induced Gene Expression</w:t>
      </w:r>
    </w:p>
    <w:p>
      <w:pPr>
        <w:spacing w:after="0" w:line="331" w:lineRule="exact"/>
        <w:rPr>
          <w:color w:val="auto"/>
          <w:sz w:val="20"/>
          <w:szCs w:val="20"/>
        </w:rPr>
      </w:pPr>
    </w:p>
    <w:p>
      <w:pPr>
        <w:spacing w:after="0" w:line="438" w:lineRule="auto"/>
        <w:ind w:left="720" w:right="480"/>
        <w:rPr>
          <w:color w:val="auto"/>
          <w:sz w:val="20"/>
          <w:szCs w:val="20"/>
        </w:rPr>
      </w:pPr>
      <w:r>
        <w:rPr>
          <w:rFonts w:ascii="Cambria" w:hAnsi="Cambria" w:eastAsia="Cambria" w:cs="Cambria"/>
          <w:color w:val="auto"/>
          <w:sz w:val="24"/>
          <w:szCs w:val="24"/>
        </w:rPr>
        <w:t>Specific Aim: Determine to what extent TSA treatment affects vitamin D-induced CYP24A1, TRPV6 and VDR mRNA expression in MCF-7 cells.</w:t>
      </w:r>
    </w:p>
    <w:p>
      <w:pPr>
        <w:spacing w:after="0" w:line="61" w:lineRule="exact"/>
        <w:rPr>
          <w:color w:val="auto"/>
          <w:sz w:val="20"/>
          <w:szCs w:val="20"/>
        </w:rPr>
      </w:pPr>
    </w:p>
    <w:p>
      <w:pPr>
        <w:spacing w:after="0"/>
        <w:ind w:left="720"/>
        <w:rPr>
          <w:color w:val="auto"/>
          <w:sz w:val="20"/>
          <w:szCs w:val="20"/>
        </w:rPr>
      </w:pPr>
      <w:r>
        <w:rPr>
          <w:rFonts w:ascii="Cambria" w:hAnsi="Cambria" w:eastAsia="Cambria" w:cs="Cambria"/>
          <w:color w:val="auto"/>
          <w:sz w:val="23"/>
          <w:szCs w:val="23"/>
        </w:rPr>
        <w:t>Hypothesis: Combination treatment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TSA will increase vitamin D-</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responsive gene expression in MCF-7 cells to a greater extent than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279"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alone.</w:t>
      </w:r>
    </w:p>
    <w:p>
      <w:pPr>
        <w:spacing w:after="0" w:line="281" w:lineRule="exact"/>
        <w:rPr>
          <w:color w:val="auto"/>
          <w:sz w:val="20"/>
          <w:szCs w:val="20"/>
        </w:rPr>
      </w:pPr>
    </w:p>
    <w:p>
      <w:pPr>
        <w:numPr>
          <w:ilvl w:val="0"/>
          <w:numId w:val="3"/>
        </w:numPr>
        <w:tabs>
          <w:tab w:val="left" w:pos="1440"/>
        </w:tabs>
        <w:spacing w:after="0"/>
        <w:ind w:left="1440" w:hanging="360"/>
        <w:rPr>
          <w:rFonts w:ascii="Symbol" w:hAnsi="Symbol" w:eastAsia="Symbol" w:cs="Symbol"/>
          <w:color w:val="auto"/>
          <w:sz w:val="24"/>
          <w:szCs w:val="24"/>
        </w:rPr>
      </w:pPr>
      <w:r>
        <w:rPr>
          <w:rFonts w:ascii="Cambria" w:hAnsi="Cambria" w:eastAsia="Cambria" w:cs="Cambria"/>
          <w:color w:val="auto"/>
          <w:sz w:val="24"/>
          <w:szCs w:val="24"/>
        </w:rPr>
        <w:t>Experiment 2: Effect of SFN &amp; TSA on Vitamin D-Induced Gene</w:t>
      </w:r>
    </w:p>
    <w:p>
      <w:pPr>
        <w:spacing w:after="0" w:line="283"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Expression</w:t>
      </w:r>
    </w:p>
    <w:p>
      <w:pPr>
        <w:spacing w:after="0" w:line="331" w:lineRule="exact"/>
        <w:rPr>
          <w:color w:val="auto"/>
          <w:sz w:val="20"/>
          <w:szCs w:val="20"/>
        </w:rPr>
      </w:pPr>
    </w:p>
    <w:p>
      <w:pPr>
        <w:spacing w:after="0" w:line="484" w:lineRule="auto"/>
        <w:ind w:left="720" w:right="380"/>
        <w:rPr>
          <w:color w:val="auto"/>
          <w:sz w:val="20"/>
          <w:szCs w:val="20"/>
        </w:rPr>
      </w:pPr>
      <w:r>
        <w:rPr>
          <w:rFonts w:ascii="Cambria" w:hAnsi="Cambria" w:eastAsia="Cambria" w:cs="Cambria"/>
          <w:color w:val="auto"/>
          <w:sz w:val="23"/>
          <w:szCs w:val="23"/>
        </w:rPr>
        <w:t>Specific Aim: Determine to what extent a SFN or TSA treatment affects vitamin D-induced CYP24A1, CYP27B1, TRPV6 and VDR mRNA expression in MCF-7 cells. Hypothesis: Combination treatment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SFN or TSA will increase</w:t>
      </w:r>
    </w:p>
    <w:p>
      <w:pPr>
        <w:spacing w:after="0" w:line="58" w:lineRule="exact"/>
        <w:rPr>
          <w:color w:val="auto"/>
          <w:sz w:val="20"/>
          <w:szCs w:val="20"/>
        </w:rPr>
      </w:pPr>
    </w:p>
    <w:p>
      <w:pPr>
        <w:spacing w:after="0" w:line="437" w:lineRule="auto"/>
        <w:ind w:left="720" w:right="800"/>
        <w:rPr>
          <w:color w:val="auto"/>
          <w:sz w:val="20"/>
          <w:szCs w:val="20"/>
        </w:rPr>
      </w:pPr>
      <w:r>
        <w:rPr>
          <w:rFonts w:ascii="Cambria" w:hAnsi="Cambria" w:eastAsia="Cambria" w:cs="Cambria"/>
          <w:color w:val="auto"/>
          <w:sz w:val="24"/>
          <w:szCs w:val="24"/>
        </w:rPr>
        <w:t>vitamin D-responsive gene expression in MCF-7 cells to a greater extent than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23</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31" w:name="page38"/>
      <w:bookmarkEnd w:id="31"/>
      <w:r>
        <w:rPr>
          <w:rFonts w:ascii="Cambria" w:hAnsi="Cambria" w:eastAsia="Cambria" w:cs="Cambria"/>
          <w:color w:val="auto"/>
          <w:sz w:val="24"/>
          <w:szCs w:val="24"/>
        </w:rPr>
        <w:t>2.3. Significance</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68" w:lineRule="auto"/>
        <w:ind w:left="720" w:right="160" w:firstLine="720"/>
        <w:rPr>
          <w:color w:val="auto"/>
          <w:sz w:val="20"/>
          <w:szCs w:val="20"/>
        </w:rPr>
      </w:pPr>
      <w:r>
        <w:rPr>
          <w:rFonts w:ascii="Cambria" w:hAnsi="Cambria" w:eastAsia="Cambria" w:cs="Cambria"/>
          <w:color w:val="auto"/>
          <w:sz w:val="23"/>
          <w:szCs w:val="23"/>
        </w:rPr>
        <w:t>Studies in breast cancer cell culture models and in vivo animal breast cancer models support an anti-cancer effect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treatment. However, systemic</w:t>
      </w:r>
    </w:p>
    <w:p>
      <w:pPr>
        <w:spacing w:after="0" w:line="74" w:lineRule="exact"/>
        <w:rPr>
          <w:color w:val="auto"/>
          <w:sz w:val="20"/>
          <w:szCs w:val="20"/>
        </w:rPr>
      </w:pPr>
    </w:p>
    <w:p>
      <w:pPr>
        <w:spacing w:after="0" w:line="469" w:lineRule="auto"/>
        <w:ind w:left="720" w:right="20"/>
        <w:rPr>
          <w:color w:val="auto"/>
          <w:sz w:val="20"/>
          <w:szCs w:val="20"/>
        </w:rPr>
      </w:pPr>
      <w:r>
        <w:rPr>
          <w:rFonts w:ascii="Cambria" w:hAnsi="Cambria" w:eastAsia="Cambria" w:cs="Cambria"/>
          <w:color w:val="auto"/>
          <w:sz w:val="24"/>
          <w:szCs w:val="24"/>
        </w:rPr>
        <w:t>treatment with the vitamin D hormone elicits a calcemic response that can lead to the development of hypercalcemia, which limits the therapeutic window of this compound. Thus, the development of treatments that could enhance the anti-cancer effects of endogenous vitamin D by increasing intracellular availability/activity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could be therapeutically useful in treatment, or as a possible low-risk</w:t>
      </w:r>
    </w:p>
    <w:p>
      <w:pPr>
        <w:spacing w:after="0" w:line="1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chemo-preventative strategy.</w:t>
      </w:r>
    </w:p>
    <w:p>
      <w:pPr>
        <w:spacing w:after="0" w:line="333" w:lineRule="exact"/>
        <w:rPr>
          <w:color w:val="auto"/>
          <w:sz w:val="20"/>
          <w:szCs w:val="20"/>
        </w:rPr>
      </w:pPr>
    </w:p>
    <w:p>
      <w:pPr>
        <w:spacing w:after="0" w:line="466" w:lineRule="auto"/>
        <w:ind w:left="720" w:right="140" w:firstLine="720"/>
        <w:rPr>
          <w:color w:val="auto"/>
          <w:sz w:val="20"/>
          <w:szCs w:val="20"/>
        </w:rPr>
      </w:pPr>
      <w:r>
        <w:rPr>
          <w:rFonts w:ascii="Cambria" w:hAnsi="Cambria" w:eastAsia="Cambria" w:cs="Cambria"/>
          <w:color w:val="auto"/>
          <w:sz w:val="23"/>
          <w:szCs w:val="23"/>
        </w:rPr>
        <w:t>The contribution of these research studies is twofold; first, we characterized the influence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alone on genes potentially responsive to vitamin D</w:t>
      </w:r>
    </w:p>
    <w:p>
      <w:pPr>
        <w:spacing w:after="0" w:line="79" w:lineRule="exact"/>
        <w:rPr>
          <w:color w:val="auto"/>
          <w:sz w:val="20"/>
          <w:szCs w:val="20"/>
        </w:rPr>
      </w:pPr>
    </w:p>
    <w:p>
      <w:pPr>
        <w:spacing w:after="0" w:line="465" w:lineRule="auto"/>
        <w:ind w:left="720" w:right="300"/>
        <w:rPr>
          <w:color w:val="auto"/>
          <w:sz w:val="20"/>
          <w:szCs w:val="20"/>
        </w:rPr>
      </w:pPr>
      <w:r>
        <w:rPr>
          <w:rFonts w:ascii="Cambria" w:hAnsi="Cambria" w:eastAsia="Cambria" w:cs="Cambria"/>
          <w:color w:val="auto"/>
          <w:sz w:val="24"/>
          <w:szCs w:val="24"/>
        </w:rPr>
        <w:t>(CYP24A1, TRPV6), or part of the a network of genes involved in vitamin D metabolism (VDR, CYP27B1, CYP24A1) in MCF-7 human breast cancer cells, and second, we determined the extent to which co-treatment with HDACI compounds, TSA and SFN, can increase vitamin-D induced gene expression.</w:t>
      </w:r>
    </w:p>
    <w:p>
      <w:pPr>
        <w:spacing w:after="0" w:line="71" w:lineRule="exact"/>
        <w:rPr>
          <w:color w:val="auto"/>
          <w:sz w:val="20"/>
          <w:szCs w:val="20"/>
        </w:rPr>
      </w:pPr>
    </w:p>
    <w:p>
      <w:pPr>
        <w:spacing w:after="0" w:line="465" w:lineRule="auto"/>
        <w:ind w:left="720" w:right="20" w:firstLine="720"/>
        <w:rPr>
          <w:color w:val="auto"/>
          <w:sz w:val="20"/>
          <w:szCs w:val="20"/>
        </w:rPr>
      </w:pPr>
      <w:r>
        <w:rPr>
          <w:rFonts w:ascii="Cambria" w:hAnsi="Cambria" w:eastAsia="Cambria" w:cs="Cambria"/>
          <w:color w:val="auto"/>
          <w:sz w:val="24"/>
          <w:szCs w:val="24"/>
        </w:rPr>
        <w:t>These contributions are significant because they indicate to what extent these two HDACI influence vitamin D response. These findings could have future implications in cancer treatment and prevention, as well as encouraging further research into possible chemotherapy treatments for certain cancers utilizing HDACI.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24</w:t>
      </w:r>
    </w:p>
    <w:p>
      <w:pPr>
        <w:sectPr>
          <w:pgSz w:w="12240" w:h="15840"/>
          <w:pgMar w:top="1438" w:right="1440" w:bottom="120" w:left="1440" w:header="0" w:footer="0" w:gutter="0"/>
          <w:cols w:equalWidth="0" w:num="1">
            <w:col w:w="9360"/>
          </w:cols>
        </w:sectPr>
      </w:pPr>
    </w:p>
    <w:p>
      <w:pPr>
        <w:spacing w:after="0"/>
        <w:ind w:left="720"/>
        <w:rPr>
          <w:color w:val="auto"/>
          <w:sz w:val="20"/>
          <w:szCs w:val="20"/>
        </w:rPr>
      </w:pPr>
      <w:bookmarkStart w:id="32" w:name="page39"/>
      <w:bookmarkEnd w:id="32"/>
      <w:r>
        <w:rPr>
          <w:rFonts w:ascii="Cambria" w:hAnsi="Cambria" w:eastAsia="Cambria" w:cs="Cambria"/>
          <w:color w:val="auto"/>
          <w:sz w:val="24"/>
          <w:szCs w:val="24"/>
        </w:rPr>
        <w:t>2.4. Limitations</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5" w:lineRule="auto"/>
        <w:ind w:left="720" w:right="100" w:firstLine="720"/>
        <w:rPr>
          <w:color w:val="auto"/>
          <w:sz w:val="20"/>
          <w:szCs w:val="20"/>
        </w:rPr>
      </w:pPr>
      <w:r>
        <w:rPr>
          <w:rFonts w:ascii="Cambria" w:hAnsi="Cambria" w:eastAsia="Cambria" w:cs="Cambria"/>
          <w:color w:val="auto"/>
          <w:sz w:val="24"/>
          <w:szCs w:val="24"/>
        </w:rPr>
        <w:t>Cell culture models are useful for identifying possible molecular changes induced by various treatments. However, caution must be used when extrapolating the findings from these experiments performed in cell culture directly to humans. Human physiology is far more complex than that of cells grown in a dish. Thus, findings from this type of study will best be used to aid in hypothesis formation related to how these processes may function in humans, rather than as a basis for clinical recommendations and practices. Our experimental MCF-7 breast cancer cell model represents only one of the many approaches that could be utilized to study the interactions between 1,25-dihydroxyvitamin D and HDACI, and thus the translatability of our findings to other situations will need to be assessed.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25</w:t>
      </w:r>
    </w:p>
    <w:p>
      <w:pPr>
        <w:sectPr>
          <w:pgSz w:w="12240" w:h="15840"/>
          <w:pgMar w:top="1438" w:right="1440" w:bottom="120" w:left="1440" w:header="0" w:footer="0" w:gutter="0"/>
          <w:cols w:equalWidth="0" w:num="1">
            <w:col w:w="9360"/>
          </w:cols>
        </w:sectPr>
      </w:pPr>
    </w:p>
    <w:p>
      <w:pPr>
        <w:spacing w:after="0"/>
        <w:ind w:left="4400"/>
        <w:rPr>
          <w:color w:val="auto"/>
          <w:sz w:val="20"/>
          <w:szCs w:val="20"/>
        </w:rPr>
      </w:pPr>
      <w:bookmarkStart w:id="33" w:name="page40"/>
      <w:bookmarkEnd w:id="33"/>
      <w:r>
        <w:rPr>
          <w:rFonts w:ascii="Cambria" w:hAnsi="Cambria" w:eastAsia="Cambria" w:cs="Cambria"/>
          <w:color w:val="auto"/>
          <w:sz w:val="24"/>
          <w:szCs w:val="24"/>
        </w:rPr>
        <w:t>CHAPTER 3</w:t>
      </w:r>
    </w:p>
    <w:p>
      <w:pPr>
        <w:spacing w:after="0" w:line="280" w:lineRule="exact"/>
        <w:rPr>
          <w:color w:val="auto"/>
          <w:sz w:val="20"/>
          <w:szCs w:val="20"/>
        </w:rPr>
      </w:pPr>
    </w:p>
    <w:p>
      <w:pPr>
        <w:spacing w:after="0"/>
        <w:ind w:left="2860"/>
        <w:rPr>
          <w:color w:val="auto"/>
          <w:sz w:val="20"/>
          <w:szCs w:val="20"/>
        </w:rPr>
      </w:pPr>
      <w:r>
        <w:rPr>
          <w:rFonts w:ascii="Cambria" w:hAnsi="Cambria" w:eastAsia="Cambria" w:cs="Cambria"/>
          <w:color w:val="auto"/>
          <w:sz w:val="24"/>
          <w:szCs w:val="24"/>
        </w:rPr>
        <w:t>EXPERIMENTAL DESIGN AND METHODS</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3.1 Experimental Design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68" w:lineRule="auto"/>
        <w:ind w:left="720" w:right="260" w:firstLine="720"/>
        <w:rPr>
          <w:color w:val="auto"/>
          <w:sz w:val="20"/>
          <w:szCs w:val="20"/>
        </w:rPr>
      </w:pPr>
      <w:r>
        <w:rPr>
          <w:rFonts w:ascii="Cambria" w:hAnsi="Cambria" w:eastAsia="Cambria" w:cs="Cambria"/>
          <w:color w:val="auto"/>
          <w:sz w:val="23"/>
          <w:szCs w:val="23"/>
        </w:rPr>
        <w:t>This study investigated the effects of a 24h co-treatment of 10 nmol/L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histone deacetylase inhibitors (TSA 1 µmol/L or SFN 20 µmol/L)</w:t>
      </w:r>
    </w:p>
    <w:p>
      <w:pPr>
        <w:spacing w:after="0" w:line="74" w:lineRule="exact"/>
        <w:rPr>
          <w:color w:val="auto"/>
          <w:sz w:val="20"/>
          <w:szCs w:val="20"/>
        </w:rPr>
      </w:pPr>
    </w:p>
    <w:p>
      <w:pPr>
        <w:spacing w:after="0" w:line="438" w:lineRule="auto"/>
        <w:ind w:left="720" w:right="300"/>
        <w:rPr>
          <w:color w:val="auto"/>
          <w:sz w:val="20"/>
          <w:szCs w:val="20"/>
        </w:rPr>
      </w:pPr>
      <w:r>
        <w:rPr>
          <w:rFonts w:ascii="Cambria" w:hAnsi="Cambria" w:eastAsia="Cambria" w:cs="Cambria"/>
          <w:color w:val="auto"/>
          <w:sz w:val="24"/>
          <w:szCs w:val="24"/>
        </w:rPr>
        <w:t>on CYP24A1, CYP27B1, TRPV6 and VDR mRNA in MCF-7 cells, a breast cancer cell culture model known to respond to vitamin D. (Levenson &amp; Jordan, 1997)</w:t>
      </w:r>
    </w:p>
    <w:p>
      <w:pPr>
        <w:spacing w:after="0" w:line="99" w:lineRule="exact"/>
        <w:rPr>
          <w:color w:val="auto"/>
          <w:sz w:val="20"/>
          <w:szCs w:val="20"/>
        </w:rPr>
      </w:pPr>
    </w:p>
    <w:p>
      <w:pPr>
        <w:spacing w:after="0" w:line="437" w:lineRule="auto"/>
        <w:ind w:left="720" w:right="60" w:firstLine="720"/>
        <w:rPr>
          <w:color w:val="auto"/>
          <w:sz w:val="20"/>
          <w:szCs w:val="20"/>
        </w:rPr>
      </w:pPr>
      <w:r>
        <w:rPr>
          <w:rFonts w:ascii="Cambria" w:hAnsi="Cambria" w:eastAsia="Cambria" w:cs="Cambria"/>
          <w:color w:val="auto"/>
          <w:sz w:val="24"/>
          <w:szCs w:val="24"/>
        </w:rPr>
        <w:t>Relative gene expression levels were determined by real time qPCR of mRNA following incubation of cells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or in combination with TSA in</w:t>
      </w:r>
    </w:p>
    <w:p>
      <w:pPr>
        <w:spacing w:after="0" w:line="101" w:lineRule="exact"/>
        <w:rPr>
          <w:color w:val="auto"/>
          <w:sz w:val="20"/>
          <w:szCs w:val="20"/>
        </w:rPr>
      </w:pPr>
    </w:p>
    <w:p>
      <w:pPr>
        <w:spacing w:after="0" w:line="437" w:lineRule="auto"/>
        <w:ind w:left="720" w:right="340"/>
        <w:rPr>
          <w:color w:val="auto"/>
          <w:sz w:val="20"/>
          <w:szCs w:val="20"/>
        </w:rPr>
      </w:pPr>
      <w:r>
        <w:rPr>
          <w:rFonts w:ascii="Cambria" w:hAnsi="Cambria" w:eastAsia="Cambria" w:cs="Cambria"/>
          <w:color w:val="auto"/>
          <w:sz w:val="24"/>
          <w:szCs w:val="24"/>
        </w:rPr>
        <w:t>Experiment 1 and for Experiment 2, and with SFN in Experiment 2. TSA, SFN,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concentration and incubation times were chosen in</w:t>
      </w:r>
    </w:p>
    <w:p>
      <w:pPr>
        <w:spacing w:after="0" w:line="101" w:lineRule="exact"/>
        <w:rPr>
          <w:color w:val="auto"/>
          <w:sz w:val="20"/>
          <w:szCs w:val="20"/>
        </w:rPr>
      </w:pPr>
    </w:p>
    <w:p>
      <w:pPr>
        <w:spacing w:after="0" w:line="469" w:lineRule="auto"/>
        <w:ind w:left="720" w:right="140"/>
        <w:rPr>
          <w:color w:val="auto"/>
          <w:sz w:val="20"/>
          <w:szCs w:val="20"/>
        </w:rPr>
      </w:pPr>
      <w:r>
        <w:rPr>
          <w:rFonts w:ascii="Cambria" w:hAnsi="Cambria" w:eastAsia="Cambria" w:cs="Cambria"/>
          <w:color w:val="auto"/>
          <w:sz w:val="24"/>
          <w:szCs w:val="24"/>
        </w:rPr>
        <w:t>accordance with published literature values. (C. Banwell, O'Neill, Uskokovic, &amp; Campbell, 2004; Malinen et al., 2008; Welsh, 2011) Based on the known role of TSA and SFN as a HDACI, we expected that vitamin D-mediated gene expression of CYP24A1, CYP27B1, TRPV6 and VDR would increase in the presence of either HDACI.</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3.2 Methods</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3.2.1 Cell Culture</w:t>
      </w:r>
    </w:p>
    <w:p>
      <w:pPr>
        <w:spacing w:after="0" w:line="333" w:lineRule="exact"/>
        <w:rPr>
          <w:color w:val="auto"/>
          <w:sz w:val="20"/>
          <w:szCs w:val="20"/>
        </w:rPr>
      </w:pPr>
    </w:p>
    <w:p>
      <w:pPr>
        <w:spacing w:after="0" w:line="436" w:lineRule="auto"/>
        <w:ind w:left="720" w:right="40" w:firstLine="720"/>
        <w:rPr>
          <w:color w:val="auto"/>
          <w:sz w:val="20"/>
          <w:szCs w:val="20"/>
        </w:rPr>
      </w:pPr>
      <w:r>
        <w:rPr>
          <w:rFonts w:ascii="Cambria" w:hAnsi="Cambria" w:eastAsia="Cambria" w:cs="Cambria"/>
          <w:color w:val="auto"/>
          <w:sz w:val="24"/>
          <w:szCs w:val="24"/>
        </w:rPr>
        <w:t>Human breast cancer cells, MCF-7 (kindly provided by Dr. H. Xiao’s Lab, Food Science Dept., UMass) were grown in 6-well culture plates to 100% confluence</w:t>
      </w: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26</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34" w:name="page41"/>
      <w:bookmarkEnd w:id="34"/>
    </w:p>
    <w:p>
      <w:pPr>
        <w:spacing w:after="0" w:line="459" w:lineRule="auto"/>
        <w:ind w:left="720" w:right="340"/>
        <w:rPr>
          <w:color w:val="auto"/>
          <w:sz w:val="20"/>
          <w:szCs w:val="20"/>
        </w:rPr>
      </w:pPr>
      <w:r>
        <w:rPr>
          <w:rFonts w:ascii="Cambria" w:hAnsi="Cambria" w:eastAsia="Cambria" w:cs="Cambria"/>
          <w:color w:val="auto"/>
          <w:sz w:val="24"/>
          <w:szCs w:val="24"/>
        </w:rPr>
        <w:t>(about 96 - 120 hours), using MEM growth media (89% MEM (Gibco), 10% fetal bovine serum, and 1% penicillin/streptomycin). Cells were incubated at 37°C with 5% CO</w:t>
      </w:r>
      <w:r>
        <w:rPr>
          <w:rFonts w:ascii="Cambria" w:hAnsi="Cambria" w:eastAsia="Cambria" w:cs="Cambria"/>
          <w:color w:val="auto"/>
          <w:sz w:val="16"/>
          <w:szCs w:val="16"/>
        </w:rPr>
        <w:t>2</w:t>
      </w:r>
      <w:r>
        <w:rPr>
          <w:rFonts w:ascii="Cambria" w:hAnsi="Cambria" w:eastAsia="Cambria" w:cs="Cambria"/>
          <w:color w:val="auto"/>
          <w:sz w:val="24"/>
          <w:szCs w:val="24"/>
        </w:rPr>
        <w:t>. At the completion of the experiment, cells were harvested in Trizol and</w:t>
      </w:r>
    </w:p>
    <w:p>
      <w:pPr>
        <w:spacing w:after="0" w:line="2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RNA was subsequently extracted, quantified and cDNA synthesized.</w:t>
      </w: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line="428" w:lineRule="auto"/>
        <w:ind w:left="1440" w:right="520" w:hanging="719"/>
        <w:rPr>
          <w:color w:val="auto"/>
          <w:sz w:val="20"/>
          <w:szCs w:val="20"/>
        </w:rPr>
      </w:pPr>
      <w:r>
        <w:rPr>
          <w:rFonts w:ascii="Cambria" w:hAnsi="Cambria" w:eastAsia="Cambria" w:cs="Cambria"/>
          <w:color w:val="auto"/>
          <w:sz w:val="24"/>
          <w:szCs w:val="24"/>
        </w:rPr>
        <w:t>3.2.2 Experiment 1: Effect of TSA on Vitamin D-Induced Gene Expression Upon reaching 100% confluence (96 hours), the MCF-7 cells were treated</w:t>
      </w:r>
    </w:p>
    <w:p>
      <w:pPr>
        <w:spacing w:after="0" w:line="62"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with various combinations of TSA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A total of four 6-well plates</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were used with four different treatments (n=6 wells/treatment; Table 3.1), yielding</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 total of 24 samples. The first treatment was the vehicle-treated control, which</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contained an equal volume of ethanol vehicle and was used as the reference</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treatment in the statistical analysis. The second treatment was 1μmol/L TSA</w:t>
      </w:r>
    </w:p>
    <w:p>
      <w:pPr>
        <w:spacing w:after="0" w:line="278"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w:t>
      </w:r>
      <w:r>
        <w:rPr>
          <w:rFonts w:ascii="Times New Roman" w:hAnsi="Times New Roman" w:eastAsia="Times New Roman" w:cs="Times New Roman"/>
          <w:color w:val="auto"/>
          <w:sz w:val="24"/>
          <w:szCs w:val="24"/>
        </w:rPr>
        <w:t>Sigma-Aldrich, St. Louis, MO) dissolved in ethanol and was used to detect the effect of</w:t>
      </w:r>
    </w:p>
    <w:p>
      <w:pPr>
        <w:spacing w:after="0" w:line="28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HDACI alone. The third treatment was</w:t>
      </w:r>
      <w:r>
        <w:rPr>
          <w:rFonts w:ascii="Cambria" w:hAnsi="Cambria" w:eastAsia="Cambria" w:cs="Cambria"/>
          <w:color w:val="auto"/>
          <w:sz w:val="24"/>
          <w:szCs w:val="24"/>
        </w:rPr>
        <w:t xml:space="preserve"> 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t>
      </w:r>
      <w:r>
        <w:rPr>
          <w:rFonts w:ascii="Times New Roman" w:hAnsi="Times New Roman" w:eastAsia="Times New Roman" w:cs="Times New Roman"/>
          <w:color w:val="auto"/>
          <w:sz w:val="24"/>
          <w:szCs w:val="24"/>
        </w:rPr>
        <w:t>Enzo Life Sciences,</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Plymouth Meeting, PA) dissolved in ethanol. The final treatment was a co-treatment of</w:t>
      </w:r>
    </w:p>
    <w:p>
      <w:pPr>
        <w:spacing w:after="0" w:line="28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1μmol/L TSA. The cells were incubated with the various</w:t>
      </w:r>
    </w:p>
    <w:p>
      <w:pPr>
        <w:spacing w:after="0" w:line="279"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treatments for 24 hours before being harvested. Treatment calculations are found in</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Appendix A.</w:t>
      </w:r>
    </w:p>
    <w:p>
      <w:pPr>
        <w:spacing w:after="0" w:line="280" w:lineRule="exact"/>
        <w:rPr>
          <w:color w:val="auto"/>
          <w:sz w:val="20"/>
          <w:szCs w:val="20"/>
        </w:rPr>
      </w:pPr>
    </w:p>
    <w:p>
      <w:pPr>
        <w:spacing w:after="0"/>
        <w:ind w:left="2360"/>
        <w:rPr>
          <w:color w:val="auto"/>
          <w:sz w:val="20"/>
          <w:szCs w:val="20"/>
        </w:rPr>
      </w:pPr>
      <w:r>
        <w:rPr>
          <w:rFonts w:ascii="Cambria" w:hAnsi="Cambria" w:eastAsia="Cambria" w:cs="Cambria"/>
          <w:color w:val="auto"/>
          <w:sz w:val="24"/>
          <w:szCs w:val="24"/>
        </w:rPr>
        <w:t>Table 3.1 Experiment 1 Samples and Treatments</w:t>
      </w:r>
    </w:p>
    <w:p>
      <w:pPr>
        <w:spacing w:after="0" w:line="262"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480"/>
        <w:gridCol w:w="6420"/>
      </w:tblGrid>
      <w:tr>
        <w:tblPrEx>
          <w:tblCellMar>
            <w:top w:w="0" w:type="dxa"/>
            <w:left w:w="0" w:type="dxa"/>
            <w:bottom w:w="0" w:type="dxa"/>
            <w:right w:w="0" w:type="dxa"/>
          </w:tblCellMar>
        </w:tblPrEx>
        <w:trPr>
          <w:trHeight w:val="292" w:hRule="atLeast"/>
        </w:trPr>
        <w:tc>
          <w:tcPr>
            <w:tcW w:w="2480" w:type="dxa"/>
            <w:tcBorders>
              <w:top w:val="single" w:color="auto" w:sz="8" w:space="0"/>
              <w:left w:val="single" w:color="auto" w:sz="8" w:space="0"/>
              <w:bottom w:val="single" w:color="auto" w:sz="8" w:space="0"/>
              <w:right w:val="single" w:color="auto" w:sz="8" w:space="0"/>
            </w:tcBorders>
            <w:vAlign w:val="bottom"/>
          </w:tcPr>
          <w:p>
            <w:pPr>
              <w:spacing w:after="0"/>
              <w:ind w:left="420"/>
              <w:rPr>
                <w:color w:val="auto"/>
                <w:sz w:val="20"/>
                <w:szCs w:val="20"/>
              </w:rPr>
            </w:pPr>
            <w:r>
              <w:rPr>
                <w:rFonts w:ascii="Cambria" w:hAnsi="Cambria" w:eastAsia="Cambria" w:cs="Cambria"/>
                <w:color w:val="auto"/>
                <w:sz w:val="24"/>
                <w:szCs w:val="24"/>
              </w:rPr>
              <w:t>Sample Number</w:t>
            </w:r>
          </w:p>
        </w:tc>
        <w:tc>
          <w:tcPr>
            <w:tcW w:w="6420" w:type="dxa"/>
            <w:tcBorders>
              <w:top w:val="single" w:color="auto" w:sz="8" w:space="0"/>
              <w:bottom w:val="single" w:color="auto" w:sz="8" w:space="0"/>
              <w:right w:val="single" w:color="auto" w:sz="8" w:space="0"/>
            </w:tcBorders>
            <w:vAlign w:val="bottom"/>
          </w:tcPr>
          <w:p>
            <w:pPr>
              <w:spacing w:after="0"/>
              <w:ind w:left="2640"/>
              <w:rPr>
                <w:color w:val="auto"/>
                <w:sz w:val="20"/>
                <w:szCs w:val="20"/>
              </w:rPr>
            </w:pPr>
            <w:r>
              <w:rPr>
                <w:rFonts w:ascii="Cambria" w:hAnsi="Cambria" w:eastAsia="Cambria" w:cs="Cambria"/>
                <w:color w:val="auto"/>
                <w:sz w:val="24"/>
                <w:szCs w:val="24"/>
              </w:rPr>
              <w:t>Treatment</w:t>
            </w:r>
          </w:p>
        </w:tc>
      </w:tr>
      <w:tr>
        <w:tblPrEx>
          <w:tblCellMar>
            <w:top w:w="0" w:type="dxa"/>
            <w:left w:w="0" w:type="dxa"/>
            <w:bottom w:w="0" w:type="dxa"/>
            <w:right w:w="0" w:type="dxa"/>
          </w:tblCellMar>
        </w:tblPrEx>
        <w:trPr>
          <w:trHeight w:val="270" w:hRule="atLeast"/>
        </w:trPr>
        <w:tc>
          <w:tcPr>
            <w:tcW w:w="248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w w:val="98"/>
                <w:sz w:val="24"/>
                <w:szCs w:val="24"/>
              </w:rPr>
              <w:t>1-6</w:t>
            </w:r>
          </w:p>
        </w:tc>
        <w:tc>
          <w:tcPr>
            <w:tcW w:w="642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Control (ethanol)</w:t>
            </w:r>
          </w:p>
        </w:tc>
      </w:tr>
      <w:tr>
        <w:tblPrEx>
          <w:tblCellMar>
            <w:top w:w="0" w:type="dxa"/>
            <w:left w:w="0" w:type="dxa"/>
            <w:bottom w:w="0" w:type="dxa"/>
            <w:right w:w="0" w:type="dxa"/>
          </w:tblCellMar>
        </w:tblPrEx>
        <w:trPr>
          <w:trHeight w:val="272" w:hRule="atLeast"/>
        </w:trPr>
        <w:tc>
          <w:tcPr>
            <w:tcW w:w="248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sz w:val="24"/>
                <w:szCs w:val="24"/>
              </w:rPr>
              <w:t>7-12</w:t>
            </w:r>
          </w:p>
        </w:tc>
        <w:tc>
          <w:tcPr>
            <w:tcW w:w="642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1μmol/L TSA</w:t>
            </w:r>
          </w:p>
        </w:tc>
      </w:tr>
      <w:tr>
        <w:tblPrEx>
          <w:tblCellMar>
            <w:top w:w="0" w:type="dxa"/>
            <w:left w:w="0" w:type="dxa"/>
            <w:bottom w:w="0" w:type="dxa"/>
            <w:right w:w="0" w:type="dxa"/>
          </w:tblCellMar>
        </w:tblPrEx>
        <w:trPr>
          <w:trHeight w:val="272" w:hRule="atLeast"/>
        </w:trPr>
        <w:tc>
          <w:tcPr>
            <w:tcW w:w="2480" w:type="dxa"/>
            <w:tcBorders>
              <w:left w:val="single" w:color="auto" w:sz="8" w:space="0"/>
              <w:bottom w:val="single" w:color="auto" w:sz="8" w:space="0"/>
              <w:right w:val="single" w:color="auto" w:sz="8" w:space="0"/>
            </w:tcBorders>
            <w:vAlign w:val="bottom"/>
          </w:tcPr>
          <w:p>
            <w:pPr>
              <w:spacing w:after="0" w:line="271" w:lineRule="exact"/>
              <w:jc w:val="center"/>
              <w:rPr>
                <w:color w:val="auto"/>
                <w:sz w:val="20"/>
                <w:szCs w:val="20"/>
              </w:rPr>
            </w:pPr>
            <w:r>
              <w:rPr>
                <w:rFonts w:ascii="Cambria" w:hAnsi="Cambria" w:eastAsia="Cambria" w:cs="Cambria"/>
                <w:color w:val="auto"/>
                <w:sz w:val="24"/>
                <w:szCs w:val="24"/>
              </w:rPr>
              <w:t>13-18</w:t>
            </w:r>
          </w:p>
        </w:tc>
        <w:tc>
          <w:tcPr>
            <w:tcW w:w="6420" w:type="dxa"/>
            <w:tcBorders>
              <w:bottom w:val="single" w:color="auto" w:sz="8" w:space="0"/>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tc>
      </w:tr>
      <w:tr>
        <w:tblPrEx>
          <w:tblCellMar>
            <w:top w:w="0" w:type="dxa"/>
            <w:left w:w="0" w:type="dxa"/>
            <w:bottom w:w="0" w:type="dxa"/>
            <w:right w:w="0" w:type="dxa"/>
          </w:tblCellMar>
        </w:tblPrEx>
        <w:trPr>
          <w:trHeight w:val="272" w:hRule="atLeast"/>
        </w:trPr>
        <w:tc>
          <w:tcPr>
            <w:tcW w:w="2480" w:type="dxa"/>
            <w:tcBorders>
              <w:left w:val="single" w:color="auto" w:sz="8" w:space="0"/>
              <w:bottom w:val="single" w:color="auto" w:sz="8" w:space="0"/>
              <w:right w:val="single" w:color="auto" w:sz="8" w:space="0"/>
            </w:tcBorders>
            <w:vAlign w:val="bottom"/>
          </w:tcPr>
          <w:p>
            <w:pPr>
              <w:spacing w:after="0" w:line="269" w:lineRule="exact"/>
              <w:jc w:val="center"/>
              <w:rPr>
                <w:color w:val="auto"/>
                <w:sz w:val="20"/>
                <w:szCs w:val="20"/>
              </w:rPr>
            </w:pPr>
            <w:r>
              <w:rPr>
                <w:rFonts w:ascii="Cambria" w:hAnsi="Cambria" w:eastAsia="Cambria" w:cs="Cambria"/>
                <w:color w:val="auto"/>
                <w:sz w:val="24"/>
                <w:szCs w:val="24"/>
              </w:rPr>
              <w:t>19-24</w:t>
            </w:r>
          </w:p>
        </w:tc>
        <w:tc>
          <w:tcPr>
            <w:tcW w:w="642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+ 1μmol/L TSA</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27</w:t>
      </w:r>
    </w:p>
    <w:p>
      <w:pPr>
        <w:sectPr>
          <w:pgSz w:w="12240" w:h="15840"/>
          <w:pgMar w:top="1440" w:right="1320" w:bottom="120" w:left="1440" w:header="0" w:footer="0" w:gutter="0"/>
          <w:cols w:equalWidth="0" w:num="1">
            <w:col w:w="9480"/>
          </w:cols>
        </w:sectPr>
      </w:pPr>
    </w:p>
    <w:p>
      <w:pPr>
        <w:spacing w:after="0" w:line="57" w:lineRule="exact"/>
        <w:rPr>
          <w:color w:val="auto"/>
          <w:sz w:val="20"/>
          <w:szCs w:val="20"/>
        </w:rPr>
      </w:pPr>
      <w:bookmarkStart w:id="35" w:name="page42"/>
      <w:bookmarkEnd w:id="35"/>
    </w:p>
    <w:p>
      <w:pPr>
        <w:spacing w:after="0" w:line="428" w:lineRule="auto"/>
        <w:ind w:left="1440" w:right="140" w:hanging="719"/>
        <w:rPr>
          <w:color w:val="auto"/>
          <w:sz w:val="20"/>
          <w:szCs w:val="20"/>
        </w:rPr>
      </w:pPr>
      <w:r>
        <w:rPr>
          <w:rFonts w:ascii="Cambria" w:hAnsi="Cambria" w:eastAsia="Cambria" w:cs="Cambria"/>
          <w:color w:val="auto"/>
          <w:sz w:val="24"/>
          <w:szCs w:val="24"/>
        </w:rPr>
        <w:t>3.2.3 Experiment 2: Effect of SFN &amp; TSA on Vitamin D-Induced Gene Expression In the second experiment, MCF-7 cells were grown in 6-well dishes to 100%</w:t>
      </w:r>
    </w:p>
    <w:p>
      <w:pPr>
        <w:spacing w:after="0" w:line="111" w:lineRule="exact"/>
        <w:rPr>
          <w:color w:val="auto"/>
          <w:sz w:val="20"/>
          <w:szCs w:val="20"/>
        </w:rPr>
      </w:pPr>
    </w:p>
    <w:p>
      <w:pPr>
        <w:spacing w:after="0" w:line="465" w:lineRule="auto"/>
        <w:ind w:left="720" w:right="280"/>
        <w:rPr>
          <w:color w:val="auto"/>
          <w:sz w:val="20"/>
          <w:szCs w:val="20"/>
        </w:rPr>
      </w:pPr>
      <w:r>
        <w:rPr>
          <w:rFonts w:ascii="Cambria" w:hAnsi="Cambria" w:eastAsia="Cambria" w:cs="Cambria"/>
          <w:color w:val="auto"/>
          <w:sz w:val="24"/>
          <w:szCs w:val="24"/>
        </w:rPr>
        <w:t>confluence and treated 120 hours after sub-culturing with one of 5 possible treatments for 24h prior to harvesting the cells. The treatment scheme is shown in Table 3.2 and is similar to Experiment 1 with the addition of a SFN (</w:t>
      </w:r>
      <w:r>
        <w:rPr>
          <w:rFonts w:ascii="Times New Roman" w:hAnsi="Times New Roman" w:eastAsia="Times New Roman" w:cs="Times New Roman"/>
          <w:color w:val="auto"/>
          <w:sz w:val="24"/>
          <w:szCs w:val="24"/>
        </w:rPr>
        <w:t>Sigma-Aldrich, St. Louis, MO ; 20 µ mol/L</w:t>
      </w:r>
      <w:r>
        <w:rPr>
          <w:rFonts w:ascii="Cambria" w:hAnsi="Cambria" w:eastAsia="Cambria" w:cs="Cambria"/>
          <w:color w:val="auto"/>
          <w:sz w:val="24"/>
          <w:szCs w:val="24"/>
        </w:rPr>
        <w:t>) and SFN plus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groups. Half of the</w:t>
      </w:r>
    </w:p>
    <w:p>
      <w:pPr>
        <w:spacing w:after="0" w:line="1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wells were treated with 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t>
      </w:r>
      <w:r>
        <w:rPr>
          <w:rFonts w:ascii="Times New Roman" w:hAnsi="Times New Roman" w:eastAsia="Times New Roman" w:cs="Times New Roman"/>
          <w:color w:val="auto"/>
          <w:sz w:val="24"/>
          <w:szCs w:val="24"/>
        </w:rPr>
        <w:t>Enzo Life Sciences, Plymouth</w:t>
      </w:r>
    </w:p>
    <w:p>
      <w:pPr>
        <w:spacing w:after="0" w:line="332" w:lineRule="exact"/>
        <w:rPr>
          <w:color w:val="auto"/>
          <w:sz w:val="20"/>
          <w:szCs w:val="20"/>
        </w:rPr>
      </w:pPr>
    </w:p>
    <w:p>
      <w:pPr>
        <w:spacing w:after="0" w:line="440" w:lineRule="auto"/>
        <w:ind w:left="2360" w:right="1760" w:hanging="1645"/>
        <w:rPr>
          <w:color w:val="auto"/>
          <w:sz w:val="20"/>
          <w:szCs w:val="20"/>
        </w:rPr>
      </w:pPr>
      <w:r>
        <w:rPr>
          <w:rFonts w:ascii="Times New Roman" w:hAnsi="Times New Roman" w:eastAsia="Times New Roman" w:cs="Times New Roman"/>
          <w:color w:val="auto"/>
          <w:sz w:val="24"/>
          <w:szCs w:val="24"/>
        </w:rPr>
        <w:t>Meeting, PA)</w:t>
      </w:r>
      <w:r>
        <w:rPr>
          <w:rFonts w:ascii="Cambria" w:hAnsi="Cambria" w:eastAsia="Cambria" w:cs="Cambria"/>
          <w:color w:val="auto"/>
          <w:sz w:val="24"/>
          <w:szCs w:val="24"/>
        </w:rPr>
        <w:t>. Treatment calculations are found in Appendix A. Table 3.2 Experiment 2 Samples and Treatments</w:t>
      </w:r>
    </w:p>
    <w:p>
      <w:pPr>
        <w:spacing w:after="0" w:line="3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120"/>
        <w:gridCol w:w="6780"/>
      </w:tblGrid>
      <w:tr>
        <w:tblPrEx>
          <w:tblCellMar>
            <w:top w:w="0" w:type="dxa"/>
            <w:left w:w="0" w:type="dxa"/>
            <w:bottom w:w="0" w:type="dxa"/>
            <w:right w:w="0" w:type="dxa"/>
          </w:tblCellMar>
        </w:tblPrEx>
        <w:trPr>
          <w:trHeight w:val="290" w:hRule="atLeast"/>
        </w:trPr>
        <w:tc>
          <w:tcPr>
            <w:tcW w:w="2120" w:type="dxa"/>
            <w:tcBorders>
              <w:top w:val="single" w:color="auto" w:sz="8" w:space="0"/>
              <w:left w:val="single" w:color="auto" w:sz="8" w:space="0"/>
              <w:bottom w:val="single" w:color="auto" w:sz="8" w:space="0"/>
              <w:right w:val="single" w:color="auto" w:sz="8" w:space="0"/>
            </w:tcBorders>
            <w:vAlign w:val="bottom"/>
          </w:tcPr>
          <w:p>
            <w:pPr>
              <w:spacing w:after="0"/>
              <w:ind w:left="240"/>
              <w:rPr>
                <w:color w:val="auto"/>
                <w:sz w:val="20"/>
                <w:szCs w:val="20"/>
              </w:rPr>
            </w:pPr>
            <w:r>
              <w:rPr>
                <w:rFonts w:ascii="Cambria" w:hAnsi="Cambria" w:eastAsia="Cambria" w:cs="Cambria"/>
                <w:color w:val="auto"/>
                <w:sz w:val="24"/>
                <w:szCs w:val="24"/>
              </w:rPr>
              <w:t>Sample Number</w:t>
            </w:r>
          </w:p>
        </w:tc>
        <w:tc>
          <w:tcPr>
            <w:tcW w:w="6780" w:type="dxa"/>
            <w:tcBorders>
              <w:top w:val="single" w:color="auto" w:sz="8" w:space="0"/>
              <w:bottom w:val="single" w:color="auto" w:sz="8" w:space="0"/>
              <w:right w:val="single" w:color="auto" w:sz="8" w:space="0"/>
            </w:tcBorders>
            <w:vAlign w:val="bottom"/>
          </w:tcPr>
          <w:p>
            <w:pPr>
              <w:spacing w:after="0"/>
              <w:ind w:left="2820"/>
              <w:rPr>
                <w:color w:val="auto"/>
                <w:sz w:val="20"/>
                <w:szCs w:val="20"/>
              </w:rPr>
            </w:pPr>
            <w:r>
              <w:rPr>
                <w:rFonts w:ascii="Cambria" w:hAnsi="Cambria" w:eastAsia="Cambria" w:cs="Cambria"/>
                <w:color w:val="auto"/>
                <w:sz w:val="24"/>
                <w:szCs w:val="24"/>
              </w:rPr>
              <w:t>Treatment</w:t>
            </w:r>
          </w:p>
        </w:tc>
      </w:tr>
      <w:tr>
        <w:tblPrEx>
          <w:tblCellMar>
            <w:top w:w="0" w:type="dxa"/>
            <w:left w:w="0" w:type="dxa"/>
            <w:bottom w:w="0" w:type="dxa"/>
            <w:right w:w="0" w:type="dxa"/>
          </w:tblCellMar>
        </w:tblPrEx>
        <w:trPr>
          <w:trHeight w:val="270" w:hRule="atLeast"/>
        </w:trPr>
        <w:tc>
          <w:tcPr>
            <w:tcW w:w="212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w w:val="98"/>
                <w:sz w:val="24"/>
                <w:szCs w:val="24"/>
              </w:rPr>
              <w:t>1-4</w:t>
            </w:r>
          </w:p>
        </w:tc>
        <w:tc>
          <w:tcPr>
            <w:tcW w:w="678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Control</w:t>
            </w:r>
          </w:p>
        </w:tc>
      </w:tr>
      <w:tr>
        <w:tblPrEx>
          <w:tblCellMar>
            <w:top w:w="0" w:type="dxa"/>
            <w:left w:w="0" w:type="dxa"/>
            <w:bottom w:w="0" w:type="dxa"/>
            <w:right w:w="0" w:type="dxa"/>
          </w:tblCellMar>
        </w:tblPrEx>
        <w:trPr>
          <w:trHeight w:val="273" w:hRule="atLeast"/>
        </w:trPr>
        <w:tc>
          <w:tcPr>
            <w:tcW w:w="2120" w:type="dxa"/>
            <w:tcBorders>
              <w:left w:val="single" w:color="auto" w:sz="8" w:space="0"/>
              <w:bottom w:val="single" w:color="auto" w:sz="8" w:space="0"/>
              <w:right w:val="single" w:color="auto" w:sz="8" w:space="0"/>
            </w:tcBorders>
            <w:vAlign w:val="bottom"/>
          </w:tcPr>
          <w:p>
            <w:pPr>
              <w:spacing w:after="0" w:line="272" w:lineRule="exact"/>
              <w:jc w:val="center"/>
              <w:rPr>
                <w:color w:val="auto"/>
                <w:sz w:val="20"/>
                <w:szCs w:val="20"/>
              </w:rPr>
            </w:pPr>
            <w:r>
              <w:rPr>
                <w:rFonts w:ascii="Cambria" w:hAnsi="Cambria" w:eastAsia="Cambria" w:cs="Cambria"/>
                <w:color w:val="auto"/>
                <w:sz w:val="24"/>
                <w:szCs w:val="24"/>
              </w:rPr>
              <w:t>5 &amp; 6</w:t>
            </w:r>
          </w:p>
        </w:tc>
        <w:tc>
          <w:tcPr>
            <w:tcW w:w="6780" w:type="dxa"/>
            <w:tcBorders>
              <w:bottom w:val="single" w:color="auto" w:sz="8" w:space="0"/>
              <w:right w:val="single" w:color="auto" w:sz="8" w:space="0"/>
            </w:tcBorders>
            <w:vAlign w:val="bottom"/>
          </w:tcPr>
          <w:p>
            <w:pPr>
              <w:spacing w:after="0" w:line="272" w:lineRule="exact"/>
              <w:ind w:left="80"/>
              <w:rPr>
                <w:color w:val="auto"/>
                <w:sz w:val="20"/>
                <w:szCs w:val="20"/>
              </w:rPr>
            </w:pPr>
            <w:r>
              <w:rPr>
                <w:rFonts w:ascii="Cambria" w:hAnsi="Cambria" w:eastAsia="Cambria" w:cs="Cambria"/>
                <w:color w:val="auto"/>
                <w:sz w:val="24"/>
                <w:szCs w:val="24"/>
              </w:rPr>
              <w:t>1μmol/L TSA</w:t>
            </w:r>
          </w:p>
        </w:tc>
      </w:tr>
      <w:tr>
        <w:tblPrEx>
          <w:tblCellMar>
            <w:top w:w="0" w:type="dxa"/>
            <w:left w:w="0" w:type="dxa"/>
            <w:bottom w:w="0" w:type="dxa"/>
            <w:right w:w="0" w:type="dxa"/>
          </w:tblCellMar>
        </w:tblPrEx>
        <w:trPr>
          <w:trHeight w:val="270" w:hRule="atLeast"/>
        </w:trPr>
        <w:tc>
          <w:tcPr>
            <w:tcW w:w="212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sz w:val="24"/>
                <w:szCs w:val="24"/>
              </w:rPr>
              <w:t>7-12</w:t>
            </w:r>
          </w:p>
        </w:tc>
        <w:tc>
          <w:tcPr>
            <w:tcW w:w="678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20μmol/L SFN</w:t>
            </w:r>
          </w:p>
        </w:tc>
      </w:tr>
      <w:tr>
        <w:tblPrEx>
          <w:tblCellMar>
            <w:top w:w="0" w:type="dxa"/>
            <w:left w:w="0" w:type="dxa"/>
            <w:bottom w:w="0" w:type="dxa"/>
            <w:right w:w="0" w:type="dxa"/>
          </w:tblCellMar>
        </w:tblPrEx>
        <w:trPr>
          <w:trHeight w:val="272" w:hRule="atLeast"/>
        </w:trPr>
        <w:tc>
          <w:tcPr>
            <w:tcW w:w="212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sz w:val="24"/>
                <w:szCs w:val="24"/>
              </w:rPr>
              <w:t>13-16</w:t>
            </w:r>
          </w:p>
        </w:tc>
        <w:tc>
          <w:tcPr>
            <w:tcW w:w="6780" w:type="dxa"/>
            <w:tcBorders>
              <w:bottom w:val="single" w:color="auto" w:sz="8" w:space="0"/>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tc>
      </w:tr>
      <w:tr>
        <w:tblPrEx>
          <w:tblCellMar>
            <w:top w:w="0" w:type="dxa"/>
            <w:left w:w="0" w:type="dxa"/>
            <w:bottom w:w="0" w:type="dxa"/>
            <w:right w:w="0" w:type="dxa"/>
          </w:tblCellMar>
        </w:tblPrEx>
        <w:trPr>
          <w:trHeight w:val="271" w:hRule="atLeast"/>
        </w:trPr>
        <w:tc>
          <w:tcPr>
            <w:tcW w:w="212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sz w:val="24"/>
                <w:szCs w:val="24"/>
              </w:rPr>
              <w:t>17&amp;18</w:t>
            </w:r>
          </w:p>
        </w:tc>
        <w:tc>
          <w:tcPr>
            <w:tcW w:w="6780" w:type="dxa"/>
            <w:tcBorders>
              <w:bottom w:val="single" w:color="auto" w:sz="8" w:space="0"/>
              <w:right w:val="single" w:color="auto" w:sz="8" w:space="0"/>
            </w:tcBorders>
            <w:vAlign w:val="bottom"/>
          </w:tcPr>
          <w:p>
            <w:pPr>
              <w:spacing w:after="0" w:line="271" w:lineRule="exact"/>
              <w:ind w:left="8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+ 1μmol/L TSA</w:t>
            </w:r>
          </w:p>
        </w:tc>
      </w:tr>
      <w:tr>
        <w:tblPrEx>
          <w:tblCellMar>
            <w:top w:w="0" w:type="dxa"/>
            <w:left w:w="0" w:type="dxa"/>
            <w:bottom w:w="0" w:type="dxa"/>
            <w:right w:w="0" w:type="dxa"/>
          </w:tblCellMar>
        </w:tblPrEx>
        <w:trPr>
          <w:trHeight w:val="272" w:hRule="atLeast"/>
        </w:trPr>
        <w:tc>
          <w:tcPr>
            <w:tcW w:w="2120" w:type="dxa"/>
            <w:tcBorders>
              <w:left w:val="single" w:color="auto" w:sz="8" w:space="0"/>
              <w:bottom w:val="single" w:color="auto" w:sz="8" w:space="0"/>
              <w:right w:val="single" w:color="auto" w:sz="8" w:space="0"/>
            </w:tcBorders>
            <w:vAlign w:val="bottom"/>
          </w:tcPr>
          <w:p>
            <w:pPr>
              <w:spacing w:after="0" w:line="270" w:lineRule="exact"/>
              <w:jc w:val="center"/>
              <w:rPr>
                <w:color w:val="auto"/>
                <w:sz w:val="20"/>
                <w:szCs w:val="20"/>
              </w:rPr>
            </w:pPr>
            <w:r>
              <w:rPr>
                <w:rFonts w:ascii="Cambria" w:hAnsi="Cambria" w:eastAsia="Cambria" w:cs="Cambria"/>
                <w:color w:val="auto"/>
                <w:sz w:val="24"/>
                <w:szCs w:val="24"/>
              </w:rPr>
              <w:t>19-24</w:t>
            </w:r>
          </w:p>
        </w:tc>
        <w:tc>
          <w:tcPr>
            <w:tcW w:w="6780" w:type="dxa"/>
            <w:tcBorders>
              <w:bottom w:val="single" w:color="auto" w:sz="8" w:space="0"/>
              <w:right w:val="single" w:color="auto" w:sz="8" w:space="0"/>
            </w:tcBorders>
            <w:vAlign w:val="bottom"/>
          </w:tcPr>
          <w:p>
            <w:pPr>
              <w:spacing w:after="0" w:line="270" w:lineRule="exact"/>
              <w:ind w:left="80"/>
              <w:rPr>
                <w:color w:val="auto"/>
                <w:sz w:val="20"/>
                <w:szCs w:val="20"/>
              </w:rPr>
            </w:pPr>
            <w:r>
              <w:rPr>
                <w:rFonts w:ascii="Cambria" w:hAnsi="Cambria" w:eastAsia="Cambria" w:cs="Cambria"/>
                <w:color w:val="auto"/>
                <w:sz w:val="24"/>
                <w:szCs w:val="24"/>
              </w:rPr>
              <w:t>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+ 20μmol/L SFN SFN</w:t>
            </w:r>
          </w:p>
        </w:tc>
      </w:tr>
    </w:tbl>
    <w:p>
      <w:pPr>
        <w:spacing w:after="0" w:line="200" w:lineRule="exact"/>
        <w:rPr>
          <w:color w:val="auto"/>
          <w:sz w:val="20"/>
          <w:szCs w:val="20"/>
        </w:rPr>
      </w:pPr>
    </w:p>
    <w:p>
      <w:pPr>
        <w:spacing w:after="0" w:line="219"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3.3 Gene Expression Analysis</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3.3.1 RNA Isolation and Quantification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1" w:lineRule="auto"/>
        <w:ind w:left="720" w:right="180" w:firstLine="720"/>
        <w:rPr>
          <w:color w:val="auto"/>
          <w:sz w:val="20"/>
          <w:szCs w:val="20"/>
        </w:rPr>
      </w:pPr>
      <w:r>
        <w:rPr>
          <w:rFonts w:ascii="Cambria" w:hAnsi="Cambria" w:eastAsia="Cambria" w:cs="Cambria"/>
          <w:color w:val="auto"/>
          <w:sz w:val="24"/>
          <w:szCs w:val="24"/>
        </w:rPr>
        <w:t>After the 24-hour treatment period, total cellular RNA was harvested. The media was aspirated from the treatment wells, the cells were washed once with a PBS solution, and the cells where then treated with 750μL TRIzol LS reagent (Life Technologies) and scraped from the plate and homogenized. The TRIzol-treated cell homogenate was stored at -80°C in 1.5mL plastic Eppendorf tubes until used for mRNA isolation.</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28</w:t>
      </w:r>
    </w:p>
    <w:p>
      <w:pPr>
        <w:sectPr>
          <w:pgSz w:w="12240" w:h="15840"/>
          <w:pgMar w:top="1440" w:right="1320" w:bottom="120" w:left="1440" w:header="0" w:footer="0" w:gutter="0"/>
          <w:cols w:equalWidth="0" w:num="1">
            <w:col w:w="9480"/>
          </w:cols>
        </w:sectPr>
      </w:pPr>
    </w:p>
    <w:p>
      <w:pPr>
        <w:spacing w:after="0" w:line="49" w:lineRule="exact"/>
        <w:rPr>
          <w:color w:val="auto"/>
          <w:sz w:val="20"/>
          <w:szCs w:val="20"/>
        </w:rPr>
      </w:pPr>
      <w:bookmarkStart w:id="36" w:name="page43"/>
      <w:bookmarkEnd w:id="36"/>
    </w:p>
    <w:p>
      <w:pPr>
        <w:spacing w:after="0" w:line="475" w:lineRule="auto"/>
        <w:ind w:left="720" w:right="20" w:firstLine="720"/>
        <w:rPr>
          <w:color w:val="auto"/>
          <w:sz w:val="20"/>
          <w:szCs w:val="20"/>
        </w:rPr>
      </w:pPr>
      <w:r>
        <w:rPr>
          <w:rFonts w:ascii="Cambria" w:hAnsi="Cambria" w:eastAsia="Cambria" w:cs="Cambria"/>
          <w:color w:val="auto"/>
          <w:sz w:val="24"/>
          <w:szCs w:val="24"/>
        </w:rPr>
        <w:t>To isolate the total RNA, 150μL chloroform reagent was added to each homogenate, mixed and centrifuged to separate the organic and aqueous phases. The aqueous layer was then removed with a pipet and transferred into a new 1.5mL Eppendorf tube, where 500μL isopropanol was added to precipitate the RNA. The precipitated RNA was washed once with 1 mL of 75% ethanol (made with Milli-Q water). Then, 40μL DEPC-treated water was added to each sample and incubated for ten minutes at 56°C in order to make the RNA soluble. RNA samples were quantified by uv/vis spectrophotometry, as follows: 2μL of the RNA sample in DEPC-treated water was diluted in 498μL Milli-Q water, and then placed in a quartz cuvette and absorbance was measured at λ=260nm.</w:t>
      </w:r>
    </w:p>
    <w:p>
      <w:pPr>
        <w:spacing w:after="0" w:line="59" w:lineRule="exact"/>
        <w:rPr>
          <w:color w:val="auto"/>
          <w:sz w:val="20"/>
          <w:szCs w:val="20"/>
        </w:rPr>
      </w:pPr>
    </w:p>
    <w:p>
      <w:pPr>
        <w:spacing w:after="0" w:line="469" w:lineRule="auto"/>
        <w:ind w:left="720" w:right="40" w:firstLine="720"/>
        <w:rPr>
          <w:color w:val="auto"/>
          <w:sz w:val="20"/>
          <w:szCs w:val="20"/>
        </w:rPr>
      </w:pPr>
      <w:r>
        <w:rPr>
          <w:rFonts w:ascii="Cambria" w:hAnsi="Cambria" w:eastAsia="Cambria" w:cs="Cambria"/>
          <w:color w:val="auto"/>
          <w:sz w:val="24"/>
          <w:szCs w:val="24"/>
        </w:rPr>
        <w:t>cDNA was prepared from the RNA using reverse transcriptase in the SuperScript III First-Strand Synthesis System and oligo dT primer (Life Technologies, Grand Island, NY) following the manufacturer’s instructions. cDNA was measured at λ=260. Detailed protocol instructions and calculations are found in Appendix B.</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3.3.2 Real Time PCR</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1" w:lineRule="auto"/>
        <w:ind w:left="720" w:right="140" w:firstLine="720"/>
        <w:rPr>
          <w:color w:val="auto"/>
          <w:sz w:val="20"/>
          <w:szCs w:val="20"/>
        </w:rPr>
      </w:pPr>
      <w:r>
        <w:rPr>
          <w:rFonts w:ascii="Cambria" w:hAnsi="Cambria" w:eastAsia="Cambria" w:cs="Cambria"/>
          <w:color w:val="auto"/>
          <w:sz w:val="24"/>
          <w:szCs w:val="24"/>
        </w:rPr>
        <w:t>For all experiments, mRNA expression was measured by Real Time PCR using a StepOnePlus Real-Time PCR System (Applied Biosystems, Foster City, CA). Reactions consisted of MilliQ water, 200ng of cDNA, 2x TaqMan Gene Expression Master Mix (Applied Biosystems, Foster City, CA), 20x TaqMan Gene Expression assays for GAPDH (housekeeping gene) and either CYP24A1, CYP27B1, TRPV6 or VDR (Applied Biosystems, Foster City, CA). Cycle number (C</w:t>
      </w:r>
      <w:r>
        <w:rPr>
          <w:rFonts w:ascii="Cambria" w:hAnsi="Cambria" w:eastAsia="Cambria" w:cs="Cambria"/>
          <w:color w:val="auto"/>
          <w:sz w:val="16"/>
          <w:szCs w:val="16"/>
        </w:rPr>
        <w:t>T</w:t>
      </w:r>
      <w:r>
        <w:rPr>
          <w:rFonts w:ascii="Cambria" w:hAnsi="Cambria" w:eastAsia="Cambria" w:cs="Cambria"/>
          <w:color w:val="auto"/>
          <w:sz w:val="24"/>
          <w:szCs w:val="24"/>
        </w:rPr>
        <w:t>) measurements were</w:t>
      </w:r>
    </w:p>
    <w:p>
      <w:pPr>
        <w:spacing w:after="0" w:line="369"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29</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37" w:name="page44"/>
      <w:bookmarkEnd w:id="37"/>
      <w:r>
        <w:rPr>
          <w:rFonts w:ascii="Cambria" w:hAnsi="Cambria" w:eastAsia="Cambria" w:cs="Cambria"/>
          <w:color w:val="auto"/>
          <w:sz w:val="24"/>
          <w:szCs w:val="24"/>
        </w:rPr>
        <w:t>normalized (ΔC</w:t>
      </w:r>
      <w:r>
        <w:rPr>
          <w:rFonts w:ascii="Cambria" w:hAnsi="Cambria" w:eastAsia="Cambria" w:cs="Cambria"/>
          <w:color w:val="auto"/>
          <w:sz w:val="16"/>
          <w:szCs w:val="16"/>
        </w:rPr>
        <w:t>T</w:t>
      </w:r>
      <w:r>
        <w:rPr>
          <w:rFonts w:ascii="Cambria" w:hAnsi="Cambria" w:eastAsia="Cambria" w:cs="Cambria"/>
          <w:color w:val="auto"/>
          <w:sz w:val="24"/>
          <w:szCs w:val="24"/>
        </w:rPr>
        <w:t>) to GAPDH C</w:t>
      </w:r>
      <w:r>
        <w:rPr>
          <w:rFonts w:ascii="Cambria" w:hAnsi="Cambria" w:eastAsia="Cambria" w:cs="Cambria"/>
          <w:color w:val="auto"/>
          <w:sz w:val="16"/>
          <w:szCs w:val="16"/>
        </w:rPr>
        <w:t>T</w:t>
      </w:r>
      <w:r>
        <w:rPr>
          <w:rFonts w:ascii="Cambria" w:hAnsi="Cambria" w:eastAsia="Cambria" w:cs="Cambria"/>
          <w:color w:val="auto"/>
          <w:sz w:val="24"/>
          <w:szCs w:val="24"/>
        </w:rPr>
        <w:t xml:space="preserve"> expression by subtracting the C</w:t>
      </w:r>
      <w:r>
        <w:rPr>
          <w:rFonts w:ascii="Cambria" w:hAnsi="Cambria" w:eastAsia="Cambria" w:cs="Cambria"/>
          <w:color w:val="auto"/>
          <w:sz w:val="16"/>
          <w:szCs w:val="16"/>
        </w:rPr>
        <w:t>T</w:t>
      </w:r>
      <w:r>
        <w:rPr>
          <w:rFonts w:ascii="Cambria" w:hAnsi="Cambria" w:eastAsia="Cambria" w:cs="Cambria"/>
          <w:color w:val="auto"/>
          <w:sz w:val="24"/>
          <w:szCs w:val="24"/>
        </w:rPr>
        <w:t xml:space="preserve"> of GAPDH</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expression from each target gene of interest (GOI) (ΔC</w:t>
      </w:r>
      <w:r>
        <w:rPr>
          <w:rFonts w:ascii="Cambria" w:hAnsi="Cambria" w:eastAsia="Cambria" w:cs="Cambria"/>
          <w:color w:val="auto"/>
          <w:sz w:val="16"/>
          <w:szCs w:val="16"/>
        </w:rPr>
        <w:t>T</w:t>
      </w:r>
      <w:r>
        <w:rPr>
          <w:rFonts w:ascii="Cambria" w:hAnsi="Cambria" w:eastAsia="Cambria" w:cs="Cambria"/>
          <w:color w:val="auto"/>
          <w:sz w:val="24"/>
          <w:szCs w:val="24"/>
        </w:rPr>
        <w:t>= GOI</w:t>
      </w:r>
      <w:r>
        <w:rPr>
          <w:rFonts w:ascii="Cambria" w:hAnsi="Cambria" w:eastAsia="Cambria" w:cs="Cambria"/>
          <w:color w:val="auto"/>
          <w:sz w:val="16"/>
          <w:szCs w:val="16"/>
        </w:rPr>
        <w:t>Ct</w:t>
      </w:r>
      <w:r>
        <w:rPr>
          <w:rFonts w:ascii="Cambria" w:hAnsi="Cambria" w:eastAsia="Cambria" w:cs="Cambria"/>
          <w:color w:val="auto"/>
          <w:sz w:val="24"/>
          <w:szCs w:val="24"/>
        </w:rPr>
        <w:t xml:space="preserve"> - GAPDH</w:t>
      </w:r>
      <w:r>
        <w:rPr>
          <w:rFonts w:ascii="Cambria" w:hAnsi="Cambria" w:eastAsia="Cambria" w:cs="Cambria"/>
          <w:color w:val="auto"/>
          <w:sz w:val="16"/>
          <w:szCs w:val="16"/>
        </w:rPr>
        <w:t>Ct</w:t>
      </w:r>
      <w:r>
        <w:rPr>
          <w:rFonts w:ascii="Cambria" w:hAnsi="Cambria" w:eastAsia="Cambria" w:cs="Cambria"/>
          <w:color w:val="auto"/>
          <w:sz w:val="24"/>
          <w:szCs w:val="24"/>
        </w:rPr>
        <w:t>). A</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detailed protocol is found in Appendix B.</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3.4 Statistical Analysis</w:t>
      </w:r>
    </w:p>
    <w:p>
      <w:pPr>
        <w:spacing w:after="0" w:line="200" w:lineRule="exact"/>
        <w:rPr>
          <w:color w:val="auto"/>
          <w:sz w:val="20"/>
          <w:szCs w:val="20"/>
        </w:rPr>
      </w:pPr>
    </w:p>
    <w:p>
      <w:pPr>
        <w:spacing w:after="0" w:line="365"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Derived ΔC</w:t>
      </w:r>
      <w:r>
        <w:rPr>
          <w:rFonts w:ascii="Cambria" w:hAnsi="Cambria" w:eastAsia="Cambria" w:cs="Cambria"/>
          <w:color w:val="auto"/>
          <w:sz w:val="16"/>
          <w:szCs w:val="16"/>
        </w:rPr>
        <w:t>T</w:t>
      </w:r>
      <w:r>
        <w:rPr>
          <w:rFonts w:ascii="Cambria" w:hAnsi="Cambria" w:eastAsia="Cambria" w:cs="Cambria"/>
          <w:color w:val="auto"/>
          <w:sz w:val="24"/>
          <w:szCs w:val="24"/>
        </w:rPr>
        <w:t xml:space="preserve"> measurements (GOI mRNA corrected by GAPDH mRNA</w:t>
      </w:r>
    </w:p>
    <w:p>
      <w:pPr>
        <w:spacing w:after="0" w:line="329" w:lineRule="exact"/>
        <w:rPr>
          <w:color w:val="auto"/>
          <w:sz w:val="20"/>
          <w:szCs w:val="20"/>
        </w:rPr>
      </w:pPr>
    </w:p>
    <w:p>
      <w:pPr>
        <w:spacing w:after="0" w:line="468" w:lineRule="auto"/>
        <w:ind w:left="720" w:right="220"/>
        <w:rPr>
          <w:color w:val="auto"/>
          <w:sz w:val="20"/>
          <w:szCs w:val="20"/>
        </w:rPr>
      </w:pPr>
      <w:r>
        <w:rPr>
          <w:rFonts w:ascii="Cambria" w:hAnsi="Cambria" w:eastAsia="Cambria" w:cs="Cambria"/>
          <w:color w:val="auto"/>
          <w:sz w:val="23"/>
          <w:szCs w:val="23"/>
        </w:rPr>
        <w:t>expression) were transcribed to Graph Pad Prism 5.0 tables for statistical analysis. Comparisons among treatment means were done by using the comparative C</w:t>
      </w:r>
      <w:r>
        <w:rPr>
          <w:rFonts w:ascii="Cambria" w:hAnsi="Cambria" w:eastAsia="Cambria" w:cs="Cambria"/>
          <w:color w:val="auto"/>
          <w:sz w:val="15"/>
          <w:szCs w:val="15"/>
        </w:rPr>
        <w:t>T</w:t>
      </w:r>
    </w:p>
    <w:p>
      <w:pPr>
        <w:spacing w:after="0" w:line="2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method. In Experiment 1 and 2, all ΔC</w:t>
      </w:r>
      <w:r>
        <w:rPr>
          <w:rFonts w:ascii="Cambria" w:hAnsi="Cambria" w:eastAsia="Cambria" w:cs="Cambria"/>
          <w:color w:val="auto"/>
          <w:sz w:val="16"/>
          <w:szCs w:val="16"/>
        </w:rPr>
        <w:t>T</w:t>
      </w:r>
      <w:r>
        <w:rPr>
          <w:rFonts w:ascii="Cambria" w:hAnsi="Cambria" w:eastAsia="Cambria" w:cs="Cambria"/>
          <w:color w:val="auto"/>
          <w:sz w:val="24"/>
          <w:szCs w:val="24"/>
        </w:rPr>
        <w:t xml:space="preserve"> data were initially checked for possible</w:t>
      </w:r>
    </w:p>
    <w:p>
      <w:pPr>
        <w:spacing w:after="0" w:line="329" w:lineRule="exact"/>
        <w:rPr>
          <w:color w:val="auto"/>
          <w:sz w:val="20"/>
          <w:szCs w:val="20"/>
        </w:rPr>
      </w:pPr>
    </w:p>
    <w:p>
      <w:pPr>
        <w:spacing w:after="0" w:line="466" w:lineRule="auto"/>
        <w:ind w:left="720" w:right="20"/>
        <w:rPr>
          <w:color w:val="auto"/>
          <w:sz w:val="20"/>
          <w:szCs w:val="20"/>
        </w:rPr>
      </w:pPr>
      <w:r>
        <w:rPr>
          <w:rFonts w:ascii="Cambria" w:hAnsi="Cambria" w:eastAsia="Cambria" w:cs="Cambria"/>
          <w:color w:val="auto"/>
          <w:sz w:val="24"/>
          <w:szCs w:val="24"/>
        </w:rPr>
        <w:t>outliers using the Grubb’s test in GraphPad Prism. One data point in the combined TSA and vitamin D treatment group in Experiment 1 was identified as being statistically significant and it was excluded. Statistical significance among treatment groups in each experiment was carried out on ΔC</w:t>
      </w:r>
      <w:r>
        <w:rPr>
          <w:rFonts w:ascii="Cambria" w:hAnsi="Cambria" w:eastAsia="Cambria" w:cs="Cambria"/>
          <w:color w:val="auto"/>
          <w:sz w:val="16"/>
          <w:szCs w:val="16"/>
        </w:rPr>
        <w:t>T</w:t>
      </w:r>
      <w:r>
        <w:rPr>
          <w:rFonts w:ascii="Cambria" w:hAnsi="Cambria" w:eastAsia="Cambria" w:cs="Cambria"/>
          <w:color w:val="auto"/>
          <w:sz w:val="24"/>
          <w:szCs w:val="24"/>
        </w:rPr>
        <w:t xml:space="preserve"> measurements and tested by a</w:t>
      </w:r>
    </w:p>
    <w:p>
      <w:pPr>
        <w:spacing w:after="0" w:line="66" w:lineRule="exact"/>
        <w:rPr>
          <w:color w:val="auto"/>
          <w:sz w:val="20"/>
          <w:szCs w:val="20"/>
        </w:rPr>
      </w:pPr>
    </w:p>
    <w:p>
      <w:pPr>
        <w:spacing w:after="0" w:line="469" w:lineRule="auto"/>
        <w:ind w:left="720" w:right="20"/>
        <w:rPr>
          <w:color w:val="auto"/>
          <w:sz w:val="20"/>
          <w:szCs w:val="20"/>
        </w:rPr>
      </w:pPr>
      <w:r>
        <w:rPr>
          <w:rFonts w:ascii="Cambria" w:hAnsi="Cambria" w:eastAsia="Cambria" w:cs="Cambria"/>
          <w:color w:val="auto"/>
          <w:sz w:val="24"/>
          <w:szCs w:val="24"/>
        </w:rPr>
        <w:t>one-way ANOVA with Bonferroni’s post-hoc test for specific individual pair-wise treatment mean comparisons. The alpha level for statistical significance was set at p&lt;0.05. For ease of interpretation and for graphical illustration, data were converted into relative fold-expression with the vehicle control treatment set to a value of 1, using the ΔΔC</w:t>
      </w:r>
      <w:r>
        <w:rPr>
          <w:rFonts w:ascii="Cambria" w:hAnsi="Cambria" w:eastAsia="Cambria" w:cs="Cambria"/>
          <w:color w:val="auto"/>
          <w:sz w:val="16"/>
          <w:szCs w:val="16"/>
        </w:rPr>
        <w:t>T</w:t>
      </w:r>
      <w:r>
        <w:rPr>
          <w:rFonts w:ascii="Cambria" w:hAnsi="Cambria" w:eastAsia="Cambria" w:cs="Cambria"/>
          <w:color w:val="auto"/>
          <w:sz w:val="24"/>
          <w:szCs w:val="24"/>
        </w:rPr>
        <w:t xml:space="preserve"> method, in which ΔΔC</w:t>
      </w:r>
      <w:r>
        <w:rPr>
          <w:rFonts w:ascii="Cambria" w:hAnsi="Cambria" w:eastAsia="Cambria" w:cs="Cambria"/>
          <w:color w:val="auto"/>
          <w:sz w:val="16"/>
          <w:szCs w:val="16"/>
        </w:rPr>
        <w:t>T</w:t>
      </w:r>
      <w:r>
        <w:rPr>
          <w:rFonts w:ascii="Cambria" w:hAnsi="Cambria" w:eastAsia="Cambria" w:cs="Cambria"/>
          <w:color w:val="auto"/>
          <w:sz w:val="24"/>
          <w:szCs w:val="24"/>
        </w:rPr>
        <w:t xml:space="preserve"> is calculated as follows: ΔΔC</w:t>
      </w:r>
      <w:r>
        <w:rPr>
          <w:rFonts w:ascii="Cambria" w:hAnsi="Cambria" w:eastAsia="Cambria" w:cs="Cambria"/>
          <w:color w:val="auto"/>
          <w:sz w:val="16"/>
          <w:szCs w:val="16"/>
        </w:rPr>
        <w:t>T</w:t>
      </w:r>
      <w:r>
        <w:rPr>
          <w:rFonts w:ascii="Cambria" w:hAnsi="Cambria" w:eastAsia="Cambria" w:cs="Cambria"/>
          <w:color w:val="auto"/>
          <w:sz w:val="24"/>
          <w:szCs w:val="24"/>
        </w:rPr>
        <w:t>=(ΔC</w:t>
      </w:r>
      <w:r>
        <w:rPr>
          <w:rFonts w:ascii="Cambria" w:hAnsi="Cambria" w:eastAsia="Cambria" w:cs="Cambria"/>
          <w:color w:val="auto"/>
          <w:sz w:val="16"/>
          <w:szCs w:val="16"/>
        </w:rPr>
        <w:t>T</w:t>
      </w:r>
    </w:p>
    <w:p>
      <w:pPr>
        <w:spacing w:after="0" w:line="17" w:lineRule="exact"/>
        <w:rPr>
          <w:color w:val="auto"/>
          <w:sz w:val="20"/>
          <w:szCs w:val="20"/>
        </w:rPr>
      </w:pPr>
    </w:p>
    <w:p>
      <w:pPr>
        <w:spacing w:after="0"/>
        <w:ind w:left="720"/>
        <w:rPr>
          <w:color w:val="auto"/>
          <w:sz w:val="20"/>
          <w:szCs w:val="20"/>
        </w:rPr>
      </w:pPr>
      <w:r>
        <w:rPr>
          <w:rFonts w:ascii="Cambria" w:hAnsi="Cambria" w:eastAsia="Cambria" w:cs="Cambria"/>
          <w:color w:val="auto"/>
          <w:sz w:val="16"/>
          <w:szCs w:val="16"/>
        </w:rPr>
        <w:t>Experimental Treatment</w:t>
      </w:r>
      <w:r>
        <w:rPr>
          <w:rFonts w:ascii="Cambria" w:hAnsi="Cambria" w:eastAsia="Cambria" w:cs="Cambria"/>
          <w:color w:val="auto"/>
          <w:sz w:val="24"/>
          <w:szCs w:val="24"/>
        </w:rPr>
        <w:t xml:space="preserve"> –ΔC</w:t>
      </w:r>
      <w:r>
        <w:rPr>
          <w:rFonts w:ascii="Cambria" w:hAnsi="Cambria" w:eastAsia="Cambria" w:cs="Cambria"/>
          <w:color w:val="auto"/>
          <w:sz w:val="16"/>
          <w:szCs w:val="16"/>
        </w:rPr>
        <w:t>T Vehicle Control Treatment</w:t>
      </w:r>
      <w:r>
        <w:rPr>
          <w:rFonts w:ascii="Cambria" w:hAnsi="Cambria" w:eastAsia="Cambria" w:cs="Cambria"/>
          <w:color w:val="auto"/>
          <w:sz w:val="24"/>
          <w:szCs w:val="24"/>
        </w:rPr>
        <w:t>) and the relative fold change in expression</w:t>
      </w:r>
    </w:p>
    <w:p>
      <w:pPr>
        <w:spacing w:after="0" w:line="328" w:lineRule="exact"/>
        <w:rPr>
          <w:color w:val="auto"/>
          <w:sz w:val="20"/>
          <w:szCs w:val="20"/>
        </w:rPr>
      </w:pPr>
    </w:p>
    <w:p>
      <w:pPr>
        <w:spacing w:after="0" w:line="358" w:lineRule="auto"/>
        <w:ind w:left="720" w:right="20"/>
        <w:rPr>
          <w:color w:val="auto"/>
          <w:sz w:val="20"/>
          <w:szCs w:val="20"/>
        </w:rPr>
      </w:pPr>
      <w:r>
        <w:rPr>
          <w:rFonts w:ascii="Cambria" w:hAnsi="Cambria" w:eastAsia="Cambria" w:cs="Cambria"/>
          <w:color w:val="auto"/>
          <w:sz w:val="24"/>
          <w:szCs w:val="24"/>
        </w:rPr>
        <w:t>is calculated as 2</w:t>
      </w:r>
      <w:r>
        <w:rPr>
          <w:rFonts w:ascii="Cambria" w:hAnsi="Cambria" w:eastAsia="Cambria" w:cs="Cambria"/>
          <w:color w:val="auto"/>
          <w:sz w:val="32"/>
          <w:szCs w:val="32"/>
          <w:vertAlign w:val="superscript"/>
        </w:rPr>
        <w:t>-(ΔΔCt)</w:t>
      </w:r>
      <w:r>
        <w:rPr>
          <w:rFonts w:ascii="Cambria" w:hAnsi="Cambria" w:eastAsia="Cambria" w:cs="Cambria"/>
          <w:color w:val="auto"/>
          <w:sz w:val="24"/>
          <w:szCs w:val="24"/>
        </w:rPr>
        <w:t>. Data are presented in the text and figures as mean ± standard error of the mean (SEM).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30</w:t>
      </w:r>
    </w:p>
    <w:p>
      <w:pPr>
        <w:sectPr>
          <w:pgSz w:w="12240" w:h="15840"/>
          <w:pgMar w:top="1439" w:right="1440" w:bottom="120" w:left="1440" w:header="0" w:footer="0" w:gutter="0"/>
          <w:cols w:equalWidth="0" w:num="1">
            <w:col w:w="9360"/>
          </w:cols>
        </w:sectPr>
      </w:pPr>
    </w:p>
    <w:p>
      <w:pPr>
        <w:spacing w:after="0"/>
        <w:ind w:left="4400"/>
        <w:rPr>
          <w:color w:val="auto"/>
          <w:sz w:val="20"/>
          <w:szCs w:val="20"/>
        </w:rPr>
      </w:pPr>
      <w:bookmarkStart w:id="38" w:name="page45"/>
      <w:bookmarkEnd w:id="38"/>
      <w:r>
        <w:rPr>
          <w:rFonts w:ascii="Cambria" w:hAnsi="Cambria" w:eastAsia="Cambria" w:cs="Cambria"/>
          <w:color w:val="auto"/>
          <w:sz w:val="24"/>
          <w:szCs w:val="24"/>
        </w:rPr>
        <w:t>CHAPTER 4</w:t>
      </w:r>
    </w:p>
    <w:p>
      <w:pPr>
        <w:spacing w:after="0" w:line="280" w:lineRule="exact"/>
        <w:rPr>
          <w:color w:val="auto"/>
          <w:sz w:val="20"/>
          <w:szCs w:val="20"/>
        </w:rPr>
      </w:pPr>
    </w:p>
    <w:p>
      <w:pPr>
        <w:spacing w:after="0"/>
        <w:ind w:left="4540"/>
        <w:rPr>
          <w:color w:val="auto"/>
          <w:sz w:val="20"/>
          <w:szCs w:val="20"/>
        </w:rPr>
      </w:pPr>
      <w:r>
        <w:rPr>
          <w:rFonts w:ascii="Cambria" w:hAnsi="Cambria" w:eastAsia="Cambria" w:cs="Cambria"/>
          <w:color w:val="auto"/>
          <w:sz w:val="24"/>
          <w:szCs w:val="24"/>
        </w:rPr>
        <w:t>RESULTS</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4.1 Experiment 1: Effect of TSA on Vitamin D-Induced Gene Expression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68" w:lineRule="auto"/>
        <w:ind w:left="720" w:right="80" w:firstLine="720"/>
        <w:rPr>
          <w:color w:val="auto"/>
          <w:sz w:val="20"/>
          <w:szCs w:val="20"/>
        </w:rPr>
      </w:pPr>
      <w:r>
        <w:rPr>
          <w:rFonts w:ascii="Cambria" w:hAnsi="Cambria" w:eastAsia="Cambria" w:cs="Cambria"/>
          <w:color w:val="auto"/>
          <w:sz w:val="23"/>
          <w:szCs w:val="23"/>
        </w:rPr>
        <w:t>Previous studies have found that a co-treatment of various breast cancer cell lines with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the histone deacetylase inhibitor (HDACI) trichostatin A</w:t>
      </w:r>
    </w:p>
    <w:p>
      <w:pPr>
        <w:spacing w:after="0" w:line="74" w:lineRule="exact"/>
        <w:rPr>
          <w:color w:val="auto"/>
          <w:sz w:val="20"/>
          <w:szCs w:val="20"/>
        </w:rPr>
      </w:pPr>
    </w:p>
    <w:p>
      <w:pPr>
        <w:spacing w:after="0" w:line="459" w:lineRule="auto"/>
        <w:ind w:left="720" w:right="60"/>
        <w:rPr>
          <w:color w:val="auto"/>
          <w:sz w:val="20"/>
          <w:szCs w:val="20"/>
        </w:rPr>
      </w:pPr>
      <w:r>
        <w:rPr>
          <w:rFonts w:ascii="Cambria" w:hAnsi="Cambria" w:eastAsia="Cambria" w:cs="Cambria"/>
          <w:color w:val="auto"/>
          <w:sz w:val="24"/>
          <w:szCs w:val="24"/>
        </w:rPr>
        <w:t>(TSA) had an antiproliferative effects. (C. Banwell, O'Neill, Uskokovic, &amp; Campbell, 2004; C. Banwell et al., 2006; Malinen et al., 2008) We hypothesized that a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with the HDACI TSA would increase vitamin D-dependent</w:t>
      </w:r>
    </w:p>
    <w:p>
      <w:pPr>
        <w:spacing w:after="0" w:line="2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CYP24A1, TRPV6 and VDR gene expression in MCF-7 cells.</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4.1.1 VDR mRNA</w:t>
      </w:r>
    </w:p>
    <w:p>
      <w:pPr>
        <w:spacing w:after="0" w:line="200" w:lineRule="exact"/>
        <w:rPr>
          <w:color w:val="auto"/>
          <w:sz w:val="20"/>
          <w:szCs w:val="20"/>
        </w:rPr>
      </w:pPr>
    </w:p>
    <w:p>
      <w:pPr>
        <w:spacing w:after="0" w:line="272" w:lineRule="exact"/>
        <w:rPr>
          <w:color w:val="auto"/>
          <w:sz w:val="20"/>
          <w:szCs w:val="20"/>
        </w:rPr>
      </w:pPr>
    </w:p>
    <w:p>
      <w:pPr>
        <w:spacing w:after="0" w:line="490" w:lineRule="auto"/>
        <w:ind w:left="720" w:right="20" w:firstLine="720"/>
        <w:rPr>
          <w:color w:val="auto"/>
          <w:sz w:val="20"/>
          <w:szCs w:val="20"/>
        </w:rPr>
      </w:pPr>
      <w:r>
        <w:rPr>
          <w:rFonts w:ascii="Cambria" w:hAnsi="Cambria" w:eastAsia="Cambria" w:cs="Cambria"/>
          <w:color w:val="auto"/>
          <w:sz w:val="23"/>
          <w:szCs w:val="23"/>
        </w:rPr>
        <w:t>Treatment of MCF-7 cells for 24 h with the histone deacetylase inhibitor TSA (Figure 4.1) caused a significant 11-fold increase in VDR mRNA compared to vehicle-treated control cells (11.2 ±4.4 vs. 1.0 ± 0.3, mean ± SEM, n=6 and n=5, respectively). Treatment with a 10nmol/L dose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alone had no effect (0.8</w:t>
      </w:r>
    </w:p>
    <w:p>
      <w:pPr>
        <w:spacing w:after="0" w:line="49" w:lineRule="exact"/>
        <w:rPr>
          <w:color w:val="auto"/>
          <w:sz w:val="20"/>
          <w:szCs w:val="20"/>
        </w:rPr>
      </w:pPr>
    </w:p>
    <w:p>
      <w:pPr>
        <w:numPr>
          <w:ilvl w:val="0"/>
          <w:numId w:val="4"/>
        </w:numPr>
        <w:tabs>
          <w:tab w:val="left" w:pos="905"/>
        </w:tabs>
        <w:spacing w:after="0" w:line="459" w:lineRule="auto"/>
        <w:ind w:left="720" w:right="180"/>
        <w:rPr>
          <w:rFonts w:ascii="Cambria" w:hAnsi="Cambria" w:eastAsia="Cambria" w:cs="Cambria"/>
          <w:color w:val="auto"/>
          <w:sz w:val="24"/>
          <w:szCs w:val="24"/>
        </w:rPr>
      </w:pPr>
      <w:r>
        <w:rPr>
          <w:rFonts w:ascii="Cambria" w:hAnsi="Cambria" w:eastAsia="Cambria" w:cs="Cambria"/>
          <w:color w:val="auto"/>
          <w:sz w:val="24"/>
          <w:szCs w:val="24"/>
        </w:rPr>
        <w:t>0.4, n=6) on VDR gene expression. VDR expression was significantly increased in cells treated with both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(2.3 ± 0.1, n=5) compared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alone.</w:t>
      </w:r>
    </w:p>
    <w:p>
      <w:pPr>
        <w:spacing w:after="0" w:line="200" w:lineRule="exact"/>
        <w:rPr>
          <w:color w:val="auto"/>
          <w:sz w:val="20"/>
          <w:szCs w:val="20"/>
        </w:rPr>
      </w:pPr>
    </w:p>
    <w:p>
      <w:pPr>
        <w:spacing w:after="0" w:line="24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4.1.2 CYP24A1 mRNA</w:t>
      </w:r>
    </w:p>
    <w:p>
      <w:pPr>
        <w:spacing w:after="0" w:line="331" w:lineRule="exact"/>
        <w:rPr>
          <w:color w:val="auto"/>
          <w:sz w:val="20"/>
          <w:szCs w:val="20"/>
        </w:rPr>
      </w:pPr>
    </w:p>
    <w:p>
      <w:pPr>
        <w:spacing w:after="0" w:line="438" w:lineRule="auto"/>
        <w:ind w:left="720" w:right="400" w:firstLine="720"/>
        <w:rPr>
          <w:color w:val="auto"/>
          <w:sz w:val="20"/>
          <w:szCs w:val="20"/>
        </w:rPr>
      </w:pPr>
      <w:r>
        <w:rPr>
          <w:rFonts w:ascii="Cambria" w:hAnsi="Cambria" w:eastAsia="Cambria" w:cs="Cambria"/>
          <w:color w:val="auto"/>
          <w:sz w:val="24"/>
          <w:szCs w:val="24"/>
        </w:rPr>
        <w:t>Treatment with TSA alone (Figure 4.2) increased CYP24A1 mRNA 10-fold compared to controls (10.0 ± 3.2 vs. 1.0 ± 0.7, n=5 and n=6, respectively).</w:t>
      </w:r>
    </w:p>
    <w:p>
      <w:pPr>
        <w:spacing w:after="0" w:line="200" w:lineRule="exact"/>
        <w:rPr>
          <w:color w:val="auto"/>
          <w:sz w:val="20"/>
          <w:szCs w:val="20"/>
        </w:rPr>
      </w:pPr>
    </w:p>
    <w:p>
      <w:pPr>
        <w:spacing w:after="0" w:line="35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31</w:t>
      </w:r>
    </w:p>
    <w:p>
      <w:pPr>
        <w:sectPr>
          <w:pgSz w:w="12240" w:h="15840"/>
          <w:pgMar w:top="1438" w:right="1440" w:bottom="120" w:left="1440" w:header="0" w:footer="0" w:gutter="0"/>
          <w:cols w:equalWidth="0" w:num="1">
            <w:col w:w="9360"/>
          </w:cols>
        </w:sectPr>
      </w:pPr>
    </w:p>
    <w:p>
      <w:pPr>
        <w:spacing w:after="0"/>
        <w:ind w:left="720"/>
        <w:rPr>
          <w:color w:val="auto"/>
          <w:sz w:val="20"/>
          <w:szCs w:val="20"/>
        </w:rPr>
      </w:pPr>
      <w:bookmarkStart w:id="39" w:name="page46"/>
      <w:bookmarkEnd w:id="39"/>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increased CYP24A1 gene expression by 80-fold (80.0 ± 15.8,</w:t>
      </w:r>
    </w:p>
    <w:p>
      <w:pPr>
        <w:spacing w:after="0" w:line="329" w:lineRule="exact"/>
        <w:rPr>
          <w:color w:val="auto"/>
          <w:sz w:val="20"/>
          <w:szCs w:val="20"/>
        </w:rPr>
      </w:pPr>
    </w:p>
    <w:p>
      <w:pPr>
        <w:spacing w:after="0" w:line="468" w:lineRule="auto"/>
        <w:ind w:left="720" w:right="300"/>
        <w:rPr>
          <w:color w:val="auto"/>
          <w:sz w:val="20"/>
          <w:szCs w:val="20"/>
        </w:rPr>
      </w:pPr>
      <w:r>
        <w:rPr>
          <w:rFonts w:ascii="Cambria" w:hAnsi="Cambria" w:eastAsia="Cambria" w:cs="Cambria"/>
          <w:color w:val="auto"/>
          <w:sz w:val="23"/>
          <w:szCs w:val="23"/>
        </w:rPr>
        <w:t>n=6) compared to controls. Although there was an apparent doubling of CYP24A1 mRNA between the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only treatment and the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TSA</w:t>
      </w:r>
    </w:p>
    <w:p>
      <w:pPr>
        <w:spacing w:after="0" w:line="24" w:lineRule="exact"/>
        <w:rPr>
          <w:color w:val="auto"/>
          <w:sz w:val="20"/>
          <w:szCs w:val="20"/>
        </w:rPr>
      </w:pPr>
    </w:p>
    <w:p>
      <w:pPr>
        <w:spacing w:after="0"/>
        <w:ind w:right="60"/>
        <w:jc w:val="center"/>
        <w:rPr>
          <w:color w:val="auto"/>
          <w:sz w:val="20"/>
          <w:szCs w:val="20"/>
        </w:rPr>
      </w:pPr>
      <w:r>
        <w:rPr>
          <w:rFonts w:ascii="Cambria" w:hAnsi="Cambria" w:eastAsia="Cambria" w:cs="Cambria"/>
          <w:color w:val="auto"/>
          <w:sz w:val="24"/>
          <w:szCs w:val="24"/>
        </w:rPr>
        <w:t>treatment (163.0 ± 18.0, n=6), this difference was not statistically significant.</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4.1.3 TRPV6 mRNA</w:t>
      </w:r>
    </w:p>
    <w:p>
      <w:pPr>
        <w:spacing w:after="0" w:line="333" w:lineRule="exact"/>
        <w:rPr>
          <w:color w:val="auto"/>
          <w:sz w:val="20"/>
          <w:szCs w:val="20"/>
        </w:rPr>
      </w:pPr>
    </w:p>
    <w:p>
      <w:pPr>
        <w:spacing w:after="0" w:line="436" w:lineRule="auto"/>
        <w:ind w:left="720" w:right="120" w:firstLine="720"/>
        <w:rPr>
          <w:color w:val="auto"/>
          <w:sz w:val="20"/>
          <w:szCs w:val="20"/>
        </w:rPr>
      </w:pPr>
      <w:r>
        <w:rPr>
          <w:rFonts w:ascii="Cambria" w:hAnsi="Cambria" w:eastAsia="Cambria" w:cs="Cambria"/>
          <w:color w:val="auto"/>
          <w:sz w:val="24"/>
          <w:szCs w:val="24"/>
        </w:rPr>
        <w:t>TRPV6 gene expression was only evident in very few samples in Experiment 1 negating an assessment of treatment effects on this gene in MCF-7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32</w:t>
      </w:r>
    </w:p>
    <w:p>
      <w:pPr>
        <w:sectPr>
          <w:pgSz w:w="12240" w:h="15840"/>
          <w:pgMar w:top="1439" w:right="1440" w:bottom="120" w:left="1440" w:header="0" w:footer="0" w:gutter="0"/>
          <w:cols w:equalWidth="0" w:num="1">
            <w:col w:w="9360"/>
          </w:cols>
        </w:sectPr>
      </w:pPr>
    </w:p>
    <w:p>
      <w:pPr>
        <w:spacing w:after="0" w:line="263" w:lineRule="exact"/>
        <w:rPr>
          <w:color w:val="auto"/>
          <w:sz w:val="20"/>
          <w:szCs w:val="20"/>
        </w:rPr>
      </w:pPr>
      <w:bookmarkStart w:id="40" w:name="page47"/>
      <w:bookmarkEnd w:id="40"/>
    </w:p>
    <w:tbl>
      <w:tblPr>
        <w:tblStyle w:val="3"/>
        <w:tblW w:w="0" w:type="auto"/>
        <w:tblInd w:w="2460" w:type="dxa"/>
        <w:tblLayout w:type="fixed"/>
        <w:tblCellMar>
          <w:top w:w="0" w:type="dxa"/>
          <w:left w:w="0" w:type="dxa"/>
          <w:bottom w:w="0" w:type="dxa"/>
          <w:right w:w="0" w:type="dxa"/>
        </w:tblCellMar>
      </w:tblPr>
      <w:tblGrid>
        <w:gridCol w:w="240"/>
        <w:gridCol w:w="260"/>
        <w:gridCol w:w="1360"/>
        <w:gridCol w:w="1100"/>
        <w:gridCol w:w="840"/>
        <w:gridCol w:w="1000"/>
        <w:gridCol w:w="360"/>
      </w:tblGrid>
      <w:tr>
        <w:tblPrEx>
          <w:tblCellMar>
            <w:top w:w="0" w:type="dxa"/>
            <w:left w:w="0" w:type="dxa"/>
            <w:bottom w:w="0" w:type="dxa"/>
            <w:right w:w="0" w:type="dxa"/>
          </w:tblCellMar>
        </w:tblPrEx>
        <w:trPr>
          <w:trHeight w:val="253" w:hRule="atLeast"/>
        </w:trPr>
        <w:tc>
          <w:tcPr>
            <w:tcW w:w="240" w:type="dxa"/>
            <w:vAlign w:val="bottom"/>
          </w:tcPr>
          <w:p>
            <w:pPr>
              <w:spacing w:after="0"/>
              <w:rPr>
                <w:color w:val="auto"/>
                <w:sz w:val="21"/>
                <w:szCs w:val="21"/>
              </w:rPr>
            </w:pPr>
          </w:p>
        </w:tc>
        <w:tc>
          <w:tcPr>
            <w:tcW w:w="260" w:type="dxa"/>
            <w:vAlign w:val="bottom"/>
          </w:tcPr>
          <w:p>
            <w:pPr>
              <w:spacing w:after="0"/>
              <w:rPr>
                <w:color w:val="auto"/>
                <w:sz w:val="21"/>
                <w:szCs w:val="21"/>
              </w:rPr>
            </w:pPr>
          </w:p>
        </w:tc>
        <w:tc>
          <w:tcPr>
            <w:tcW w:w="1360" w:type="dxa"/>
            <w:vAlign w:val="bottom"/>
          </w:tcPr>
          <w:p>
            <w:pPr>
              <w:spacing w:after="0"/>
              <w:ind w:right="946"/>
              <w:jc w:val="right"/>
              <w:rPr>
                <w:color w:val="auto"/>
                <w:sz w:val="20"/>
                <w:szCs w:val="20"/>
              </w:rPr>
            </w:pPr>
            <w:r>
              <w:rPr>
                <w:rFonts w:ascii="Arial" w:hAnsi="Arial" w:eastAsia="Arial" w:cs="Arial"/>
                <w:b/>
                <w:bCs/>
                <w:color w:val="auto"/>
                <w:sz w:val="22"/>
                <w:szCs w:val="22"/>
              </w:rPr>
              <w:t>20</w:t>
            </w:r>
          </w:p>
        </w:tc>
        <w:tc>
          <w:tcPr>
            <w:tcW w:w="1100" w:type="dxa"/>
            <w:vAlign w:val="bottom"/>
          </w:tcPr>
          <w:p>
            <w:pPr>
              <w:spacing w:after="0"/>
              <w:rPr>
                <w:color w:val="auto"/>
                <w:sz w:val="21"/>
                <w:szCs w:val="21"/>
              </w:rPr>
            </w:pPr>
          </w:p>
        </w:tc>
        <w:tc>
          <w:tcPr>
            <w:tcW w:w="840" w:type="dxa"/>
            <w:vAlign w:val="bottom"/>
          </w:tcPr>
          <w:p>
            <w:pPr>
              <w:spacing w:after="0"/>
              <w:rPr>
                <w:color w:val="auto"/>
                <w:sz w:val="21"/>
                <w:szCs w:val="21"/>
              </w:rPr>
            </w:pPr>
          </w:p>
        </w:tc>
        <w:tc>
          <w:tcPr>
            <w:tcW w:w="100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8" w:hRule="atLeast"/>
        </w:trPr>
        <w:tc>
          <w:tcPr>
            <w:tcW w:w="240" w:type="dxa"/>
            <w:vAlign w:val="bottom"/>
          </w:tcPr>
          <w:p>
            <w:pPr>
              <w:spacing w:after="0"/>
              <w:rPr>
                <w:color w:val="auto"/>
                <w:sz w:val="24"/>
                <w:szCs w:val="24"/>
              </w:rPr>
            </w:pPr>
          </w:p>
        </w:tc>
        <w:tc>
          <w:tcPr>
            <w:tcW w:w="260" w:type="dxa"/>
            <w:vMerge w:val="restart"/>
            <w:textDirection w:val="btLr"/>
            <w:vAlign w:val="bottom"/>
          </w:tcPr>
          <w:p>
            <w:pPr>
              <w:spacing w:after="0"/>
              <w:ind w:left="30"/>
              <w:rPr>
                <w:color w:val="auto"/>
                <w:sz w:val="20"/>
                <w:szCs w:val="20"/>
              </w:rPr>
            </w:pPr>
            <w:r>
              <w:rPr>
                <w:rFonts w:ascii="Arial" w:hAnsi="Arial" w:eastAsia="Arial" w:cs="Arial"/>
                <w:b/>
                <w:bCs/>
                <w:color w:val="auto"/>
                <w:sz w:val="20"/>
                <w:szCs w:val="20"/>
              </w:rPr>
              <w:t>Expression</w:t>
            </w:r>
          </w:p>
        </w:tc>
        <w:tc>
          <w:tcPr>
            <w:tcW w:w="1360" w:type="dxa"/>
            <w:vAlign w:val="bottom"/>
          </w:tcPr>
          <w:p>
            <w:pPr>
              <w:spacing w:after="0"/>
              <w:rPr>
                <w:color w:val="auto"/>
                <w:sz w:val="24"/>
                <w:szCs w:val="24"/>
              </w:rPr>
            </w:pPr>
          </w:p>
        </w:tc>
        <w:tc>
          <w:tcPr>
            <w:tcW w:w="1100" w:type="dxa"/>
            <w:vAlign w:val="bottom"/>
          </w:tcPr>
          <w:p>
            <w:pPr>
              <w:spacing w:after="0"/>
              <w:ind w:left="640"/>
              <w:rPr>
                <w:color w:val="auto"/>
                <w:sz w:val="20"/>
                <w:szCs w:val="20"/>
              </w:rPr>
            </w:pPr>
            <w:r>
              <w:rPr>
                <w:rFonts w:ascii="Arial" w:hAnsi="Arial" w:eastAsia="Arial" w:cs="Arial"/>
                <w:color w:val="auto"/>
                <w:sz w:val="28"/>
                <w:szCs w:val="28"/>
              </w:rPr>
              <w:t>a</w:t>
            </w:r>
          </w:p>
        </w:tc>
        <w:tc>
          <w:tcPr>
            <w:tcW w:w="8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2"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7"/>
                <w:sz w:val="24"/>
                <w:szCs w:val="24"/>
              </w:rPr>
              <w:t>mRNA,</w:t>
            </w:r>
          </w:p>
        </w:tc>
        <w:tc>
          <w:tcPr>
            <w:tcW w:w="260" w:type="dxa"/>
            <w:vMerge w:val="continue"/>
            <w:vAlign w:val="bottom"/>
          </w:tcPr>
          <w:p>
            <w:pPr>
              <w:spacing w:after="0"/>
              <w:rPr>
                <w:color w:val="auto"/>
                <w:sz w:val="24"/>
                <w:szCs w:val="24"/>
              </w:rPr>
            </w:pPr>
          </w:p>
        </w:tc>
        <w:tc>
          <w:tcPr>
            <w:tcW w:w="1360" w:type="dxa"/>
            <w:vAlign w:val="bottom"/>
          </w:tcPr>
          <w:p>
            <w:pPr>
              <w:spacing w:after="0"/>
              <w:ind w:right="946"/>
              <w:jc w:val="right"/>
              <w:rPr>
                <w:color w:val="auto"/>
                <w:sz w:val="20"/>
                <w:szCs w:val="20"/>
              </w:rPr>
            </w:pPr>
            <w:r>
              <w:rPr>
                <w:rFonts w:ascii="Arial" w:hAnsi="Arial" w:eastAsia="Arial" w:cs="Arial"/>
                <w:b/>
                <w:bCs/>
                <w:color w:val="auto"/>
                <w:sz w:val="22"/>
                <w:szCs w:val="22"/>
              </w:rPr>
              <w:t>15</w:t>
            </w:r>
          </w:p>
        </w:tc>
        <w:tc>
          <w:tcPr>
            <w:tcW w:w="110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36" w:hRule="atLeast"/>
        </w:trPr>
        <w:tc>
          <w:tcPr>
            <w:tcW w:w="240" w:type="dxa"/>
            <w:vMerge w:val="continue"/>
            <w:vAlign w:val="bottom"/>
          </w:tcPr>
          <w:p>
            <w:pPr>
              <w:spacing w:after="0"/>
              <w:rPr>
                <w:color w:val="auto"/>
                <w:sz w:val="24"/>
                <w:szCs w:val="24"/>
              </w:rPr>
            </w:pPr>
          </w:p>
        </w:tc>
        <w:tc>
          <w:tcPr>
            <w:tcW w:w="260" w:type="dxa"/>
            <w:vMerge w:val="continue"/>
            <w:vAlign w:val="bottom"/>
          </w:tcPr>
          <w:p>
            <w:pPr>
              <w:spacing w:after="0"/>
              <w:rPr>
                <w:color w:val="auto"/>
                <w:sz w:val="24"/>
                <w:szCs w:val="24"/>
              </w:rPr>
            </w:pPr>
          </w:p>
        </w:tc>
        <w:tc>
          <w:tcPr>
            <w:tcW w:w="1360" w:type="dxa"/>
            <w:vAlign w:val="bottom"/>
          </w:tcPr>
          <w:p>
            <w:pPr>
              <w:spacing w:after="0"/>
              <w:ind w:right="946"/>
              <w:jc w:val="right"/>
              <w:rPr>
                <w:color w:val="auto"/>
                <w:sz w:val="20"/>
                <w:szCs w:val="20"/>
              </w:rPr>
            </w:pPr>
            <w:r>
              <w:rPr>
                <w:rFonts w:ascii="Arial" w:hAnsi="Arial" w:eastAsia="Arial" w:cs="Arial"/>
                <w:b/>
                <w:bCs/>
                <w:color w:val="auto"/>
                <w:sz w:val="22"/>
                <w:szCs w:val="22"/>
              </w:rPr>
              <w:t>10</w:t>
            </w:r>
          </w:p>
        </w:tc>
        <w:tc>
          <w:tcPr>
            <w:tcW w:w="110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4"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8"/>
                <w:sz w:val="24"/>
                <w:szCs w:val="24"/>
              </w:rPr>
              <w:t>VDR</w:t>
            </w:r>
          </w:p>
        </w:tc>
        <w:tc>
          <w:tcPr>
            <w:tcW w:w="260" w:type="dxa"/>
            <w:vMerge w:val="restart"/>
            <w:textDirection w:val="btLr"/>
            <w:vAlign w:val="bottom"/>
          </w:tcPr>
          <w:p>
            <w:pPr>
              <w:spacing w:after="0"/>
              <w:ind w:left="30"/>
              <w:rPr>
                <w:color w:val="auto"/>
                <w:sz w:val="20"/>
                <w:szCs w:val="20"/>
              </w:rPr>
            </w:pPr>
            <w:r>
              <w:rPr>
                <w:rFonts w:ascii="Arial" w:hAnsi="Arial" w:eastAsia="Arial" w:cs="Arial"/>
                <w:b/>
                <w:bCs/>
                <w:color w:val="auto"/>
                <w:sz w:val="20"/>
                <w:szCs w:val="20"/>
              </w:rPr>
              <w:t>Relative</w:t>
            </w:r>
          </w:p>
        </w:tc>
        <w:tc>
          <w:tcPr>
            <w:tcW w:w="1360" w:type="dxa"/>
            <w:vAlign w:val="bottom"/>
          </w:tcPr>
          <w:p>
            <w:pPr>
              <w:spacing w:after="0"/>
              <w:ind w:right="946"/>
              <w:jc w:val="right"/>
              <w:rPr>
                <w:color w:val="auto"/>
                <w:sz w:val="20"/>
                <w:szCs w:val="20"/>
              </w:rPr>
            </w:pPr>
            <w:r>
              <w:rPr>
                <w:rFonts w:ascii="Arial" w:hAnsi="Arial" w:eastAsia="Arial" w:cs="Arial"/>
                <w:b/>
                <w:bCs/>
                <w:color w:val="auto"/>
                <w:sz w:val="22"/>
                <w:szCs w:val="22"/>
              </w:rPr>
              <w:t>5</w:t>
            </w:r>
          </w:p>
        </w:tc>
        <w:tc>
          <w:tcPr>
            <w:tcW w:w="110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0" w:type="dxa"/>
            <w:vMerge w:val="restart"/>
            <w:vAlign w:val="bottom"/>
          </w:tcPr>
          <w:p>
            <w:pPr>
              <w:spacing w:after="0"/>
              <w:ind w:left="840"/>
              <w:rPr>
                <w:color w:val="auto"/>
                <w:sz w:val="20"/>
                <w:szCs w:val="20"/>
              </w:rPr>
            </w:pPr>
            <w:r>
              <w:rPr>
                <w:rFonts w:ascii="Arial" w:hAnsi="Arial" w:eastAsia="Arial" w:cs="Arial"/>
                <w:color w:val="auto"/>
                <w:w w:val="76"/>
                <w:sz w:val="28"/>
                <w:szCs w:val="28"/>
              </w:rPr>
              <w:t>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5" w:hRule="atLeast"/>
        </w:trPr>
        <w:tc>
          <w:tcPr>
            <w:tcW w:w="240" w:type="dxa"/>
            <w:vMerge w:val="continue"/>
            <w:vAlign w:val="bottom"/>
          </w:tcPr>
          <w:p>
            <w:pPr>
              <w:spacing w:after="0"/>
              <w:rPr>
                <w:color w:val="auto"/>
                <w:sz w:val="15"/>
                <w:szCs w:val="15"/>
              </w:rPr>
            </w:pPr>
          </w:p>
        </w:tc>
        <w:tc>
          <w:tcPr>
            <w:tcW w:w="260" w:type="dxa"/>
            <w:vMerge w:val="continue"/>
            <w:vAlign w:val="bottom"/>
          </w:tcPr>
          <w:p>
            <w:pPr>
              <w:spacing w:after="0"/>
              <w:rPr>
                <w:color w:val="auto"/>
                <w:sz w:val="15"/>
                <w:szCs w:val="15"/>
              </w:rPr>
            </w:pPr>
          </w:p>
        </w:tc>
        <w:tc>
          <w:tcPr>
            <w:tcW w:w="1360" w:type="dxa"/>
            <w:vAlign w:val="bottom"/>
          </w:tcPr>
          <w:p>
            <w:pPr>
              <w:spacing w:after="0"/>
              <w:rPr>
                <w:color w:val="auto"/>
                <w:sz w:val="15"/>
                <w:szCs w:val="15"/>
              </w:rPr>
            </w:pPr>
          </w:p>
        </w:tc>
        <w:tc>
          <w:tcPr>
            <w:tcW w:w="1100" w:type="dxa"/>
            <w:vAlign w:val="bottom"/>
          </w:tcPr>
          <w:p>
            <w:pPr>
              <w:spacing w:after="0"/>
              <w:rPr>
                <w:color w:val="auto"/>
                <w:sz w:val="15"/>
                <w:szCs w:val="15"/>
              </w:rPr>
            </w:pPr>
          </w:p>
        </w:tc>
        <w:tc>
          <w:tcPr>
            <w:tcW w:w="840" w:type="dxa"/>
            <w:vAlign w:val="bottom"/>
          </w:tcPr>
          <w:p>
            <w:pPr>
              <w:spacing w:after="0"/>
              <w:rPr>
                <w:color w:val="auto"/>
                <w:sz w:val="15"/>
                <w:szCs w:val="15"/>
              </w:rPr>
            </w:pPr>
          </w:p>
        </w:tc>
        <w:tc>
          <w:tcPr>
            <w:tcW w:w="100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5" w:hRule="atLeast"/>
        </w:trPr>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1360" w:type="dxa"/>
            <w:vAlign w:val="bottom"/>
          </w:tcPr>
          <w:p>
            <w:pPr>
              <w:spacing w:after="0"/>
              <w:ind w:right="946"/>
              <w:jc w:val="right"/>
              <w:rPr>
                <w:color w:val="auto"/>
                <w:sz w:val="20"/>
                <w:szCs w:val="20"/>
              </w:rPr>
            </w:pPr>
            <w:r>
              <w:rPr>
                <w:rFonts w:ascii="Arial" w:hAnsi="Arial" w:eastAsia="Arial" w:cs="Arial"/>
                <w:b/>
                <w:bCs/>
                <w:color w:val="auto"/>
                <w:sz w:val="22"/>
                <w:szCs w:val="22"/>
              </w:rPr>
              <w:t>0</w:t>
            </w:r>
          </w:p>
        </w:tc>
        <w:tc>
          <w:tcPr>
            <w:tcW w:w="110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1360" w:type="dxa"/>
            <w:vAlign w:val="bottom"/>
          </w:tcPr>
          <w:p>
            <w:pPr>
              <w:spacing w:after="0"/>
              <w:ind w:right="266"/>
              <w:jc w:val="right"/>
              <w:rPr>
                <w:color w:val="auto"/>
                <w:sz w:val="20"/>
                <w:szCs w:val="20"/>
              </w:rPr>
            </w:pPr>
            <w:r>
              <w:rPr>
                <w:rFonts w:ascii="Arial" w:hAnsi="Arial" w:eastAsia="Arial" w:cs="Arial"/>
                <w:b/>
                <w:bCs/>
                <w:color w:val="auto"/>
                <w:sz w:val="15"/>
                <w:szCs w:val="15"/>
              </w:rPr>
              <w:t>l</w:t>
            </w:r>
          </w:p>
        </w:tc>
        <w:tc>
          <w:tcPr>
            <w:tcW w:w="1100" w:type="dxa"/>
            <w:vAlign w:val="bottom"/>
          </w:tcPr>
          <w:p>
            <w:pPr>
              <w:spacing w:after="0"/>
              <w:ind w:left="580"/>
              <w:rPr>
                <w:color w:val="auto"/>
                <w:sz w:val="20"/>
                <w:szCs w:val="20"/>
              </w:rPr>
            </w:pPr>
            <w:r>
              <w:rPr>
                <w:rFonts w:ascii="Arial" w:hAnsi="Arial" w:eastAsia="Arial" w:cs="Arial"/>
                <w:b/>
                <w:bCs/>
                <w:color w:val="auto"/>
                <w:w w:val="91"/>
                <w:sz w:val="15"/>
                <w:szCs w:val="15"/>
              </w:rPr>
              <w:t>A</w:t>
            </w:r>
          </w:p>
        </w:tc>
        <w:tc>
          <w:tcPr>
            <w:tcW w:w="840" w:type="dxa"/>
            <w:vMerge w:val="restart"/>
            <w:vAlign w:val="bottom"/>
          </w:tcPr>
          <w:p>
            <w:pPr>
              <w:spacing w:after="0"/>
              <w:ind w:left="300"/>
              <w:rPr>
                <w:color w:val="auto"/>
                <w:sz w:val="20"/>
                <w:szCs w:val="20"/>
              </w:rPr>
            </w:pPr>
            <w:r>
              <w:rPr>
                <w:rFonts w:ascii="Arial" w:hAnsi="Arial" w:eastAsia="Arial" w:cs="Arial"/>
                <w:b/>
                <w:bCs/>
                <w:color w:val="auto"/>
                <w:sz w:val="15"/>
                <w:szCs w:val="15"/>
              </w:rPr>
              <w:t>125D</w:t>
            </w:r>
          </w:p>
        </w:tc>
        <w:tc>
          <w:tcPr>
            <w:tcW w:w="1000" w:type="dxa"/>
            <w:vAlign w:val="bottom"/>
          </w:tcPr>
          <w:p>
            <w:pPr>
              <w:spacing w:after="0"/>
              <w:ind w:left="800"/>
              <w:rPr>
                <w:color w:val="auto"/>
                <w:sz w:val="20"/>
                <w:szCs w:val="20"/>
              </w:rPr>
            </w:pPr>
            <w:r>
              <w:rPr>
                <w:rFonts w:ascii="Arial" w:hAnsi="Arial" w:eastAsia="Arial" w:cs="Arial"/>
                <w:b/>
                <w:bCs/>
                <w:color w:val="auto"/>
                <w:w w:val="91"/>
                <w:sz w:val="15"/>
                <w:szCs w:val="15"/>
              </w:rPr>
              <w:t>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240" w:type="dxa"/>
            <w:vAlign w:val="bottom"/>
          </w:tcPr>
          <w:p>
            <w:pPr>
              <w:spacing w:after="0"/>
              <w:rPr>
                <w:color w:val="auto"/>
                <w:sz w:val="12"/>
                <w:szCs w:val="12"/>
              </w:rPr>
            </w:pPr>
          </w:p>
        </w:tc>
        <w:tc>
          <w:tcPr>
            <w:tcW w:w="260" w:type="dxa"/>
            <w:vAlign w:val="bottom"/>
          </w:tcPr>
          <w:p>
            <w:pPr>
              <w:spacing w:after="0"/>
              <w:rPr>
                <w:color w:val="auto"/>
                <w:sz w:val="12"/>
                <w:szCs w:val="12"/>
              </w:rPr>
            </w:pPr>
          </w:p>
        </w:tc>
        <w:tc>
          <w:tcPr>
            <w:tcW w:w="1360" w:type="dxa"/>
            <w:vAlign w:val="bottom"/>
          </w:tcPr>
          <w:p>
            <w:pPr>
              <w:spacing w:after="0" w:line="195" w:lineRule="auto"/>
              <w:ind w:right="346"/>
              <w:jc w:val="right"/>
              <w:rPr>
                <w:color w:val="auto"/>
                <w:sz w:val="20"/>
                <w:szCs w:val="20"/>
              </w:rPr>
            </w:pPr>
            <w:r>
              <w:rPr>
                <w:rFonts w:ascii="Arial" w:hAnsi="Arial" w:eastAsia="Arial" w:cs="Arial"/>
                <w:b/>
                <w:bCs/>
                <w:color w:val="auto"/>
                <w:w w:val="99"/>
                <w:sz w:val="15"/>
                <w:szCs w:val="15"/>
              </w:rPr>
              <w:t>tro</w:t>
            </w:r>
          </w:p>
        </w:tc>
        <w:tc>
          <w:tcPr>
            <w:tcW w:w="1100" w:type="dxa"/>
            <w:vAlign w:val="bottom"/>
          </w:tcPr>
          <w:p>
            <w:pPr>
              <w:spacing w:after="0" w:line="195" w:lineRule="auto"/>
              <w:ind w:left="460"/>
              <w:rPr>
                <w:color w:val="auto"/>
                <w:sz w:val="20"/>
                <w:szCs w:val="20"/>
              </w:rPr>
            </w:pPr>
            <w:r>
              <w:rPr>
                <w:rFonts w:ascii="Arial" w:hAnsi="Arial" w:eastAsia="Arial" w:cs="Arial"/>
                <w:b/>
                <w:bCs/>
                <w:color w:val="auto"/>
                <w:sz w:val="15"/>
                <w:szCs w:val="15"/>
              </w:rPr>
              <w:t>S</w:t>
            </w:r>
          </w:p>
        </w:tc>
        <w:tc>
          <w:tcPr>
            <w:tcW w:w="840" w:type="dxa"/>
            <w:vMerge w:val="continue"/>
            <w:vAlign w:val="bottom"/>
          </w:tcPr>
          <w:p>
            <w:pPr>
              <w:spacing w:after="0"/>
              <w:rPr>
                <w:color w:val="auto"/>
                <w:sz w:val="12"/>
                <w:szCs w:val="12"/>
              </w:rPr>
            </w:pPr>
          </w:p>
        </w:tc>
        <w:tc>
          <w:tcPr>
            <w:tcW w:w="1000" w:type="dxa"/>
            <w:vAlign w:val="bottom"/>
          </w:tcPr>
          <w:p>
            <w:pPr>
              <w:spacing w:after="0" w:line="195" w:lineRule="auto"/>
              <w:ind w:left="680"/>
              <w:rPr>
                <w:color w:val="auto"/>
                <w:sz w:val="20"/>
                <w:szCs w:val="20"/>
              </w:rPr>
            </w:pPr>
            <w:r>
              <w:rPr>
                <w:rFonts w:ascii="Arial" w:hAnsi="Arial" w:eastAsia="Arial" w:cs="Arial"/>
                <w:b/>
                <w:bCs/>
                <w:color w:val="auto"/>
                <w:sz w:val="15"/>
                <w:szCs w:val="15"/>
              </w:rPr>
              <w: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40" w:type="dxa"/>
            <w:vAlign w:val="bottom"/>
          </w:tcPr>
          <w:p>
            <w:pPr>
              <w:spacing w:after="0"/>
              <w:rPr>
                <w:color w:val="auto"/>
                <w:sz w:val="10"/>
                <w:szCs w:val="10"/>
              </w:rPr>
            </w:pPr>
          </w:p>
        </w:tc>
        <w:tc>
          <w:tcPr>
            <w:tcW w:w="260" w:type="dxa"/>
            <w:vAlign w:val="bottom"/>
          </w:tcPr>
          <w:p>
            <w:pPr>
              <w:spacing w:after="0"/>
              <w:rPr>
                <w:color w:val="auto"/>
                <w:sz w:val="10"/>
                <w:szCs w:val="10"/>
              </w:rPr>
            </w:pPr>
          </w:p>
        </w:tc>
        <w:tc>
          <w:tcPr>
            <w:tcW w:w="1360" w:type="dxa"/>
            <w:vAlign w:val="bottom"/>
          </w:tcPr>
          <w:p>
            <w:pPr>
              <w:spacing w:after="0" w:line="192" w:lineRule="auto"/>
              <w:ind w:right="546"/>
              <w:jc w:val="right"/>
              <w:rPr>
                <w:color w:val="auto"/>
                <w:sz w:val="20"/>
                <w:szCs w:val="20"/>
              </w:rPr>
            </w:pPr>
            <w:r>
              <w:rPr>
                <w:rFonts w:ascii="Arial" w:hAnsi="Arial" w:eastAsia="Arial" w:cs="Arial"/>
                <w:b/>
                <w:bCs/>
                <w:color w:val="auto"/>
                <w:sz w:val="13"/>
                <w:szCs w:val="13"/>
              </w:rPr>
              <w:t>n</w:t>
            </w:r>
          </w:p>
        </w:tc>
        <w:tc>
          <w:tcPr>
            <w:tcW w:w="1100" w:type="dxa"/>
            <w:vAlign w:val="bottom"/>
          </w:tcPr>
          <w:p>
            <w:pPr>
              <w:spacing w:after="0" w:line="192" w:lineRule="auto"/>
              <w:ind w:left="360"/>
              <w:rPr>
                <w:color w:val="auto"/>
                <w:sz w:val="20"/>
                <w:szCs w:val="20"/>
              </w:rPr>
            </w:pPr>
            <w:r>
              <w:rPr>
                <w:rFonts w:ascii="Arial" w:hAnsi="Arial" w:eastAsia="Arial" w:cs="Arial"/>
                <w:b/>
                <w:bCs/>
                <w:color w:val="auto"/>
                <w:sz w:val="13"/>
                <w:szCs w:val="13"/>
              </w:rPr>
              <w:t>T</w:t>
            </w:r>
          </w:p>
        </w:tc>
        <w:tc>
          <w:tcPr>
            <w:tcW w:w="840" w:type="dxa"/>
            <w:vMerge w:val="continue"/>
            <w:vAlign w:val="bottom"/>
          </w:tcPr>
          <w:p>
            <w:pPr>
              <w:spacing w:after="0"/>
              <w:rPr>
                <w:color w:val="auto"/>
                <w:sz w:val="10"/>
                <w:szCs w:val="10"/>
              </w:rPr>
            </w:pPr>
          </w:p>
        </w:tc>
        <w:tc>
          <w:tcPr>
            <w:tcW w:w="1000" w:type="dxa"/>
            <w:vMerge w:val="restart"/>
            <w:vAlign w:val="bottom"/>
          </w:tcPr>
          <w:p>
            <w:pPr>
              <w:spacing w:after="0"/>
              <w:ind w:left="180"/>
              <w:rPr>
                <w:color w:val="auto"/>
                <w:sz w:val="20"/>
                <w:szCs w:val="20"/>
              </w:rPr>
            </w:pPr>
            <w:r>
              <w:rPr>
                <w:rFonts w:ascii="Arial" w:hAnsi="Arial" w:eastAsia="Arial" w:cs="Arial"/>
                <w:b/>
                <w:bCs/>
                <w:color w:val="auto"/>
                <w:sz w:val="15"/>
                <w:szCs w:val="15"/>
              </w:rPr>
              <w:t>125D/T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1" w:hRule="atLeast"/>
        </w:trPr>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1360" w:type="dxa"/>
            <w:vAlign w:val="bottom"/>
          </w:tcPr>
          <w:p>
            <w:pPr>
              <w:spacing w:after="0"/>
              <w:ind w:right="646"/>
              <w:jc w:val="right"/>
              <w:rPr>
                <w:color w:val="auto"/>
                <w:sz w:val="20"/>
                <w:szCs w:val="20"/>
              </w:rPr>
            </w:pPr>
            <w:r>
              <w:rPr>
                <w:rFonts w:ascii="Arial" w:hAnsi="Arial" w:eastAsia="Arial" w:cs="Arial"/>
                <w:b/>
                <w:bCs/>
                <w:color w:val="auto"/>
                <w:w w:val="99"/>
                <w:sz w:val="15"/>
                <w:szCs w:val="15"/>
              </w:rPr>
              <w:t>Co</w:t>
            </w:r>
          </w:p>
        </w:tc>
        <w:tc>
          <w:tcPr>
            <w:tcW w:w="110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0" w:type="dxa"/>
            <w:vMerge w:val="continue"/>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240" w:type="dxa"/>
            <w:vAlign w:val="bottom"/>
          </w:tcPr>
          <w:p>
            <w:pPr>
              <w:spacing w:after="0"/>
              <w:rPr>
                <w:color w:val="auto"/>
                <w:sz w:val="15"/>
                <w:szCs w:val="15"/>
              </w:rPr>
            </w:pPr>
          </w:p>
        </w:tc>
        <w:tc>
          <w:tcPr>
            <w:tcW w:w="260" w:type="dxa"/>
            <w:vAlign w:val="bottom"/>
          </w:tcPr>
          <w:p>
            <w:pPr>
              <w:spacing w:after="0"/>
              <w:rPr>
                <w:color w:val="auto"/>
                <w:sz w:val="15"/>
                <w:szCs w:val="15"/>
              </w:rPr>
            </w:pPr>
          </w:p>
        </w:tc>
        <w:tc>
          <w:tcPr>
            <w:tcW w:w="1360" w:type="dxa"/>
            <w:vAlign w:val="bottom"/>
          </w:tcPr>
          <w:p>
            <w:pPr>
              <w:spacing w:after="0"/>
              <w:rPr>
                <w:color w:val="auto"/>
                <w:sz w:val="15"/>
                <w:szCs w:val="15"/>
              </w:rPr>
            </w:pPr>
          </w:p>
        </w:tc>
        <w:tc>
          <w:tcPr>
            <w:tcW w:w="1100" w:type="dxa"/>
            <w:vAlign w:val="bottom"/>
          </w:tcPr>
          <w:p>
            <w:pPr>
              <w:spacing w:after="0"/>
              <w:rPr>
                <w:color w:val="auto"/>
                <w:sz w:val="15"/>
                <w:szCs w:val="15"/>
              </w:rPr>
            </w:pPr>
          </w:p>
        </w:tc>
        <w:tc>
          <w:tcPr>
            <w:tcW w:w="840" w:type="dxa"/>
            <w:vAlign w:val="bottom"/>
          </w:tcPr>
          <w:p>
            <w:pPr>
              <w:spacing w:after="0"/>
              <w:rPr>
                <w:color w:val="auto"/>
                <w:sz w:val="15"/>
                <w:szCs w:val="15"/>
              </w:rPr>
            </w:pPr>
          </w:p>
        </w:tc>
        <w:tc>
          <w:tcPr>
            <w:tcW w:w="100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2103120</wp:posOffset>
            </wp:positionH>
            <wp:positionV relativeFrom="paragraph">
              <wp:posOffset>-2594610</wp:posOffset>
            </wp:positionV>
            <wp:extent cx="2804160" cy="1889760"/>
            <wp:effectExtent l="0" t="0" r="15240" b="15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2804160" cy="1889760"/>
                    </a:xfrm>
                    <a:prstGeom prst="rect">
                      <a:avLst/>
                    </a:prstGeom>
                    <a:noFill/>
                  </pic:spPr>
                </pic:pic>
              </a:graphicData>
            </a:graphic>
          </wp:anchor>
        </w:drawing>
      </w:r>
    </w:p>
    <w:p>
      <w:pPr>
        <w:spacing w:after="0" w:line="294" w:lineRule="exact"/>
        <w:rPr>
          <w:color w:val="auto"/>
          <w:sz w:val="20"/>
          <w:szCs w:val="20"/>
        </w:rPr>
      </w:pPr>
    </w:p>
    <w:p>
      <w:pPr>
        <w:spacing w:after="0" w:line="227" w:lineRule="auto"/>
        <w:ind w:left="720" w:right="160" w:firstLine="871"/>
        <w:rPr>
          <w:color w:val="auto"/>
          <w:sz w:val="20"/>
          <w:szCs w:val="20"/>
        </w:rPr>
      </w:pPr>
      <w:r>
        <w:rPr>
          <w:rFonts w:ascii="Cambria" w:hAnsi="Cambria" w:eastAsia="Cambria" w:cs="Cambria"/>
          <w:color w:val="auto"/>
          <w:sz w:val="24"/>
          <w:szCs w:val="24"/>
        </w:rPr>
        <w:t>Figure 4.1 Experiment 1: Effect of TSA on VDR Gene Expression Mean ± SEM fold change of VDR mRNA in comparison to a control, at the value of 1. Statistical significance notation: a= p&lt;0.05 vs. control, b= p&lt;0.05 vitamin D compared to vitamin D &amp; TSA.</w:t>
      </w:r>
    </w:p>
    <w:p>
      <w:pPr>
        <w:spacing w:after="0" w:line="200" w:lineRule="exact"/>
        <w:rPr>
          <w:color w:val="auto"/>
          <w:sz w:val="20"/>
          <w:szCs w:val="20"/>
        </w:rPr>
      </w:pPr>
    </w:p>
    <w:p>
      <w:pPr>
        <w:spacing w:after="0" w:line="348" w:lineRule="exact"/>
        <w:rPr>
          <w:color w:val="auto"/>
          <w:sz w:val="20"/>
          <w:szCs w:val="20"/>
        </w:rPr>
      </w:pPr>
    </w:p>
    <w:tbl>
      <w:tblPr>
        <w:tblStyle w:val="3"/>
        <w:tblW w:w="0" w:type="auto"/>
        <w:tblInd w:w="2400" w:type="dxa"/>
        <w:tblLayout w:type="fixed"/>
        <w:tblCellMar>
          <w:top w:w="0" w:type="dxa"/>
          <w:left w:w="0" w:type="dxa"/>
          <w:bottom w:w="0" w:type="dxa"/>
          <w:right w:w="0" w:type="dxa"/>
        </w:tblCellMar>
      </w:tblPr>
      <w:tblGrid>
        <w:gridCol w:w="220"/>
        <w:gridCol w:w="280"/>
        <w:gridCol w:w="1480"/>
        <w:gridCol w:w="1120"/>
        <w:gridCol w:w="880"/>
        <w:gridCol w:w="280"/>
        <w:gridCol w:w="580"/>
        <w:gridCol w:w="20"/>
        <w:gridCol w:w="340"/>
        <w:gridCol w:w="20"/>
      </w:tblGrid>
      <w:tr>
        <w:trPr>
          <w:trHeight w:val="253" w:hRule="atLeast"/>
        </w:trPr>
        <w:tc>
          <w:tcPr>
            <w:tcW w:w="220" w:type="dxa"/>
            <w:vAlign w:val="bottom"/>
          </w:tcPr>
          <w:p>
            <w:pPr>
              <w:spacing w:after="0"/>
              <w:rPr>
                <w:color w:val="auto"/>
                <w:sz w:val="21"/>
                <w:szCs w:val="21"/>
              </w:rPr>
            </w:pPr>
          </w:p>
        </w:tc>
        <w:tc>
          <w:tcPr>
            <w:tcW w:w="280" w:type="dxa"/>
            <w:vAlign w:val="bottom"/>
          </w:tcPr>
          <w:p>
            <w:pPr>
              <w:spacing w:after="0"/>
              <w:rPr>
                <w:color w:val="auto"/>
                <w:sz w:val="21"/>
                <w:szCs w:val="21"/>
              </w:rPr>
            </w:pP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200</w:t>
            </w:r>
          </w:p>
        </w:tc>
        <w:tc>
          <w:tcPr>
            <w:tcW w:w="112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280" w:type="dxa"/>
            <w:vAlign w:val="bottom"/>
          </w:tcPr>
          <w:p>
            <w:pPr>
              <w:spacing w:after="0"/>
              <w:rPr>
                <w:color w:val="auto"/>
                <w:sz w:val="21"/>
                <w:szCs w:val="21"/>
              </w:rPr>
            </w:pPr>
          </w:p>
        </w:tc>
        <w:tc>
          <w:tcPr>
            <w:tcW w:w="600" w:type="dxa"/>
            <w:gridSpan w:val="2"/>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44" w:hRule="atLeast"/>
        </w:trPr>
        <w:tc>
          <w:tcPr>
            <w:tcW w:w="220" w:type="dxa"/>
            <w:vAlign w:val="bottom"/>
          </w:tcPr>
          <w:p>
            <w:pPr>
              <w:spacing w:after="0"/>
              <w:rPr>
                <w:color w:val="auto"/>
                <w:sz w:val="24"/>
                <w:szCs w:val="24"/>
              </w:rPr>
            </w:pPr>
          </w:p>
        </w:tc>
        <w:tc>
          <w:tcPr>
            <w:tcW w:w="280" w:type="dxa"/>
            <w:vMerge w:val="restart"/>
            <w:textDirection w:val="btLr"/>
            <w:vAlign w:val="bottom"/>
          </w:tcPr>
          <w:p>
            <w:pPr>
              <w:spacing w:after="0"/>
              <w:ind w:left="50"/>
              <w:rPr>
                <w:color w:val="auto"/>
                <w:sz w:val="20"/>
                <w:szCs w:val="20"/>
              </w:rPr>
            </w:pPr>
            <w:r>
              <w:rPr>
                <w:rFonts w:ascii="Arial" w:hAnsi="Arial" w:eastAsia="Arial" w:cs="Arial"/>
                <w:color w:val="auto"/>
                <w:sz w:val="20"/>
                <w:szCs w:val="20"/>
              </w:rPr>
              <w:t>Relative Fold Expression</w:t>
            </w: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150</w:t>
            </w:r>
          </w:p>
        </w:tc>
        <w:tc>
          <w:tcPr>
            <w:tcW w:w="11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6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220" w:type="dxa"/>
            <w:vMerge w:val="restart"/>
            <w:textDirection w:val="btLr"/>
            <w:vAlign w:val="bottom"/>
          </w:tcPr>
          <w:p>
            <w:pPr>
              <w:spacing w:after="0"/>
              <w:rPr>
                <w:color w:val="auto"/>
                <w:sz w:val="20"/>
                <w:szCs w:val="20"/>
              </w:rPr>
            </w:pPr>
            <w:r>
              <w:rPr>
                <w:rFonts w:ascii="Arial" w:hAnsi="Arial" w:eastAsia="Arial" w:cs="Arial"/>
                <w:b/>
                <w:bCs/>
                <w:color w:val="auto"/>
                <w:w w:val="98"/>
                <w:sz w:val="24"/>
                <w:szCs w:val="24"/>
              </w:rPr>
              <w:t>CYP24 mRNA,</w:t>
            </w:r>
          </w:p>
        </w:tc>
        <w:tc>
          <w:tcPr>
            <w:tcW w:w="280" w:type="dxa"/>
            <w:vMerge w:val="continue"/>
            <w:vAlign w:val="bottom"/>
          </w:tcPr>
          <w:p>
            <w:pPr>
              <w:spacing w:after="0"/>
              <w:rPr>
                <w:color w:val="auto"/>
                <w:sz w:val="23"/>
                <w:szCs w:val="23"/>
              </w:rPr>
            </w:pPr>
          </w:p>
        </w:tc>
        <w:tc>
          <w:tcPr>
            <w:tcW w:w="1480" w:type="dxa"/>
            <w:vMerge w:val="restart"/>
            <w:vAlign w:val="bottom"/>
          </w:tcPr>
          <w:p>
            <w:pPr>
              <w:spacing w:after="0"/>
              <w:ind w:right="914"/>
              <w:jc w:val="right"/>
              <w:rPr>
                <w:color w:val="auto"/>
                <w:sz w:val="20"/>
                <w:szCs w:val="20"/>
              </w:rPr>
            </w:pPr>
            <w:r>
              <w:rPr>
                <w:rFonts w:ascii="Arial" w:hAnsi="Arial" w:eastAsia="Arial" w:cs="Arial"/>
                <w:b/>
                <w:bCs/>
                <w:color w:val="auto"/>
                <w:sz w:val="22"/>
                <w:szCs w:val="22"/>
              </w:rPr>
              <w:t>100</w:t>
            </w:r>
          </w:p>
        </w:tc>
        <w:tc>
          <w:tcPr>
            <w:tcW w:w="1120" w:type="dxa"/>
            <w:vAlign w:val="bottom"/>
          </w:tcPr>
          <w:p>
            <w:pPr>
              <w:spacing w:after="0"/>
              <w:rPr>
                <w:color w:val="auto"/>
                <w:sz w:val="23"/>
                <w:szCs w:val="23"/>
              </w:rPr>
            </w:pPr>
          </w:p>
        </w:tc>
        <w:tc>
          <w:tcPr>
            <w:tcW w:w="880" w:type="dxa"/>
            <w:vAlign w:val="bottom"/>
          </w:tcPr>
          <w:p>
            <w:pPr>
              <w:spacing w:after="0" w:line="266" w:lineRule="exact"/>
              <w:ind w:left="600"/>
              <w:rPr>
                <w:color w:val="auto"/>
                <w:sz w:val="20"/>
                <w:szCs w:val="20"/>
              </w:rPr>
            </w:pPr>
            <w:r>
              <w:rPr>
                <w:rFonts w:ascii="Arial" w:hAnsi="Arial" w:eastAsia="Arial" w:cs="Arial"/>
                <w:color w:val="auto"/>
                <w:sz w:val="28"/>
                <w:szCs w:val="28"/>
              </w:rPr>
              <w:t>a</w:t>
            </w:r>
          </w:p>
        </w:tc>
        <w:tc>
          <w:tcPr>
            <w:tcW w:w="280" w:type="dxa"/>
            <w:vAlign w:val="bottom"/>
          </w:tcPr>
          <w:p>
            <w:pPr>
              <w:spacing w:after="0"/>
              <w:rPr>
                <w:color w:val="auto"/>
                <w:sz w:val="23"/>
                <w:szCs w:val="23"/>
              </w:rPr>
            </w:pPr>
          </w:p>
        </w:tc>
        <w:tc>
          <w:tcPr>
            <w:tcW w:w="600" w:type="dxa"/>
            <w:gridSpan w:val="2"/>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78" w:hRule="atLeast"/>
        </w:trPr>
        <w:tc>
          <w:tcPr>
            <w:tcW w:w="220" w:type="dxa"/>
            <w:vMerge w:val="continue"/>
            <w:vAlign w:val="bottom"/>
          </w:tcPr>
          <w:p>
            <w:pPr>
              <w:spacing w:after="0"/>
              <w:rPr>
                <w:color w:val="auto"/>
                <w:sz w:val="15"/>
                <w:szCs w:val="15"/>
              </w:rPr>
            </w:pPr>
          </w:p>
        </w:tc>
        <w:tc>
          <w:tcPr>
            <w:tcW w:w="280" w:type="dxa"/>
            <w:vMerge w:val="continue"/>
            <w:vAlign w:val="bottom"/>
          </w:tcPr>
          <w:p>
            <w:pPr>
              <w:spacing w:after="0"/>
              <w:rPr>
                <w:color w:val="auto"/>
                <w:sz w:val="15"/>
                <w:szCs w:val="15"/>
              </w:rPr>
            </w:pPr>
          </w:p>
        </w:tc>
        <w:tc>
          <w:tcPr>
            <w:tcW w:w="1480" w:type="dxa"/>
            <w:vMerge w:val="continue"/>
            <w:vAlign w:val="bottom"/>
          </w:tcPr>
          <w:p>
            <w:pPr>
              <w:spacing w:after="0"/>
              <w:rPr>
                <w:color w:val="auto"/>
                <w:sz w:val="15"/>
                <w:szCs w:val="15"/>
              </w:rPr>
            </w:pPr>
          </w:p>
        </w:tc>
        <w:tc>
          <w:tcPr>
            <w:tcW w:w="1120" w:type="dxa"/>
            <w:vAlign w:val="bottom"/>
          </w:tcPr>
          <w:p>
            <w:pPr>
              <w:spacing w:after="0"/>
              <w:rPr>
                <w:color w:val="auto"/>
                <w:sz w:val="15"/>
                <w:szCs w:val="15"/>
              </w:rPr>
            </w:pPr>
          </w:p>
        </w:tc>
        <w:tc>
          <w:tcPr>
            <w:tcW w:w="880" w:type="dxa"/>
            <w:vAlign w:val="bottom"/>
          </w:tcPr>
          <w:p>
            <w:pPr>
              <w:spacing w:after="0"/>
              <w:rPr>
                <w:color w:val="auto"/>
                <w:sz w:val="15"/>
                <w:szCs w:val="15"/>
              </w:rPr>
            </w:pPr>
          </w:p>
        </w:tc>
        <w:tc>
          <w:tcPr>
            <w:tcW w:w="280" w:type="dxa"/>
            <w:vAlign w:val="bottom"/>
          </w:tcPr>
          <w:p>
            <w:pPr>
              <w:spacing w:after="0"/>
              <w:rPr>
                <w:color w:val="auto"/>
                <w:sz w:val="15"/>
                <w:szCs w:val="15"/>
              </w:rPr>
            </w:pPr>
          </w:p>
        </w:tc>
        <w:tc>
          <w:tcPr>
            <w:tcW w:w="600" w:type="dxa"/>
            <w:gridSpan w:val="2"/>
            <w:vAlign w:val="bottom"/>
          </w:tcPr>
          <w:p>
            <w:pPr>
              <w:spacing w:after="0"/>
              <w:rPr>
                <w:color w:val="auto"/>
                <w:sz w:val="15"/>
                <w:szCs w:val="1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2" w:hRule="atLeast"/>
        </w:trPr>
        <w:tc>
          <w:tcPr>
            <w:tcW w:w="220" w:type="dxa"/>
            <w:vMerge w:val="continue"/>
            <w:vAlign w:val="bottom"/>
          </w:tcPr>
          <w:p>
            <w:pPr>
              <w:spacing w:after="0"/>
              <w:rPr>
                <w:color w:val="auto"/>
                <w:sz w:val="24"/>
                <w:szCs w:val="24"/>
              </w:rPr>
            </w:pPr>
          </w:p>
        </w:tc>
        <w:tc>
          <w:tcPr>
            <w:tcW w:w="280" w:type="dxa"/>
            <w:vMerge w:val="continue"/>
            <w:vAlign w:val="bottom"/>
          </w:tcPr>
          <w:p>
            <w:pPr>
              <w:spacing w:after="0"/>
              <w:rPr>
                <w:color w:val="auto"/>
                <w:sz w:val="24"/>
                <w:szCs w:val="24"/>
              </w:rPr>
            </w:pP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50</w:t>
            </w:r>
          </w:p>
        </w:tc>
        <w:tc>
          <w:tcPr>
            <w:tcW w:w="1120" w:type="dxa"/>
            <w:vAlign w:val="bottom"/>
          </w:tcPr>
          <w:p>
            <w:pPr>
              <w:spacing w:after="0"/>
              <w:ind w:left="660"/>
              <w:rPr>
                <w:color w:val="auto"/>
                <w:sz w:val="20"/>
                <w:szCs w:val="20"/>
              </w:rPr>
            </w:pPr>
            <w:r>
              <w:rPr>
                <w:rFonts w:ascii="Arial" w:hAnsi="Arial" w:eastAsia="Arial" w:cs="Arial"/>
                <w:color w:val="auto"/>
                <w:sz w:val="28"/>
                <w:szCs w:val="28"/>
              </w:rPr>
              <w:t>a</w:t>
            </w:r>
          </w:p>
        </w:tc>
        <w:tc>
          <w:tcPr>
            <w:tcW w:w="8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6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8" w:hRule="atLeast"/>
        </w:trPr>
        <w:tc>
          <w:tcPr>
            <w:tcW w:w="220" w:type="dxa"/>
            <w:vMerge w:val="continue"/>
            <w:vAlign w:val="bottom"/>
          </w:tcPr>
          <w:p>
            <w:pPr>
              <w:spacing w:after="0"/>
              <w:rPr>
                <w:color w:val="auto"/>
                <w:sz w:val="18"/>
                <w:szCs w:val="18"/>
              </w:rPr>
            </w:pPr>
          </w:p>
        </w:tc>
        <w:tc>
          <w:tcPr>
            <w:tcW w:w="280" w:type="dxa"/>
            <w:vMerge w:val="continue"/>
            <w:vAlign w:val="bottom"/>
          </w:tcPr>
          <w:p>
            <w:pPr>
              <w:spacing w:after="0"/>
              <w:rPr>
                <w:color w:val="auto"/>
                <w:sz w:val="18"/>
                <w:szCs w:val="18"/>
              </w:rPr>
            </w:pPr>
          </w:p>
        </w:tc>
        <w:tc>
          <w:tcPr>
            <w:tcW w:w="1480" w:type="dxa"/>
            <w:vAlign w:val="bottom"/>
          </w:tcPr>
          <w:p>
            <w:pPr>
              <w:spacing w:after="0" w:line="208" w:lineRule="exact"/>
              <w:ind w:right="914"/>
              <w:jc w:val="right"/>
              <w:rPr>
                <w:color w:val="auto"/>
                <w:sz w:val="20"/>
                <w:szCs w:val="20"/>
              </w:rPr>
            </w:pPr>
            <w:r>
              <w:rPr>
                <w:rFonts w:ascii="Arial" w:hAnsi="Arial" w:eastAsia="Arial" w:cs="Arial"/>
                <w:b/>
                <w:bCs/>
                <w:color w:val="auto"/>
                <w:sz w:val="22"/>
                <w:szCs w:val="22"/>
              </w:rPr>
              <w:t>15</w:t>
            </w:r>
          </w:p>
        </w:tc>
        <w:tc>
          <w:tcPr>
            <w:tcW w:w="1120" w:type="dxa"/>
            <w:vAlign w:val="bottom"/>
          </w:tcPr>
          <w:p>
            <w:pPr>
              <w:spacing w:after="0"/>
              <w:rPr>
                <w:color w:val="auto"/>
                <w:sz w:val="18"/>
                <w:szCs w:val="18"/>
              </w:rPr>
            </w:pPr>
          </w:p>
        </w:tc>
        <w:tc>
          <w:tcPr>
            <w:tcW w:w="880" w:type="dxa"/>
            <w:vAlign w:val="bottom"/>
          </w:tcPr>
          <w:p>
            <w:pPr>
              <w:spacing w:after="0"/>
              <w:rPr>
                <w:color w:val="auto"/>
                <w:sz w:val="18"/>
                <w:szCs w:val="18"/>
              </w:rPr>
            </w:pPr>
          </w:p>
        </w:tc>
        <w:tc>
          <w:tcPr>
            <w:tcW w:w="280" w:type="dxa"/>
            <w:vAlign w:val="bottom"/>
          </w:tcPr>
          <w:p>
            <w:pPr>
              <w:spacing w:after="0"/>
              <w:rPr>
                <w:color w:val="auto"/>
                <w:sz w:val="18"/>
                <w:szCs w:val="18"/>
              </w:rPr>
            </w:pPr>
          </w:p>
        </w:tc>
        <w:tc>
          <w:tcPr>
            <w:tcW w:w="600" w:type="dxa"/>
            <w:gridSpan w:val="2"/>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44" w:hRule="atLeast"/>
        </w:trPr>
        <w:tc>
          <w:tcPr>
            <w:tcW w:w="220" w:type="dxa"/>
            <w:vMerge w:val="continue"/>
            <w:vAlign w:val="bottom"/>
          </w:tcPr>
          <w:p>
            <w:pPr>
              <w:spacing w:after="0"/>
              <w:rPr>
                <w:color w:val="auto"/>
                <w:sz w:val="24"/>
                <w:szCs w:val="24"/>
              </w:rPr>
            </w:pPr>
          </w:p>
        </w:tc>
        <w:tc>
          <w:tcPr>
            <w:tcW w:w="280" w:type="dxa"/>
            <w:vMerge w:val="continue"/>
            <w:vAlign w:val="bottom"/>
          </w:tcPr>
          <w:p>
            <w:pPr>
              <w:spacing w:after="0"/>
              <w:rPr>
                <w:color w:val="auto"/>
                <w:sz w:val="24"/>
                <w:szCs w:val="24"/>
              </w:rPr>
            </w:pP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10</w:t>
            </w:r>
          </w:p>
        </w:tc>
        <w:tc>
          <w:tcPr>
            <w:tcW w:w="11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6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8" w:hRule="atLeast"/>
        </w:trPr>
        <w:tc>
          <w:tcPr>
            <w:tcW w:w="220" w:type="dxa"/>
            <w:vMerge w:val="continue"/>
            <w:vAlign w:val="bottom"/>
          </w:tcPr>
          <w:p>
            <w:pPr>
              <w:spacing w:after="0"/>
              <w:rPr>
                <w:color w:val="auto"/>
                <w:sz w:val="24"/>
                <w:szCs w:val="24"/>
              </w:rPr>
            </w:pPr>
          </w:p>
        </w:tc>
        <w:tc>
          <w:tcPr>
            <w:tcW w:w="280" w:type="dxa"/>
            <w:vMerge w:val="continue"/>
            <w:vAlign w:val="bottom"/>
          </w:tcPr>
          <w:p>
            <w:pPr>
              <w:spacing w:after="0"/>
              <w:rPr>
                <w:color w:val="auto"/>
                <w:sz w:val="24"/>
                <w:szCs w:val="24"/>
              </w:rPr>
            </w:pP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5</w:t>
            </w:r>
          </w:p>
        </w:tc>
        <w:tc>
          <w:tcPr>
            <w:tcW w:w="11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6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30" w:hRule="atLeast"/>
        </w:trPr>
        <w:tc>
          <w:tcPr>
            <w:tcW w:w="22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480" w:type="dxa"/>
            <w:vAlign w:val="bottom"/>
          </w:tcPr>
          <w:p>
            <w:pPr>
              <w:spacing w:after="0"/>
              <w:ind w:right="914"/>
              <w:jc w:val="right"/>
              <w:rPr>
                <w:color w:val="auto"/>
                <w:sz w:val="20"/>
                <w:szCs w:val="20"/>
              </w:rPr>
            </w:pPr>
            <w:r>
              <w:rPr>
                <w:rFonts w:ascii="Arial" w:hAnsi="Arial" w:eastAsia="Arial" w:cs="Arial"/>
                <w:b/>
                <w:bCs/>
                <w:color w:val="auto"/>
                <w:sz w:val="22"/>
                <w:szCs w:val="22"/>
              </w:rPr>
              <w:t>0</w:t>
            </w:r>
          </w:p>
        </w:tc>
        <w:tc>
          <w:tcPr>
            <w:tcW w:w="11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6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38" w:hRule="atLeast"/>
        </w:trPr>
        <w:tc>
          <w:tcPr>
            <w:tcW w:w="22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480" w:type="dxa"/>
            <w:vAlign w:val="bottom"/>
          </w:tcPr>
          <w:p>
            <w:pPr>
              <w:spacing w:after="0"/>
              <w:ind w:right="274"/>
              <w:jc w:val="right"/>
              <w:rPr>
                <w:color w:val="auto"/>
                <w:sz w:val="20"/>
                <w:szCs w:val="20"/>
              </w:rPr>
            </w:pPr>
            <w:r>
              <w:rPr>
                <w:rFonts w:ascii="Arial" w:hAnsi="Arial" w:eastAsia="Arial" w:cs="Arial"/>
                <w:b/>
                <w:bCs/>
                <w:color w:val="auto"/>
                <w:sz w:val="15"/>
                <w:szCs w:val="15"/>
              </w:rPr>
              <w:t>Control</w:t>
            </w:r>
          </w:p>
        </w:tc>
        <w:tc>
          <w:tcPr>
            <w:tcW w:w="1120" w:type="dxa"/>
            <w:vAlign w:val="bottom"/>
          </w:tcPr>
          <w:p>
            <w:pPr>
              <w:spacing w:after="0"/>
              <w:ind w:left="380"/>
              <w:rPr>
                <w:color w:val="auto"/>
                <w:sz w:val="20"/>
                <w:szCs w:val="20"/>
              </w:rPr>
            </w:pPr>
            <w:r>
              <w:rPr>
                <w:rFonts w:ascii="Arial" w:hAnsi="Arial" w:eastAsia="Arial" w:cs="Arial"/>
                <w:b/>
                <w:bCs/>
                <w:color w:val="auto"/>
                <w:sz w:val="15"/>
                <w:szCs w:val="15"/>
              </w:rPr>
              <w:t>TSA</w:t>
            </w:r>
          </w:p>
        </w:tc>
        <w:tc>
          <w:tcPr>
            <w:tcW w:w="880" w:type="dxa"/>
            <w:vAlign w:val="bottom"/>
          </w:tcPr>
          <w:p>
            <w:pPr>
              <w:spacing w:after="0"/>
              <w:ind w:left="280"/>
              <w:rPr>
                <w:color w:val="auto"/>
                <w:sz w:val="20"/>
                <w:szCs w:val="20"/>
              </w:rPr>
            </w:pPr>
            <w:r>
              <w:rPr>
                <w:rFonts w:ascii="Arial" w:hAnsi="Arial" w:eastAsia="Arial" w:cs="Arial"/>
                <w:b/>
                <w:bCs/>
                <w:color w:val="auto"/>
                <w:sz w:val="15"/>
                <w:szCs w:val="15"/>
              </w:rPr>
              <w:t>125D</w:t>
            </w:r>
          </w:p>
        </w:tc>
        <w:tc>
          <w:tcPr>
            <w:tcW w:w="280" w:type="dxa"/>
            <w:vAlign w:val="bottom"/>
          </w:tcPr>
          <w:p>
            <w:pPr>
              <w:spacing w:after="0"/>
              <w:rPr>
                <w:color w:val="auto"/>
                <w:sz w:val="24"/>
                <w:szCs w:val="24"/>
              </w:rPr>
            </w:pPr>
          </w:p>
        </w:tc>
        <w:tc>
          <w:tcPr>
            <w:tcW w:w="600" w:type="dxa"/>
            <w:gridSpan w:val="2"/>
            <w:vAlign w:val="bottom"/>
          </w:tcPr>
          <w:p>
            <w:pPr>
              <w:spacing w:after="0"/>
              <w:jc w:val="right"/>
              <w:rPr>
                <w:color w:val="auto"/>
                <w:sz w:val="20"/>
                <w:szCs w:val="20"/>
              </w:rPr>
            </w:pPr>
            <w:r>
              <w:rPr>
                <w:rFonts w:ascii="Arial" w:hAnsi="Arial" w:eastAsia="Arial" w:cs="Arial"/>
                <w:b/>
                <w:bCs/>
                <w:color w:val="auto"/>
                <w:sz w:val="15"/>
                <w:szCs w:val="15"/>
              </w:rPr>
              <w:t>5D/TSA</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67" w:hRule="atLeast"/>
        </w:trPr>
        <w:tc>
          <w:tcPr>
            <w:tcW w:w="220" w:type="dxa"/>
            <w:vAlign w:val="bottom"/>
          </w:tcPr>
          <w:p>
            <w:pPr>
              <w:spacing w:after="0"/>
              <w:rPr>
                <w:color w:val="auto"/>
                <w:sz w:val="5"/>
                <w:szCs w:val="5"/>
              </w:rPr>
            </w:pPr>
          </w:p>
        </w:tc>
        <w:tc>
          <w:tcPr>
            <w:tcW w:w="280" w:type="dxa"/>
            <w:vAlign w:val="bottom"/>
          </w:tcPr>
          <w:p>
            <w:pPr>
              <w:spacing w:after="0"/>
              <w:rPr>
                <w:color w:val="auto"/>
                <w:sz w:val="5"/>
                <w:szCs w:val="5"/>
              </w:rPr>
            </w:pPr>
          </w:p>
        </w:tc>
        <w:tc>
          <w:tcPr>
            <w:tcW w:w="1480" w:type="dxa"/>
            <w:vAlign w:val="bottom"/>
          </w:tcPr>
          <w:p>
            <w:pPr>
              <w:spacing w:after="0"/>
              <w:rPr>
                <w:color w:val="auto"/>
                <w:sz w:val="5"/>
                <w:szCs w:val="5"/>
              </w:rPr>
            </w:pPr>
          </w:p>
        </w:tc>
        <w:tc>
          <w:tcPr>
            <w:tcW w:w="1120" w:type="dxa"/>
            <w:vAlign w:val="bottom"/>
          </w:tcPr>
          <w:p>
            <w:pPr>
              <w:spacing w:after="0"/>
              <w:rPr>
                <w:color w:val="auto"/>
                <w:sz w:val="5"/>
                <w:szCs w:val="5"/>
              </w:rPr>
            </w:pPr>
          </w:p>
        </w:tc>
        <w:tc>
          <w:tcPr>
            <w:tcW w:w="880" w:type="dxa"/>
            <w:vAlign w:val="bottom"/>
          </w:tcPr>
          <w:p>
            <w:pPr>
              <w:spacing w:after="0"/>
              <w:rPr>
                <w:color w:val="auto"/>
                <w:sz w:val="5"/>
                <w:szCs w:val="5"/>
              </w:rPr>
            </w:pPr>
          </w:p>
        </w:tc>
        <w:tc>
          <w:tcPr>
            <w:tcW w:w="860" w:type="dxa"/>
            <w:gridSpan w:val="2"/>
            <w:vAlign w:val="bottom"/>
          </w:tcPr>
          <w:p>
            <w:pPr>
              <w:spacing w:after="0" w:line="200" w:lineRule="auto"/>
              <w:ind w:right="463"/>
              <w:jc w:val="right"/>
              <w:rPr>
                <w:color w:val="auto"/>
                <w:sz w:val="20"/>
                <w:szCs w:val="20"/>
              </w:rPr>
            </w:pPr>
            <w:r>
              <w:rPr>
                <w:rFonts w:ascii="Arial" w:hAnsi="Arial" w:eastAsia="Arial" w:cs="Arial"/>
                <w:b/>
                <w:bCs/>
                <w:color w:val="auto"/>
                <w:sz w:val="7"/>
                <w:szCs w:val="7"/>
              </w:rPr>
              <w:t>2</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220" w:type="dxa"/>
            <w:vAlign w:val="bottom"/>
          </w:tcPr>
          <w:p>
            <w:pPr>
              <w:spacing w:after="0"/>
              <w:rPr>
                <w:color w:val="auto"/>
                <w:sz w:val="17"/>
                <w:szCs w:val="17"/>
              </w:rPr>
            </w:pPr>
          </w:p>
        </w:tc>
        <w:tc>
          <w:tcPr>
            <w:tcW w:w="280" w:type="dxa"/>
            <w:vAlign w:val="bottom"/>
          </w:tcPr>
          <w:p>
            <w:pPr>
              <w:spacing w:after="0"/>
              <w:rPr>
                <w:color w:val="auto"/>
                <w:sz w:val="17"/>
                <w:szCs w:val="17"/>
              </w:rPr>
            </w:pPr>
          </w:p>
        </w:tc>
        <w:tc>
          <w:tcPr>
            <w:tcW w:w="1480" w:type="dxa"/>
            <w:vAlign w:val="bottom"/>
          </w:tcPr>
          <w:p>
            <w:pPr>
              <w:spacing w:after="0"/>
              <w:rPr>
                <w:color w:val="auto"/>
                <w:sz w:val="17"/>
                <w:szCs w:val="17"/>
              </w:rPr>
            </w:pPr>
          </w:p>
        </w:tc>
        <w:tc>
          <w:tcPr>
            <w:tcW w:w="1120" w:type="dxa"/>
            <w:vAlign w:val="bottom"/>
          </w:tcPr>
          <w:p>
            <w:pPr>
              <w:spacing w:after="0"/>
              <w:rPr>
                <w:color w:val="auto"/>
                <w:sz w:val="17"/>
                <w:szCs w:val="17"/>
              </w:rPr>
            </w:pPr>
          </w:p>
        </w:tc>
        <w:tc>
          <w:tcPr>
            <w:tcW w:w="880" w:type="dxa"/>
            <w:vAlign w:val="bottom"/>
          </w:tcPr>
          <w:p>
            <w:pPr>
              <w:spacing w:after="0"/>
              <w:rPr>
                <w:color w:val="auto"/>
                <w:sz w:val="17"/>
                <w:szCs w:val="17"/>
              </w:rPr>
            </w:pPr>
          </w:p>
        </w:tc>
        <w:tc>
          <w:tcPr>
            <w:tcW w:w="280" w:type="dxa"/>
            <w:vAlign w:val="bottom"/>
          </w:tcPr>
          <w:p>
            <w:pPr>
              <w:spacing w:after="0"/>
              <w:jc w:val="right"/>
              <w:rPr>
                <w:color w:val="auto"/>
                <w:sz w:val="20"/>
                <w:szCs w:val="20"/>
              </w:rPr>
            </w:pPr>
            <w:r>
              <w:rPr>
                <w:rFonts w:ascii="Arial" w:hAnsi="Arial" w:eastAsia="Arial" w:cs="Arial"/>
                <w:b/>
                <w:bCs/>
                <w:color w:val="auto"/>
                <w:sz w:val="15"/>
                <w:szCs w:val="15"/>
              </w:rPr>
              <w:t>1</w:t>
            </w:r>
          </w:p>
        </w:tc>
        <w:tc>
          <w:tcPr>
            <w:tcW w:w="60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2147570</wp:posOffset>
            </wp:positionH>
            <wp:positionV relativeFrom="paragraph">
              <wp:posOffset>-2548255</wp:posOffset>
            </wp:positionV>
            <wp:extent cx="2804160" cy="1889760"/>
            <wp:effectExtent l="0" t="0" r="15240" b="152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2804160" cy="1889760"/>
                    </a:xfrm>
                    <a:prstGeom prst="rect">
                      <a:avLst/>
                    </a:prstGeom>
                    <a:noFill/>
                  </pic:spPr>
                </pic:pic>
              </a:graphicData>
            </a:graphic>
          </wp:anchor>
        </w:drawing>
      </w:r>
    </w:p>
    <w:p>
      <w:pPr>
        <w:spacing w:after="0" w:line="365" w:lineRule="exact"/>
        <w:rPr>
          <w:color w:val="auto"/>
          <w:sz w:val="20"/>
          <w:szCs w:val="20"/>
        </w:rPr>
      </w:pPr>
    </w:p>
    <w:p>
      <w:pPr>
        <w:spacing w:after="0" w:line="227" w:lineRule="auto"/>
        <w:ind w:left="720" w:right="140" w:firstLine="605"/>
        <w:rPr>
          <w:color w:val="auto"/>
          <w:sz w:val="20"/>
          <w:szCs w:val="20"/>
        </w:rPr>
      </w:pPr>
      <w:r>
        <w:rPr>
          <w:rFonts w:ascii="Cambria" w:hAnsi="Cambria" w:eastAsia="Cambria" w:cs="Cambria"/>
          <w:color w:val="auto"/>
          <w:sz w:val="24"/>
          <w:szCs w:val="24"/>
        </w:rPr>
        <w:t>Figure 4.2 Experiment 1: Effect of TSA on CYP24A1 Gene Expression Mean ± SEM fold change of CYP24A1 mRNA in comparison to a control, at the value of 1. Statistical significance notation: a= p&lt;0.05 vs. control. Note difference in scale on y-axis.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33</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41" w:name="page48"/>
      <w:bookmarkEnd w:id="41"/>
      <w:r>
        <w:rPr>
          <w:rFonts w:ascii="Cambria" w:hAnsi="Cambria" w:eastAsia="Cambria" w:cs="Cambria"/>
          <w:color w:val="auto"/>
          <w:sz w:val="24"/>
          <w:szCs w:val="24"/>
        </w:rPr>
        <w:t>4.2 Experiment #2: Effect of SFN &amp; TSA on Vitamin D-Induced Gene Expression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1" w:lineRule="auto"/>
        <w:ind w:left="720" w:right="220" w:firstLine="720"/>
        <w:rPr>
          <w:color w:val="auto"/>
          <w:sz w:val="20"/>
          <w:szCs w:val="20"/>
        </w:rPr>
      </w:pPr>
      <w:r>
        <w:rPr>
          <w:rFonts w:ascii="Cambria" w:hAnsi="Cambria" w:eastAsia="Cambria" w:cs="Cambria"/>
          <w:color w:val="auto"/>
          <w:sz w:val="24"/>
          <w:szCs w:val="24"/>
        </w:rPr>
        <w:t>There is limited previous research on the effects of sulforaphane (SFN) on gene expression in MCF-7 breast cancer cells. Some experiments have shown that solo treatment with SFN can decrease histone deacetylase (HDAC) activity, supporting a role of SFN as a possible histone deacetylase inhibitor (HDACI). (M. Myzak, Karplus, Chung, &amp; Dashwood, 2004) However, the effects of a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SFN in MCF-7 cells had not yet been investigated. We</w:t>
      </w:r>
    </w:p>
    <w:p>
      <w:pPr>
        <w:spacing w:after="0" w:line="15" w:lineRule="exact"/>
        <w:rPr>
          <w:color w:val="auto"/>
          <w:sz w:val="20"/>
          <w:szCs w:val="20"/>
        </w:rPr>
      </w:pPr>
    </w:p>
    <w:p>
      <w:pPr>
        <w:spacing w:after="0"/>
        <w:ind w:right="20"/>
        <w:jc w:val="center"/>
        <w:rPr>
          <w:color w:val="auto"/>
          <w:sz w:val="20"/>
          <w:szCs w:val="20"/>
        </w:rPr>
      </w:pPr>
      <w:r>
        <w:rPr>
          <w:rFonts w:ascii="Cambria" w:hAnsi="Cambria" w:eastAsia="Cambria" w:cs="Cambria"/>
          <w:color w:val="auto"/>
          <w:sz w:val="24"/>
          <w:szCs w:val="24"/>
        </w:rPr>
        <w:t>hypothesized that a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with the HDACI, SFN, would</w:t>
      </w:r>
    </w:p>
    <w:p>
      <w:pPr>
        <w:spacing w:after="0" w:line="329" w:lineRule="exact"/>
        <w:rPr>
          <w:color w:val="auto"/>
          <w:sz w:val="20"/>
          <w:szCs w:val="20"/>
        </w:rPr>
      </w:pPr>
    </w:p>
    <w:p>
      <w:pPr>
        <w:spacing w:after="0" w:line="484" w:lineRule="auto"/>
        <w:ind w:left="720" w:right="60"/>
        <w:rPr>
          <w:color w:val="auto"/>
          <w:sz w:val="20"/>
          <w:szCs w:val="20"/>
        </w:rPr>
      </w:pPr>
      <w:r>
        <w:rPr>
          <w:rFonts w:ascii="Cambria" w:hAnsi="Cambria" w:eastAsia="Cambria" w:cs="Cambria"/>
          <w:color w:val="auto"/>
          <w:sz w:val="23"/>
          <w:szCs w:val="23"/>
        </w:rPr>
        <w:t>increase vitamin D-dependent VDR, CYP24A1, CYP27B1, and TRPV6 gene expression in MCF-7 cells. We tested this hypothesis by growing MCF-7 cells to 100% confluence and treated them for 24 hours with either 10nmol/L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w:t>
      </w:r>
    </w:p>
    <w:p>
      <w:pPr>
        <w:spacing w:after="0" w:line="58" w:lineRule="exact"/>
        <w:rPr>
          <w:color w:val="auto"/>
          <w:sz w:val="20"/>
          <w:szCs w:val="20"/>
        </w:rPr>
      </w:pPr>
    </w:p>
    <w:p>
      <w:pPr>
        <w:spacing w:after="0" w:line="458" w:lineRule="auto"/>
        <w:ind w:left="720" w:right="40"/>
        <w:rPr>
          <w:color w:val="auto"/>
          <w:sz w:val="20"/>
          <w:szCs w:val="20"/>
        </w:rPr>
      </w:pPr>
      <w:r>
        <w:rPr>
          <w:rFonts w:ascii="Cambria" w:hAnsi="Cambria" w:eastAsia="Cambria" w:cs="Cambria"/>
          <w:color w:val="auto"/>
          <w:sz w:val="24"/>
          <w:szCs w:val="24"/>
        </w:rPr>
        <w:t>20μmol/L SFN or a combination treatment. We also included treatment with 1μmol/L TSA alone and in combination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to replicate the findings in Experiment 1.</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4.2.1 VDR mRNA</w:t>
      </w:r>
    </w:p>
    <w:p>
      <w:pPr>
        <w:spacing w:after="0" w:line="333" w:lineRule="exact"/>
        <w:rPr>
          <w:color w:val="auto"/>
          <w:sz w:val="20"/>
          <w:szCs w:val="20"/>
        </w:rPr>
      </w:pPr>
    </w:p>
    <w:p>
      <w:pPr>
        <w:spacing w:after="0" w:line="495" w:lineRule="auto"/>
        <w:ind w:left="720" w:right="240" w:firstLine="720"/>
        <w:rPr>
          <w:color w:val="auto"/>
          <w:sz w:val="20"/>
          <w:szCs w:val="20"/>
        </w:rPr>
      </w:pPr>
      <w:r>
        <w:rPr>
          <w:rFonts w:ascii="Cambria" w:hAnsi="Cambria" w:eastAsia="Cambria" w:cs="Cambria"/>
          <w:color w:val="auto"/>
          <w:sz w:val="23"/>
          <w:szCs w:val="23"/>
        </w:rPr>
        <w:t>Similar to what was observed in Experiment 1, treatment of MCF-7 cells in Experiment 2 with TSA alone (Figure 4.3) for 24h increased VDR mRNA compared to vehicle-treated controls (12.6 ± 4.2 vs. 1.0 ± 0.2, n=2 and n=4, respectively). In contrast to the positive effect of the histone deacetylase inhibitor TSA on VDR mRNA, treatment with the histone deacetylase inhibitor SFN (20 µmol/L for 24h) had no effect (1.1 ± 0.3, n=6) on VDR mRNA compared to controls. However, in contrast to the lack of effect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on VDR mRNA we observed in</w:t>
      </w:r>
    </w:p>
    <w:p>
      <w:pPr>
        <w:spacing w:after="0" w:line="35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34</w:t>
      </w:r>
    </w:p>
    <w:p>
      <w:pPr>
        <w:sectPr>
          <w:pgSz w:w="12240" w:h="15840"/>
          <w:pgMar w:top="1438" w:right="1440" w:bottom="120" w:left="1440" w:header="0" w:footer="0" w:gutter="0"/>
          <w:cols w:equalWidth="0" w:num="1">
            <w:col w:w="9360"/>
          </w:cols>
        </w:sectPr>
      </w:pPr>
    </w:p>
    <w:p>
      <w:pPr>
        <w:spacing w:after="0"/>
        <w:ind w:left="720"/>
        <w:rPr>
          <w:color w:val="auto"/>
          <w:sz w:val="20"/>
          <w:szCs w:val="20"/>
        </w:rPr>
      </w:pPr>
      <w:bookmarkStart w:id="42" w:name="page49"/>
      <w:bookmarkEnd w:id="42"/>
      <w:r>
        <w:rPr>
          <w:rFonts w:ascii="Cambria" w:hAnsi="Cambria" w:eastAsia="Cambria" w:cs="Cambria"/>
          <w:color w:val="auto"/>
          <w:sz w:val="24"/>
          <w:szCs w:val="24"/>
        </w:rPr>
        <w:t>Experiment 1, in this experiment 10nmol/L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had a positive effect on</w:t>
      </w:r>
    </w:p>
    <w:p>
      <w:pPr>
        <w:spacing w:after="0" w:line="329" w:lineRule="exact"/>
        <w:rPr>
          <w:color w:val="auto"/>
          <w:sz w:val="20"/>
          <w:szCs w:val="20"/>
        </w:rPr>
      </w:pPr>
    </w:p>
    <w:p>
      <w:pPr>
        <w:spacing w:after="0" w:line="468" w:lineRule="auto"/>
        <w:ind w:left="720" w:right="100"/>
        <w:rPr>
          <w:color w:val="auto"/>
          <w:sz w:val="20"/>
          <w:szCs w:val="20"/>
        </w:rPr>
      </w:pPr>
      <w:r>
        <w:rPr>
          <w:rFonts w:ascii="Cambria" w:hAnsi="Cambria" w:eastAsia="Cambria" w:cs="Cambria"/>
          <w:color w:val="auto"/>
          <w:sz w:val="23"/>
          <w:szCs w:val="23"/>
        </w:rPr>
        <w:t>VDR mRNA (6.3 ± 1.8). VDR mRNA expression in the combination treatment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and TSA was 22.6 ± 15 (n=2), but this apparent increase in VDR mRNA</w:t>
      </w:r>
    </w:p>
    <w:p>
      <w:pPr>
        <w:spacing w:after="0" w:line="74" w:lineRule="exact"/>
        <w:rPr>
          <w:color w:val="auto"/>
          <w:sz w:val="20"/>
          <w:szCs w:val="20"/>
        </w:rPr>
      </w:pPr>
    </w:p>
    <w:p>
      <w:pPr>
        <w:spacing w:after="0" w:line="466" w:lineRule="auto"/>
        <w:ind w:left="720"/>
        <w:rPr>
          <w:color w:val="auto"/>
          <w:sz w:val="20"/>
          <w:szCs w:val="20"/>
        </w:rPr>
      </w:pPr>
      <w:r>
        <w:rPr>
          <w:rFonts w:ascii="Cambria" w:hAnsi="Cambria" w:eastAsia="Cambria" w:cs="Cambria"/>
          <w:color w:val="auto"/>
          <w:sz w:val="24"/>
          <w:szCs w:val="24"/>
        </w:rPr>
        <w:t>was not statistically significant, which reflects the low number of samples tested and the marked variation observed in VDR mRNA between these two samples (37.6 and 7.6). Unexpectedly, we observed that VDR mRNA was lower with SFN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combination treatment than when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was given alone (1.4</w:t>
      </w:r>
    </w:p>
    <w:p>
      <w:pPr>
        <w:spacing w:after="0" w:line="1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±0.3 vs 6.3 ± 15.0).</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4.2.2 CYP24A1 mRNA</w:t>
      </w:r>
    </w:p>
    <w:p>
      <w:pPr>
        <w:spacing w:after="0" w:line="333" w:lineRule="exact"/>
        <w:rPr>
          <w:color w:val="auto"/>
          <w:sz w:val="20"/>
          <w:szCs w:val="20"/>
        </w:rPr>
      </w:pPr>
    </w:p>
    <w:p>
      <w:pPr>
        <w:spacing w:after="0" w:line="484" w:lineRule="auto"/>
        <w:ind w:left="720" w:right="60" w:firstLine="720"/>
        <w:jc w:val="both"/>
        <w:rPr>
          <w:color w:val="auto"/>
          <w:sz w:val="20"/>
          <w:szCs w:val="20"/>
        </w:rPr>
      </w:pPr>
      <w:r>
        <w:rPr>
          <w:rFonts w:ascii="Cambria" w:hAnsi="Cambria" w:eastAsia="Cambria" w:cs="Cambria"/>
          <w:color w:val="auto"/>
          <w:sz w:val="23"/>
          <w:szCs w:val="23"/>
        </w:rPr>
        <w:t>Compared to vehicle-treated control cells (1.0 ± 0.0, n=4), an increase in VDR mRNA was found after treatment with either TSA (14.0 ± 0.9, n=2), SFN (18.9 ± 1.6, n=2), or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(12,746 ± 5,597) alone (Figure 4.4). The positive effect of TSA</w:t>
      </w:r>
    </w:p>
    <w:p>
      <w:pPr>
        <w:spacing w:after="0" w:line="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on CYP24A1 mRNA is consistent with what was observed</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previously in Experiment 1. The combination 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with either</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SFN (7,603 ± 2,245) or TSA (18,393 ± 13,678, n=2)</w:t>
      </w:r>
      <w:r>
        <w:rPr>
          <w:rFonts w:ascii="Cambria" w:hAnsi="Cambria" w:eastAsia="Cambria" w:cs="Cambria"/>
          <w:color w:val="auto"/>
          <w:sz w:val="16"/>
          <w:szCs w:val="16"/>
        </w:rPr>
        <w:t>,</w:t>
      </w:r>
      <w:r>
        <w:rPr>
          <w:rFonts w:ascii="Cambria" w:hAnsi="Cambria" w:eastAsia="Cambria" w:cs="Cambria"/>
          <w:color w:val="auto"/>
          <w:sz w:val="24"/>
          <w:szCs w:val="24"/>
        </w:rPr>
        <w:t xml:space="preserve"> however, caused no further</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significant increase in CYP24A1 mRNA compared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w:t>
      </w: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4.2.3 CYP27B1 mRNA</w:t>
      </w:r>
    </w:p>
    <w:p>
      <w:pPr>
        <w:spacing w:after="0" w:line="333" w:lineRule="exact"/>
        <w:rPr>
          <w:color w:val="auto"/>
          <w:sz w:val="20"/>
          <w:szCs w:val="20"/>
        </w:rPr>
      </w:pPr>
    </w:p>
    <w:p>
      <w:pPr>
        <w:spacing w:after="0" w:line="466" w:lineRule="auto"/>
        <w:ind w:left="720" w:right="100" w:firstLine="720"/>
        <w:rPr>
          <w:color w:val="auto"/>
          <w:sz w:val="20"/>
          <w:szCs w:val="20"/>
        </w:rPr>
      </w:pPr>
      <w:r>
        <w:rPr>
          <w:rFonts w:ascii="Cambria" w:hAnsi="Cambria" w:eastAsia="Cambria" w:cs="Cambria"/>
          <w:color w:val="auto"/>
          <w:sz w:val="23"/>
          <w:szCs w:val="23"/>
        </w:rPr>
        <w:t>Treatment with TSA (0.9 ± 0.1, n=4) or SFN (0.6 ± 0.0) alone had no effect on CYP27B1 expression (Figure 4.5). CYP27B1 mRNA was increased in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p>
    <w:p>
      <w:pPr>
        <w:spacing w:after="0" w:line="78" w:lineRule="exact"/>
        <w:rPr>
          <w:color w:val="auto"/>
          <w:sz w:val="20"/>
          <w:szCs w:val="20"/>
        </w:rPr>
      </w:pPr>
    </w:p>
    <w:p>
      <w:pPr>
        <w:spacing w:after="0" w:line="437" w:lineRule="auto"/>
        <w:ind w:left="720" w:right="180"/>
        <w:rPr>
          <w:color w:val="auto"/>
          <w:sz w:val="20"/>
          <w:szCs w:val="20"/>
        </w:rPr>
      </w:pPr>
      <w:r>
        <w:rPr>
          <w:rFonts w:ascii="Cambria" w:hAnsi="Cambria" w:eastAsia="Cambria" w:cs="Cambria"/>
          <w:color w:val="auto"/>
          <w:sz w:val="24"/>
          <w:szCs w:val="24"/>
        </w:rPr>
        <w:t>treated cells (6.8 ± 5.1, n= 4) compared to controls (1.0 ± 0.0, n=4). Compared to 1,25(OH)2D3-treated cells, co-treatment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had no further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35</w:t>
      </w:r>
    </w:p>
    <w:p>
      <w:pPr>
        <w:sectPr>
          <w:pgSz w:w="12240" w:h="15840"/>
          <w:pgMar w:top="1439" w:right="1440" w:bottom="120" w:left="1440" w:header="0" w:footer="0" w:gutter="0"/>
          <w:cols w:equalWidth="0" w:num="1">
            <w:col w:w="9360"/>
          </w:cols>
        </w:sectPr>
      </w:pPr>
    </w:p>
    <w:p>
      <w:pPr>
        <w:spacing w:after="0"/>
        <w:ind w:left="720"/>
        <w:rPr>
          <w:color w:val="auto"/>
          <w:sz w:val="20"/>
          <w:szCs w:val="20"/>
        </w:rPr>
      </w:pPr>
      <w:bookmarkStart w:id="43" w:name="page50"/>
      <w:bookmarkEnd w:id="43"/>
      <w:r>
        <w:rPr>
          <w:rFonts w:ascii="Cambria" w:hAnsi="Cambria" w:eastAsia="Cambria" w:cs="Cambria"/>
          <w:color w:val="auto"/>
          <w:sz w:val="24"/>
          <w:szCs w:val="24"/>
        </w:rPr>
        <w:t>effect (6.4 ± 5.2, n=2), while SFN treatment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(2.0 ± 0.7, n= 5)</w:t>
      </w:r>
    </w:p>
    <w:p>
      <w:pPr>
        <w:spacing w:after="0" w:line="28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significantly reduced the positive effects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on CYP27B1 mRNA.</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4.2.4 TRPV6 mRNA</w:t>
      </w:r>
    </w:p>
    <w:p>
      <w:pPr>
        <w:spacing w:after="0" w:line="333" w:lineRule="exact"/>
        <w:rPr>
          <w:color w:val="auto"/>
          <w:sz w:val="20"/>
          <w:szCs w:val="20"/>
        </w:rPr>
      </w:pPr>
    </w:p>
    <w:p>
      <w:pPr>
        <w:spacing w:after="0" w:line="458" w:lineRule="auto"/>
        <w:ind w:left="720" w:right="20" w:firstLine="720"/>
        <w:rPr>
          <w:color w:val="auto"/>
          <w:sz w:val="20"/>
          <w:szCs w:val="20"/>
        </w:rPr>
      </w:pPr>
      <w:r>
        <w:rPr>
          <w:rFonts w:ascii="Cambria" w:hAnsi="Cambria" w:eastAsia="Cambria" w:cs="Cambria"/>
          <w:color w:val="auto"/>
          <w:sz w:val="24"/>
          <w:szCs w:val="24"/>
        </w:rPr>
        <w:t>As observed in Experiment 1, TRPV6 gene expression was also only evident in very few samples in Experiment 2, negating an assessment of treatment effects on this gene in MCF-7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36</w:t>
      </w:r>
    </w:p>
    <w:p>
      <w:pPr>
        <w:sectPr>
          <w:pgSz w:w="12240" w:h="15840"/>
          <w:pgMar w:top="1439" w:right="1440" w:bottom="120" w:left="1440" w:header="0" w:footer="0" w:gutter="0"/>
          <w:cols w:equalWidth="0" w:num="1">
            <w:col w:w="9360"/>
          </w:cols>
        </w:sectPr>
      </w:pPr>
    </w:p>
    <w:p>
      <w:pPr>
        <w:spacing w:after="0" w:line="263" w:lineRule="exact"/>
        <w:rPr>
          <w:color w:val="auto"/>
          <w:sz w:val="20"/>
          <w:szCs w:val="20"/>
        </w:rPr>
      </w:pPr>
      <w:bookmarkStart w:id="44" w:name="page51"/>
      <w:bookmarkEnd w:id="44"/>
    </w:p>
    <w:tbl>
      <w:tblPr>
        <w:tblStyle w:val="3"/>
        <w:tblW w:w="0" w:type="auto"/>
        <w:tblInd w:w="2400" w:type="dxa"/>
        <w:tblLayout w:type="fixed"/>
        <w:tblCellMar>
          <w:top w:w="0" w:type="dxa"/>
          <w:left w:w="0" w:type="dxa"/>
          <w:bottom w:w="0" w:type="dxa"/>
          <w:right w:w="0" w:type="dxa"/>
        </w:tblCellMar>
      </w:tblPr>
      <w:tblGrid>
        <w:gridCol w:w="240"/>
        <w:gridCol w:w="320"/>
        <w:gridCol w:w="1040"/>
        <w:gridCol w:w="380"/>
        <w:gridCol w:w="400"/>
        <w:gridCol w:w="640"/>
        <w:gridCol w:w="540"/>
        <w:gridCol w:w="300"/>
        <w:gridCol w:w="440"/>
        <w:gridCol w:w="800"/>
        <w:gridCol w:w="360"/>
      </w:tblGrid>
      <w:tr>
        <w:tblPrEx>
          <w:tblCellMar>
            <w:top w:w="0" w:type="dxa"/>
            <w:left w:w="0" w:type="dxa"/>
            <w:bottom w:w="0" w:type="dxa"/>
            <w:right w:w="0" w:type="dxa"/>
          </w:tblCellMar>
        </w:tblPrEx>
        <w:trPr>
          <w:trHeight w:val="253" w:hRule="atLeast"/>
        </w:trPr>
        <w:tc>
          <w:tcPr>
            <w:tcW w:w="240" w:type="dxa"/>
            <w:vAlign w:val="bottom"/>
          </w:tcPr>
          <w:p>
            <w:pPr>
              <w:spacing w:after="0"/>
              <w:rPr>
                <w:color w:val="auto"/>
                <w:sz w:val="21"/>
                <w:szCs w:val="21"/>
              </w:rPr>
            </w:pPr>
          </w:p>
        </w:tc>
        <w:tc>
          <w:tcPr>
            <w:tcW w:w="320" w:type="dxa"/>
            <w:vAlign w:val="bottom"/>
          </w:tcPr>
          <w:p>
            <w:pPr>
              <w:spacing w:after="0"/>
              <w:rPr>
                <w:color w:val="auto"/>
                <w:sz w:val="21"/>
                <w:szCs w:val="21"/>
              </w:rPr>
            </w:pPr>
          </w:p>
        </w:tc>
        <w:tc>
          <w:tcPr>
            <w:tcW w:w="1040" w:type="dxa"/>
            <w:vAlign w:val="bottom"/>
          </w:tcPr>
          <w:p>
            <w:pPr>
              <w:spacing w:after="0"/>
              <w:ind w:right="556"/>
              <w:jc w:val="right"/>
              <w:rPr>
                <w:color w:val="auto"/>
                <w:sz w:val="20"/>
                <w:szCs w:val="20"/>
              </w:rPr>
            </w:pPr>
            <w:r>
              <w:rPr>
                <w:rFonts w:ascii="Arial" w:hAnsi="Arial" w:eastAsia="Arial" w:cs="Arial"/>
                <w:b/>
                <w:bCs/>
                <w:color w:val="auto"/>
                <w:sz w:val="22"/>
                <w:szCs w:val="22"/>
              </w:rPr>
              <w:t>40</w:t>
            </w:r>
          </w:p>
        </w:tc>
        <w:tc>
          <w:tcPr>
            <w:tcW w:w="38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640" w:type="dxa"/>
            <w:vAlign w:val="bottom"/>
          </w:tcPr>
          <w:p>
            <w:pPr>
              <w:spacing w:after="0"/>
              <w:rPr>
                <w:color w:val="auto"/>
                <w:sz w:val="21"/>
                <w:szCs w:val="21"/>
              </w:rPr>
            </w:pPr>
          </w:p>
        </w:tc>
        <w:tc>
          <w:tcPr>
            <w:tcW w:w="540" w:type="dxa"/>
            <w:vAlign w:val="bottom"/>
          </w:tcPr>
          <w:p>
            <w:pPr>
              <w:spacing w:after="0"/>
              <w:rPr>
                <w:color w:val="auto"/>
                <w:sz w:val="21"/>
                <w:szCs w:val="21"/>
              </w:rPr>
            </w:pPr>
          </w:p>
        </w:tc>
        <w:tc>
          <w:tcPr>
            <w:tcW w:w="300" w:type="dxa"/>
            <w:vAlign w:val="bottom"/>
          </w:tcPr>
          <w:p>
            <w:pPr>
              <w:spacing w:after="0"/>
              <w:rPr>
                <w:color w:val="auto"/>
                <w:sz w:val="21"/>
                <w:szCs w:val="21"/>
              </w:rPr>
            </w:pPr>
          </w:p>
        </w:tc>
        <w:tc>
          <w:tcPr>
            <w:tcW w:w="440" w:type="dxa"/>
            <w:vAlign w:val="bottom"/>
          </w:tcPr>
          <w:p>
            <w:pPr>
              <w:spacing w:after="0"/>
              <w:rPr>
                <w:color w:val="auto"/>
                <w:sz w:val="21"/>
                <w:szCs w:val="21"/>
              </w:rPr>
            </w:pPr>
          </w:p>
        </w:tc>
        <w:tc>
          <w:tcPr>
            <w:tcW w:w="80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20"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8"/>
                <w:sz w:val="24"/>
                <w:szCs w:val="24"/>
              </w:rPr>
              <w:t>VDR mRNA,</w:t>
            </w:r>
          </w:p>
        </w:tc>
        <w:tc>
          <w:tcPr>
            <w:tcW w:w="320" w:type="dxa"/>
            <w:vMerge w:val="restart"/>
            <w:textDirection w:val="btLr"/>
            <w:vAlign w:val="bottom"/>
          </w:tcPr>
          <w:p>
            <w:pPr>
              <w:spacing w:after="0"/>
              <w:ind w:left="44"/>
              <w:rPr>
                <w:color w:val="auto"/>
                <w:sz w:val="20"/>
                <w:szCs w:val="20"/>
              </w:rPr>
            </w:pPr>
            <w:r>
              <w:rPr>
                <w:rFonts w:ascii="Arial" w:hAnsi="Arial" w:eastAsia="Arial" w:cs="Arial"/>
                <w:color w:val="auto"/>
                <w:sz w:val="20"/>
                <w:szCs w:val="20"/>
              </w:rPr>
              <w:t>Relative Fold Expression</w:t>
            </w:r>
          </w:p>
        </w:tc>
        <w:tc>
          <w:tcPr>
            <w:tcW w:w="1040" w:type="dxa"/>
            <w:vAlign w:val="bottom"/>
          </w:tcPr>
          <w:p>
            <w:pPr>
              <w:spacing w:after="0"/>
              <w:ind w:right="556"/>
              <w:jc w:val="right"/>
              <w:rPr>
                <w:color w:val="auto"/>
                <w:sz w:val="20"/>
                <w:szCs w:val="20"/>
              </w:rPr>
            </w:pPr>
            <w:r>
              <w:rPr>
                <w:rFonts w:ascii="Arial" w:hAnsi="Arial" w:eastAsia="Arial" w:cs="Arial"/>
                <w:b/>
                <w:bCs/>
                <w:color w:val="auto"/>
                <w:sz w:val="22"/>
                <w:szCs w:val="22"/>
              </w:rPr>
              <w:t>30</w:t>
            </w:r>
          </w:p>
        </w:tc>
        <w:tc>
          <w:tcPr>
            <w:tcW w:w="3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24" w:hRule="atLeast"/>
        </w:trPr>
        <w:tc>
          <w:tcPr>
            <w:tcW w:w="240" w:type="dxa"/>
            <w:vMerge w:val="continue"/>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1040" w:type="dxa"/>
            <w:vAlign w:val="bottom"/>
          </w:tcPr>
          <w:p>
            <w:pPr>
              <w:spacing w:after="0"/>
              <w:ind w:right="556"/>
              <w:jc w:val="right"/>
              <w:rPr>
                <w:color w:val="auto"/>
                <w:sz w:val="20"/>
                <w:szCs w:val="20"/>
              </w:rPr>
            </w:pPr>
            <w:r>
              <w:rPr>
                <w:rFonts w:ascii="Arial" w:hAnsi="Arial" w:eastAsia="Arial" w:cs="Arial"/>
                <w:b/>
                <w:bCs/>
                <w:color w:val="auto"/>
                <w:sz w:val="22"/>
                <w:szCs w:val="22"/>
              </w:rPr>
              <w:t>20</w:t>
            </w:r>
          </w:p>
        </w:tc>
        <w:tc>
          <w:tcPr>
            <w:tcW w:w="380" w:type="dxa"/>
            <w:vAlign w:val="bottom"/>
          </w:tcPr>
          <w:p>
            <w:pPr>
              <w:spacing w:after="0"/>
              <w:rPr>
                <w:color w:val="auto"/>
                <w:sz w:val="24"/>
                <w:szCs w:val="24"/>
              </w:rPr>
            </w:pPr>
          </w:p>
        </w:tc>
        <w:tc>
          <w:tcPr>
            <w:tcW w:w="400" w:type="dxa"/>
            <w:vAlign w:val="bottom"/>
          </w:tcPr>
          <w:p>
            <w:pPr>
              <w:spacing w:after="0"/>
              <w:ind w:left="80"/>
              <w:rPr>
                <w:color w:val="auto"/>
                <w:sz w:val="20"/>
                <w:szCs w:val="20"/>
              </w:rPr>
            </w:pPr>
            <w:r>
              <w:rPr>
                <w:rFonts w:ascii="Arial" w:hAnsi="Arial" w:eastAsia="Arial" w:cs="Arial"/>
                <w:color w:val="auto"/>
                <w:sz w:val="28"/>
                <w:szCs w:val="28"/>
              </w:rPr>
              <w:t>a</w:t>
            </w:r>
          </w:p>
        </w:tc>
        <w:tc>
          <w:tcPr>
            <w:tcW w:w="6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62" w:hRule="atLeast"/>
        </w:trPr>
        <w:tc>
          <w:tcPr>
            <w:tcW w:w="240" w:type="dxa"/>
            <w:vMerge w:val="continue"/>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1040" w:type="dxa"/>
            <w:vMerge w:val="restart"/>
            <w:vAlign w:val="bottom"/>
          </w:tcPr>
          <w:p>
            <w:pPr>
              <w:spacing w:after="0"/>
              <w:ind w:right="556"/>
              <w:jc w:val="right"/>
              <w:rPr>
                <w:color w:val="auto"/>
                <w:sz w:val="20"/>
                <w:szCs w:val="20"/>
              </w:rPr>
            </w:pPr>
            <w:r>
              <w:rPr>
                <w:rFonts w:ascii="Arial" w:hAnsi="Arial" w:eastAsia="Arial" w:cs="Arial"/>
                <w:b/>
                <w:bCs/>
                <w:color w:val="auto"/>
                <w:sz w:val="22"/>
                <w:szCs w:val="22"/>
              </w:rPr>
              <w:t>10</w:t>
            </w:r>
          </w:p>
        </w:tc>
        <w:tc>
          <w:tcPr>
            <w:tcW w:w="3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40" w:type="dxa"/>
            <w:gridSpan w:val="2"/>
            <w:vAlign w:val="bottom"/>
          </w:tcPr>
          <w:p>
            <w:pPr>
              <w:spacing w:after="0"/>
              <w:ind w:left="460"/>
              <w:rPr>
                <w:color w:val="auto"/>
                <w:sz w:val="20"/>
                <w:szCs w:val="20"/>
              </w:rPr>
            </w:pPr>
            <w:r>
              <w:rPr>
                <w:rFonts w:ascii="Arial" w:hAnsi="Arial" w:eastAsia="Arial" w:cs="Arial"/>
                <w:color w:val="auto"/>
                <w:sz w:val="28"/>
                <w:szCs w:val="28"/>
              </w:rPr>
              <w:t>a</w:t>
            </w:r>
          </w:p>
        </w:tc>
        <w:tc>
          <w:tcPr>
            <w:tcW w:w="4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240" w:type="dxa"/>
            <w:vMerge w:val="continue"/>
            <w:vAlign w:val="bottom"/>
          </w:tcPr>
          <w:p>
            <w:pPr>
              <w:spacing w:after="0"/>
              <w:rPr>
                <w:color w:val="auto"/>
                <w:sz w:val="4"/>
                <w:szCs w:val="4"/>
              </w:rPr>
            </w:pPr>
          </w:p>
        </w:tc>
        <w:tc>
          <w:tcPr>
            <w:tcW w:w="320" w:type="dxa"/>
            <w:vMerge w:val="continue"/>
            <w:vAlign w:val="bottom"/>
          </w:tcPr>
          <w:p>
            <w:pPr>
              <w:spacing w:after="0"/>
              <w:rPr>
                <w:color w:val="auto"/>
                <w:sz w:val="4"/>
                <w:szCs w:val="4"/>
              </w:rPr>
            </w:pPr>
          </w:p>
        </w:tc>
        <w:tc>
          <w:tcPr>
            <w:tcW w:w="1040" w:type="dxa"/>
            <w:vMerge w:val="continue"/>
            <w:vAlign w:val="bottom"/>
          </w:tcPr>
          <w:p>
            <w:pPr>
              <w:spacing w:after="0"/>
              <w:rPr>
                <w:color w:val="auto"/>
                <w:sz w:val="4"/>
                <w:szCs w:val="4"/>
              </w:rPr>
            </w:pPr>
          </w:p>
        </w:tc>
        <w:tc>
          <w:tcPr>
            <w:tcW w:w="380" w:type="dxa"/>
            <w:vAlign w:val="bottom"/>
          </w:tcPr>
          <w:p>
            <w:pPr>
              <w:spacing w:after="0"/>
              <w:rPr>
                <w:color w:val="auto"/>
                <w:sz w:val="4"/>
                <w:szCs w:val="4"/>
              </w:rPr>
            </w:pPr>
          </w:p>
        </w:tc>
        <w:tc>
          <w:tcPr>
            <w:tcW w:w="400" w:type="dxa"/>
            <w:vAlign w:val="bottom"/>
          </w:tcPr>
          <w:p>
            <w:pPr>
              <w:spacing w:after="0"/>
              <w:rPr>
                <w:color w:val="auto"/>
                <w:sz w:val="4"/>
                <w:szCs w:val="4"/>
              </w:rPr>
            </w:pPr>
          </w:p>
        </w:tc>
        <w:tc>
          <w:tcPr>
            <w:tcW w:w="640" w:type="dxa"/>
            <w:vAlign w:val="bottom"/>
          </w:tcPr>
          <w:p>
            <w:pPr>
              <w:spacing w:after="0"/>
              <w:rPr>
                <w:color w:val="auto"/>
                <w:sz w:val="4"/>
                <w:szCs w:val="4"/>
              </w:rPr>
            </w:pPr>
          </w:p>
        </w:tc>
        <w:tc>
          <w:tcPr>
            <w:tcW w:w="540" w:type="dxa"/>
            <w:vAlign w:val="bottom"/>
          </w:tcPr>
          <w:p>
            <w:pPr>
              <w:spacing w:after="0"/>
              <w:rPr>
                <w:color w:val="auto"/>
                <w:sz w:val="4"/>
                <w:szCs w:val="4"/>
              </w:rPr>
            </w:pPr>
          </w:p>
        </w:tc>
        <w:tc>
          <w:tcPr>
            <w:tcW w:w="300" w:type="dxa"/>
            <w:vAlign w:val="bottom"/>
          </w:tcPr>
          <w:p>
            <w:pPr>
              <w:spacing w:after="0"/>
              <w:rPr>
                <w:color w:val="auto"/>
                <w:sz w:val="4"/>
                <w:szCs w:val="4"/>
              </w:rPr>
            </w:pPr>
          </w:p>
        </w:tc>
        <w:tc>
          <w:tcPr>
            <w:tcW w:w="440" w:type="dxa"/>
            <w:vAlign w:val="bottom"/>
          </w:tcPr>
          <w:p>
            <w:pPr>
              <w:spacing w:after="0"/>
              <w:rPr>
                <w:color w:val="auto"/>
                <w:sz w:val="4"/>
                <w:szCs w:val="4"/>
              </w:rPr>
            </w:pPr>
          </w:p>
        </w:tc>
        <w:tc>
          <w:tcPr>
            <w:tcW w:w="800" w:type="dxa"/>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vMerge w:val="continue"/>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104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00" w:type="dxa"/>
            <w:vMerge w:val="restart"/>
            <w:vAlign w:val="bottom"/>
          </w:tcPr>
          <w:p>
            <w:pPr>
              <w:spacing w:after="0"/>
              <w:ind w:left="620"/>
              <w:rPr>
                <w:color w:val="auto"/>
                <w:sz w:val="20"/>
                <w:szCs w:val="20"/>
              </w:rPr>
            </w:pPr>
            <w:r>
              <w:rPr>
                <w:rFonts w:ascii="Arial" w:hAnsi="Arial" w:eastAsia="Arial" w:cs="Arial"/>
                <w:color w:val="auto"/>
                <w:w w:val="89"/>
                <w:sz w:val="28"/>
                <w:szCs w:val="28"/>
              </w:rPr>
              <w:t>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4" w:hRule="atLeast"/>
        </w:trPr>
        <w:tc>
          <w:tcPr>
            <w:tcW w:w="240" w:type="dxa"/>
            <w:vAlign w:val="bottom"/>
          </w:tcPr>
          <w:p>
            <w:pPr>
              <w:spacing w:after="0"/>
              <w:rPr>
                <w:color w:val="auto"/>
                <w:sz w:val="6"/>
                <w:szCs w:val="6"/>
              </w:rPr>
            </w:pPr>
          </w:p>
        </w:tc>
        <w:tc>
          <w:tcPr>
            <w:tcW w:w="320" w:type="dxa"/>
            <w:vAlign w:val="bottom"/>
          </w:tcPr>
          <w:p>
            <w:pPr>
              <w:spacing w:after="0"/>
              <w:rPr>
                <w:color w:val="auto"/>
                <w:sz w:val="6"/>
                <w:szCs w:val="6"/>
              </w:rPr>
            </w:pPr>
          </w:p>
        </w:tc>
        <w:tc>
          <w:tcPr>
            <w:tcW w:w="1040" w:type="dxa"/>
            <w:vAlign w:val="bottom"/>
          </w:tcPr>
          <w:p>
            <w:pPr>
              <w:spacing w:after="0"/>
              <w:rPr>
                <w:color w:val="auto"/>
                <w:sz w:val="6"/>
                <w:szCs w:val="6"/>
              </w:rPr>
            </w:pPr>
          </w:p>
        </w:tc>
        <w:tc>
          <w:tcPr>
            <w:tcW w:w="380" w:type="dxa"/>
            <w:vAlign w:val="bottom"/>
          </w:tcPr>
          <w:p>
            <w:pPr>
              <w:spacing w:after="0"/>
              <w:rPr>
                <w:color w:val="auto"/>
                <w:sz w:val="6"/>
                <w:szCs w:val="6"/>
              </w:rPr>
            </w:pPr>
          </w:p>
        </w:tc>
        <w:tc>
          <w:tcPr>
            <w:tcW w:w="400" w:type="dxa"/>
            <w:vAlign w:val="bottom"/>
          </w:tcPr>
          <w:p>
            <w:pPr>
              <w:spacing w:after="0"/>
              <w:rPr>
                <w:color w:val="auto"/>
                <w:sz w:val="6"/>
                <w:szCs w:val="6"/>
              </w:rPr>
            </w:pPr>
          </w:p>
        </w:tc>
        <w:tc>
          <w:tcPr>
            <w:tcW w:w="640" w:type="dxa"/>
            <w:vAlign w:val="bottom"/>
          </w:tcPr>
          <w:p>
            <w:pPr>
              <w:spacing w:after="0"/>
              <w:rPr>
                <w:color w:val="auto"/>
                <w:sz w:val="6"/>
                <w:szCs w:val="6"/>
              </w:rPr>
            </w:pPr>
          </w:p>
        </w:tc>
        <w:tc>
          <w:tcPr>
            <w:tcW w:w="540" w:type="dxa"/>
            <w:vAlign w:val="bottom"/>
          </w:tcPr>
          <w:p>
            <w:pPr>
              <w:spacing w:after="0"/>
              <w:rPr>
                <w:color w:val="auto"/>
                <w:sz w:val="6"/>
                <w:szCs w:val="6"/>
              </w:rPr>
            </w:pPr>
          </w:p>
        </w:tc>
        <w:tc>
          <w:tcPr>
            <w:tcW w:w="300" w:type="dxa"/>
            <w:vAlign w:val="bottom"/>
          </w:tcPr>
          <w:p>
            <w:pPr>
              <w:spacing w:after="0"/>
              <w:rPr>
                <w:color w:val="auto"/>
                <w:sz w:val="6"/>
                <w:szCs w:val="6"/>
              </w:rPr>
            </w:pPr>
          </w:p>
        </w:tc>
        <w:tc>
          <w:tcPr>
            <w:tcW w:w="440" w:type="dxa"/>
            <w:vAlign w:val="bottom"/>
          </w:tcPr>
          <w:p>
            <w:pPr>
              <w:spacing w:after="0"/>
              <w:rPr>
                <w:color w:val="auto"/>
                <w:sz w:val="6"/>
                <w:szCs w:val="6"/>
              </w:rPr>
            </w:pPr>
          </w:p>
        </w:tc>
        <w:tc>
          <w:tcPr>
            <w:tcW w:w="800" w:type="dxa"/>
            <w:vMerge w:val="continue"/>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6" w:hRule="atLeast"/>
        </w:trPr>
        <w:tc>
          <w:tcPr>
            <w:tcW w:w="24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1040" w:type="dxa"/>
            <w:vAlign w:val="bottom"/>
          </w:tcPr>
          <w:p>
            <w:pPr>
              <w:spacing w:after="0"/>
              <w:ind w:right="556"/>
              <w:jc w:val="right"/>
              <w:rPr>
                <w:color w:val="auto"/>
                <w:sz w:val="20"/>
                <w:szCs w:val="20"/>
              </w:rPr>
            </w:pPr>
            <w:r>
              <w:rPr>
                <w:rFonts w:ascii="Arial" w:hAnsi="Arial" w:eastAsia="Arial" w:cs="Arial"/>
                <w:b/>
                <w:bCs/>
                <w:color w:val="auto"/>
                <w:sz w:val="22"/>
                <w:szCs w:val="22"/>
              </w:rPr>
              <w:t>0</w:t>
            </w:r>
          </w:p>
        </w:tc>
        <w:tc>
          <w:tcPr>
            <w:tcW w:w="3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24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1040" w:type="dxa"/>
            <w:vMerge w:val="restart"/>
            <w:vAlign w:val="bottom"/>
          </w:tcPr>
          <w:p>
            <w:pPr>
              <w:spacing w:after="0"/>
              <w:ind w:right="96"/>
              <w:jc w:val="right"/>
              <w:rPr>
                <w:color w:val="auto"/>
                <w:sz w:val="20"/>
                <w:szCs w:val="20"/>
              </w:rPr>
            </w:pPr>
            <w:r>
              <w:rPr>
                <w:rFonts w:ascii="Arial" w:hAnsi="Arial" w:eastAsia="Arial" w:cs="Arial"/>
                <w:b/>
                <w:bCs/>
                <w:color w:val="auto"/>
                <w:sz w:val="15"/>
                <w:szCs w:val="15"/>
              </w:rPr>
              <w:t>Control</w:t>
            </w:r>
          </w:p>
        </w:tc>
        <w:tc>
          <w:tcPr>
            <w:tcW w:w="380" w:type="dxa"/>
            <w:vAlign w:val="bottom"/>
          </w:tcPr>
          <w:p>
            <w:pPr>
              <w:spacing w:after="0"/>
              <w:rPr>
                <w:color w:val="auto"/>
                <w:sz w:val="24"/>
                <w:szCs w:val="24"/>
              </w:rPr>
            </w:pPr>
          </w:p>
        </w:tc>
        <w:tc>
          <w:tcPr>
            <w:tcW w:w="400" w:type="dxa"/>
            <w:vAlign w:val="bottom"/>
          </w:tcPr>
          <w:p>
            <w:pPr>
              <w:spacing w:after="0"/>
              <w:ind w:left="40"/>
              <w:rPr>
                <w:color w:val="auto"/>
                <w:sz w:val="20"/>
                <w:szCs w:val="20"/>
              </w:rPr>
            </w:pPr>
            <w:r>
              <w:rPr>
                <w:rFonts w:ascii="Arial" w:hAnsi="Arial" w:eastAsia="Arial" w:cs="Arial"/>
                <w:b/>
                <w:bCs/>
                <w:color w:val="auto"/>
                <w:sz w:val="15"/>
                <w:szCs w:val="15"/>
              </w:rPr>
              <w:t>A</w:t>
            </w:r>
          </w:p>
        </w:tc>
        <w:tc>
          <w:tcPr>
            <w:tcW w:w="640" w:type="dxa"/>
            <w:vMerge w:val="restart"/>
            <w:vAlign w:val="bottom"/>
          </w:tcPr>
          <w:p>
            <w:pPr>
              <w:spacing w:after="0"/>
              <w:ind w:left="160"/>
              <w:rPr>
                <w:color w:val="auto"/>
                <w:sz w:val="20"/>
                <w:szCs w:val="20"/>
              </w:rPr>
            </w:pPr>
            <w:r>
              <w:rPr>
                <w:rFonts w:ascii="Arial" w:hAnsi="Arial" w:eastAsia="Arial" w:cs="Arial"/>
                <w:b/>
                <w:bCs/>
                <w:color w:val="auto"/>
                <w:sz w:val="15"/>
                <w:szCs w:val="15"/>
              </w:rPr>
              <w:t>SFN</w:t>
            </w:r>
          </w:p>
        </w:tc>
        <w:tc>
          <w:tcPr>
            <w:tcW w:w="540" w:type="dxa"/>
            <w:vMerge w:val="restart"/>
            <w:vAlign w:val="bottom"/>
          </w:tcPr>
          <w:p>
            <w:pPr>
              <w:spacing w:after="0"/>
              <w:ind w:left="180"/>
              <w:rPr>
                <w:color w:val="auto"/>
                <w:sz w:val="20"/>
                <w:szCs w:val="20"/>
              </w:rPr>
            </w:pPr>
            <w:r>
              <w:rPr>
                <w:rFonts w:ascii="Arial" w:hAnsi="Arial" w:eastAsia="Arial" w:cs="Arial"/>
                <w:b/>
                <w:bCs/>
                <w:color w:val="auto"/>
                <w:sz w:val="15"/>
                <w:szCs w:val="15"/>
              </w:rPr>
              <w:t>125D</w:t>
            </w:r>
          </w:p>
        </w:tc>
        <w:tc>
          <w:tcPr>
            <w:tcW w:w="300" w:type="dxa"/>
            <w:vAlign w:val="bottom"/>
          </w:tcPr>
          <w:p>
            <w:pPr>
              <w:spacing w:after="0"/>
              <w:rPr>
                <w:color w:val="auto"/>
                <w:sz w:val="24"/>
                <w:szCs w:val="24"/>
              </w:rPr>
            </w:pPr>
          </w:p>
        </w:tc>
        <w:tc>
          <w:tcPr>
            <w:tcW w:w="440" w:type="dxa"/>
            <w:vAlign w:val="bottom"/>
          </w:tcPr>
          <w:p>
            <w:pPr>
              <w:spacing w:after="0"/>
              <w:ind w:left="320"/>
              <w:rPr>
                <w:color w:val="auto"/>
                <w:sz w:val="20"/>
                <w:szCs w:val="20"/>
              </w:rPr>
            </w:pPr>
            <w:r>
              <w:rPr>
                <w:rFonts w:ascii="Arial" w:hAnsi="Arial" w:eastAsia="Arial" w:cs="Arial"/>
                <w:b/>
                <w:bCs/>
                <w:color w:val="auto"/>
                <w:sz w:val="15"/>
                <w:szCs w:val="15"/>
              </w:rPr>
              <w:t>A</w:t>
            </w:r>
          </w:p>
        </w:tc>
        <w:tc>
          <w:tcPr>
            <w:tcW w:w="800" w:type="dxa"/>
            <w:vMerge w:val="restart"/>
            <w:vAlign w:val="bottom"/>
          </w:tcPr>
          <w:p>
            <w:pPr>
              <w:spacing w:after="0"/>
              <w:rPr>
                <w:color w:val="auto"/>
                <w:sz w:val="20"/>
                <w:szCs w:val="20"/>
              </w:rPr>
            </w:pPr>
            <w:r>
              <w:rPr>
                <w:rFonts w:ascii="Arial" w:hAnsi="Arial" w:eastAsia="Arial" w:cs="Arial"/>
                <w:b/>
                <w:bCs/>
                <w:color w:val="auto"/>
                <w:sz w:val="15"/>
                <w:szCs w:val="15"/>
              </w:rPr>
              <w:t>125D/SFN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240" w:type="dxa"/>
            <w:vAlign w:val="bottom"/>
          </w:tcPr>
          <w:p>
            <w:pPr>
              <w:spacing w:after="0"/>
              <w:rPr>
                <w:color w:val="auto"/>
                <w:sz w:val="8"/>
                <w:szCs w:val="8"/>
              </w:rPr>
            </w:pPr>
          </w:p>
        </w:tc>
        <w:tc>
          <w:tcPr>
            <w:tcW w:w="320" w:type="dxa"/>
            <w:vAlign w:val="bottom"/>
          </w:tcPr>
          <w:p>
            <w:pPr>
              <w:spacing w:after="0"/>
              <w:rPr>
                <w:color w:val="auto"/>
                <w:sz w:val="8"/>
                <w:szCs w:val="8"/>
              </w:rPr>
            </w:pPr>
          </w:p>
        </w:tc>
        <w:tc>
          <w:tcPr>
            <w:tcW w:w="1040" w:type="dxa"/>
            <w:vMerge w:val="continue"/>
            <w:vAlign w:val="bottom"/>
          </w:tcPr>
          <w:p>
            <w:pPr>
              <w:spacing w:after="0"/>
              <w:rPr>
                <w:color w:val="auto"/>
                <w:sz w:val="8"/>
                <w:szCs w:val="8"/>
              </w:rPr>
            </w:pPr>
          </w:p>
        </w:tc>
        <w:tc>
          <w:tcPr>
            <w:tcW w:w="780" w:type="dxa"/>
            <w:gridSpan w:val="2"/>
            <w:vAlign w:val="bottom"/>
          </w:tcPr>
          <w:p>
            <w:pPr>
              <w:spacing w:after="0" w:line="187" w:lineRule="auto"/>
              <w:ind w:left="300"/>
              <w:rPr>
                <w:color w:val="auto"/>
                <w:sz w:val="20"/>
                <w:szCs w:val="20"/>
              </w:rPr>
            </w:pPr>
            <w:r>
              <w:rPr>
                <w:rFonts w:ascii="Arial" w:hAnsi="Arial" w:eastAsia="Arial" w:cs="Arial"/>
                <w:b/>
                <w:bCs/>
                <w:color w:val="auto"/>
                <w:sz w:val="11"/>
                <w:szCs w:val="11"/>
              </w:rPr>
              <w:t>S</w:t>
            </w:r>
          </w:p>
        </w:tc>
        <w:tc>
          <w:tcPr>
            <w:tcW w:w="640" w:type="dxa"/>
            <w:vMerge w:val="continue"/>
            <w:vAlign w:val="bottom"/>
          </w:tcPr>
          <w:p>
            <w:pPr>
              <w:spacing w:after="0"/>
              <w:rPr>
                <w:color w:val="auto"/>
                <w:sz w:val="8"/>
                <w:szCs w:val="8"/>
              </w:rPr>
            </w:pPr>
          </w:p>
        </w:tc>
        <w:tc>
          <w:tcPr>
            <w:tcW w:w="540" w:type="dxa"/>
            <w:vMerge w:val="continue"/>
            <w:vAlign w:val="bottom"/>
          </w:tcPr>
          <w:p>
            <w:pPr>
              <w:spacing w:after="0"/>
              <w:rPr>
                <w:color w:val="auto"/>
                <w:sz w:val="8"/>
                <w:szCs w:val="8"/>
              </w:rPr>
            </w:pPr>
          </w:p>
        </w:tc>
        <w:tc>
          <w:tcPr>
            <w:tcW w:w="300" w:type="dxa"/>
            <w:vAlign w:val="bottom"/>
          </w:tcPr>
          <w:p>
            <w:pPr>
              <w:spacing w:after="0"/>
              <w:rPr>
                <w:color w:val="auto"/>
                <w:sz w:val="8"/>
                <w:szCs w:val="8"/>
              </w:rPr>
            </w:pPr>
          </w:p>
        </w:tc>
        <w:tc>
          <w:tcPr>
            <w:tcW w:w="440" w:type="dxa"/>
            <w:vAlign w:val="bottom"/>
          </w:tcPr>
          <w:p>
            <w:pPr>
              <w:spacing w:after="0" w:line="187" w:lineRule="auto"/>
              <w:ind w:left="200"/>
              <w:rPr>
                <w:color w:val="auto"/>
                <w:sz w:val="20"/>
                <w:szCs w:val="20"/>
              </w:rPr>
            </w:pPr>
            <w:r>
              <w:rPr>
                <w:rFonts w:ascii="Arial" w:hAnsi="Arial" w:eastAsia="Arial" w:cs="Arial"/>
                <w:b/>
                <w:bCs/>
                <w:color w:val="auto"/>
                <w:sz w:val="11"/>
                <w:szCs w:val="11"/>
              </w:rPr>
              <w:t>S</w:t>
            </w:r>
          </w:p>
        </w:tc>
        <w:tc>
          <w:tcPr>
            <w:tcW w:w="80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240" w:type="dxa"/>
            <w:vAlign w:val="bottom"/>
          </w:tcPr>
          <w:p>
            <w:pPr>
              <w:spacing w:after="0"/>
              <w:rPr>
                <w:color w:val="auto"/>
                <w:sz w:val="18"/>
                <w:szCs w:val="18"/>
              </w:rPr>
            </w:pPr>
          </w:p>
        </w:tc>
        <w:tc>
          <w:tcPr>
            <w:tcW w:w="320" w:type="dxa"/>
            <w:vAlign w:val="bottom"/>
          </w:tcPr>
          <w:p>
            <w:pPr>
              <w:spacing w:after="0"/>
              <w:rPr>
                <w:color w:val="auto"/>
                <w:sz w:val="18"/>
                <w:szCs w:val="18"/>
              </w:rPr>
            </w:pPr>
          </w:p>
        </w:tc>
        <w:tc>
          <w:tcPr>
            <w:tcW w:w="1040" w:type="dxa"/>
            <w:vMerge w:val="continue"/>
            <w:vAlign w:val="bottom"/>
          </w:tcPr>
          <w:p>
            <w:pPr>
              <w:spacing w:after="0"/>
              <w:rPr>
                <w:color w:val="auto"/>
                <w:sz w:val="18"/>
                <w:szCs w:val="18"/>
              </w:rPr>
            </w:pPr>
          </w:p>
        </w:tc>
        <w:tc>
          <w:tcPr>
            <w:tcW w:w="380" w:type="dxa"/>
            <w:vAlign w:val="bottom"/>
          </w:tcPr>
          <w:p>
            <w:pPr>
              <w:spacing w:after="0"/>
              <w:ind w:left="220"/>
              <w:rPr>
                <w:color w:val="auto"/>
                <w:sz w:val="20"/>
                <w:szCs w:val="20"/>
              </w:rPr>
            </w:pPr>
            <w:r>
              <w:rPr>
                <w:rFonts w:ascii="Arial" w:hAnsi="Arial" w:eastAsia="Arial" w:cs="Arial"/>
                <w:b/>
                <w:bCs/>
                <w:color w:val="auto"/>
                <w:sz w:val="15"/>
                <w:szCs w:val="15"/>
              </w:rPr>
              <w:t>T</w:t>
            </w:r>
          </w:p>
        </w:tc>
        <w:tc>
          <w:tcPr>
            <w:tcW w:w="400" w:type="dxa"/>
            <w:vAlign w:val="bottom"/>
          </w:tcPr>
          <w:p>
            <w:pPr>
              <w:spacing w:after="0"/>
              <w:rPr>
                <w:color w:val="auto"/>
                <w:sz w:val="18"/>
                <w:szCs w:val="18"/>
              </w:rPr>
            </w:pPr>
          </w:p>
        </w:tc>
        <w:tc>
          <w:tcPr>
            <w:tcW w:w="640" w:type="dxa"/>
            <w:vMerge w:val="continue"/>
            <w:vAlign w:val="bottom"/>
          </w:tcPr>
          <w:p>
            <w:pPr>
              <w:spacing w:after="0"/>
              <w:rPr>
                <w:color w:val="auto"/>
                <w:sz w:val="18"/>
                <w:szCs w:val="18"/>
              </w:rPr>
            </w:pPr>
          </w:p>
        </w:tc>
        <w:tc>
          <w:tcPr>
            <w:tcW w:w="540" w:type="dxa"/>
            <w:vMerge w:val="continue"/>
            <w:vAlign w:val="bottom"/>
          </w:tcPr>
          <w:p>
            <w:pPr>
              <w:spacing w:after="0"/>
              <w:rPr>
                <w:color w:val="auto"/>
                <w:sz w:val="18"/>
                <w:szCs w:val="18"/>
              </w:rPr>
            </w:pPr>
          </w:p>
        </w:tc>
        <w:tc>
          <w:tcPr>
            <w:tcW w:w="740" w:type="dxa"/>
            <w:gridSpan w:val="2"/>
            <w:vMerge w:val="restart"/>
            <w:vAlign w:val="bottom"/>
          </w:tcPr>
          <w:p>
            <w:pPr>
              <w:spacing w:after="0"/>
              <w:ind w:left="20"/>
              <w:rPr>
                <w:color w:val="auto"/>
                <w:sz w:val="20"/>
                <w:szCs w:val="20"/>
              </w:rPr>
            </w:pPr>
            <w:r>
              <w:rPr>
                <w:rFonts w:ascii="Arial" w:hAnsi="Arial" w:eastAsia="Arial" w:cs="Arial"/>
                <w:b/>
                <w:bCs/>
                <w:color w:val="auto"/>
                <w:sz w:val="15"/>
                <w:szCs w:val="15"/>
              </w:rPr>
              <w:t>125D/T</w:t>
            </w:r>
          </w:p>
        </w:tc>
        <w:tc>
          <w:tcPr>
            <w:tcW w:w="800" w:type="dxa"/>
            <w:vMerge w:val="continue"/>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32" w:hRule="atLeast"/>
        </w:trPr>
        <w:tc>
          <w:tcPr>
            <w:tcW w:w="24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1040" w:type="dxa"/>
            <w:vMerge w:val="continue"/>
            <w:vAlign w:val="bottom"/>
          </w:tcPr>
          <w:p>
            <w:pPr>
              <w:spacing w:after="0"/>
              <w:rPr>
                <w:color w:val="auto"/>
                <w:sz w:val="24"/>
                <w:szCs w:val="24"/>
              </w:rPr>
            </w:pPr>
          </w:p>
        </w:tc>
        <w:tc>
          <w:tcPr>
            <w:tcW w:w="3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40" w:type="dxa"/>
            <w:gridSpan w:val="2"/>
            <w:vMerge w:val="continue"/>
            <w:vAlign w:val="bottom"/>
          </w:tcPr>
          <w:p>
            <w:pPr>
              <w:spacing w:after="0"/>
              <w:rPr>
                <w:color w:val="auto"/>
                <w:sz w:val="24"/>
                <w:szCs w:val="24"/>
              </w:rPr>
            </w:pPr>
          </w:p>
        </w:tc>
        <w:tc>
          <w:tcPr>
            <w:tcW w:w="800" w:type="dxa"/>
            <w:vMerge w:val="continue"/>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2142490</wp:posOffset>
            </wp:positionH>
            <wp:positionV relativeFrom="paragraph">
              <wp:posOffset>-2568575</wp:posOffset>
            </wp:positionV>
            <wp:extent cx="2804160" cy="1889760"/>
            <wp:effectExtent l="0" t="0" r="15240" b="152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2804160" cy="1889760"/>
                    </a:xfrm>
                    <a:prstGeom prst="rect">
                      <a:avLst/>
                    </a:prstGeom>
                    <a:noFill/>
                  </pic:spPr>
                </pic:pic>
              </a:graphicData>
            </a:graphic>
          </wp:anchor>
        </w:drawing>
      </w:r>
    </w:p>
    <w:p>
      <w:pPr>
        <w:spacing w:after="0" w:line="342" w:lineRule="exact"/>
        <w:rPr>
          <w:color w:val="auto"/>
          <w:sz w:val="20"/>
          <w:szCs w:val="20"/>
        </w:rPr>
      </w:pPr>
    </w:p>
    <w:p>
      <w:pPr>
        <w:spacing w:after="0"/>
        <w:ind w:left="1680"/>
        <w:rPr>
          <w:color w:val="auto"/>
          <w:sz w:val="20"/>
          <w:szCs w:val="20"/>
        </w:rPr>
      </w:pPr>
      <w:r>
        <w:rPr>
          <w:rFonts w:ascii="Cambria" w:hAnsi="Cambria" w:eastAsia="Cambria" w:cs="Cambria"/>
          <w:color w:val="auto"/>
          <w:sz w:val="24"/>
          <w:szCs w:val="24"/>
        </w:rPr>
        <w:t>Figure 4.3 Experiment 2: Effect of SFN and TSA on VDR mRNA</w:t>
      </w:r>
    </w:p>
    <w:p>
      <w:pPr>
        <w:spacing w:after="0"/>
        <w:ind w:left="720"/>
        <w:rPr>
          <w:color w:val="auto"/>
          <w:sz w:val="20"/>
          <w:szCs w:val="20"/>
        </w:rPr>
      </w:pPr>
      <w:r>
        <w:rPr>
          <w:rFonts w:ascii="Cambria" w:hAnsi="Cambria" w:eastAsia="Cambria" w:cs="Cambria"/>
          <w:color w:val="auto"/>
          <w:sz w:val="24"/>
          <w:szCs w:val="24"/>
        </w:rPr>
        <w:t>Mean ± SEM fold change of VDR mRNA in comparison to vehicle-treated control, at</w:t>
      </w:r>
    </w:p>
    <w:p>
      <w:pPr>
        <w:spacing w:after="0" w:line="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the value of 1. Statistical significance notation: a= p&lt;0.05 vs. control, b= p&lt;0.05</w:t>
      </w:r>
    </w:p>
    <w:p>
      <w:pPr>
        <w:spacing w:after="0"/>
        <w:ind w:left="720"/>
        <w:rPr>
          <w:color w:val="auto"/>
          <w:sz w:val="20"/>
          <w:szCs w:val="20"/>
        </w:rPr>
      </w:pPr>
      <w:r>
        <w:rPr>
          <w:rFonts w:ascii="Cambria" w:hAnsi="Cambria" w:eastAsia="Cambria" w:cs="Cambria"/>
          <w:color w:val="auto"/>
          <w:sz w:val="24"/>
          <w:szCs w:val="24"/>
        </w:rPr>
        <w:t>vitamin D alone vs. vitamin D and HDACI.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4186555</wp:posOffset>
            </wp:positionH>
            <wp:positionV relativeFrom="paragraph">
              <wp:posOffset>469265</wp:posOffset>
            </wp:positionV>
            <wp:extent cx="336550" cy="803275"/>
            <wp:effectExtent l="0" t="0" r="6350" b="15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336550" cy="803275"/>
                    </a:xfrm>
                    <a:prstGeom prst="rect">
                      <a:avLst/>
                    </a:prstGeom>
                    <a:noFill/>
                  </pic:spPr>
                </pic:pic>
              </a:graphicData>
            </a:graphic>
          </wp:anchor>
        </w:drawing>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2299335</wp:posOffset>
                </wp:positionH>
                <wp:positionV relativeFrom="paragraph">
                  <wp:posOffset>389890</wp:posOffset>
                </wp:positionV>
                <wp:extent cx="0" cy="864235"/>
                <wp:effectExtent l="9525" t="0" r="9525" b="12065"/>
                <wp:wrapNone/>
                <wp:docPr id="10" name="Shape 10"/>
                <wp:cNvGraphicFramePr/>
                <a:graphic xmlns:a="http://schemas.openxmlformats.org/drawingml/2006/main">
                  <a:graphicData uri="http://schemas.microsoft.com/office/word/2010/wordprocessingShape">
                    <wps:wsp>
                      <wps:cNvCnPr/>
                      <wps:spPr>
                        <a:xfrm>
                          <a:off x="0" y="0"/>
                          <a:ext cx="4763" cy="864235"/>
                        </a:xfrm>
                        <a:prstGeom prst="line">
                          <a:avLst/>
                        </a:prstGeom>
                        <a:solidFill>
                          <a:srgbClr val="FFFFFF"/>
                        </a:solidFill>
                        <a:ln w="18434">
                          <a:solidFill>
                            <a:srgbClr val="000000"/>
                          </a:solidFill>
                          <a:miter lim="800000"/>
                        </a:ln>
                      </wps:spPr>
                      <wps:bodyPr/>
                    </wps:wsp>
                  </a:graphicData>
                </a:graphic>
              </wp:anchor>
            </w:drawing>
          </mc:Choice>
          <mc:Fallback>
            <w:pict>
              <v:line id="Shape 10" o:spid="_x0000_s1026" o:spt="20" style="position:absolute;left:0pt;margin-left:181.05pt;margin-top:30.7pt;height:68.05pt;width:0pt;z-index:-251657216;mso-width-relative:page;mso-height-relative:page;" fillcolor="#FFFFFF" filled="t" stroked="t" coordsize="21600,21600" o:allowincell="f" o:gfxdata="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9hBFL&#10;1wAAAAoBAAAPAAAAAAAAAAEAIAAAACIAAABkcnMvZG93bnJldi54bWxQSwECFAAUAAAACACHTuJA&#10;hJzuxrABAACbAwAADgAAAAAAAAABACAAAAAmAQAAZHJzL2Uyb0RvYy54bWxQSwUGAAAAAAYABgBZ&#10;AQAASAUAAAAA&#10;">
                <v:fill on="t" focussize="0,0"/>
                <v:stroke weight="1.4514960629921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2253615</wp:posOffset>
                </wp:positionH>
                <wp:positionV relativeFrom="paragraph">
                  <wp:posOffset>1244600</wp:posOffset>
                </wp:positionV>
                <wp:extent cx="91440" cy="0"/>
                <wp:effectExtent l="0" t="0" r="0" b="0"/>
                <wp:wrapNone/>
                <wp:docPr id="11" name="Shape 11"/>
                <wp:cNvGraphicFramePr/>
                <a:graphic xmlns:a="http://schemas.openxmlformats.org/drawingml/2006/main">
                  <a:graphicData uri="http://schemas.microsoft.com/office/word/2010/wordprocessingShape">
                    <wps:wsp>
                      <wps:cNvCnPr/>
                      <wps:spPr>
                        <a:xfrm>
                          <a:off x="0" y="0"/>
                          <a:ext cx="91440" cy="4763"/>
                        </a:xfrm>
                        <a:prstGeom prst="line">
                          <a:avLst/>
                        </a:prstGeom>
                        <a:solidFill>
                          <a:srgbClr val="FFFFFF"/>
                        </a:solidFill>
                        <a:ln w="18434">
                          <a:solidFill>
                            <a:srgbClr val="000000"/>
                          </a:solidFill>
                          <a:miter lim="800000"/>
                        </a:ln>
                      </wps:spPr>
                      <wps:bodyPr/>
                    </wps:wsp>
                  </a:graphicData>
                </a:graphic>
              </wp:anchor>
            </w:drawing>
          </mc:Choice>
          <mc:Fallback>
            <w:pict>
              <v:line id="Shape 11" o:spid="_x0000_s1026" o:spt="20" style="position:absolute;left:0pt;margin-left:177.45pt;margin-top:98pt;height:0pt;width:7.2pt;z-index:-251657216;mso-width-relative:page;mso-height-relative:page;" fillcolor="#FFFFFF" filled="t" stroked="t" coordsize="21600,21600" o:allowincell="f" o:gfxdata="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Qzvg&#10;1wAAAAsBAAAPAAAAAAAAAAEAIAAAACIAAABkcnMvZG93bnJldi54bWxQSwECFAAUAAAACACHTuJA&#10;o9rrzrABAACaAwAADgAAAAAAAAABACAAAAAmAQAAZHJzL2Uyb0RvYy54bWxQSwUGAAAAAAYABgBZ&#10;AQAASAUAAAAA&#10;">
                <v:fill on="t" focussize="0,0"/>
                <v:stroke weight="1.4514960629921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2247900</wp:posOffset>
                </wp:positionH>
                <wp:positionV relativeFrom="paragraph">
                  <wp:posOffset>1104900</wp:posOffset>
                </wp:positionV>
                <wp:extent cx="60960" cy="0"/>
                <wp:effectExtent l="0" t="0" r="0" b="0"/>
                <wp:wrapNone/>
                <wp:docPr id="12" name="Shape 12"/>
                <wp:cNvGraphicFramePr/>
                <a:graphic xmlns:a="http://schemas.openxmlformats.org/drawingml/2006/main">
                  <a:graphicData uri="http://schemas.microsoft.com/office/word/2010/wordprocessingShape">
                    <wps:wsp>
                      <wps:cNvCnPr/>
                      <wps:spPr>
                        <a:xfrm>
                          <a:off x="0" y="0"/>
                          <a:ext cx="60960" cy="4763"/>
                        </a:xfrm>
                        <a:prstGeom prst="line">
                          <a:avLst/>
                        </a:prstGeom>
                        <a:solidFill>
                          <a:srgbClr val="FFFFFF"/>
                        </a:solidFill>
                        <a:ln w="18434">
                          <a:solidFill>
                            <a:srgbClr val="000000"/>
                          </a:solidFill>
                          <a:miter lim="800000"/>
                        </a:ln>
                      </wps:spPr>
                      <wps:bodyPr/>
                    </wps:wsp>
                  </a:graphicData>
                </a:graphic>
              </wp:anchor>
            </w:drawing>
          </mc:Choice>
          <mc:Fallback>
            <w:pict>
              <v:line id="Shape 12" o:spid="_x0000_s1026" o:spt="20" style="position:absolute;left:0pt;margin-left:177pt;margin-top:87pt;height:0pt;width:4.8pt;z-index:-251657216;mso-width-relative:page;mso-height-relative:page;" fillcolor="#FFFFFF" filled="t" stroked="t" coordsize="21600,21600" o:allowincell="f" o:gfxdata="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mRAE&#10;1wAAAAsBAAAPAAAAAAAAAAEAIAAAACIAAABkcnMvZG93bnJldi54bWxQSwECFAAUAAAACACHTuJA&#10;jUfihLABAACaAwAADgAAAAAAAAABACAAAAAmAQAAZHJzL2Uyb0RvYy54bWxQSwUGAAAAAAYABgBZ&#10;AQAASAUAAAAA&#10;">
                <v:fill on="t" focussize="0,0"/>
                <v:stroke weight="1.4514960629921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2247900</wp:posOffset>
                </wp:positionH>
                <wp:positionV relativeFrom="paragraph">
                  <wp:posOffset>822960</wp:posOffset>
                </wp:positionV>
                <wp:extent cx="60960" cy="0"/>
                <wp:effectExtent l="0" t="0" r="0" b="0"/>
                <wp:wrapNone/>
                <wp:docPr id="13" name="Shape 13"/>
                <wp:cNvGraphicFramePr/>
                <a:graphic xmlns:a="http://schemas.openxmlformats.org/drawingml/2006/main">
                  <a:graphicData uri="http://schemas.microsoft.com/office/word/2010/wordprocessingShape">
                    <wps:wsp>
                      <wps:cNvCnPr/>
                      <wps:spPr>
                        <a:xfrm>
                          <a:off x="0" y="0"/>
                          <a:ext cx="60960" cy="4763"/>
                        </a:xfrm>
                        <a:prstGeom prst="line">
                          <a:avLst/>
                        </a:prstGeom>
                        <a:solidFill>
                          <a:srgbClr val="FFFFFF"/>
                        </a:solidFill>
                        <a:ln w="18434">
                          <a:solidFill>
                            <a:srgbClr val="000000"/>
                          </a:solidFill>
                          <a:miter lim="800000"/>
                        </a:ln>
                      </wps:spPr>
                      <wps:bodyPr/>
                    </wps:wsp>
                  </a:graphicData>
                </a:graphic>
              </wp:anchor>
            </w:drawing>
          </mc:Choice>
          <mc:Fallback>
            <w:pict>
              <v:line id="Shape 13" o:spid="_x0000_s1026" o:spt="20" style="position:absolute;left:0pt;margin-left:177pt;margin-top:64.8pt;height:0pt;width:4.8pt;z-index:-251657216;mso-width-relative:page;mso-height-relative:page;" fillcolor="#FFFFFF" filled="t" stroked="t" coordsize="21600,21600" o:allowincell="f" o:gfxdata="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u0&#10;+djXAAAACwEAAA8AAAAAAAAAAQAgAAAAIgAAAGRycy9kb3ducmV2LnhtbFBLAQIUABQAAAAIAIdO&#10;4kBetajWsgEAAJoDAAAOAAAAAAAAAAEAIAAAACYBAABkcnMvZTJvRG9jLnhtbFBLBQYAAAAABgAG&#10;AFkBAABKBQAAAAA=&#10;">
                <v:fill on="t" focussize="0,0"/>
                <v:stroke weight="1.4514960629921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2247900</wp:posOffset>
                </wp:positionH>
                <wp:positionV relativeFrom="paragraph">
                  <wp:posOffset>541020</wp:posOffset>
                </wp:positionV>
                <wp:extent cx="60960" cy="0"/>
                <wp:effectExtent l="0" t="0" r="0" b="0"/>
                <wp:wrapNone/>
                <wp:docPr id="14" name="Shape 14"/>
                <wp:cNvGraphicFramePr/>
                <a:graphic xmlns:a="http://schemas.openxmlformats.org/drawingml/2006/main">
                  <a:graphicData uri="http://schemas.microsoft.com/office/word/2010/wordprocessingShape">
                    <wps:wsp>
                      <wps:cNvCnPr/>
                      <wps:spPr>
                        <a:xfrm>
                          <a:off x="0" y="0"/>
                          <a:ext cx="60960" cy="4763"/>
                        </a:xfrm>
                        <a:prstGeom prst="line">
                          <a:avLst/>
                        </a:prstGeom>
                        <a:solidFill>
                          <a:srgbClr val="FFFFFF"/>
                        </a:solidFill>
                        <a:ln w="18434">
                          <a:solidFill>
                            <a:srgbClr val="000000"/>
                          </a:solidFill>
                          <a:miter lim="800000"/>
                        </a:ln>
                      </wps:spPr>
                      <wps:bodyPr/>
                    </wps:wsp>
                  </a:graphicData>
                </a:graphic>
              </wp:anchor>
            </w:drawing>
          </mc:Choice>
          <mc:Fallback>
            <w:pict>
              <v:line id="Shape 14" o:spid="_x0000_s1026" o:spt="20" style="position:absolute;left:0pt;margin-left:177pt;margin-top:42.6pt;height:0pt;width:4.8pt;z-index:-251657216;mso-width-relative:page;mso-height-relative:page;" fillcolor="#FFFFFF" filled="t" stroked="t" coordsize="21600,21600" o:allowincell="f" o:gfxdata="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nS3D&#10;1wAAAAkBAAAPAAAAAAAAAAEAIAAAACIAAABkcnMvZG93bnJldi54bWxQSwECFAAUAAAACACHTuJA&#10;Jm8tsrABAACaAwAADgAAAAAAAAABACAAAAAmAQAAZHJzL2Uyb0RvYy54bWxQSwUGAAAAAAYABgBZ&#10;AQAASAUAAAAA&#10;">
                <v:fill on="t" focussize="0,0"/>
                <v:stroke weight="1.45149606299213pt" color="#000000" miterlimit="8" joinstyle="miter"/>
                <v:imagedata o:title=""/>
                <o:lock v:ext="edit" aspectratio="f"/>
              </v:line>
            </w:pict>
          </mc:Fallback>
        </mc:AlternateContent>
      </w:r>
    </w:p>
    <w:p>
      <w:pPr>
        <w:sectPr>
          <w:pgSz w:w="12240" w:h="15840"/>
          <w:pgMar w:top="1440" w:right="1440" w:bottom="12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tbl>
      <w:tblPr>
        <w:tblStyle w:val="3"/>
        <w:tblW w:w="0" w:type="auto"/>
        <w:tblInd w:w="2142" w:type="dxa"/>
        <w:tblLayout w:type="fixed"/>
        <w:tblCellMar>
          <w:top w:w="0" w:type="dxa"/>
          <w:left w:w="0" w:type="dxa"/>
          <w:bottom w:w="0" w:type="dxa"/>
          <w:right w:w="0" w:type="dxa"/>
        </w:tblCellMar>
      </w:tblPr>
      <w:tblGrid>
        <w:gridCol w:w="479"/>
      </w:tblGrid>
      <w:tr>
        <w:tblPrEx>
          <w:tblCellMar>
            <w:top w:w="0" w:type="dxa"/>
            <w:left w:w="0" w:type="dxa"/>
            <w:bottom w:w="0" w:type="dxa"/>
            <w:right w:w="0" w:type="dxa"/>
          </w:tblCellMar>
        </w:tblPrEx>
        <w:trPr>
          <w:trHeight w:val="780" w:hRule="atLeast"/>
        </w:trPr>
        <w:tc>
          <w:tcPr>
            <w:tcW w:w="479" w:type="dxa"/>
            <w:textDirection w:val="btLr"/>
            <w:vAlign w:val="bottom"/>
          </w:tcPr>
          <w:p>
            <w:pPr>
              <w:spacing w:after="0" w:line="357" w:lineRule="auto"/>
              <w:ind w:firstLine="106"/>
              <w:rPr>
                <w:color w:val="auto"/>
                <w:sz w:val="20"/>
                <w:szCs w:val="20"/>
              </w:rPr>
            </w:pPr>
            <w:r>
              <w:rPr>
                <w:rFonts w:ascii="Arial" w:hAnsi="Arial" w:eastAsia="Arial" w:cs="Arial"/>
                <w:color w:val="auto"/>
                <w:sz w:val="13"/>
                <w:szCs w:val="13"/>
              </w:rPr>
              <w:t xml:space="preserve">Expression </w:t>
            </w:r>
            <w:r>
              <w:rPr>
                <w:rFonts w:ascii="Arial" w:hAnsi="Arial" w:eastAsia="Arial" w:cs="Arial"/>
                <w:b/>
                <w:bCs/>
                <w:color w:val="auto"/>
                <w:sz w:val="15"/>
                <w:szCs w:val="15"/>
              </w:rPr>
              <w:t>mRNA,</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rPr>
          <w:color w:val="auto"/>
          <w:sz w:val="20"/>
          <w:szCs w:val="20"/>
        </w:rPr>
      </w:pPr>
      <w:r>
        <w:rPr>
          <w:rFonts w:ascii="Arial" w:hAnsi="Arial" w:eastAsia="Arial" w:cs="Arial"/>
          <w:b/>
          <w:bCs/>
          <w:color w:val="auto"/>
          <w:sz w:val="21"/>
          <w:szCs w:val="21"/>
        </w:rPr>
        <w:t>30000</w:t>
      </w:r>
    </w:p>
    <w:p>
      <w:pPr>
        <w:spacing w:after="0" w:line="203" w:lineRule="exact"/>
        <w:rPr>
          <w:color w:val="auto"/>
          <w:sz w:val="20"/>
          <w:szCs w:val="20"/>
        </w:rPr>
      </w:pPr>
    </w:p>
    <w:p>
      <w:pPr>
        <w:spacing w:after="0"/>
        <w:rPr>
          <w:color w:val="auto"/>
          <w:sz w:val="20"/>
          <w:szCs w:val="20"/>
        </w:rPr>
      </w:pPr>
      <w:r>
        <w:rPr>
          <w:rFonts w:ascii="Arial" w:hAnsi="Arial" w:eastAsia="Arial" w:cs="Arial"/>
          <w:b/>
          <w:bCs/>
          <w:color w:val="auto"/>
          <w:sz w:val="21"/>
          <w:szCs w:val="21"/>
        </w:rPr>
        <w:t>20000</w:t>
      </w:r>
    </w:p>
    <w:p>
      <w:pPr>
        <w:spacing w:after="0" w:line="203" w:lineRule="exact"/>
        <w:rPr>
          <w:color w:val="auto"/>
          <w:sz w:val="20"/>
          <w:szCs w:val="20"/>
        </w:rPr>
      </w:pPr>
    </w:p>
    <w:p>
      <w:pPr>
        <w:spacing w:after="0"/>
        <w:rPr>
          <w:color w:val="auto"/>
          <w:sz w:val="20"/>
          <w:szCs w:val="20"/>
        </w:rPr>
      </w:pPr>
      <w:r>
        <w:rPr>
          <w:rFonts w:ascii="Arial" w:hAnsi="Arial" w:eastAsia="Arial" w:cs="Arial"/>
          <w:b/>
          <w:bCs/>
          <w:color w:val="auto"/>
          <w:sz w:val="21"/>
          <w:szCs w:val="21"/>
        </w:rPr>
        <w:t>10000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rPr>
          <w:color w:val="auto"/>
          <w:sz w:val="20"/>
          <w:szCs w:val="20"/>
        </w:rPr>
      </w:pPr>
      <w:r>
        <w:rPr>
          <w:rFonts w:ascii="Arial" w:hAnsi="Arial" w:eastAsia="Arial" w:cs="Arial"/>
          <w:color w:val="auto"/>
          <w:sz w:val="28"/>
          <w:szCs w:val="28"/>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-126365</wp:posOffset>
            </wp:positionH>
            <wp:positionV relativeFrom="paragraph">
              <wp:posOffset>53340</wp:posOffset>
            </wp:positionV>
            <wp:extent cx="332740" cy="416560"/>
            <wp:effectExtent l="0" t="0" r="1016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srcRect/>
                    <a:stretch>
                      <a:fillRect/>
                    </a:stretch>
                  </pic:blipFill>
                  <pic:spPr>
                    <a:xfrm>
                      <a:off x="0" y="0"/>
                      <a:ext cx="332740" cy="41656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782955</wp:posOffset>
            </wp:positionH>
            <wp:positionV relativeFrom="paragraph">
              <wp:posOffset>292735</wp:posOffset>
            </wp:positionV>
            <wp:extent cx="336550" cy="176530"/>
            <wp:effectExtent l="0" t="0" r="6350" b="139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srcRect/>
                    <a:stretch>
                      <a:fillRect/>
                    </a:stretch>
                  </pic:blipFill>
                  <pic:spPr>
                    <a:xfrm>
                      <a:off x="0" y="0"/>
                      <a:ext cx="336550" cy="176530"/>
                    </a:xfrm>
                    <a:prstGeom prst="rect">
                      <a:avLst/>
                    </a:prstGeom>
                    <a:noFill/>
                  </pic:spPr>
                </pic:pic>
              </a:graphicData>
            </a:graphic>
          </wp:anchor>
        </w:drawing>
      </w:r>
    </w:p>
    <w:p>
      <w:pPr>
        <w:spacing w:after="0" w:line="793" w:lineRule="exact"/>
        <w:rPr>
          <w:color w:val="auto"/>
          <w:sz w:val="20"/>
          <w:szCs w:val="20"/>
        </w:rPr>
      </w:pPr>
    </w:p>
    <w:p>
      <w:pPr>
        <w:sectPr>
          <w:type w:val="continuous"/>
          <w:pgSz w:w="12240" w:h="15840"/>
          <w:pgMar w:top="1440" w:right="1440" w:bottom="120" w:left="1440" w:header="0" w:footer="0" w:gutter="0"/>
          <w:cols w:equalWidth="0" w:num="3">
            <w:col w:w="2621" w:space="279"/>
            <w:col w:w="2460" w:space="720"/>
            <w:col w:w="3280"/>
          </w:cols>
        </w:sectPr>
      </w:pPr>
    </w:p>
    <w:p>
      <w:pPr>
        <w:spacing w:after="0" w:line="19" w:lineRule="exact"/>
        <w:rPr>
          <w:color w:val="auto"/>
          <w:sz w:val="20"/>
          <w:szCs w:val="20"/>
        </w:rPr>
      </w:pPr>
    </w:p>
    <w:tbl>
      <w:tblPr>
        <w:tblStyle w:val="3"/>
        <w:tblW w:w="0" w:type="auto"/>
        <w:tblInd w:w="2609" w:type="dxa"/>
        <w:tblLayout w:type="fixed"/>
        <w:tblCellMar>
          <w:top w:w="0" w:type="dxa"/>
          <w:left w:w="0" w:type="dxa"/>
          <w:bottom w:w="0" w:type="dxa"/>
          <w:right w:w="0" w:type="dxa"/>
        </w:tblCellMar>
      </w:tblPr>
      <w:tblGrid>
        <w:gridCol w:w="11"/>
      </w:tblGrid>
      <w:tr>
        <w:tblPrEx>
          <w:tblCellMar>
            <w:top w:w="0" w:type="dxa"/>
            <w:left w:w="0" w:type="dxa"/>
            <w:bottom w:w="0" w:type="dxa"/>
            <w:right w:w="0" w:type="dxa"/>
          </w:tblCellMar>
        </w:tblPrEx>
        <w:trPr>
          <w:trHeight w:val="40" w:hRule="atLeast"/>
        </w:trPr>
        <w:tc>
          <w:tcPr>
            <w:tcW w:w="11" w:type="dxa"/>
            <w:textDirection w:val="btLr"/>
            <w:vAlign w:val="bottom"/>
          </w:tcPr>
          <w:p>
            <w:pPr>
              <w:spacing w:after="0"/>
              <w:rPr>
                <w:color w:val="auto"/>
                <w:sz w:val="20"/>
                <w:szCs w:val="20"/>
              </w:rPr>
            </w:pPr>
            <w:r>
              <w:rPr>
                <w:rFonts w:ascii="Arial" w:hAnsi="Arial" w:eastAsia="Arial" w:cs="Arial"/>
                <w:color w:val="auto"/>
                <w:sz w:val="1"/>
                <w:szCs w:val="1"/>
              </w:rPr>
              <w:t>RelativeFold</w:t>
            </w:r>
          </w:p>
        </w:tc>
      </w:tr>
    </w:tbl>
    <w:p>
      <w:pPr>
        <w:spacing w:after="0" w:line="1" w:lineRule="exact"/>
        <w:rPr>
          <w:color w:val="auto"/>
          <w:sz w:val="20"/>
          <w:szCs w:val="20"/>
        </w:rPr>
      </w:pPr>
    </w:p>
    <w:tbl>
      <w:tblPr>
        <w:tblStyle w:val="3"/>
        <w:tblW w:w="0" w:type="auto"/>
        <w:tblInd w:w="2141" w:type="dxa"/>
        <w:tblLayout w:type="fixed"/>
        <w:tblCellMar>
          <w:top w:w="0" w:type="dxa"/>
          <w:left w:w="0" w:type="dxa"/>
          <w:bottom w:w="0" w:type="dxa"/>
          <w:right w:w="0" w:type="dxa"/>
        </w:tblCellMar>
      </w:tblPr>
      <w:tblGrid>
        <w:gridCol w:w="264"/>
      </w:tblGrid>
      <w:tr>
        <w:tblPrEx>
          <w:tblCellMar>
            <w:top w:w="0" w:type="dxa"/>
            <w:left w:w="0" w:type="dxa"/>
            <w:bottom w:w="0" w:type="dxa"/>
            <w:right w:w="0" w:type="dxa"/>
          </w:tblCellMar>
        </w:tblPrEx>
        <w:trPr>
          <w:trHeight w:val="740" w:hRule="atLeast"/>
        </w:trPr>
        <w:tc>
          <w:tcPr>
            <w:tcW w:w="264" w:type="dxa"/>
            <w:textDirection w:val="btLr"/>
            <w:vAlign w:val="bottom"/>
          </w:tcPr>
          <w:p>
            <w:pPr>
              <w:spacing w:after="0"/>
              <w:rPr>
                <w:color w:val="auto"/>
                <w:sz w:val="20"/>
                <w:szCs w:val="20"/>
              </w:rPr>
            </w:pPr>
            <w:r>
              <w:rPr>
                <w:rFonts w:ascii="Arial" w:hAnsi="Arial" w:eastAsia="Arial" w:cs="Arial"/>
                <w:b/>
                <w:bCs/>
                <w:color w:val="auto"/>
                <w:sz w:val="23"/>
                <w:szCs w:val="23"/>
              </w:rPr>
              <w:t>CYP24</w:t>
            </w:r>
          </w:p>
        </w:tc>
      </w:tr>
    </w:tbl>
    <w:p>
      <w:pPr>
        <w:spacing w:after="0" w:line="20" w:lineRule="exact"/>
        <w:rPr>
          <w:color w:val="auto"/>
          <w:sz w:val="20"/>
          <w:szCs w:val="20"/>
        </w:rPr>
      </w:pPr>
      <w:r>
        <w:rPr>
          <w:color w:val="auto"/>
          <w:sz w:val="20"/>
          <w:szCs w:val="20"/>
        </w:rPr>
        <w:br w:type="column"/>
      </w: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920"/>
        <w:gridCol w:w="760"/>
        <w:gridCol w:w="700"/>
        <w:gridCol w:w="500"/>
        <w:gridCol w:w="720"/>
        <w:gridCol w:w="740"/>
        <w:gridCol w:w="360"/>
      </w:tblGrid>
      <w:tr>
        <w:tblPrEx>
          <w:tblCellMar>
            <w:top w:w="0" w:type="dxa"/>
            <w:left w:w="0" w:type="dxa"/>
            <w:bottom w:w="0" w:type="dxa"/>
            <w:right w:w="0" w:type="dxa"/>
          </w:tblCellMar>
        </w:tblPrEx>
        <w:trPr>
          <w:trHeight w:val="233" w:hRule="atLeast"/>
        </w:trPr>
        <w:tc>
          <w:tcPr>
            <w:tcW w:w="920" w:type="dxa"/>
            <w:vAlign w:val="bottom"/>
          </w:tcPr>
          <w:p>
            <w:pPr>
              <w:spacing w:after="0" w:line="233" w:lineRule="exact"/>
              <w:ind w:right="557"/>
              <w:jc w:val="right"/>
              <w:rPr>
                <w:color w:val="auto"/>
                <w:sz w:val="20"/>
                <w:szCs w:val="20"/>
              </w:rPr>
            </w:pPr>
            <w:r>
              <w:rPr>
                <w:rFonts w:ascii="Arial" w:hAnsi="Arial" w:eastAsia="Arial" w:cs="Arial"/>
                <w:b/>
                <w:bCs/>
                <w:color w:val="auto"/>
                <w:w w:val="97"/>
                <w:sz w:val="22"/>
                <w:szCs w:val="22"/>
              </w:rPr>
              <w:t>30</w:t>
            </w:r>
          </w:p>
        </w:tc>
        <w:tc>
          <w:tcPr>
            <w:tcW w:w="760" w:type="dxa"/>
            <w:vAlign w:val="bottom"/>
          </w:tcPr>
          <w:p>
            <w:pPr>
              <w:spacing w:after="0"/>
              <w:rPr>
                <w:color w:val="auto"/>
                <w:sz w:val="20"/>
                <w:szCs w:val="20"/>
              </w:rPr>
            </w:pPr>
          </w:p>
        </w:tc>
        <w:tc>
          <w:tcPr>
            <w:tcW w:w="700" w:type="dxa"/>
            <w:vMerge w:val="restart"/>
            <w:vAlign w:val="bottom"/>
          </w:tcPr>
          <w:p>
            <w:pPr>
              <w:spacing w:after="0"/>
              <w:ind w:left="420"/>
              <w:rPr>
                <w:color w:val="auto"/>
                <w:sz w:val="20"/>
                <w:szCs w:val="20"/>
              </w:rPr>
            </w:pPr>
            <w:r>
              <w:rPr>
                <w:rFonts w:ascii="Arial" w:hAnsi="Arial" w:eastAsia="Arial" w:cs="Arial"/>
                <w:color w:val="auto"/>
                <w:sz w:val="28"/>
                <w:szCs w:val="28"/>
              </w:rPr>
              <w:t>a</w:t>
            </w:r>
          </w:p>
        </w:tc>
        <w:tc>
          <w:tcPr>
            <w:tcW w:w="50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920" w:type="dxa"/>
            <w:vAlign w:val="bottom"/>
          </w:tcPr>
          <w:p>
            <w:pPr>
              <w:spacing w:after="0"/>
              <w:rPr>
                <w:color w:val="auto"/>
                <w:sz w:val="17"/>
                <w:szCs w:val="17"/>
              </w:rPr>
            </w:pPr>
          </w:p>
        </w:tc>
        <w:tc>
          <w:tcPr>
            <w:tcW w:w="760" w:type="dxa"/>
            <w:vAlign w:val="bottom"/>
          </w:tcPr>
          <w:p>
            <w:pPr>
              <w:spacing w:after="0"/>
              <w:rPr>
                <w:color w:val="auto"/>
                <w:sz w:val="17"/>
                <w:szCs w:val="17"/>
              </w:rPr>
            </w:pPr>
          </w:p>
        </w:tc>
        <w:tc>
          <w:tcPr>
            <w:tcW w:w="700" w:type="dxa"/>
            <w:vMerge w:val="continue"/>
            <w:vAlign w:val="bottom"/>
          </w:tcPr>
          <w:p>
            <w:pPr>
              <w:spacing w:after="0"/>
              <w:rPr>
                <w:color w:val="auto"/>
                <w:sz w:val="17"/>
                <w:szCs w:val="17"/>
              </w:rPr>
            </w:pPr>
          </w:p>
        </w:tc>
        <w:tc>
          <w:tcPr>
            <w:tcW w:w="500" w:type="dxa"/>
            <w:vAlign w:val="bottom"/>
          </w:tcPr>
          <w:p>
            <w:pPr>
              <w:spacing w:after="0"/>
              <w:rPr>
                <w:color w:val="auto"/>
                <w:sz w:val="17"/>
                <w:szCs w:val="17"/>
              </w:rPr>
            </w:pPr>
          </w:p>
        </w:tc>
        <w:tc>
          <w:tcPr>
            <w:tcW w:w="720" w:type="dxa"/>
            <w:vAlign w:val="bottom"/>
          </w:tcPr>
          <w:p>
            <w:pPr>
              <w:spacing w:after="0"/>
              <w:rPr>
                <w:color w:val="auto"/>
                <w:sz w:val="17"/>
                <w:szCs w:val="17"/>
              </w:rPr>
            </w:pPr>
          </w:p>
        </w:tc>
        <w:tc>
          <w:tcPr>
            <w:tcW w:w="740" w:type="dxa"/>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920" w:type="dxa"/>
            <w:vAlign w:val="bottom"/>
          </w:tcPr>
          <w:p>
            <w:pPr>
              <w:spacing w:after="0" w:line="245" w:lineRule="exact"/>
              <w:ind w:right="557"/>
              <w:jc w:val="right"/>
              <w:rPr>
                <w:color w:val="auto"/>
                <w:sz w:val="20"/>
                <w:szCs w:val="20"/>
              </w:rPr>
            </w:pPr>
            <w:r>
              <w:rPr>
                <w:rFonts w:ascii="Arial" w:hAnsi="Arial" w:eastAsia="Arial" w:cs="Arial"/>
                <w:b/>
                <w:bCs/>
                <w:color w:val="auto"/>
                <w:w w:val="97"/>
                <w:sz w:val="22"/>
                <w:szCs w:val="22"/>
              </w:rPr>
              <w:t>20</w:t>
            </w:r>
          </w:p>
        </w:tc>
        <w:tc>
          <w:tcPr>
            <w:tcW w:w="760" w:type="dxa"/>
            <w:vAlign w:val="bottom"/>
          </w:tcPr>
          <w:p>
            <w:pPr>
              <w:spacing w:after="0" w:line="273" w:lineRule="exact"/>
              <w:ind w:left="440"/>
              <w:rPr>
                <w:color w:val="auto"/>
                <w:sz w:val="20"/>
                <w:szCs w:val="20"/>
              </w:rPr>
            </w:pPr>
            <w:r>
              <w:rPr>
                <w:rFonts w:ascii="Arial" w:hAnsi="Arial" w:eastAsia="Arial" w:cs="Arial"/>
                <w:color w:val="auto"/>
                <w:sz w:val="28"/>
                <w:szCs w:val="28"/>
              </w:rPr>
              <w:t>a</w:t>
            </w:r>
          </w:p>
        </w:tc>
        <w:tc>
          <w:tcPr>
            <w:tcW w:w="700" w:type="dxa"/>
            <w:vAlign w:val="bottom"/>
          </w:tcPr>
          <w:p>
            <w:pPr>
              <w:spacing w:after="0"/>
              <w:rPr>
                <w:color w:val="auto"/>
                <w:sz w:val="23"/>
                <w:szCs w:val="23"/>
              </w:rPr>
            </w:pPr>
          </w:p>
        </w:tc>
        <w:tc>
          <w:tcPr>
            <w:tcW w:w="50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74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920" w:type="dxa"/>
            <w:vAlign w:val="bottom"/>
          </w:tcPr>
          <w:p>
            <w:pPr>
              <w:spacing w:after="0"/>
              <w:ind w:right="557"/>
              <w:jc w:val="right"/>
              <w:rPr>
                <w:color w:val="auto"/>
                <w:sz w:val="20"/>
                <w:szCs w:val="20"/>
              </w:rPr>
            </w:pPr>
            <w:r>
              <w:rPr>
                <w:rFonts w:ascii="Arial" w:hAnsi="Arial" w:eastAsia="Arial" w:cs="Arial"/>
                <w:b/>
                <w:bCs/>
                <w:color w:val="auto"/>
                <w:w w:val="97"/>
                <w:sz w:val="22"/>
                <w:szCs w:val="22"/>
              </w:rPr>
              <w:t>10</w:t>
            </w:r>
          </w:p>
        </w:tc>
        <w:tc>
          <w:tcPr>
            <w:tcW w:w="7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50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4" w:hRule="atLeast"/>
        </w:trPr>
        <w:tc>
          <w:tcPr>
            <w:tcW w:w="920" w:type="dxa"/>
            <w:vAlign w:val="bottom"/>
          </w:tcPr>
          <w:p>
            <w:pPr>
              <w:spacing w:after="0"/>
              <w:ind w:right="557"/>
              <w:jc w:val="right"/>
              <w:rPr>
                <w:color w:val="auto"/>
                <w:sz w:val="20"/>
                <w:szCs w:val="20"/>
              </w:rPr>
            </w:pPr>
            <w:r>
              <w:rPr>
                <w:rFonts w:ascii="Arial" w:hAnsi="Arial" w:eastAsia="Arial" w:cs="Arial"/>
                <w:b/>
                <w:bCs/>
                <w:color w:val="auto"/>
                <w:sz w:val="22"/>
                <w:szCs w:val="22"/>
              </w:rPr>
              <w:t>0</w:t>
            </w:r>
          </w:p>
        </w:tc>
        <w:tc>
          <w:tcPr>
            <w:tcW w:w="7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50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920" w:type="dxa"/>
            <w:vMerge w:val="restart"/>
            <w:vAlign w:val="bottom"/>
          </w:tcPr>
          <w:p>
            <w:pPr>
              <w:spacing w:after="0"/>
              <w:ind w:right="97"/>
              <w:jc w:val="right"/>
              <w:rPr>
                <w:color w:val="auto"/>
                <w:sz w:val="20"/>
                <w:szCs w:val="20"/>
              </w:rPr>
            </w:pPr>
            <w:r>
              <w:rPr>
                <w:rFonts w:ascii="Arial" w:hAnsi="Arial" w:eastAsia="Arial" w:cs="Arial"/>
                <w:b/>
                <w:bCs/>
                <w:color w:val="auto"/>
                <w:sz w:val="15"/>
                <w:szCs w:val="15"/>
              </w:rPr>
              <w:t>Control</w:t>
            </w:r>
          </w:p>
        </w:tc>
        <w:tc>
          <w:tcPr>
            <w:tcW w:w="760" w:type="dxa"/>
            <w:vAlign w:val="bottom"/>
          </w:tcPr>
          <w:p>
            <w:pPr>
              <w:spacing w:after="0"/>
              <w:ind w:left="400"/>
              <w:rPr>
                <w:color w:val="auto"/>
                <w:sz w:val="20"/>
                <w:szCs w:val="20"/>
              </w:rPr>
            </w:pPr>
            <w:r>
              <w:rPr>
                <w:rFonts w:ascii="Arial" w:hAnsi="Arial" w:eastAsia="Arial" w:cs="Arial"/>
                <w:b/>
                <w:bCs/>
                <w:color w:val="auto"/>
                <w:sz w:val="15"/>
                <w:szCs w:val="15"/>
              </w:rPr>
              <w:t>A</w:t>
            </w:r>
          </w:p>
        </w:tc>
        <w:tc>
          <w:tcPr>
            <w:tcW w:w="700" w:type="dxa"/>
            <w:vMerge w:val="restart"/>
            <w:vAlign w:val="bottom"/>
          </w:tcPr>
          <w:p>
            <w:pPr>
              <w:spacing w:after="0"/>
              <w:ind w:left="160"/>
              <w:rPr>
                <w:color w:val="auto"/>
                <w:sz w:val="20"/>
                <w:szCs w:val="20"/>
              </w:rPr>
            </w:pPr>
            <w:r>
              <w:rPr>
                <w:rFonts w:ascii="Arial" w:hAnsi="Arial" w:eastAsia="Arial" w:cs="Arial"/>
                <w:b/>
                <w:bCs/>
                <w:color w:val="auto"/>
                <w:sz w:val="15"/>
                <w:szCs w:val="15"/>
              </w:rPr>
              <w:t>SFN</w:t>
            </w:r>
          </w:p>
        </w:tc>
        <w:tc>
          <w:tcPr>
            <w:tcW w:w="500" w:type="dxa"/>
            <w:vMerge w:val="restart"/>
            <w:vAlign w:val="bottom"/>
          </w:tcPr>
          <w:p>
            <w:pPr>
              <w:spacing w:after="0"/>
              <w:ind w:left="120"/>
              <w:rPr>
                <w:color w:val="auto"/>
                <w:sz w:val="20"/>
                <w:szCs w:val="20"/>
              </w:rPr>
            </w:pPr>
            <w:r>
              <w:rPr>
                <w:rFonts w:ascii="Arial" w:hAnsi="Arial" w:eastAsia="Arial" w:cs="Arial"/>
                <w:b/>
                <w:bCs/>
                <w:color w:val="auto"/>
                <w:sz w:val="15"/>
                <w:szCs w:val="15"/>
              </w:rPr>
              <w:t>125D</w:t>
            </w:r>
          </w:p>
        </w:tc>
        <w:tc>
          <w:tcPr>
            <w:tcW w:w="720" w:type="dxa"/>
            <w:vAlign w:val="bottom"/>
          </w:tcPr>
          <w:p>
            <w:pPr>
              <w:spacing w:after="0"/>
              <w:ind w:left="600"/>
              <w:rPr>
                <w:color w:val="auto"/>
                <w:sz w:val="20"/>
                <w:szCs w:val="20"/>
              </w:rPr>
            </w:pPr>
            <w:r>
              <w:rPr>
                <w:rFonts w:ascii="Arial" w:hAnsi="Arial" w:eastAsia="Arial" w:cs="Arial"/>
                <w:b/>
                <w:bCs/>
                <w:color w:val="auto"/>
                <w:sz w:val="15"/>
                <w:szCs w:val="15"/>
              </w:rPr>
              <w:t>A</w:t>
            </w:r>
          </w:p>
        </w:tc>
        <w:tc>
          <w:tcPr>
            <w:tcW w:w="740" w:type="dxa"/>
            <w:vMerge w:val="restart"/>
            <w:vAlign w:val="bottom"/>
          </w:tcPr>
          <w:p>
            <w:pPr>
              <w:spacing w:after="0"/>
              <w:rPr>
                <w:color w:val="auto"/>
                <w:sz w:val="20"/>
                <w:szCs w:val="20"/>
              </w:rPr>
            </w:pPr>
            <w:r>
              <w:rPr>
                <w:rFonts w:ascii="Arial" w:hAnsi="Arial" w:eastAsia="Arial" w:cs="Arial"/>
                <w:b/>
                <w:bCs/>
                <w:color w:val="auto"/>
                <w:sz w:val="15"/>
                <w:szCs w:val="15"/>
              </w:rPr>
              <w:t>125D/SFN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920" w:type="dxa"/>
            <w:vMerge w:val="continue"/>
            <w:vAlign w:val="bottom"/>
          </w:tcPr>
          <w:p>
            <w:pPr>
              <w:spacing w:after="0"/>
              <w:rPr>
                <w:color w:val="auto"/>
                <w:sz w:val="11"/>
                <w:szCs w:val="11"/>
              </w:rPr>
            </w:pPr>
          </w:p>
        </w:tc>
        <w:tc>
          <w:tcPr>
            <w:tcW w:w="760" w:type="dxa"/>
            <w:vAlign w:val="bottom"/>
          </w:tcPr>
          <w:p>
            <w:pPr>
              <w:spacing w:after="0" w:line="184" w:lineRule="auto"/>
              <w:ind w:left="200"/>
              <w:rPr>
                <w:color w:val="auto"/>
                <w:sz w:val="20"/>
                <w:szCs w:val="20"/>
              </w:rPr>
            </w:pPr>
            <w:r>
              <w:rPr>
                <w:rFonts w:ascii="Arial" w:hAnsi="Arial" w:eastAsia="Arial" w:cs="Arial"/>
                <w:b/>
                <w:bCs/>
                <w:color w:val="auto"/>
                <w:sz w:val="13"/>
                <w:szCs w:val="13"/>
              </w:rPr>
              <w:t>T</w:t>
            </w:r>
          </w:p>
        </w:tc>
        <w:tc>
          <w:tcPr>
            <w:tcW w:w="700" w:type="dxa"/>
            <w:vMerge w:val="continue"/>
            <w:vAlign w:val="bottom"/>
          </w:tcPr>
          <w:p>
            <w:pPr>
              <w:spacing w:after="0"/>
              <w:rPr>
                <w:color w:val="auto"/>
                <w:sz w:val="11"/>
                <w:szCs w:val="11"/>
              </w:rPr>
            </w:pPr>
          </w:p>
        </w:tc>
        <w:tc>
          <w:tcPr>
            <w:tcW w:w="500" w:type="dxa"/>
            <w:vMerge w:val="continue"/>
            <w:vAlign w:val="bottom"/>
          </w:tcPr>
          <w:p>
            <w:pPr>
              <w:spacing w:after="0"/>
              <w:rPr>
                <w:color w:val="auto"/>
                <w:sz w:val="11"/>
                <w:szCs w:val="11"/>
              </w:rPr>
            </w:pPr>
          </w:p>
        </w:tc>
        <w:tc>
          <w:tcPr>
            <w:tcW w:w="720" w:type="dxa"/>
            <w:vAlign w:val="bottom"/>
          </w:tcPr>
          <w:p>
            <w:pPr>
              <w:spacing w:after="0" w:line="181" w:lineRule="auto"/>
              <w:rPr>
                <w:color w:val="auto"/>
                <w:sz w:val="20"/>
                <w:szCs w:val="20"/>
              </w:rPr>
            </w:pPr>
            <w:r>
              <w:rPr>
                <w:rFonts w:ascii="Arial" w:hAnsi="Arial" w:eastAsia="Arial" w:cs="Arial"/>
                <w:b/>
                <w:bCs/>
                <w:color w:val="auto"/>
                <w:sz w:val="15"/>
                <w:szCs w:val="15"/>
              </w:rPr>
              <w:t>125D/T</w:t>
            </w:r>
          </w:p>
        </w:tc>
        <w:tc>
          <w:tcPr>
            <w:tcW w:w="74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7" w:hRule="atLeast"/>
        </w:trPr>
        <w:tc>
          <w:tcPr>
            <w:tcW w:w="920" w:type="dxa"/>
            <w:vAlign w:val="bottom"/>
          </w:tcPr>
          <w:p>
            <w:pPr>
              <w:spacing w:after="0"/>
              <w:rPr>
                <w:color w:val="auto"/>
                <w:sz w:val="18"/>
                <w:szCs w:val="18"/>
              </w:rPr>
            </w:pPr>
          </w:p>
        </w:tc>
        <w:tc>
          <w:tcPr>
            <w:tcW w:w="760" w:type="dxa"/>
            <w:vAlign w:val="bottom"/>
          </w:tcPr>
          <w:p>
            <w:pPr>
              <w:spacing w:after="0"/>
              <w:ind w:left="300"/>
              <w:rPr>
                <w:color w:val="auto"/>
                <w:sz w:val="20"/>
                <w:szCs w:val="20"/>
              </w:rPr>
            </w:pPr>
            <w:r>
              <w:rPr>
                <w:rFonts w:ascii="Arial" w:hAnsi="Arial" w:eastAsia="Arial" w:cs="Arial"/>
                <w:b/>
                <w:bCs/>
                <w:color w:val="auto"/>
                <w:sz w:val="15"/>
                <w:szCs w:val="15"/>
              </w:rPr>
              <w:t>S</w:t>
            </w:r>
          </w:p>
        </w:tc>
        <w:tc>
          <w:tcPr>
            <w:tcW w:w="700" w:type="dxa"/>
            <w:vAlign w:val="bottom"/>
          </w:tcPr>
          <w:p>
            <w:pPr>
              <w:spacing w:after="0"/>
              <w:rPr>
                <w:color w:val="auto"/>
                <w:sz w:val="18"/>
                <w:szCs w:val="18"/>
              </w:rPr>
            </w:pPr>
          </w:p>
        </w:tc>
        <w:tc>
          <w:tcPr>
            <w:tcW w:w="500" w:type="dxa"/>
            <w:vAlign w:val="bottom"/>
          </w:tcPr>
          <w:p>
            <w:pPr>
              <w:spacing w:after="0"/>
              <w:rPr>
                <w:color w:val="auto"/>
                <w:sz w:val="18"/>
                <w:szCs w:val="18"/>
              </w:rPr>
            </w:pPr>
          </w:p>
        </w:tc>
        <w:tc>
          <w:tcPr>
            <w:tcW w:w="720" w:type="dxa"/>
            <w:vAlign w:val="bottom"/>
          </w:tcPr>
          <w:p>
            <w:pPr>
              <w:spacing w:after="0"/>
              <w:ind w:left="500"/>
              <w:rPr>
                <w:color w:val="auto"/>
                <w:sz w:val="20"/>
                <w:szCs w:val="20"/>
              </w:rPr>
            </w:pPr>
            <w:r>
              <w:rPr>
                <w:rFonts w:ascii="Arial" w:hAnsi="Arial" w:eastAsia="Arial" w:cs="Arial"/>
                <w:b/>
                <w:bCs/>
                <w:color w:val="auto"/>
                <w:sz w:val="15"/>
                <w:szCs w:val="15"/>
              </w:rPr>
              <w:t>S</w:t>
            </w:r>
          </w:p>
        </w:tc>
        <w:tc>
          <w:tcPr>
            <w:tcW w:w="740" w:type="dxa"/>
            <w:vAlign w:val="bottom"/>
          </w:tcPr>
          <w:p>
            <w:pPr>
              <w:spacing w:after="0"/>
              <w:rPr>
                <w:color w:val="auto"/>
                <w:sz w:val="18"/>
                <w:szCs w:val="18"/>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177800</wp:posOffset>
            </wp:positionH>
            <wp:positionV relativeFrom="paragraph">
              <wp:posOffset>-1354455</wp:posOffset>
            </wp:positionV>
            <wp:extent cx="2804160" cy="925195"/>
            <wp:effectExtent l="0" t="0" r="1524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srcRect/>
                    <a:stretch>
                      <a:fillRect/>
                    </a:stretch>
                  </pic:blipFill>
                  <pic:spPr>
                    <a:xfrm>
                      <a:off x="0" y="0"/>
                      <a:ext cx="2804160" cy="925195"/>
                    </a:xfrm>
                    <a:prstGeom prst="rect">
                      <a:avLst/>
                    </a:prstGeom>
                    <a:noFill/>
                  </pic:spPr>
                </pic:pic>
              </a:graphicData>
            </a:graphic>
          </wp:anchor>
        </w:drawing>
      </w:r>
    </w:p>
    <w:p>
      <w:pPr>
        <w:spacing w:after="0" w:line="200" w:lineRule="exact"/>
        <w:rPr>
          <w:color w:val="auto"/>
          <w:sz w:val="20"/>
          <w:szCs w:val="20"/>
        </w:rPr>
      </w:pPr>
    </w:p>
    <w:p>
      <w:pPr>
        <w:sectPr>
          <w:type w:val="continuous"/>
          <w:pgSz w:w="12240" w:h="15840"/>
          <w:pgMar w:top="1440" w:right="1440" w:bottom="120" w:left="1440" w:header="0" w:footer="0" w:gutter="0"/>
          <w:cols w:equalWidth="0" w:num="2">
            <w:col w:w="2621" w:space="639"/>
            <w:col w:w="6100"/>
          </w:cols>
        </w:sect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227" w:lineRule="auto"/>
        <w:ind w:left="720" w:right="140" w:firstLine="703"/>
        <w:rPr>
          <w:color w:val="auto"/>
          <w:sz w:val="20"/>
          <w:szCs w:val="20"/>
        </w:rPr>
      </w:pPr>
      <w:r>
        <w:rPr>
          <w:rFonts w:ascii="Cambria" w:hAnsi="Cambria" w:eastAsia="Cambria" w:cs="Cambria"/>
          <w:color w:val="auto"/>
          <w:sz w:val="24"/>
          <w:szCs w:val="24"/>
        </w:rPr>
        <w:t>Figure 4.4 Experiment 2: Effect of SFN and TSA on CYP24A1 mRNA Mean ± SEM fold change of CYP24A1 mRNA in comparison to a control, at the value of 1. Statistical significance notation: a= p&lt;0.05 vs. control. Note difference in scale on y-axis.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37</w:t>
      </w:r>
    </w:p>
    <w:p>
      <w:pPr>
        <w:sectPr>
          <w:type w:val="continuous"/>
          <w:pgSz w:w="12240" w:h="15840"/>
          <w:pgMar w:top="1440" w:right="1440" w:bottom="120" w:left="1440" w:header="0" w:footer="0" w:gutter="0"/>
          <w:cols w:equalWidth="0" w:num="1">
            <w:col w:w="9360"/>
          </w:cols>
        </w:sectPr>
      </w:pPr>
    </w:p>
    <w:p>
      <w:pPr>
        <w:spacing w:after="0" w:line="200" w:lineRule="exact"/>
        <w:rPr>
          <w:color w:val="auto"/>
          <w:sz w:val="20"/>
          <w:szCs w:val="20"/>
        </w:rPr>
      </w:pPr>
      <w:bookmarkStart w:id="45" w:name="page52"/>
      <w:bookmarkEnd w:id="45"/>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tbl>
      <w:tblPr>
        <w:tblStyle w:val="3"/>
        <w:tblW w:w="0" w:type="auto"/>
        <w:tblInd w:w="2243" w:type="dxa"/>
        <w:tblLayout w:type="fixed"/>
        <w:tblCellMar>
          <w:top w:w="0" w:type="dxa"/>
          <w:left w:w="0" w:type="dxa"/>
          <w:bottom w:w="0" w:type="dxa"/>
          <w:right w:w="0" w:type="dxa"/>
        </w:tblCellMar>
      </w:tblPr>
      <w:tblGrid>
        <w:gridCol w:w="479"/>
      </w:tblGrid>
      <w:tr>
        <w:trPr>
          <w:trHeight w:val="2060" w:hRule="atLeast"/>
        </w:trPr>
        <w:tc>
          <w:tcPr>
            <w:tcW w:w="479" w:type="dxa"/>
            <w:textDirection w:val="btLr"/>
            <w:vAlign w:val="bottom"/>
          </w:tcPr>
          <w:p>
            <w:pPr>
              <w:spacing w:after="0" w:line="227" w:lineRule="auto"/>
              <w:ind w:hanging="179"/>
              <w:rPr>
                <w:color w:val="auto"/>
                <w:sz w:val="20"/>
                <w:szCs w:val="20"/>
              </w:rPr>
            </w:pPr>
            <w:r>
              <w:rPr>
                <w:rFonts w:ascii="Arial" w:hAnsi="Arial" w:eastAsia="Arial" w:cs="Arial"/>
                <w:color w:val="auto"/>
                <w:sz w:val="20"/>
                <w:szCs w:val="20"/>
              </w:rPr>
              <w:t xml:space="preserve">Relative Fold Expression </w:t>
            </w:r>
            <w:r>
              <w:rPr>
                <w:rFonts w:ascii="Arial" w:hAnsi="Arial" w:eastAsia="Arial" w:cs="Arial"/>
                <w:b/>
                <w:bCs/>
                <w:color w:val="auto"/>
                <w:sz w:val="24"/>
                <w:szCs w:val="24"/>
              </w:rPr>
              <w:t>CYP27B1 mRNA,</w:t>
            </w:r>
          </w:p>
        </w:tc>
      </w:tr>
    </w:tbl>
    <w:p>
      <w:pPr>
        <w:spacing w:after="0" w:line="20" w:lineRule="exact"/>
        <w:rPr>
          <w:color w:val="auto"/>
          <w:sz w:val="20"/>
          <w:szCs w:val="20"/>
        </w:rPr>
      </w:pPr>
      <w:r>
        <w:rPr>
          <w:color w:val="auto"/>
          <w:sz w:val="20"/>
          <w:szCs w:val="20"/>
        </w:rPr>
        <w:br w:type="column"/>
      </w:r>
    </w:p>
    <w:p>
      <w:pPr>
        <w:spacing w:after="0" w:line="243" w:lineRule="exact"/>
        <w:rPr>
          <w:color w:val="auto"/>
          <w:sz w:val="20"/>
          <w:szCs w:val="20"/>
        </w:rPr>
      </w:pPr>
    </w:p>
    <w:p>
      <w:pPr>
        <w:spacing w:after="0"/>
        <w:rPr>
          <w:color w:val="auto"/>
          <w:sz w:val="20"/>
          <w:szCs w:val="20"/>
        </w:rPr>
      </w:pPr>
      <w:r>
        <w:rPr>
          <w:rFonts w:ascii="Arial" w:hAnsi="Arial" w:eastAsia="Arial" w:cs="Arial"/>
          <w:b/>
          <w:bCs/>
          <w:color w:val="auto"/>
          <w:sz w:val="22"/>
          <w:szCs w:val="22"/>
        </w:rPr>
        <w:t>15</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166370</wp:posOffset>
            </wp:positionH>
            <wp:positionV relativeFrom="paragraph">
              <wp:posOffset>-80645</wp:posOffset>
            </wp:positionV>
            <wp:extent cx="2804160" cy="1889760"/>
            <wp:effectExtent l="0" t="0" r="15240" b="152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a:srcRect/>
                    <a:stretch>
                      <a:fillRect/>
                    </a:stretch>
                  </pic:blipFill>
                  <pic:spPr>
                    <a:xfrm>
                      <a:off x="0" y="0"/>
                      <a:ext cx="2804160" cy="1889760"/>
                    </a:xfrm>
                    <a:prstGeom prst="rect">
                      <a:avLst/>
                    </a:prstGeom>
                    <a:noFill/>
                  </pic:spPr>
                </pic:pic>
              </a:graphicData>
            </a:graphic>
          </wp:anchor>
        </w:drawing>
      </w:r>
    </w:p>
    <w:p>
      <w:pPr>
        <w:spacing w:after="0" w:line="200" w:lineRule="exact"/>
        <w:rPr>
          <w:color w:val="auto"/>
          <w:sz w:val="20"/>
          <w:szCs w:val="20"/>
        </w:rPr>
      </w:pPr>
    </w:p>
    <w:p>
      <w:pPr>
        <w:spacing w:after="0" w:line="299"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60"/>
        <w:gridCol w:w="100"/>
        <w:gridCol w:w="2620"/>
        <w:gridCol w:w="360"/>
      </w:tblGrid>
      <w:tr>
        <w:tblPrEx>
          <w:tblCellMar>
            <w:top w:w="0" w:type="dxa"/>
            <w:left w:w="0" w:type="dxa"/>
            <w:bottom w:w="0" w:type="dxa"/>
            <w:right w:w="0" w:type="dxa"/>
          </w:tblCellMar>
        </w:tblPrEx>
        <w:trPr>
          <w:trHeight w:val="322" w:hRule="atLeast"/>
        </w:trPr>
        <w:tc>
          <w:tcPr>
            <w:tcW w:w="260" w:type="dxa"/>
            <w:vMerge w:val="restart"/>
            <w:vAlign w:val="bottom"/>
          </w:tcPr>
          <w:p>
            <w:pPr>
              <w:spacing w:after="0"/>
              <w:jc w:val="right"/>
              <w:rPr>
                <w:color w:val="auto"/>
                <w:sz w:val="20"/>
                <w:szCs w:val="20"/>
              </w:rPr>
            </w:pPr>
            <w:r>
              <w:rPr>
                <w:rFonts w:ascii="Arial" w:hAnsi="Arial" w:eastAsia="Arial" w:cs="Arial"/>
                <w:b/>
                <w:bCs/>
                <w:color w:val="auto"/>
                <w:w w:val="89"/>
                <w:sz w:val="22"/>
                <w:szCs w:val="22"/>
              </w:rPr>
              <w:t>10</w:t>
            </w:r>
          </w:p>
        </w:tc>
        <w:tc>
          <w:tcPr>
            <w:tcW w:w="100" w:type="dxa"/>
            <w:tcBorders>
              <w:bottom w:val="single" w:color="auto" w:sz="8" w:space="0"/>
            </w:tcBorders>
            <w:vAlign w:val="bottom"/>
          </w:tcPr>
          <w:p>
            <w:pPr>
              <w:spacing w:after="0"/>
              <w:rPr>
                <w:color w:val="auto"/>
                <w:sz w:val="24"/>
                <w:szCs w:val="24"/>
              </w:rPr>
            </w:pPr>
          </w:p>
        </w:tc>
        <w:tc>
          <w:tcPr>
            <w:tcW w:w="2620" w:type="dxa"/>
            <w:vAlign w:val="bottom"/>
          </w:tcPr>
          <w:p>
            <w:pPr>
              <w:spacing w:after="0"/>
              <w:ind w:left="2440"/>
              <w:rPr>
                <w:color w:val="auto"/>
                <w:sz w:val="20"/>
                <w:szCs w:val="20"/>
              </w:rPr>
            </w:pPr>
            <w:r>
              <w:rPr>
                <w:rFonts w:ascii="Arial" w:hAnsi="Arial" w:eastAsia="Arial" w:cs="Arial"/>
                <w:color w:val="auto"/>
                <w:w w:val="89"/>
                <w:sz w:val="28"/>
                <w:szCs w:val="28"/>
              </w:rPr>
              <w:t>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260" w:type="dxa"/>
            <w:vMerge w:val="continue"/>
            <w:vAlign w:val="bottom"/>
          </w:tcPr>
          <w:p>
            <w:pPr>
              <w:spacing w:after="0"/>
              <w:rPr>
                <w:color w:val="auto"/>
                <w:sz w:val="8"/>
                <w:szCs w:val="8"/>
              </w:rPr>
            </w:pPr>
          </w:p>
        </w:tc>
        <w:tc>
          <w:tcPr>
            <w:tcW w:w="100" w:type="dxa"/>
            <w:vAlign w:val="bottom"/>
          </w:tcPr>
          <w:p>
            <w:pPr>
              <w:spacing w:after="0"/>
              <w:rPr>
                <w:color w:val="auto"/>
                <w:sz w:val="8"/>
                <w:szCs w:val="8"/>
              </w:rPr>
            </w:pPr>
          </w:p>
        </w:tc>
        <w:tc>
          <w:tcPr>
            <w:tcW w:w="2620" w:type="dxa"/>
            <w:vAlign w:val="bottom"/>
          </w:tcPr>
          <w:p>
            <w:pPr>
              <w:spacing w:after="0"/>
              <w:rPr>
                <w:color w:val="auto"/>
                <w:sz w:val="8"/>
                <w:szCs w:val="8"/>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tbl>
      <w:tblPr>
        <w:tblStyle w:val="3"/>
        <w:tblW w:w="0" w:type="auto"/>
        <w:tblInd w:w="120" w:type="dxa"/>
        <w:tblLayout w:type="fixed"/>
        <w:tblCellMar>
          <w:top w:w="0" w:type="dxa"/>
          <w:left w:w="0" w:type="dxa"/>
          <w:bottom w:w="0" w:type="dxa"/>
          <w:right w:w="0" w:type="dxa"/>
        </w:tblCellMar>
      </w:tblPr>
      <w:tblGrid>
        <w:gridCol w:w="780"/>
        <w:gridCol w:w="720"/>
        <w:gridCol w:w="700"/>
        <w:gridCol w:w="380"/>
        <w:gridCol w:w="160"/>
        <w:gridCol w:w="720"/>
        <w:gridCol w:w="840"/>
        <w:gridCol w:w="360"/>
      </w:tblGrid>
      <w:tr>
        <w:tblPrEx>
          <w:tblCellMar>
            <w:top w:w="0" w:type="dxa"/>
            <w:left w:w="0" w:type="dxa"/>
            <w:bottom w:w="0" w:type="dxa"/>
            <w:right w:w="0" w:type="dxa"/>
          </w:tblCellMar>
        </w:tblPrEx>
        <w:trPr>
          <w:trHeight w:val="253" w:hRule="atLeast"/>
        </w:trPr>
        <w:tc>
          <w:tcPr>
            <w:tcW w:w="780" w:type="dxa"/>
            <w:vAlign w:val="bottom"/>
          </w:tcPr>
          <w:p>
            <w:pPr>
              <w:spacing w:after="0"/>
              <w:rPr>
                <w:color w:val="auto"/>
                <w:sz w:val="20"/>
                <w:szCs w:val="20"/>
              </w:rPr>
            </w:pPr>
            <w:r>
              <w:rPr>
                <w:rFonts w:ascii="Arial" w:hAnsi="Arial" w:eastAsia="Arial" w:cs="Arial"/>
                <w:b/>
                <w:bCs/>
                <w:color w:val="auto"/>
                <w:sz w:val="22"/>
                <w:szCs w:val="22"/>
              </w:rPr>
              <w:t>5</w:t>
            </w:r>
          </w:p>
        </w:tc>
        <w:tc>
          <w:tcPr>
            <w:tcW w:w="720" w:type="dxa"/>
            <w:vAlign w:val="bottom"/>
          </w:tcPr>
          <w:p>
            <w:pPr>
              <w:spacing w:after="0"/>
              <w:rPr>
                <w:color w:val="auto"/>
                <w:sz w:val="21"/>
                <w:szCs w:val="21"/>
              </w:rPr>
            </w:pPr>
          </w:p>
        </w:tc>
        <w:tc>
          <w:tcPr>
            <w:tcW w:w="700" w:type="dxa"/>
            <w:vAlign w:val="bottom"/>
          </w:tcPr>
          <w:p>
            <w:pPr>
              <w:spacing w:after="0"/>
              <w:rPr>
                <w:color w:val="auto"/>
                <w:sz w:val="21"/>
                <w:szCs w:val="21"/>
              </w:rPr>
            </w:pPr>
          </w:p>
        </w:tc>
        <w:tc>
          <w:tcPr>
            <w:tcW w:w="380" w:type="dxa"/>
            <w:vAlign w:val="bottom"/>
          </w:tcPr>
          <w:p>
            <w:pPr>
              <w:spacing w:after="0"/>
              <w:rPr>
                <w:color w:val="auto"/>
                <w:sz w:val="21"/>
                <w:szCs w:val="21"/>
              </w:rPr>
            </w:pPr>
          </w:p>
        </w:tc>
        <w:tc>
          <w:tcPr>
            <w:tcW w:w="160" w:type="dxa"/>
            <w:vAlign w:val="bottom"/>
          </w:tcPr>
          <w:p>
            <w:pPr>
              <w:spacing w:after="0"/>
              <w:rPr>
                <w:color w:val="auto"/>
                <w:sz w:val="21"/>
                <w:szCs w:val="21"/>
              </w:rPr>
            </w:pPr>
          </w:p>
        </w:tc>
        <w:tc>
          <w:tcPr>
            <w:tcW w:w="720" w:type="dxa"/>
            <w:vAlign w:val="bottom"/>
          </w:tcPr>
          <w:p>
            <w:pPr>
              <w:spacing w:after="0"/>
              <w:rPr>
                <w:color w:val="auto"/>
                <w:sz w:val="21"/>
                <w:szCs w:val="21"/>
              </w:rPr>
            </w:pPr>
          </w:p>
        </w:tc>
        <w:tc>
          <w:tcPr>
            <w:tcW w:w="840" w:type="dxa"/>
            <w:vMerge w:val="restart"/>
            <w:vAlign w:val="bottom"/>
          </w:tcPr>
          <w:p>
            <w:pPr>
              <w:spacing w:after="0"/>
              <w:ind w:left="660"/>
              <w:rPr>
                <w:color w:val="auto"/>
                <w:sz w:val="20"/>
                <w:szCs w:val="20"/>
              </w:rPr>
            </w:pPr>
            <w:r>
              <w:rPr>
                <w:rFonts w:ascii="Arial" w:hAnsi="Arial" w:eastAsia="Arial" w:cs="Arial"/>
                <w:color w:val="auto"/>
                <w:w w:val="89"/>
                <w:sz w:val="28"/>
                <w:szCs w:val="28"/>
              </w:rPr>
              <w:t>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9" w:hRule="atLeast"/>
        </w:trPr>
        <w:tc>
          <w:tcPr>
            <w:tcW w:w="780" w:type="dxa"/>
            <w:vAlign w:val="bottom"/>
          </w:tcPr>
          <w:p>
            <w:pPr>
              <w:spacing w:after="0"/>
              <w:rPr>
                <w:color w:val="auto"/>
                <w:sz w:val="11"/>
                <w:szCs w:val="11"/>
              </w:rPr>
            </w:pPr>
          </w:p>
        </w:tc>
        <w:tc>
          <w:tcPr>
            <w:tcW w:w="720" w:type="dxa"/>
            <w:vAlign w:val="bottom"/>
          </w:tcPr>
          <w:p>
            <w:pPr>
              <w:spacing w:after="0"/>
              <w:rPr>
                <w:color w:val="auto"/>
                <w:sz w:val="11"/>
                <w:szCs w:val="11"/>
              </w:rPr>
            </w:pPr>
          </w:p>
        </w:tc>
        <w:tc>
          <w:tcPr>
            <w:tcW w:w="700" w:type="dxa"/>
            <w:vAlign w:val="bottom"/>
          </w:tcPr>
          <w:p>
            <w:pPr>
              <w:spacing w:after="0"/>
              <w:rPr>
                <w:color w:val="auto"/>
                <w:sz w:val="11"/>
                <w:szCs w:val="11"/>
              </w:rPr>
            </w:pPr>
          </w:p>
        </w:tc>
        <w:tc>
          <w:tcPr>
            <w:tcW w:w="380" w:type="dxa"/>
            <w:vAlign w:val="bottom"/>
          </w:tcPr>
          <w:p>
            <w:pPr>
              <w:spacing w:after="0"/>
              <w:rPr>
                <w:color w:val="auto"/>
                <w:sz w:val="11"/>
                <w:szCs w:val="11"/>
              </w:rPr>
            </w:pPr>
          </w:p>
        </w:tc>
        <w:tc>
          <w:tcPr>
            <w:tcW w:w="160" w:type="dxa"/>
            <w:vAlign w:val="bottom"/>
          </w:tcPr>
          <w:p>
            <w:pPr>
              <w:spacing w:after="0"/>
              <w:rPr>
                <w:color w:val="auto"/>
                <w:sz w:val="11"/>
                <w:szCs w:val="11"/>
              </w:rPr>
            </w:pPr>
          </w:p>
        </w:tc>
        <w:tc>
          <w:tcPr>
            <w:tcW w:w="720" w:type="dxa"/>
            <w:vAlign w:val="bottom"/>
          </w:tcPr>
          <w:p>
            <w:pPr>
              <w:spacing w:after="0"/>
              <w:rPr>
                <w:color w:val="auto"/>
                <w:sz w:val="11"/>
                <w:szCs w:val="11"/>
              </w:rPr>
            </w:pPr>
          </w:p>
        </w:tc>
        <w:tc>
          <w:tcPr>
            <w:tcW w:w="84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31" w:hRule="atLeast"/>
        </w:trPr>
        <w:tc>
          <w:tcPr>
            <w:tcW w:w="780" w:type="dxa"/>
            <w:vAlign w:val="bottom"/>
          </w:tcPr>
          <w:p>
            <w:pPr>
              <w:spacing w:after="0"/>
              <w:rPr>
                <w:color w:val="auto"/>
                <w:sz w:val="20"/>
                <w:szCs w:val="20"/>
              </w:rPr>
            </w:pPr>
            <w:r>
              <w:rPr>
                <w:rFonts w:ascii="Arial" w:hAnsi="Arial" w:eastAsia="Arial" w:cs="Arial"/>
                <w:b/>
                <w:bCs/>
                <w:color w:val="auto"/>
                <w:sz w:val="22"/>
                <w:szCs w:val="22"/>
              </w:rPr>
              <w:t>0</w:t>
            </w: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780" w:type="dxa"/>
            <w:vMerge w:val="restart"/>
            <w:vAlign w:val="bottom"/>
          </w:tcPr>
          <w:p>
            <w:pPr>
              <w:spacing w:after="0"/>
              <w:ind w:left="140"/>
              <w:rPr>
                <w:color w:val="auto"/>
                <w:sz w:val="20"/>
                <w:szCs w:val="20"/>
              </w:rPr>
            </w:pPr>
            <w:r>
              <w:rPr>
                <w:rFonts w:ascii="Arial" w:hAnsi="Arial" w:eastAsia="Arial" w:cs="Arial"/>
                <w:b/>
                <w:bCs/>
                <w:color w:val="auto"/>
                <w:w w:val="97"/>
                <w:sz w:val="15"/>
                <w:szCs w:val="15"/>
              </w:rPr>
              <w:t>on</w:t>
            </w:r>
          </w:p>
        </w:tc>
        <w:tc>
          <w:tcPr>
            <w:tcW w:w="720" w:type="dxa"/>
            <w:vAlign w:val="bottom"/>
          </w:tcPr>
          <w:p>
            <w:pPr>
              <w:spacing w:after="0"/>
              <w:ind w:left="400"/>
              <w:rPr>
                <w:color w:val="auto"/>
                <w:sz w:val="20"/>
                <w:szCs w:val="20"/>
              </w:rPr>
            </w:pPr>
            <w:r>
              <w:rPr>
                <w:rFonts w:ascii="Arial" w:hAnsi="Arial" w:eastAsia="Arial" w:cs="Arial"/>
                <w:b/>
                <w:bCs/>
                <w:color w:val="auto"/>
                <w:sz w:val="15"/>
                <w:szCs w:val="15"/>
              </w:rPr>
              <w:t>A</w:t>
            </w:r>
          </w:p>
        </w:tc>
        <w:tc>
          <w:tcPr>
            <w:tcW w:w="700" w:type="dxa"/>
            <w:vMerge w:val="restart"/>
            <w:vAlign w:val="bottom"/>
          </w:tcPr>
          <w:p>
            <w:pPr>
              <w:spacing w:after="0"/>
              <w:ind w:left="220"/>
              <w:rPr>
                <w:color w:val="auto"/>
                <w:sz w:val="20"/>
                <w:szCs w:val="20"/>
              </w:rPr>
            </w:pPr>
            <w:r>
              <w:rPr>
                <w:rFonts w:ascii="Arial" w:hAnsi="Arial" w:eastAsia="Arial" w:cs="Arial"/>
                <w:b/>
                <w:bCs/>
                <w:color w:val="auto"/>
                <w:w w:val="99"/>
                <w:sz w:val="15"/>
                <w:szCs w:val="15"/>
              </w:rPr>
              <w:t>SFN</w:t>
            </w:r>
          </w:p>
        </w:tc>
        <w:tc>
          <w:tcPr>
            <w:tcW w:w="380" w:type="dxa"/>
            <w:vMerge w:val="restart"/>
            <w:vAlign w:val="bottom"/>
          </w:tcPr>
          <w:p>
            <w:pPr>
              <w:spacing w:after="0"/>
              <w:jc w:val="right"/>
              <w:rPr>
                <w:color w:val="auto"/>
                <w:sz w:val="20"/>
                <w:szCs w:val="20"/>
              </w:rPr>
            </w:pPr>
            <w:r>
              <w:rPr>
                <w:rFonts w:ascii="Arial" w:hAnsi="Arial" w:eastAsia="Arial" w:cs="Arial"/>
                <w:b/>
                <w:bCs/>
                <w:color w:val="auto"/>
                <w:sz w:val="15"/>
                <w:szCs w:val="15"/>
              </w:rPr>
              <w:t>12</w:t>
            </w:r>
          </w:p>
        </w:tc>
        <w:tc>
          <w:tcPr>
            <w:tcW w:w="160" w:type="dxa"/>
            <w:vAlign w:val="bottom"/>
          </w:tcPr>
          <w:p>
            <w:pPr>
              <w:spacing w:after="0"/>
              <w:jc w:val="right"/>
              <w:rPr>
                <w:color w:val="auto"/>
                <w:sz w:val="20"/>
                <w:szCs w:val="20"/>
              </w:rPr>
            </w:pPr>
            <w:r>
              <w:rPr>
                <w:rFonts w:ascii="Arial" w:hAnsi="Arial" w:eastAsia="Arial" w:cs="Arial"/>
                <w:b/>
                <w:bCs/>
                <w:color w:val="auto"/>
                <w:sz w:val="15"/>
                <w:szCs w:val="15"/>
              </w:rPr>
              <w:t>D</w:t>
            </w:r>
          </w:p>
        </w:tc>
        <w:tc>
          <w:tcPr>
            <w:tcW w:w="720" w:type="dxa"/>
            <w:vAlign w:val="bottom"/>
          </w:tcPr>
          <w:p>
            <w:pPr>
              <w:spacing w:after="0"/>
              <w:ind w:left="600"/>
              <w:rPr>
                <w:color w:val="auto"/>
                <w:sz w:val="20"/>
                <w:szCs w:val="20"/>
              </w:rPr>
            </w:pPr>
            <w:r>
              <w:rPr>
                <w:rFonts w:ascii="Arial" w:hAnsi="Arial" w:eastAsia="Arial" w:cs="Arial"/>
                <w:b/>
                <w:bCs/>
                <w:color w:val="auto"/>
                <w:sz w:val="15"/>
                <w:szCs w:val="15"/>
              </w:rPr>
              <w:t>A</w:t>
            </w:r>
          </w:p>
        </w:tc>
        <w:tc>
          <w:tcPr>
            <w:tcW w:w="840" w:type="dxa"/>
            <w:vMerge w:val="restart"/>
            <w:vAlign w:val="bottom"/>
          </w:tcPr>
          <w:p>
            <w:pPr>
              <w:spacing w:after="0"/>
              <w:rPr>
                <w:color w:val="auto"/>
                <w:sz w:val="20"/>
                <w:szCs w:val="20"/>
              </w:rPr>
            </w:pPr>
            <w:r>
              <w:rPr>
                <w:rFonts w:ascii="Arial" w:hAnsi="Arial" w:eastAsia="Arial" w:cs="Arial"/>
                <w:b/>
                <w:bCs/>
                <w:color w:val="auto"/>
                <w:sz w:val="15"/>
                <w:szCs w:val="15"/>
              </w:rPr>
              <w:t>125D/SFN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780" w:type="dxa"/>
            <w:vMerge w:val="continue"/>
            <w:vAlign w:val="bottom"/>
          </w:tcPr>
          <w:p>
            <w:pPr>
              <w:spacing w:after="0"/>
              <w:rPr>
                <w:color w:val="auto"/>
                <w:sz w:val="22"/>
                <w:szCs w:val="22"/>
              </w:rPr>
            </w:pPr>
          </w:p>
        </w:tc>
        <w:tc>
          <w:tcPr>
            <w:tcW w:w="720" w:type="dxa"/>
            <w:vAlign w:val="bottom"/>
          </w:tcPr>
          <w:p>
            <w:pPr>
              <w:spacing w:after="0"/>
              <w:ind w:left="200"/>
              <w:rPr>
                <w:color w:val="auto"/>
                <w:sz w:val="20"/>
                <w:szCs w:val="20"/>
              </w:rPr>
            </w:pPr>
            <w:r>
              <w:rPr>
                <w:rFonts w:ascii="Arial" w:hAnsi="Arial" w:eastAsia="Arial" w:cs="Arial"/>
                <w:b/>
                <w:bCs/>
                <w:color w:val="auto"/>
                <w:sz w:val="15"/>
                <w:szCs w:val="15"/>
              </w:rPr>
              <w:t>T</w:t>
            </w:r>
          </w:p>
        </w:tc>
        <w:tc>
          <w:tcPr>
            <w:tcW w:w="700" w:type="dxa"/>
            <w:vMerge w:val="continue"/>
            <w:vAlign w:val="bottom"/>
          </w:tcPr>
          <w:p>
            <w:pPr>
              <w:spacing w:after="0"/>
              <w:rPr>
                <w:color w:val="auto"/>
                <w:sz w:val="22"/>
                <w:szCs w:val="22"/>
              </w:rPr>
            </w:pPr>
          </w:p>
        </w:tc>
        <w:tc>
          <w:tcPr>
            <w:tcW w:w="380" w:type="dxa"/>
            <w:vMerge w:val="continue"/>
            <w:vAlign w:val="bottom"/>
          </w:tcPr>
          <w:p>
            <w:pPr>
              <w:spacing w:after="0"/>
              <w:rPr>
                <w:color w:val="auto"/>
                <w:sz w:val="22"/>
                <w:szCs w:val="22"/>
              </w:rPr>
            </w:pPr>
          </w:p>
        </w:tc>
        <w:tc>
          <w:tcPr>
            <w:tcW w:w="160" w:type="dxa"/>
            <w:vAlign w:val="bottom"/>
          </w:tcPr>
          <w:p>
            <w:pPr>
              <w:spacing w:after="0"/>
              <w:rPr>
                <w:color w:val="auto"/>
                <w:sz w:val="22"/>
                <w:szCs w:val="22"/>
              </w:rPr>
            </w:pPr>
          </w:p>
        </w:tc>
        <w:tc>
          <w:tcPr>
            <w:tcW w:w="720" w:type="dxa"/>
            <w:vAlign w:val="bottom"/>
          </w:tcPr>
          <w:p>
            <w:pPr>
              <w:spacing w:after="0"/>
              <w:rPr>
                <w:color w:val="auto"/>
                <w:sz w:val="20"/>
                <w:szCs w:val="20"/>
              </w:rPr>
            </w:pPr>
            <w:r>
              <w:rPr>
                <w:rFonts w:ascii="Arial" w:hAnsi="Arial" w:eastAsia="Arial" w:cs="Arial"/>
                <w:b/>
                <w:bCs/>
                <w:color w:val="auto"/>
                <w:sz w:val="15"/>
                <w:szCs w:val="15"/>
              </w:rPr>
              <w:t>125D/T</w:t>
            </w:r>
          </w:p>
        </w:tc>
        <w:tc>
          <w:tcPr>
            <w:tcW w:w="840" w:type="dxa"/>
            <w:vMerge w:val="continue"/>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0" w:hRule="atLeast"/>
        </w:trPr>
        <w:tc>
          <w:tcPr>
            <w:tcW w:w="780" w:type="dxa"/>
            <w:vAlign w:val="bottom"/>
          </w:tcPr>
          <w:p>
            <w:pPr>
              <w:spacing w:after="0"/>
              <w:ind w:left="300"/>
              <w:rPr>
                <w:color w:val="auto"/>
                <w:sz w:val="20"/>
                <w:szCs w:val="20"/>
              </w:rPr>
            </w:pPr>
            <w:r>
              <w:rPr>
                <w:rFonts w:ascii="Arial" w:hAnsi="Arial" w:eastAsia="Arial" w:cs="Arial"/>
                <w:b/>
                <w:bCs/>
                <w:color w:val="auto"/>
                <w:w w:val="85"/>
                <w:sz w:val="15"/>
                <w:szCs w:val="15"/>
              </w:rPr>
              <w:t>t  rol</w:t>
            </w:r>
          </w:p>
        </w:tc>
        <w:tc>
          <w:tcPr>
            <w:tcW w:w="720" w:type="dxa"/>
            <w:vAlign w:val="bottom"/>
          </w:tcPr>
          <w:p>
            <w:pPr>
              <w:spacing w:after="0"/>
              <w:ind w:left="300"/>
              <w:rPr>
                <w:color w:val="auto"/>
                <w:sz w:val="20"/>
                <w:szCs w:val="20"/>
              </w:rPr>
            </w:pPr>
            <w:r>
              <w:rPr>
                <w:rFonts w:ascii="Arial" w:hAnsi="Arial" w:eastAsia="Arial" w:cs="Arial"/>
                <w:b/>
                <w:bCs/>
                <w:color w:val="auto"/>
                <w:sz w:val="4"/>
                <w:szCs w:val="4"/>
              </w:rPr>
              <w:t>S</w:t>
            </w:r>
          </w:p>
        </w:tc>
        <w:tc>
          <w:tcPr>
            <w:tcW w:w="700" w:type="dxa"/>
            <w:vAlign w:val="bottom"/>
          </w:tcPr>
          <w:p>
            <w:pPr>
              <w:spacing w:after="0" w:line="20" w:lineRule="exact"/>
              <w:rPr>
                <w:color w:val="auto"/>
                <w:sz w:val="1"/>
                <w:szCs w:val="1"/>
              </w:rPr>
            </w:pPr>
          </w:p>
        </w:tc>
        <w:tc>
          <w:tcPr>
            <w:tcW w:w="540" w:type="dxa"/>
            <w:gridSpan w:val="2"/>
            <w:vAlign w:val="bottom"/>
          </w:tcPr>
          <w:p>
            <w:pPr>
              <w:spacing w:after="0"/>
              <w:ind w:right="23"/>
              <w:jc w:val="right"/>
              <w:rPr>
                <w:color w:val="auto"/>
                <w:sz w:val="20"/>
                <w:szCs w:val="20"/>
              </w:rPr>
            </w:pPr>
            <w:r>
              <w:rPr>
                <w:rFonts w:ascii="Arial" w:hAnsi="Arial" w:eastAsia="Arial" w:cs="Arial"/>
                <w:b/>
                <w:bCs/>
                <w:color w:val="auto"/>
                <w:sz w:val="4"/>
                <w:szCs w:val="4"/>
              </w:rPr>
              <w:t>5</w:t>
            </w:r>
          </w:p>
        </w:tc>
        <w:tc>
          <w:tcPr>
            <w:tcW w:w="720" w:type="dxa"/>
            <w:vAlign w:val="bottom"/>
          </w:tcPr>
          <w:p>
            <w:pPr>
              <w:spacing w:after="0"/>
              <w:ind w:left="500"/>
              <w:rPr>
                <w:color w:val="auto"/>
                <w:sz w:val="20"/>
                <w:szCs w:val="20"/>
              </w:rPr>
            </w:pPr>
            <w:r>
              <w:rPr>
                <w:rFonts w:ascii="Arial" w:hAnsi="Arial" w:eastAsia="Arial" w:cs="Arial"/>
                <w:b/>
                <w:bCs/>
                <w:color w:val="auto"/>
                <w:sz w:val="4"/>
                <w:szCs w:val="4"/>
              </w:rPr>
              <w:t>S</w:t>
            </w:r>
          </w:p>
        </w:tc>
        <w:tc>
          <w:tcPr>
            <w:tcW w:w="840" w:type="dxa"/>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26" w:hRule="atLeast"/>
        </w:trPr>
        <w:tc>
          <w:tcPr>
            <w:tcW w:w="780" w:type="dxa"/>
            <w:vAlign w:val="bottom"/>
          </w:tcPr>
          <w:p>
            <w:pPr>
              <w:spacing w:after="0"/>
              <w:ind w:left="20"/>
              <w:rPr>
                <w:color w:val="auto"/>
                <w:sz w:val="20"/>
                <w:szCs w:val="20"/>
              </w:rPr>
            </w:pPr>
            <w:r>
              <w:rPr>
                <w:rFonts w:ascii="Arial" w:hAnsi="Arial" w:eastAsia="Arial" w:cs="Arial"/>
                <w:b/>
                <w:bCs/>
                <w:color w:val="auto"/>
                <w:sz w:val="15"/>
                <w:szCs w:val="15"/>
              </w:rPr>
              <w:t>C</w:t>
            </w:r>
          </w:p>
        </w:tc>
        <w:tc>
          <w:tcPr>
            <w:tcW w:w="720" w:type="dxa"/>
            <w:vAlign w:val="bottom"/>
          </w:tcPr>
          <w:p>
            <w:pPr>
              <w:spacing w:after="0"/>
              <w:rPr>
                <w:color w:val="auto"/>
                <w:sz w:val="19"/>
                <w:szCs w:val="19"/>
              </w:rPr>
            </w:pPr>
          </w:p>
        </w:tc>
        <w:tc>
          <w:tcPr>
            <w:tcW w:w="700" w:type="dxa"/>
            <w:vAlign w:val="bottom"/>
          </w:tcPr>
          <w:p>
            <w:pPr>
              <w:spacing w:after="0"/>
              <w:rPr>
                <w:color w:val="auto"/>
                <w:sz w:val="19"/>
                <w:szCs w:val="19"/>
              </w:rPr>
            </w:pPr>
          </w:p>
        </w:tc>
        <w:tc>
          <w:tcPr>
            <w:tcW w:w="380" w:type="dxa"/>
            <w:vAlign w:val="bottom"/>
          </w:tcPr>
          <w:p>
            <w:pPr>
              <w:spacing w:after="0"/>
              <w:rPr>
                <w:color w:val="auto"/>
                <w:sz w:val="19"/>
                <w:szCs w:val="19"/>
              </w:rPr>
            </w:pPr>
          </w:p>
        </w:tc>
        <w:tc>
          <w:tcPr>
            <w:tcW w:w="160" w:type="dxa"/>
            <w:vAlign w:val="bottom"/>
          </w:tcPr>
          <w:p>
            <w:pPr>
              <w:spacing w:after="0"/>
              <w:rPr>
                <w:color w:val="auto"/>
                <w:sz w:val="19"/>
                <w:szCs w:val="19"/>
              </w:rPr>
            </w:pPr>
          </w:p>
        </w:tc>
        <w:tc>
          <w:tcPr>
            <w:tcW w:w="720" w:type="dxa"/>
            <w:vAlign w:val="bottom"/>
          </w:tcPr>
          <w:p>
            <w:pPr>
              <w:spacing w:after="0"/>
              <w:rPr>
                <w:color w:val="auto"/>
                <w:sz w:val="19"/>
                <w:szCs w:val="19"/>
              </w:rPr>
            </w:pPr>
          </w:p>
        </w:tc>
        <w:tc>
          <w:tcPr>
            <w:tcW w:w="840" w:type="dxa"/>
            <w:vAlign w:val="bottom"/>
          </w:tcPr>
          <w:p>
            <w:pPr>
              <w:spacing w:after="0"/>
              <w:rPr>
                <w:color w:val="auto"/>
                <w:sz w:val="19"/>
                <w:szCs w:val="19"/>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2240" w:h="15840"/>
          <w:pgMar w:top="1440" w:right="1440" w:bottom="120" w:left="1440" w:header="0" w:footer="0" w:gutter="0"/>
          <w:cols w:equalWidth="0" w:num="2">
            <w:col w:w="2722" w:space="498"/>
            <w:col w:w="6140"/>
          </w:cols>
        </w:sect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line="227" w:lineRule="auto"/>
        <w:ind w:left="720" w:right="140" w:firstLine="703"/>
        <w:rPr>
          <w:color w:val="auto"/>
          <w:sz w:val="20"/>
          <w:szCs w:val="20"/>
        </w:rPr>
      </w:pPr>
      <w:r>
        <w:rPr>
          <w:rFonts w:ascii="Cambria" w:hAnsi="Cambria" w:eastAsia="Cambria" w:cs="Cambria"/>
          <w:color w:val="auto"/>
          <w:sz w:val="24"/>
          <w:szCs w:val="24"/>
        </w:rPr>
        <w:t>Figure 4.5 Experiment 2: Effect of SFN and TSA on CYP27B1 mRNA Mean ± SEM fold change of CYP27B1 mRNA in comparison to a control, at the value of 1. Statistical significance notation: a= p&lt;0.05 vs. control, b=p&lt;0.05 vs. vitamin D alone vs. vitamin D and HDACI.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38</w:t>
      </w:r>
    </w:p>
    <w:p>
      <w:pPr>
        <w:sectPr>
          <w:type w:val="continuous"/>
          <w:pgSz w:w="12240" w:h="15840"/>
          <w:pgMar w:top="1440" w:right="1440" w:bottom="120" w:left="1440" w:header="0" w:footer="0" w:gutter="0"/>
          <w:cols w:equalWidth="0" w:num="1">
            <w:col w:w="9360"/>
          </w:cols>
        </w:sectPr>
      </w:pPr>
    </w:p>
    <w:p>
      <w:pPr>
        <w:spacing w:after="0"/>
        <w:ind w:left="4400"/>
        <w:rPr>
          <w:color w:val="auto"/>
          <w:sz w:val="20"/>
          <w:szCs w:val="20"/>
        </w:rPr>
      </w:pPr>
      <w:bookmarkStart w:id="46" w:name="page53"/>
      <w:bookmarkEnd w:id="46"/>
      <w:r>
        <w:rPr>
          <w:rFonts w:ascii="Cambria" w:hAnsi="Cambria" w:eastAsia="Cambria" w:cs="Cambria"/>
          <w:color w:val="auto"/>
          <w:sz w:val="24"/>
          <w:szCs w:val="24"/>
        </w:rPr>
        <w:t>CHAPTER 5</w:t>
      </w:r>
    </w:p>
    <w:p>
      <w:pPr>
        <w:spacing w:after="0" w:line="280" w:lineRule="exact"/>
        <w:rPr>
          <w:color w:val="auto"/>
          <w:sz w:val="20"/>
          <w:szCs w:val="20"/>
        </w:rPr>
      </w:pPr>
    </w:p>
    <w:p>
      <w:pPr>
        <w:spacing w:after="0"/>
        <w:ind w:left="4380"/>
        <w:rPr>
          <w:color w:val="auto"/>
          <w:sz w:val="20"/>
          <w:szCs w:val="20"/>
        </w:rPr>
      </w:pPr>
      <w:r>
        <w:rPr>
          <w:rFonts w:ascii="Cambria" w:hAnsi="Cambria" w:eastAsia="Cambria" w:cs="Cambria"/>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line="469" w:lineRule="auto"/>
        <w:ind w:left="720" w:right="120" w:firstLine="720"/>
        <w:rPr>
          <w:color w:val="auto"/>
          <w:sz w:val="20"/>
          <w:szCs w:val="20"/>
        </w:rPr>
      </w:pPr>
      <w:r>
        <w:rPr>
          <w:rFonts w:ascii="Cambria" w:hAnsi="Cambria" w:eastAsia="Cambria" w:cs="Cambria"/>
          <w:color w:val="auto"/>
          <w:sz w:val="24"/>
          <w:szCs w:val="24"/>
        </w:rPr>
        <w:t>The main objective of this study was to determine the effects of histone deacetylase inhibitors (HDACI), trichostatin A (TSA) and sulforaphane (SFN) on the expression of certain genes involved in vitamin D action in MCF-7 human breast cancer cells, and to what extent co-treatment of HDACI with the active vitamin D hormone,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affected vitamin D-dependent gene expression. Our central</w:t>
      </w:r>
    </w:p>
    <w:p>
      <w:pPr>
        <w:spacing w:after="0" w:line="1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hypothesis was that co-treatment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either TSA or SFN would</w:t>
      </w:r>
    </w:p>
    <w:p>
      <w:pPr>
        <w:spacing w:after="0" w:line="332" w:lineRule="exact"/>
        <w:rPr>
          <w:color w:val="auto"/>
          <w:sz w:val="20"/>
          <w:szCs w:val="20"/>
        </w:rPr>
      </w:pPr>
    </w:p>
    <w:p>
      <w:pPr>
        <w:spacing w:after="0" w:line="465" w:lineRule="auto"/>
        <w:ind w:left="1440" w:right="140" w:hanging="719"/>
        <w:rPr>
          <w:color w:val="auto"/>
          <w:sz w:val="20"/>
          <w:szCs w:val="20"/>
        </w:rPr>
      </w:pPr>
      <w:r>
        <w:rPr>
          <w:rFonts w:ascii="Cambria" w:hAnsi="Cambria" w:eastAsia="Cambria" w:cs="Cambria"/>
          <w:color w:val="auto"/>
          <w:sz w:val="23"/>
          <w:szCs w:val="23"/>
        </w:rPr>
        <w:t>increase gene expression of VDR, CYP24A1, CYP27B1 and TRPV6 in MCF-7 cells. Histone acetylation and deacetylation are dynamic epigenetic processes due</w:t>
      </w:r>
    </w:p>
    <w:p>
      <w:pPr>
        <w:spacing w:after="0" w:line="81" w:lineRule="exact"/>
        <w:rPr>
          <w:color w:val="auto"/>
          <w:sz w:val="20"/>
          <w:szCs w:val="20"/>
        </w:rPr>
      </w:pPr>
    </w:p>
    <w:p>
      <w:pPr>
        <w:spacing w:after="0" w:line="475" w:lineRule="auto"/>
        <w:ind w:left="720" w:right="80"/>
        <w:rPr>
          <w:color w:val="auto"/>
          <w:sz w:val="20"/>
          <w:szCs w:val="20"/>
        </w:rPr>
      </w:pPr>
      <w:r>
        <w:rPr>
          <w:rFonts w:ascii="Cambria" w:hAnsi="Cambria" w:eastAsia="Cambria" w:cs="Cambria"/>
          <w:color w:val="auto"/>
          <w:sz w:val="24"/>
          <w:szCs w:val="24"/>
        </w:rPr>
        <w:t>to the counteracting effects of nuclear histone acetylase and histone deacetylase enzymes, which can influence gene expression by changing the local binding of DNA to histone proteins in the nucleosome. Acetylation of histone proteins results in a less condensed chromatin structure, which can alter the interaction of DNA with proteins in the transcriptional machinery in the cell nucleus leading to an increase in gene expression. An increase in understanding about the importance of epigenetic changes in gene expression has led to increased clinical interest in evaluating compounds that can affect histone status as potential chemo-preventive or chemotherapeutic agents in cancer. Preclinical studies with HDACI in various cancer cell and animal models have been encouraging because they indicate that HDACI may have a preferential effect on cancerous versus normal cells (Dashwood</w:t>
      </w:r>
    </w:p>
    <w:p>
      <w:pPr>
        <w:spacing w:after="0" w:line="14" w:lineRule="exact"/>
        <w:rPr>
          <w:color w:val="auto"/>
          <w:sz w:val="20"/>
          <w:szCs w:val="20"/>
        </w:rPr>
      </w:pPr>
    </w:p>
    <w:p>
      <w:pPr>
        <w:numPr>
          <w:ilvl w:val="0"/>
          <w:numId w:val="5"/>
        </w:numPr>
        <w:tabs>
          <w:tab w:val="left" w:pos="940"/>
        </w:tabs>
        <w:spacing w:after="0"/>
        <w:ind w:left="940" w:hanging="220"/>
        <w:rPr>
          <w:rFonts w:ascii="Cambria" w:hAnsi="Cambria" w:eastAsia="Cambria" w:cs="Cambria"/>
          <w:color w:val="auto"/>
          <w:sz w:val="24"/>
          <w:szCs w:val="24"/>
        </w:rPr>
      </w:pPr>
      <w:r>
        <w:rPr>
          <w:rFonts w:ascii="Cambria" w:hAnsi="Cambria" w:eastAsia="Cambria" w:cs="Cambria"/>
          <w:color w:val="auto"/>
          <w:sz w:val="24"/>
          <w:szCs w:val="24"/>
        </w:rPr>
        <w:t>Ho, 2007) and may slow cancer cell replication. (Davis &amp; Ross, 2007) The</w:t>
      </w:r>
    </w:p>
    <w:p>
      <w:pPr>
        <w:spacing w:after="0" w:line="200" w:lineRule="exact"/>
        <w:rPr>
          <w:rFonts w:ascii="Cambria" w:hAnsi="Cambria" w:eastAsia="Cambria" w:cs="Cambria"/>
          <w:color w:val="auto"/>
          <w:sz w:val="24"/>
          <w:szCs w:val="24"/>
        </w:rPr>
      </w:pPr>
    </w:p>
    <w:p>
      <w:pPr>
        <w:spacing w:after="0" w:line="200" w:lineRule="exact"/>
        <w:rPr>
          <w:rFonts w:ascii="Cambria" w:hAnsi="Cambria" w:eastAsia="Cambria" w:cs="Cambria"/>
          <w:color w:val="auto"/>
          <w:sz w:val="24"/>
          <w:szCs w:val="24"/>
        </w:rPr>
      </w:pPr>
    </w:p>
    <w:p>
      <w:pPr>
        <w:spacing w:after="0" w:line="200" w:lineRule="exact"/>
        <w:rPr>
          <w:rFonts w:ascii="Cambria" w:hAnsi="Cambria" w:eastAsia="Cambria" w:cs="Cambria"/>
          <w:color w:val="auto"/>
          <w:sz w:val="24"/>
          <w:szCs w:val="24"/>
        </w:rPr>
      </w:pPr>
    </w:p>
    <w:p>
      <w:pPr>
        <w:spacing w:after="0" w:line="316" w:lineRule="exact"/>
        <w:rPr>
          <w:rFonts w:ascii="Cambria" w:hAnsi="Cambria" w:eastAsia="Cambria" w:cs="Cambria"/>
          <w:color w:val="auto"/>
          <w:sz w:val="24"/>
          <w:szCs w:val="24"/>
        </w:rPr>
      </w:pPr>
    </w:p>
    <w:p>
      <w:pPr>
        <w:spacing w:after="0"/>
        <w:ind w:left="4900"/>
        <w:rPr>
          <w:rFonts w:ascii="Cambria" w:hAnsi="Cambria" w:eastAsia="Cambria" w:cs="Cambria"/>
          <w:color w:val="auto"/>
          <w:sz w:val="24"/>
          <w:szCs w:val="24"/>
        </w:rPr>
      </w:pPr>
      <w:r>
        <w:rPr>
          <w:rFonts w:ascii="Cambria" w:hAnsi="Cambria" w:eastAsia="Cambria" w:cs="Cambria"/>
          <w:color w:val="auto"/>
          <w:sz w:val="24"/>
          <w:szCs w:val="24"/>
        </w:rPr>
        <w:t>39</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47" w:name="page54"/>
      <w:bookmarkEnd w:id="47"/>
    </w:p>
    <w:p>
      <w:pPr>
        <w:spacing w:after="0" w:line="476" w:lineRule="auto"/>
        <w:ind w:left="720"/>
        <w:rPr>
          <w:color w:val="auto"/>
          <w:sz w:val="20"/>
          <w:szCs w:val="20"/>
        </w:rPr>
      </w:pPr>
      <w:r>
        <w:rPr>
          <w:rFonts w:ascii="Cambria" w:hAnsi="Cambria" w:eastAsia="Cambria" w:cs="Cambria"/>
          <w:color w:val="auto"/>
          <w:sz w:val="24"/>
          <w:szCs w:val="24"/>
        </w:rPr>
        <w:t>mechanism underlying the effects of HDACI on the growth of cancer cells is not completely understood. Interestingly, however, studies of HDACI have found that they affect the expression of only a relatively small subset of genes. (Johnson, Chung, &amp; Trump, 2010) Although the control of cell growth in cancer is complex, one important factor appears to be the reduced expression of “tumor suppressor” genes. (Lopes et al., 2010) Restoration of the expression of these tumor suppressor genes in cancer cells may be an important avenue in the future for cancer prevention and treatment and has spurred on clinical trials of the relative effectiveness of these potentially therapeutic compounds in various types of cancers. (Marks &amp; Breslow, 2007) The active hormone metabolite of vitamin D is well known to have pleiotropic effects on cells, including being anti-proliferative (C. M. Banwell, Singh, Stewart, Uskokovic, &amp; Campbell, 2003; Deeb, Trump, &amp; Johnson, 2007) and pro-apoptotic (Swami et al., 2012) , and is currently being investigated in ongoing clinical trials in certain cancer types. The action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on cells is mediated by the vitamin D</w:t>
      </w:r>
    </w:p>
    <w:p>
      <w:pPr>
        <w:spacing w:after="0" w:line="67" w:lineRule="exact"/>
        <w:rPr>
          <w:color w:val="auto"/>
          <w:sz w:val="20"/>
          <w:szCs w:val="20"/>
        </w:rPr>
      </w:pPr>
    </w:p>
    <w:p>
      <w:pPr>
        <w:spacing w:after="0" w:line="466" w:lineRule="auto"/>
        <w:ind w:left="720" w:right="80"/>
        <w:rPr>
          <w:color w:val="auto"/>
          <w:sz w:val="20"/>
          <w:szCs w:val="20"/>
        </w:rPr>
      </w:pPr>
      <w:r>
        <w:rPr>
          <w:rFonts w:ascii="Cambria" w:hAnsi="Cambria" w:eastAsia="Cambria" w:cs="Cambria"/>
          <w:color w:val="auto"/>
          <w:sz w:val="23"/>
          <w:szCs w:val="23"/>
        </w:rPr>
        <w:t>receptor (VDR), which is a steroid hormone intracellular transcription factor. Alteration in cellular VDR content has been shown to influence cellular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p>
    <w:p>
      <w:pPr>
        <w:spacing w:after="0" w:line="79" w:lineRule="exact"/>
        <w:rPr>
          <w:color w:val="auto"/>
          <w:sz w:val="20"/>
          <w:szCs w:val="20"/>
        </w:rPr>
      </w:pPr>
    </w:p>
    <w:p>
      <w:pPr>
        <w:spacing w:after="0" w:line="472" w:lineRule="auto"/>
        <w:ind w:left="720" w:right="20"/>
        <w:rPr>
          <w:color w:val="auto"/>
          <w:sz w:val="20"/>
          <w:szCs w:val="20"/>
        </w:rPr>
      </w:pPr>
      <w:r>
        <w:rPr>
          <w:rFonts w:ascii="Cambria" w:hAnsi="Cambria" w:eastAsia="Cambria" w:cs="Cambria"/>
          <w:color w:val="auto"/>
          <w:sz w:val="24"/>
          <w:szCs w:val="24"/>
        </w:rPr>
        <w:t>responsiveness. (Essa et al., 2012; Matilainen, Malinen, Turunen, Carlberg, &amp; Vaisanen, 2010) Thus, lower expression of VDR would be expected to affect vitamin D responsiveness in both normal and cancer cells. Compared to normal cells, reduced VDR expression has been found in many tumor cells and has been suspected as a possible modulator of tumor growth. (Lopes, Paredes, Costa, Ylstra, &amp; Schmitt, 2012) For example, studies have reported a moderate down-regulation of VDR expression in breast tissue carcinomas. (M. G. Anderson, Nakane, Ruan,</w:t>
      </w:r>
    </w:p>
    <w:p>
      <w:pPr>
        <w:spacing w:after="0" w:line="200" w:lineRule="exact"/>
        <w:rPr>
          <w:color w:val="auto"/>
          <w:sz w:val="20"/>
          <w:szCs w:val="20"/>
        </w:rPr>
      </w:pPr>
    </w:p>
    <w:p>
      <w:pPr>
        <w:spacing w:after="0" w:line="30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40</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48" w:name="page55"/>
      <w:bookmarkEnd w:id="48"/>
    </w:p>
    <w:p>
      <w:pPr>
        <w:spacing w:after="0" w:line="471" w:lineRule="auto"/>
        <w:ind w:left="720" w:right="60"/>
        <w:rPr>
          <w:color w:val="auto"/>
          <w:sz w:val="20"/>
          <w:szCs w:val="20"/>
        </w:rPr>
      </w:pPr>
      <w:r>
        <w:rPr>
          <w:rFonts w:ascii="Cambria" w:hAnsi="Cambria" w:eastAsia="Cambria" w:cs="Cambria"/>
          <w:color w:val="auto"/>
          <w:sz w:val="24"/>
          <w:szCs w:val="24"/>
        </w:rPr>
        <w:t>Kroeger, &amp; Wu-Wong, 2006; Lopes et al., 2010) Moreover, supportive in vivo evidence for a role of the VDR in cancer prevention is the observation that the induction of tumors in VDR knockout mice is greater than in control mice (Dashwood &amp; Ho, 2007) , supporting a role for the VDR as a possible tumor suppressor gene. The normal action of the VDR in the nucleus requires the action of a nuclear histone acetylase to bring about gene transcription. (P. H. Anderson, May,</w:t>
      </w:r>
    </w:p>
    <w:p>
      <w:pPr>
        <w:spacing w:after="0" w:line="64" w:lineRule="exact"/>
        <w:rPr>
          <w:color w:val="auto"/>
          <w:sz w:val="20"/>
          <w:szCs w:val="20"/>
        </w:rPr>
      </w:pPr>
    </w:p>
    <w:p>
      <w:pPr>
        <w:numPr>
          <w:ilvl w:val="0"/>
          <w:numId w:val="6"/>
        </w:numPr>
        <w:tabs>
          <w:tab w:val="left" w:pos="938"/>
        </w:tabs>
        <w:spacing w:after="0" w:line="458" w:lineRule="auto"/>
        <w:ind w:left="720" w:right="600"/>
        <w:rPr>
          <w:rFonts w:ascii="Cambria" w:hAnsi="Cambria" w:eastAsia="Cambria" w:cs="Cambria"/>
          <w:color w:val="auto"/>
          <w:sz w:val="24"/>
          <w:szCs w:val="24"/>
        </w:rPr>
      </w:pPr>
      <w:r>
        <w:rPr>
          <w:rFonts w:ascii="Cambria" w:hAnsi="Cambria" w:eastAsia="Cambria" w:cs="Cambria"/>
          <w:color w:val="auto"/>
          <w:sz w:val="24"/>
          <w:szCs w:val="24"/>
        </w:rPr>
        <w:t>Morris, 2003) Given the above information, we hypothesized that HDACI treatment would increase vitamin D-induced gene expression in MCF-7 human breast cancer cells.</w:t>
      </w:r>
    </w:p>
    <w:p>
      <w:pPr>
        <w:spacing w:after="0" w:line="16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5.1 Treatment Effects on VDR Gene Expression</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466" w:lineRule="auto"/>
        <w:ind w:left="720" w:right="380" w:firstLine="720"/>
        <w:rPr>
          <w:color w:val="auto"/>
          <w:sz w:val="20"/>
          <w:szCs w:val="20"/>
        </w:rPr>
      </w:pPr>
      <w:r>
        <w:rPr>
          <w:rFonts w:ascii="Cambria" w:hAnsi="Cambria" w:eastAsia="Cambria" w:cs="Cambria"/>
          <w:color w:val="auto"/>
          <w:sz w:val="23"/>
          <w:szCs w:val="23"/>
        </w:rPr>
        <w:t>In both Experiment 1 and Experiment 2 we investigated the effects of TSA alone and in combination with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on VDR mRNA. We found that TSA</w:t>
      </w:r>
    </w:p>
    <w:p>
      <w:pPr>
        <w:spacing w:after="0" w:line="78" w:lineRule="exact"/>
        <w:rPr>
          <w:color w:val="auto"/>
          <w:sz w:val="20"/>
          <w:szCs w:val="20"/>
        </w:rPr>
      </w:pPr>
    </w:p>
    <w:p>
      <w:pPr>
        <w:spacing w:after="0" w:line="437" w:lineRule="auto"/>
        <w:ind w:left="720" w:right="360"/>
        <w:rPr>
          <w:color w:val="auto"/>
          <w:sz w:val="20"/>
          <w:szCs w:val="20"/>
        </w:rPr>
      </w:pPr>
      <w:r>
        <w:rPr>
          <w:rFonts w:ascii="Cambria" w:hAnsi="Cambria" w:eastAsia="Cambria" w:cs="Cambria"/>
          <w:color w:val="auto"/>
          <w:sz w:val="24"/>
          <w:szCs w:val="24"/>
        </w:rPr>
        <w:t>treatment significantly increased VDR mRNA in each of these experiments by 11-and 12.6-fold, respectively. This observation would suggest that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t>
      </w:r>
    </w:p>
    <w:p>
      <w:pPr>
        <w:spacing w:after="0" w:line="101" w:lineRule="exact"/>
        <w:rPr>
          <w:color w:val="auto"/>
          <w:sz w:val="20"/>
          <w:szCs w:val="20"/>
        </w:rPr>
      </w:pPr>
    </w:p>
    <w:p>
      <w:pPr>
        <w:spacing w:after="0" w:line="484" w:lineRule="auto"/>
        <w:ind w:left="720" w:right="100"/>
        <w:rPr>
          <w:color w:val="auto"/>
          <w:sz w:val="20"/>
          <w:szCs w:val="20"/>
        </w:rPr>
      </w:pPr>
      <w:r>
        <w:rPr>
          <w:rFonts w:ascii="Cambria" w:hAnsi="Cambria" w:eastAsia="Cambria" w:cs="Cambria"/>
          <w:color w:val="auto"/>
          <w:sz w:val="23"/>
          <w:szCs w:val="23"/>
        </w:rPr>
        <w:t>induced cell signaling should be increased in TSA-treated cells. This notion is consistent with our observations in Experiment 1 where there was a ~2-fold higher VDR mRNA expression in MCF-7 cells treated with both TSA and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p>
    <w:p>
      <w:pPr>
        <w:spacing w:after="0" w:line="7"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compared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Although not statistically significant, we observed</w:t>
      </w:r>
    </w:p>
    <w:p>
      <w:pPr>
        <w:spacing w:after="0" w:line="332" w:lineRule="exact"/>
        <w:rPr>
          <w:color w:val="auto"/>
          <w:sz w:val="20"/>
          <w:szCs w:val="20"/>
        </w:rPr>
      </w:pPr>
    </w:p>
    <w:p>
      <w:pPr>
        <w:spacing w:after="0" w:line="466" w:lineRule="auto"/>
        <w:ind w:left="720" w:right="740"/>
        <w:rPr>
          <w:color w:val="auto"/>
          <w:sz w:val="20"/>
          <w:szCs w:val="20"/>
        </w:rPr>
      </w:pPr>
      <w:r>
        <w:rPr>
          <w:rFonts w:ascii="Cambria" w:hAnsi="Cambria" w:eastAsia="Cambria" w:cs="Cambria"/>
          <w:color w:val="auto"/>
          <w:sz w:val="23"/>
          <w:szCs w:val="23"/>
        </w:rPr>
        <w:t>a similar trend in Experiment 2 where there was a ~3-fold higher VDR mRNA expression in cells treated with both TSA and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compared to</w:t>
      </w:r>
    </w:p>
    <w:p>
      <w:pPr>
        <w:spacing w:after="0" w:line="27" w:lineRule="exact"/>
        <w:rPr>
          <w:color w:val="auto"/>
          <w:sz w:val="20"/>
          <w:szCs w:val="20"/>
        </w:rPr>
      </w:pPr>
    </w:p>
    <w:p>
      <w:pPr>
        <w:spacing w:after="0"/>
        <w:ind w:right="60"/>
        <w:jc w:val="center"/>
        <w:rPr>
          <w:color w:val="auto"/>
          <w:sz w:val="20"/>
          <w:szCs w:val="20"/>
        </w:rPr>
      </w:pPr>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Banwell and colleagues (C. Banwell, O'Neill, Uskokovic, &amp;</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Campbell, 2004) had previously reported that a combination treatment of 1nmol/L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41</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49" w:name="page56"/>
      <w:bookmarkEnd w:id="49"/>
      <w:r>
        <w:rPr>
          <w:rFonts w:ascii="Cambria" w:hAnsi="Cambria" w:eastAsia="Cambria" w:cs="Cambria"/>
          <w:color w:val="auto"/>
          <w:sz w:val="24"/>
          <w:szCs w:val="24"/>
        </w:rPr>
        <w:t>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plus 15nmol/L TSA administered for 36 hours to the relatively vitamin</w:t>
      </w:r>
    </w:p>
    <w:p>
      <w:pPr>
        <w:spacing w:after="0" w:line="329" w:lineRule="exact"/>
        <w:rPr>
          <w:color w:val="auto"/>
          <w:sz w:val="20"/>
          <w:szCs w:val="20"/>
        </w:rPr>
      </w:pPr>
    </w:p>
    <w:p>
      <w:pPr>
        <w:spacing w:after="0" w:line="466" w:lineRule="auto"/>
        <w:ind w:left="720" w:right="180"/>
        <w:rPr>
          <w:color w:val="auto"/>
          <w:sz w:val="20"/>
          <w:szCs w:val="20"/>
        </w:rPr>
      </w:pPr>
      <w:r>
        <w:rPr>
          <w:rFonts w:ascii="Cambria" w:hAnsi="Cambria" w:eastAsia="Cambria" w:cs="Cambria"/>
          <w:color w:val="auto"/>
          <w:sz w:val="24"/>
          <w:szCs w:val="24"/>
        </w:rPr>
        <w:t>D-resistant breast cancer cell line MBD-MB-231 yielded only a 0.1 fold increase of VDR gene expression. (C. Banwell, O'Neill, Uskokovic, &amp; Campbell, 2004) A study in malignant melanoma cells found that a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TSA modulated VDR mRNA expression in both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receptive and resistant cell</w:t>
      </w:r>
    </w:p>
    <w:p>
      <w:pPr>
        <w:spacing w:after="0" w:line="66" w:lineRule="exact"/>
        <w:rPr>
          <w:color w:val="auto"/>
          <w:sz w:val="20"/>
          <w:szCs w:val="20"/>
        </w:rPr>
      </w:pPr>
    </w:p>
    <w:p>
      <w:pPr>
        <w:spacing w:after="0" w:line="439" w:lineRule="auto"/>
        <w:ind w:left="720" w:right="400"/>
        <w:rPr>
          <w:color w:val="auto"/>
          <w:sz w:val="20"/>
          <w:szCs w:val="20"/>
        </w:rPr>
      </w:pPr>
      <w:r>
        <w:rPr>
          <w:rFonts w:ascii="Cambria" w:hAnsi="Cambria" w:eastAsia="Cambria" w:cs="Cambria"/>
          <w:color w:val="auto"/>
          <w:sz w:val="24"/>
          <w:szCs w:val="24"/>
        </w:rPr>
        <w:t>lines. (Essa et al., 2012) Overall, our findings and those of others suggest that the biologic actions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 some cancer cells may be enhanced by co-</w:t>
      </w:r>
    </w:p>
    <w:p>
      <w:pPr>
        <w:spacing w:after="0" w:line="96" w:lineRule="exact"/>
        <w:rPr>
          <w:color w:val="auto"/>
          <w:sz w:val="20"/>
          <w:szCs w:val="20"/>
        </w:rPr>
      </w:pPr>
    </w:p>
    <w:p>
      <w:pPr>
        <w:spacing w:after="0" w:line="469" w:lineRule="auto"/>
        <w:ind w:left="720" w:right="40"/>
        <w:rPr>
          <w:color w:val="auto"/>
          <w:sz w:val="20"/>
          <w:szCs w:val="20"/>
        </w:rPr>
      </w:pPr>
      <w:r>
        <w:rPr>
          <w:rFonts w:ascii="Cambria" w:hAnsi="Cambria" w:eastAsia="Cambria" w:cs="Cambria"/>
          <w:color w:val="auto"/>
          <w:sz w:val="24"/>
          <w:szCs w:val="24"/>
        </w:rPr>
        <w:t>treatment with TSA or other HDACIs. This observation also suggests that epigenetic mechanisms may be at play under basal conditions to limit the expression of VDR and that TSA may be useful in other contexts where there is a need to increase VDR expression, such as in the elderly who may have lower intestinal expression of VDR that could limit cellular response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Rashid and coworker (Rashid et</w:t>
      </w:r>
    </w:p>
    <w:p>
      <w:pPr>
        <w:spacing w:after="0" w:line="66" w:lineRule="exact"/>
        <w:rPr>
          <w:color w:val="auto"/>
          <w:sz w:val="20"/>
          <w:szCs w:val="20"/>
        </w:rPr>
      </w:pPr>
    </w:p>
    <w:p>
      <w:pPr>
        <w:spacing w:after="0" w:line="466" w:lineRule="auto"/>
        <w:ind w:left="720" w:right="180"/>
        <w:rPr>
          <w:color w:val="auto"/>
          <w:sz w:val="20"/>
          <w:szCs w:val="20"/>
        </w:rPr>
      </w:pPr>
      <w:r>
        <w:rPr>
          <w:rFonts w:ascii="Cambria" w:hAnsi="Cambria" w:eastAsia="Cambria" w:cs="Cambria"/>
          <w:color w:val="auto"/>
          <w:sz w:val="23"/>
          <w:szCs w:val="23"/>
        </w:rPr>
        <w:t>al., 2001) reported that low dose treatment with HDACIs (sodium butyrate or TSA) in combination with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synergized to inhibit the growth of LNCaP, PC-3</w:t>
      </w:r>
    </w:p>
    <w:p>
      <w:pPr>
        <w:spacing w:after="0" w:line="79" w:lineRule="exact"/>
        <w:rPr>
          <w:color w:val="auto"/>
          <w:sz w:val="20"/>
          <w:szCs w:val="20"/>
        </w:rPr>
      </w:pPr>
    </w:p>
    <w:p>
      <w:pPr>
        <w:spacing w:after="0" w:line="474" w:lineRule="auto"/>
        <w:ind w:left="720" w:right="220"/>
        <w:rPr>
          <w:color w:val="auto"/>
          <w:sz w:val="20"/>
          <w:szCs w:val="20"/>
        </w:rPr>
      </w:pPr>
      <w:r>
        <w:rPr>
          <w:rFonts w:ascii="Cambria" w:hAnsi="Cambria" w:eastAsia="Cambria" w:cs="Cambria"/>
          <w:color w:val="auto"/>
          <w:sz w:val="24"/>
          <w:szCs w:val="24"/>
        </w:rPr>
        <w:t>and DU-145 prostate cancer cells. There has also been evidence that TSA alone exhibits anti-proliferative properties in breast cancer cells. (Drzewiecka &amp; Jagodzinski, 2012; Tavakoli-Yaraki, Karami-Tehrani, Salimi, &amp; Sirati-Sabet, 2013) Since our research shows a significant increase in VDR mRNA in MCF-7 cells in response to TSA, this may, at least in part, be a reason behind TSA’s growth inhibitory effects. Further research with different breast cancer cells lines are needed to confirm these findings across different cancer cell types, as well as to investigate the possible benefits of combined treatment in various animal cancer models. In the context of breast cancer, it should also be noted that the expression</w:t>
      </w:r>
    </w:p>
    <w:p>
      <w:pPr>
        <w:spacing w:after="0" w:line="200" w:lineRule="exact"/>
        <w:rPr>
          <w:color w:val="auto"/>
          <w:sz w:val="20"/>
          <w:szCs w:val="20"/>
        </w:rPr>
      </w:pPr>
    </w:p>
    <w:p>
      <w:pPr>
        <w:spacing w:after="0" w:line="30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42</w:t>
      </w:r>
    </w:p>
    <w:p>
      <w:pPr>
        <w:sectPr>
          <w:pgSz w:w="12240" w:h="15840"/>
          <w:pgMar w:top="1439" w:right="1440" w:bottom="120" w:left="1440" w:header="0" w:footer="0" w:gutter="0"/>
          <w:cols w:equalWidth="0" w:num="1">
            <w:col w:w="9360"/>
          </w:cols>
        </w:sectPr>
      </w:pPr>
    </w:p>
    <w:p>
      <w:pPr>
        <w:spacing w:after="0" w:line="49" w:lineRule="exact"/>
        <w:rPr>
          <w:color w:val="auto"/>
          <w:sz w:val="20"/>
          <w:szCs w:val="20"/>
        </w:rPr>
      </w:pPr>
      <w:bookmarkStart w:id="50" w:name="page57"/>
      <w:bookmarkEnd w:id="50"/>
    </w:p>
    <w:p>
      <w:pPr>
        <w:spacing w:after="0" w:line="492" w:lineRule="auto"/>
        <w:ind w:left="720" w:right="80"/>
        <w:rPr>
          <w:color w:val="auto"/>
          <w:sz w:val="20"/>
          <w:szCs w:val="20"/>
        </w:rPr>
      </w:pPr>
      <w:r>
        <w:rPr>
          <w:rFonts w:ascii="Cambria" w:hAnsi="Cambria" w:eastAsia="Cambria" w:cs="Cambria"/>
          <w:color w:val="auto"/>
          <w:sz w:val="23"/>
          <w:szCs w:val="23"/>
        </w:rPr>
        <w:t>of estrogen receptor-β is often epigenetically silenced and leads to tamoxifen resistance. TSA treatment can increase the expression of estrogen receptor-β and restore responsiveness to tamoxifen and other anti-estrogen agents. (Pitta, Papageorgis, Charalambous, &amp; Constantinou, 2013; Tu et al., 2012) A similar scenario in breast cancer cells with reduced VDR expression should be investigated.</w:t>
      </w:r>
    </w:p>
    <w:p>
      <w:pPr>
        <w:spacing w:after="0" w:line="49" w:lineRule="exact"/>
        <w:rPr>
          <w:color w:val="auto"/>
          <w:sz w:val="20"/>
          <w:szCs w:val="20"/>
        </w:rPr>
      </w:pPr>
    </w:p>
    <w:p>
      <w:pPr>
        <w:spacing w:after="0" w:line="471" w:lineRule="auto"/>
        <w:ind w:left="720" w:right="240" w:firstLine="720"/>
        <w:rPr>
          <w:color w:val="auto"/>
          <w:sz w:val="20"/>
          <w:szCs w:val="20"/>
        </w:rPr>
      </w:pPr>
      <w:r>
        <w:rPr>
          <w:rFonts w:ascii="Cambria" w:hAnsi="Cambria" w:eastAsia="Cambria" w:cs="Cambria"/>
          <w:color w:val="auto"/>
          <w:sz w:val="24"/>
          <w:szCs w:val="24"/>
        </w:rPr>
        <w:t>Based on the demonstration that SFN has histone deacetylase inhibitor activity (Li et al., 2010b; M. Myzak, Karplus, Chung, &amp; Dashwood, 2004; Pledgie-Tracy, Sobolewski, &amp; Davidson, 2007) , we expected that SFN would have similar effects to TSA in MCF-7 cells. However, we found that SFN treatment alone had no effect on VDR mRNA. In addition, co-treatment of SFN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led to significantly lower VDR mRNA levels than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The reason for</w:t>
      </w:r>
    </w:p>
    <w:p>
      <w:pPr>
        <w:spacing w:after="0" w:line="64" w:lineRule="exact"/>
        <w:rPr>
          <w:color w:val="auto"/>
          <w:sz w:val="20"/>
          <w:szCs w:val="20"/>
        </w:rPr>
      </w:pPr>
    </w:p>
    <w:p>
      <w:pPr>
        <w:spacing w:after="0" w:line="475" w:lineRule="auto"/>
        <w:ind w:left="720"/>
        <w:rPr>
          <w:color w:val="auto"/>
          <w:sz w:val="20"/>
          <w:szCs w:val="20"/>
        </w:rPr>
      </w:pPr>
      <w:r>
        <w:rPr>
          <w:rFonts w:ascii="Cambria" w:hAnsi="Cambria" w:eastAsia="Cambria" w:cs="Cambria"/>
          <w:color w:val="auto"/>
          <w:sz w:val="24"/>
          <w:szCs w:val="24"/>
        </w:rPr>
        <w:t>the discrepancy in the response of VDR gene expression to these two HDACI in MCF-7 cells is unknown. The effects of SFN on vitamin D-induced gene expression have not been previously addressed in this human breast cancer cell line. In vitro, SFN has apoptotic properties similar to TSA (Meeran, Patel, &amp; Tollefsbol, 2010; Pledgie-Tracy, Sobolewski, &amp; Davidson, 2007) ; so our conflicting results suggest that SFN may not have a strong enough HDACI effect on MCF-7 cells, or perhaps our dosage and treatment time needs to be increased. Additional studies will be needed to directly assess HDACI activity of SFN compared to TSA in MCF-7 cells. Differences in bioavailability of SFN in MCF-7 cells may exist due to differences in membrane transport or metabolism of these two compounds.</w:t>
      </w:r>
    </w:p>
    <w:p>
      <w:pPr>
        <w:spacing w:after="0" w:line="59" w:lineRule="exact"/>
        <w:rPr>
          <w:color w:val="auto"/>
          <w:sz w:val="20"/>
          <w:szCs w:val="20"/>
        </w:rPr>
      </w:pPr>
    </w:p>
    <w:p>
      <w:pPr>
        <w:spacing w:after="0" w:line="437" w:lineRule="auto"/>
        <w:ind w:left="720" w:right="80" w:firstLine="720"/>
        <w:rPr>
          <w:color w:val="auto"/>
          <w:sz w:val="20"/>
          <w:szCs w:val="20"/>
        </w:rPr>
      </w:pPr>
      <w:r>
        <w:rPr>
          <w:rFonts w:ascii="Cambria" w:hAnsi="Cambria" w:eastAsia="Cambria" w:cs="Cambria"/>
          <w:color w:val="auto"/>
          <w:sz w:val="24"/>
          <w:szCs w:val="24"/>
        </w:rPr>
        <w:t>Discordant findings between Experiment 1 and Experiment 2 were observed when cells were treated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alone. In Experiment 1,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200" w:lineRule="exact"/>
        <w:rPr>
          <w:color w:val="auto"/>
          <w:sz w:val="20"/>
          <w:szCs w:val="20"/>
        </w:rPr>
      </w:pPr>
    </w:p>
    <w:p>
      <w:pPr>
        <w:spacing w:after="0" w:line="34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43</w:t>
      </w:r>
    </w:p>
    <w:p>
      <w:pPr>
        <w:sectPr>
          <w:pgSz w:w="12240" w:h="15840"/>
          <w:pgMar w:top="1440" w:right="1440" w:bottom="120" w:left="1440" w:header="0" w:footer="0" w:gutter="0"/>
          <w:cols w:equalWidth="0" w:num="1">
            <w:col w:w="9360"/>
          </w:cols>
        </w:sectPr>
      </w:pPr>
    </w:p>
    <w:p>
      <w:pPr>
        <w:spacing w:after="0"/>
        <w:ind w:left="720"/>
        <w:rPr>
          <w:color w:val="auto"/>
          <w:sz w:val="20"/>
          <w:szCs w:val="20"/>
        </w:rPr>
      </w:pPr>
      <w:bookmarkStart w:id="51" w:name="page58"/>
      <w:bookmarkEnd w:id="51"/>
      <w:r>
        <w:rPr>
          <w:rFonts w:ascii="Cambria" w:hAnsi="Cambria" w:eastAsia="Cambria" w:cs="Cambria"/>
          <w:color w:val="auto"/>
          <w:sz w:val="24"/>
          <w:szCs w:val="24"/>
        </w:rPr>
        <w:t>treatment had no effect. In contrast, in Experiment 2,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 led to a</w:t>
      </w:r>
    </w:p>
    <w:p>
      <w:pPr>
        <w:spacing w:after="0" w:line="329" w:lineRule="exact"/>
        <w:rPr>
          <w:color w:val="auto"/>
          <w:sz w:val="20"/>
          <w:szCs w:val="20"/>
        </w:rPr>
      </w:pPr>
    </w:p>
    <w:p>
      <w:pPr>
        <w:spacing w:after="0" w:line="439" w:lineRule="auto"/>
        <w:ind w:left="720" w:right="40"/>
        <w:rPr>
          <w:color w:val="auto"/>
          <w:sz w:val="20"/>
          <w:szCs w:val="20"/>
        </w:rPr>
      </w:pPr>
      <w:r>
        <w:rPr>
          <w:rFonts w:ascii="Cambria" w:hAnsi="Cambria" w:eastAsia="Cambria" w:cs="Cambria"/>
          <w:color w:val="auto"/>
          <w:sz w:val="24"/>
          <w:szCs w:val="24"/>
        </w:rPr>
        <w:t>significant 6-fold increase in VDR mRNA. The reason for the more robust response to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 the second experiment is unknown. Clearly,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was able</w:t>
      </w:r>
    </w:p>
    <w:p>
      <w:pPr>
        <w:spacing w:after="0" w:line="96" w:lineRule="exact"/>
        <w:rPr>
          <w:color w:val="auto"/>
          <w:sz w:val="20"/>
          <w:szCs w:val="20"/>
        </w:rPr>
      </w:pPr>
    </w:p>
    <w:p>
      <w:pPr>
        <w:spacing w:after="0" w:line="458" w:lineRule="auto"/>
        <w:ind w:left="720" w:right="240"/>
        <w:rPr>
          <w:color w:val="auto"/>
          <w:sz w:val="20"/>
          <w:szCs w:val="20"/>
        </w:rPr>
      </w:pPr>
      <w:r>
        <w:rPr>
          <w:rFonts w:ascii="Cambria" w:hAnsi="Cambria" w:eastAsia="Cambria" w:cs="Cambria"/>
          <w:color w:val="auto"/>
          <w:sz w:val="24"/>
          <w:szCs w:val="24"/>
        </w:rPr>
        <w:t>to affect gene expression in Experiment 1 because the expression of CYP24A1, a highly vitamin D-responsive gene, was markedly increased, ruling out inactivity of the hormone.</w:t>
      </w:r>
    </w:p>
    <w:p>
      <w:pPr>
        <w:spacing w:after="0" w:line="200" w:lineRule="exact"/>
        <w:rPr>
          <w:color w:val="auto"/>
          <w:sz w:val="20"/>
          <w:szCs w:val="20"/>
        </w:rPr>
      </w:pPr>
    </w:p>
    <w:p>
      <w:pPr>
        <w:spacing w:after="0" w:line="248"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5.2 Treatment Effects on CYP24A1 Gene Expression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6" w:lineRule="auto"/>
        <w:ind w:left="720" w:firstLine="720"/>
        <w:rPr>
          <w:color w:val="auto"/>
          <w:sz w:val="20"/>
          <w:szCs w:val="20"/>
        </w:rPr>
      </w:pPr>
      <w:r>
        <w:rPr>
          <w:rFonts w:ascii="Cambria" w:hAnsi="Cambria" w:eastAsia="Cambria" w:cs="Cambria"/>
          <w:color w:val="auto"/>
          <w:sz w:val="24"/>
          <w:szCs w:val="24"/>
        </w:rPr>
        <w:t>Treatment with either HDACI alone caused a significant induction of CYP24A1 expression. The physiologic effect of increased CYP24A1 expression is to dampen the vitamin D signal in cells by initiating catabolism of the active hormone. Thus, the end result of HDACI treatment on vitamin D-mediated cell function needs further detailed study. Treatment of MCF-7 breast cancer cells with TSA alone on CYP24A1 expression has not been previously examined, but Luo and colleagues (Luo et al., 2010) found similar results in prostate cancer cells, where doses of TSA half as much as were used in these experiments were capable of inducing CYP24A1 gene expression. In Experiment 2, we found that SFN treatment increased CYP24A1 expression to a similar extent as TSA. These observations demonstrating a consistent effect of HDACI on CYP24A1 expression in MCF-7 cells suggest that epigenetic mechanisms affecting histone acetylation status may be causing CYP24A1 expression to be silenced in the basal state. However, we found no evidence of a significant increase in CYP24A1 expression with co-treatment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HDACI.</w:t>
      </w: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44</w:t>
      </w:r>
    </w:p>
    <w:p>
      <w:pPr>
        <w:sectPr>
          <w:pgSz w:w="12240" w:h="15840"/>
          <w:pgMar w:top="1439" w:right="1440" w:bottom="120" w:left="1440" w:header="0" w:footer="0" w:gutter="0"/>
          <w:cols w:equalWidth="0" w:num="1">
            <w:col w:w="9360"/>
          </w:cols>
        </w:sectPr>
      </w:pPr>
    </w:p>
    <w:p>
      <w:pPr>
        <w:spacing w:after="0"/>
        <w:ind w:left="1440"/>
        <w:rPr>
          <w:color w:val="auto"/>
          <w:sz w:val="20"/>
          <w:szCs w:val="20"/>
        </w:rPr>
      </w:pPr>
      <w:bookmarkStart w:id="52" w:name="page59"/>
      <w:bookmarkEnd w:id="52"/>
      <w:r>
        <w:rPr>
          <w:rFonts w:ascii="Cambria" w:hAnsi="Cambria" w:eastAsia="Cambria" w:cs="Cambria"/>
          <w:color w:val="auto"/>
          <w:sz w:val="24"/>
          <w:szCs w:val="24"/>
        </w:rPr>
        <w:t>The CYP24A1 gene is known as the strongest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responsive gene,</w:t>
      </w:r>
    </w:p>
    <w:p>
      <w:pPr>
        <w:spacing w:after="0" w:line="329" w:lineRule="exact"/>
        <w:rPr>
          <w:color w:val="auto"/>
          <w:sz w:val="20"/>
          <w:szCs w:val="20"/>
        </w:rPr>
      </w:pPr>
    </w:p>
    <w:p>
      <w:pPr>
        <w:spacing w:after="0" w:line="468" w:lineRule="auto"/>
        <w:ind w:left="720"/>
        <w:rPr>
          <w:color w:val="auto"/>
          <w:sz w:val="20"/>
          <w:szCs w:val="20"/>
        </w:rPr>
      </w:pPr>
      <w:r>
        <w:rPr>
          <w:rFonts w:ascii="Cambria" w:hAnsi="Cambria" w:eastAsia="Cambria" w:cs="Cambria"/>
          <w:color w:val="auto"/>
          <w:sz w:val="23"/>
          <w:szCs w:val="23"/>
        </w:rPr>
        <w:t>and is commonly used to assess changes in cellular vitamin D signaling. The ability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treatment to induce CYP24A1 mRNA in MCF-7 cells was consistent in</w:t>
      </w:r>
    </w:p>
    <w:p>
      <w:pPr>
        <w:spacing w:after="0" w:line="74" w:lineRule="exact"/>
        <w:rPr>
          <w:color w:val="auto"/>
          <w:sz w:val="20"/>
          <w:szCs w:val="20"/>
        </w:rPr>
      </w:pPr>
    </w:p>
    <w:p>
      <w:pPr>
        <w:spacing w:after="0" w:line="439" w:lineRule="auto"/>
        <w:ind w:left="720" w:right="80"/>
        <w:rPr>
          <w:color w:val="auto"/>
          <w:sz w:val="20"/>
          <w:szCs w:val="20"/>
        </w:rPr>
      </w:pPr>
      <w:r>
        <w:rPr>
          <w:rFonts w:ascii="Cambria" w:hAnsi="Cambria" w:eastAsia="Cambria" w:cs="Cambria"/>
          <w:color w:val="auto"/>
          <w:sz w:val="24"/>
          <w:szCs w:val="24"/>
        </w:rPr>
        <w:t>both experiments, although relative vitamin D-induced CYP24A1 expression was much greater in Experiment 2. Induction of CYP24A1 by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was expected</w:t>
      </w:r>
    </w:p>
    <w:p>
      <w:pPr>
        <w:spacing w:after="0" w:line="96" w:lineRule="exact"/>
        <w:rPr>
          <w:color w:val="auto"/>
          <w:sz w:val="20"/>
          <w:szCs w:val="20"/>
        </w:rPr>
      </w:pPr>
    </w:p>
    <w:p>
      <w:pPr>
        <w:spacing w:after="0" w:line="474" w:lineRule="auto"/>
        <w:ind w:left="720" w:right="20"/>
        <w:rPr>
          <w:color w:val="auto"/>
          <w:sz w:val="20"/>
          <w:szCs w:val="20"/>
        </w:rPr>
      </w:pPr>
      <w:r>
        <w:rPr>
          <w:rFonts w:ascii="Cambria" w:hAnsi="Cambria" w:eastAsia="Cambria" w:cs="Cambria"/>
          <w:color w:val="auto"/>
          <w:sz w:val="24"/>
          <w:szCs w:val="24"/>
        </w:rPr>
        <w:t>and is in agreement with a recent study in MCF-7 cells. (Matilainen, Malinen, Turunen, Carlberg, &amp; Vaisanen, 2010) Some researchers have found that expression of CYP24A1 in breast carcinoma cells is down regulated, (M. G. Anderson, Nakane, Ruan, Kroeger, &amp; Wu-Wong, 2006) , but other studies conclude that expression of this gene is up regulated in cancer cells (Lopes et al., 2010). The reason for these apparent differences is not evident, but could be differences in estrogen receptor status in different breast cancer cell lines. Overall, the lack of an increase in vitamin D-induced CYP24A1 mRNA following co-treatment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HDACI is</w:t>
      </w:r>
    </w:p>
    <w:p>
      <w:pPr>
        <w:spacing w:after="0" w:line="57" w:lineRule="exact"/>
        <w:rPr>
          <w:color w:val="auto"/>
          <w:sz w:val="20"/>
          <w:szCs w:val="20"/>
        </w:rPr>
      </w:pPr>
    </w:p>
    <w:p>
      <w:pPr>
        <w:spacing w:after="0" w:line="438" w:lineRule="auto"/>
        <w:ind w:left="720" w:right="240"/>
        <w:rPr>
          <w:color w:val="auto"/>
          <w:sz w:val="20"/>
          <w:szCs w:val="20"/>
        </w:rPr>
      </w:pPr>
      <w:r>
        <w:rPr>
          <w:rFonts w:ascii="Cambria" w:hAnsi="Cambria" w:eastAsia="Cambria" w:cs="Cambria"/>
          <w:color w:val="auto"/>
          <w:sz w:val="24"/>
          <w:szCs w:val="24"/>
        </w:rPr>
        <w:t>contrary to our working hypothesis that HDACI would increase vitamin D-induced gene expression.</w:t>
      </w:r>
    </w:p>
    <w:p>
      <w:pPr>
        <w:spacing w:after="0" w:line="200" w:lineRule="exact"/>
        <w:rPr>
          <w:color w:val="auto"/>
          <w:sz w:val="20"/>
          <w:szCs w:val="20"/>
        </w:rPr>
      </w:pPr>
    </w:p>
    <w:p>
      <w:pPr>
        <w:spacing w:after="0" w:line="268"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5.3 Treatment Effects on CYP27B1 Gene Expression</w:t>
      </w:r>
    </w:p>
    <w:p>
      <w:pPr>
        <w:spacing w:after="0" w:line="200" w:lineRule="exact"/>
        <w:rPr>
          <w:color w:val="auto"/>
          <w:sz w:val="20"/>
          <w:szCs w:val="20"/>
        </w:rPr>
      </w:pPr>
    </w:p>
    <w:p>
      <w:pPr>
        <w:spacing w:after="0" w:line="362"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In Experiment 2, we investigated the effects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HDACI on</w:t>
      </w:r>
    </w:p>
    <w:p>
      <w:pPr>
        <w:spacing w:after="0" w:line="332" w:lineRule="exact"/>
        <w:rPr>
          <w:color w:val="auto"/>
          <w:sz w:val="20"/>
          <w:szCs w:val="20"/>
        </w:rPr>
      </w:pPr>
    </w:p>
    <w:p>
      <w:pPr>
        <w:spacing w:after="0" w:line="484" w:lineRule="auto"/>
        <w:ind w:left="720" w:right="20"/>
        <w:jc w:val="both"/>
        <w:rPr>
          <w:color w:val="auto"/>
          <w:sz w:val="20"/>
          <w:szCs w:val="20"/>
        </w:rPr>
      </w:pPr>
      <w:r>
        <w:rPr>
          <w:rFonts w:ascii="Cambria" w:hAnsi="Cambria" w:eastAsia="Cambria" w:cs="Cambria"/>
          <w:color w:val="auto"/>
          <w:sz w:val="23"/>
          <w:szCs w:val="23"/>
        </w:rPr>
        <w:t>CYP27B1 expression. The CYP27B1 gene codes for the 1-α hydroxylase enzyme that activates the 25(OH)D prohormone to the active hormone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An increase in cellular CYP27B1 expression could lead to an increase in cellular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due</w:t>
      </w:r>
    </w:p>
    <w:p>
      <w:pPr>
        <w:spacing w:after="0" w:line="56" w:lineRule="exact"/>
        <w:rPr>
          <w:color w:val="auto"/>
          <w:sz w:val="20"/>
          <w:szCs w:val="20"/>
        </w:rPr>
      </w:pPr>
    </w:p>
    <w:p>
      <w:pPr>
        <w:spacing w:after="0" w:line="438" w:lineRule="auto"/>
        <w:ind w:left="720" w:right="220"/>
        <w:rPr>
          <w:color w:val="auto"/>
          <w:sz w:val="20"/>
          <w:szCs w:val="20"/>
        </w:rPr>
      </w:pPr>
      <w:r>
        <w:rPr>
          <w:rFonts w:ascii="Cambria" w:hAnsi="Cambria" w:eastAsia="Cambria" w:cs="Cambria"/>
          <w:color w:val="auto"/>
          <w:sz w:val="24"/>
          <w:szCs w:val="24"/>
        </w:rPr>
        <w:t>to increased cellular conversion of 25(OH)D to the active hormone. This particular possibility was not investigated in the current experiments. We found that neither</w:t>
      </w:r>
    </w:p>
    <w:p>
      <w:pPr>
        <w:spacing w:after="0" w:line="200" w:lineRule="exact"/>
        <w:rPr>
          <w:color w:val="auto"/>
          <w:sz w:val="20"/>
          <w:szCs w:val="20"/>
        </w:rPr>
      </w:pPr>
    </w:p>
    <w:p>
      <w:pPr>
        <w:spacing w:after="0" w:line="20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45</w:t>
      </w:r>
    </w:p>
    <w:p>
      <w:pPr>
        <w:sectPr>
          <w:pgSz w:w="12240" w:h="15840"/>
          <w:pgMar w:top="1439" w:right="1440" w:bottom="120" w:left="1440" w:header="0" w:footer="0" w:gutter="0"/>
          <w:cols w:equalWidth="0" w:num="1">
            <w:col w:w="9360"/>
          </w:cols>
        </w:sectPr>
      </w:pPr>
    </w:p>
    <w:p>
      <w:pPr>
        <w:spacing w:after="0"/>
        <w:ind w:left="720"/>
        <w:rPr>
          <w:color w:val="auto"/>
          <w:sz w:val="20"/>
          <w:szCs w:val="20"/>
        </w:rPr>
      </w:pPr>
      <w:bookmarkStart w:id="53" w:name="page60"/>
      <w:bookmarkEnd w:id="53"/>
      <w:r>
        <w:rPr>
          <w:rFonts w:ascii="Cambria" w:hAnsi="Cambria" w:eastAsia="Cambria" w:cs="Cambria"/>
          <w:color w:val="auto"/>
          <w:sz w:val="24"/>
          <w:szCs w:val="24"/>
        </w:rPr>
        <w:t>HDACI affected CYP27B1 expression in MCF-7 cells. However,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279"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treatment caused a significant ~7-fold increase in expression.</w:t>
      </w:r>
    </w:p>
    <w:p>
      <w:pPr>
        <w:spacing w:after="0" w:line="333" w:lineRule="exact"/>
        <w:rPr>
          <w:color w:val="auto"/>
          <w:sz w:val="20"/>
          <w:szCs w:val="20"/>
        </w:rPr>
      </w:pPr>
    </w:p>
    <w:p>
      <w:pPr>
        <w:spacing w:after="0" w:line="437" w:lineRule="auto"/>
        <w:ind w:left="720" w:right="120" w:firstLine="720"/>
        <w:rPr>
          <w:color w:val="auto"/>
          <w:sz w:val="20"/>
          <w:szCs w:val="20"/>
        </w:rPr>
      </w:pPr>
      <w:r>
        <w:rPr>
          <w:rFonts w:ascii="Cambria" w:hAnsi="Cambria" w:eastAsia="Cambria" w:cs="Cambria"/>
          <w:color w:val="auto"/>
          <w:sz w:val="24"/>
          <w:szCs w:val="24"/>
        </w:rPr>
        <w:t>A previous study done with MCF-7 cell tumors in rats with exposure to 25(OH)D, found that after feeding a 5000 IU/kg high vitamin D</w:t>
      </w:r>
      <w:r>
        <w:rPr>
          <w:rFonts w:ascii="Cambria" w:hAnsi="Cambria" w:eastAsia="Cambria" w:cs="Cambria"/>
          <w:color w:val="auto"/>
          <w:sz w:val="16"/>
          <w:szCs w:val="16"/>
        </w:rPr>
        <w:t>3</w:t>
      </w:r>
      <w:r>
        <w:rPr>
          <w:rFonts w:ascii="Cambria" w:hAnsi="Cambria" w:eastAsia="Cambria" w:cs="Cambria"/>
          <w:color w:val="auto"/>
          <w:sz w:val="24"/>
          <w:szCs w:val="24"/>
        </w:rPr>
        <w:t xml:space="preserve"> supplemented diet,</w:t>
      </w:r>
    </w:p>
    <w:p>
      <w:pPr>
        <w:spacing w:after="0" w:line="101" w:lineRule="exact"/>
        <w:rPr>
          <w:color w:val="auto"/>
          <w:sz w:val="20"/>
          <w:szCs w:val="20"/>
        </w:rPr>
      </w:pPr>
    </w:p>
    <w:p>
      <w:pPr>
        <w:spacing w:after="0" w:line="437" w:lineRule="auto"/>
        <w:ind w:left="720" w:right="260"/>
        <w:rPr>
          <w:color w:val="auto"/>
          <w:sz w:val="20"/>
          <w:szCs w:val="20"/>
        </w:rPr>
      </w:pPr>
      <w:r>
        <w:rPr>
          <w:rFonts w:ascii="Cambria" w:hAnsi="Cambria" w:eastAsia="Cambria" w:cs="Cambria"/>
          <w:color w:val="auto"/>
          <w:sz w:val="24"/>
          <w:szCs w:val="24"/>
        </w:rPr>
        <w:t>the tumor cells had an increased expression of CYP27B1 mRNA, indicating that a xenograph of MCF-7 cells could still actively potentially synthesize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w:t>
      </w:r>
    </w:p>
    <w:p>
      <w:pPr>
        <w:spacing w:after="0" w:line="101" w:lineRule="exact"/>
        <w:rPr>
          <w:color w:val="auto"/>
          <w:sz w:val="20"/>
          <w:szCs w:val="20"/>
        </w:rPr>
      </w:pPr>
    </w:p>
    <w:p>
      <w:pPr>
        <w:spacing w:after="0" w:line="492" w:lineRule="auto"/>
        <w:ind w:left="720" w:right="20"/>
        <w:rPr>
          <w:color w:val="auto"/>
          <w:sz w:val="20"/>
          <w:szCs w:val="20"/>
        </w:rPr>
      </w:pPr>
      <w:r>
        <w:rPr>
          <w:rFonts w:ascii="Cambria" w:hAnsi="Cambria" w:eastAsia="Cambria" w:cs="Cambria"/>
          <w:color w:val="auto"/>
          <w:sz w:val="23"/>
          <w:szCs w:val="23"/>
        </w:rPr>
        <w:t>the presence of 25(OH)D. (Swami et al., 2012) This observation is important because it suggests that treatment with a non-toxic dose of vitamin D could be useful therapeutically. Research also shows that carcinoma cells will often show down-regulated expression of CYP27B1. (Lopes et al., 2010) Our results suggest that short-term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or a vitamin D analog drug treatment could be useful to</w:t>
      </w:r>
    </w:p>
    <w:p>
      <w:pPr>
        <w:spacing w:after="0" w:line="49" w:lineRule="exact"/>
        <w:rPr>
          <w:color w:val="auto"/>
          <w:sz w:val="20"/>
          <w:szCs w:val="20"/>
        </w:rPr>
      </w:pPr>
    </w:p>
    <w:p>
      <w:pPr>
        <w:spacing w:after="0" w:line="438" w:lineRule="auto"/>
        <w:ind w:left="720" w:right="80"/>
        <w:rPr>
          <w:color w:val="auto"/>
          <w:sz w:val="20"/>
          <w:szCs w:val="20"/>
        </w:rPr>
      </w:pPr>
      <w:r>
        <w:rPr>
          <w:rFonts w:ascii="Cambria" w:hAnsi="Cambria" w:eastAsia="Cambria" w:cs="Cambria"/>
          <w:color w:val="auto"/>
          <w:sz w:val="24"/>
          <w:szCs w:val="24"/>
        </w:rPr>
        <w:t>raise CYP27B1 expression to enhance the anti-cancer effects of endogenous vitamin D or vitamin D supplementation.</w:t>
      </w:r>
    </w:p>
    <w:p>
      <w:pPr>
        <w:spacing w:after="0" w:line="50" w:lineRule="exact"/>
        <w:rPr>
          <w:color w:val="auto"/>
          <w:sz w:val="20"/>
          <w:szCs w:val="20"/>
        </w:rPr>
      </w:pPr>
    </w:p>
    <w:p>
      <w:pPr>
        <w:spacing w:after="0"/>
        <w:ind w:left="1440"/>
        <w:rPr>
          <w:color w:val="auto"/>
          <w:sz w:val="20"/>
          <w:szCs w:val="20"/>
        </w:rPr>
      </w:pPr>
      <w:r>
        <w:rPr>
          <w:rFonts w:ascii="Cambria" w:hAnsi="Cambria" w:eastAsia="Cambria" w:cs="Cambria"/>
          <w:color w:val="auto"/>
          <w:sz w:val="24"/>
          <w:szCs w:val="24"/>
        </w:rPr>
        <w:t>We found that combination treatment of TSA with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did not</w:t>
      </w:r>
    </w:p>
    <w:p>
      <w:pPr>
        <w:spacing w:after="0" w:line="332" w:lineRule="exact"/>
        <w:rPr>
          <w:color w:val="auto"/>
          <w:sz w:val="20"/>
          <w:szCs w:val="20"/>
        </w:rPr>
      </w:pPr>
    </w:p>
    <w:p>
      <w:pPr>
        <w:spacing w:after="0" w:line="437" w:lineRule="auto"/>
        <w:ind w:left="720" w:right="200"/>
        <w:jc w:val="both"/>
        <w:rPr>
          <w:color w:val="auto"/>
          <w:sz w:val="20"/>
          <w:szCs w:val="20"/>
        </w:rPr>
      </w:pPr>
      <w:r>
        <w:rPr>
          <w:rFonts w:ascii="Cambria" w:hAnsi="Cambria" w:eastAsia="Cambria" w:cs="Cambria"/>
          <w:color w:val="auto"/>
          <w:sz w:val="24"/>
          <w:szCs w:val="24"/>
        </w:rPr>
        <w:t>further increase vitamin D-induced CYP27B1 expression. In contrast, co-treatment with both SFN and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inhibited vitamin D-induced CYP27B1 expression.</w:t>
      </w:r>
    </w:p>
    <w:p>
      <w:pPr>
        <w:spacing w:after="0" w:line="101" w:lineRule="exact"/>
        <w:rPr>
          <w:color w:val="auto"/>
          <w:sz w:val="20"/>
          <w:szCs w:val="20"/>
        </w:rPr>
      </w:pPr>
    </w:p>
    <w:p>
      <w:pPr>
        <w:spacing w:after="0" w:line="472" w:lineRule="auto"/>
        <w:ind w:left="720" w:right="80"/>
        <w:rPr>
          <w:color w:val="auto"/>
          <w:sz w:val="20"/>
          <w:szCs w:val="20"/>
        </w:rPr>
      </w:pPr>
      <w:r>
        <w:rPr>
          <w:rFonts w:ascii="Cambria" w:hAnsi="Cambria" w:eastAsia="Cambria" w:cs="Cambria"/>
          <w:color w:val="auto"/>
          <w:sz w:val="24"/>
          <w:szCs w:val="24"/>
        </w:rPr>
        <w:t>The reason for this discrepancy in the action of TSA and SFN on vitamin D-induced CYP27B1 expression is unknown. To our knowledge, the effects of HDACIs on CYP27B1 gene expression have not been previously examined. Since a reduction in CYP27B1 by SFN under in vivo conditions could have detrimental effects on vitamin D action, further study of this relationship is warranted. This is particularly true in light of the fact that SFN is a bioactive food component found in cruciferous vegetables, such as broccoli, cabbage, etc.</w:t>
      </w:r>
    </w:p>
    <w:p>
      <w:pPr>
        <w:spacing w:after="0" w:line="200" w:lineRule="exact"/>
        <w:rPr>
          <w:color w:val="auto"/>
          <w:sz w:val="20"/>
          <w:szCs w:val="20"/>
        </w:rPr>
      </w:pPr>
    </w:p>
    <w:p>
      <w:pPr>
        <w:spacing w:after="0" w:line="307"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46</w:t>
      </w:r>
    </w:p>
    <w:p>
      <w:pPr>
        <w:sectPr>
          <w:pgSz w:w="12240" w:h="15840"/>
          <w:pgMar w:top="1439" w:right="1440" w:bottom="120" w:left="1440" w:header="0" w:footer="0" w:gutter="0"/>
          <w:cols w:equalWidth="0" w:num="1">
            <w:col w:w="9360"/>
          </w:cols>
        </w:sectPr>
      </w:pPr>
    </w:p>
    <w:p>
      <w:pPr>
        <w:spacing w:after="0"/>
        <w:ind w:left="720"/>
        <w:rPr>
          <w:color w:val="auto"/>
          <w:sz w:val="20"/>
          <w:szCs w:val="20"/>
        </w:rPr>
      </w:pPr>
      <w:bookmarkStart w:id="54" w:name="page61"/>
      <w:bookmarkEnd w:id="54"/>
      <w:r>
        <w:rPr>
          <w:rFonts w:ascii="Cambria" w:hAnsi="Cambria" w:eastAsia="Cambria" w:cs="Cambria"/>
          <w:color w:val="auto"/>
          <w:sz w:val="24"/>
          <w:szCs w:val="24"/>
        </w:rPr>
        <w:t>5.4 Treatment Effects on TRPV6 Gene Expression</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73" w:lineRule="auto"/>
        <w:ind w:left="720" w:right="80" w:firstLine="720"/>
        <w:rPr>
          <w:color w:val="auto"/>
          <w:sz w:val="20"/>
          <w:szCs w:val="20"/>
        </w:rPr>
      </w:pPr>
      <w:r>
        <w:rPr>
          <w:rFonts w:ascii="Cambria" w:hAnsi="Cambria" w:eastAsia="Cambria" w:cs="Cambria"/>
          <w:color w:val="auto"/>
          <w:sz w:val="24"/>
          <w:szCs w:val="24"/>
        </w:rPr>
        <w:t>In both experiments, the expression of TRPV6 mRNA was apparently absent in most samples. Recent research has concluded, however, that elevated TRPV6 expression is common in estrogen receptor negative breast cancer cells lines (Ouadid-Ahidouch, Dhennin-Duthille, Gautier, Sevestre, &amp; Ahidouch, 2012; Peters et al., 2012) ; so one explanation for our null finding in MCF-7 cells is that they are estrogen receptor positive, and would not necessarily share similar TRPV6 gene expression characteristics with estrogen receptor negative breast cancer cells. Additional investigation of this notion is needed.</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5.5 Limitations</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92" w:lineRule="auto"/>
        <w:ind w:left="720" w:right="120" w:firstLine="720"/>
        <w:rPr>
          <w:color w:val="auto"/>
          <w:sz w:val="20"/>
          <w:szCs w:val="20"/>
        </w:rPr>
      </w:pPr>
      <w:r>
        <w:rPr>
          <w:rFonts w:ascii="Cambria" w:hAnsi="Cambria" w:eastAsia="Cambria" w:cs="Cambria"/>
          <w:color w:val="auto"/>
          <w:sz w:val="23"/>
          <w:szCs w:val="23"/>
        </w:rPr>
        <w:t>There are a few limitations with the work presented that are important to discuss. Due to constraints with time and resources, we were only able to complete two experiments with a relatively small sample size for each. Seeing conflicting results between Experiment 1 and 2 in regards to VDR gene expression with the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treatment, leads us to believe that additional study is needed to have a</w:t>
      </w:r>
    </w:p>
    <w:p>
      <w:pPr>
        <w:spacing w:after="0" w:line="49" w:lineRule="exact"/>
        <w:rPr>
          <w:color w:val="auto"/>
          <w:sz w:val="20"/>
          <w:szCs w:val="20"/>
        </w:rPr>
      </w:pPr>
    </w:p>
    <w:p>
      <w:pPr>
        <w:spacing w:after="0" w:line="438" w:lineRule="auto"/>
        <w:ind w:left="1440" w:right="240" w:hanging="719"/>
        <w:rPr>
          <w:color w:val="auto"/>
          <w:sz w:val="20"/>
          <w:szCs w:val="20"/>
        </w:rPr>
      </w:pPr>
      <w:r>
        <w:rPr>
          <w:rFonts w:ascii="Cambria" w:hAnsi="Cambria" w:eastAsia="Cambria" w:cs="Cambria"/>
          <w:color w:val="auto"/>
          <w:sz w:val="24"/>
          <w:szCs w:val="24"/>
        </w:rPr>
        <w:t>more solid understanding of HDACI effects on VDR mRNA in MCF-7 cells. Another possible limitation in our research was our treatment dosages and</w:t>
      </w:r>
    </w:p>
    <w:p>
      <w:pPr>
        <w:spacing w:after="0" w:line="5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how they relate to biological serum levels. Our treatment dosage of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was 10 nmol/L, which is ~1000 times higher than the typical circulating</w:t>
      </w:r>
    </w:p>
    <w:p>
      <w:pPr>
        <w:spacing w:after="0" w:line="293" w:lineRule="exact"/>
        <w:rPr>
          <w:color w:val="auto"/>
          <w:sz w:val="20"/>
          <w:szCs w:val="20"/>
        </w:rPr>
      </w:pPr>
    </w:p>
    <w:p>
      <w:pPr>
        <w:spacing w:after="0"/>
        <w:ind w:left="720"/>
        <w:rPr>
          <w:color w:val="auto"/>
          <w:sz w:val="20"/>
          <w:szCs w:val="20"/>
        </w:rPr>
      </w:pPr>
      <w:r>
        <w:rPr>
          <w:rFonts w:ascii="Cambria" w:hAnsi="Cambria" w:eastAsia="Cambria" w:cs="Cambria"/>
          <w:color w:val="auto"/>
          <w:sz w:val="23"/>
          <w:szCs w:val="23"/>
        </w:rPr>
        <w:t>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concentration. However, this dose of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is commonly used in</w:t>
      </w:r>
    </w:p>
    <w:p>
      <w:pPr>
        <w:spacing w:after="0" w:line="281"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cell culture experiments and does not represent the top of the dose-response curve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47</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55" w:name="page62"/>
      <w:bookmarkEnd w:id="55"/>
    </w:p>
    <w:p>
      <w:pPr>
        <w:spacing w:after="0" w:line="469" w:lineRule="auto"/>
        <w:ind w:left="720" w:right="60"/>
        <w:rPr>
          <w:color w:val="auto"/>
          <w:sz w:val="20"/>
          <w:szCs w:val="20"/>
        </w:rPr>
      </w:pPr>
      <w:r>
        <w:rPr>
          <w:rFonts w:ascii="Cambria" w:hAnsi="Cambria" w:eastAsia="Cambria" w:cs="Cambria"/>
          <w:color w:val="auto"/>
          <w:sz w:val="24"/>
          <w:szCs w:val="24"/>
        </w:rPr>
        <w:t>for many vitamin D-induced actions in cultured cells. The TSA dose was 1 µmol/L, which is a relatively high dose, and many cellular effects of TSA can be seen at lower doses. The SFN dose was 20 µmol/L and is in the range used in many other cell culture studies. However, serum SFN concentration after a meal of cruciferous vegetables may be much lower.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48</w:t>
      </w:r>
    </w:p>
    <w:p>
      <w:pPr>
        <w:sectPr>
          <w:pgSz w:w="12240" w:h="15840"/>
          <w:pgMar w:top="1440" w:right="1440" w:bottom="120" w:left="1440" w:header="0" w:footer="0" w:gutter="0"/>
          <w:cols w:equalWidth="0" w:num="1">
            <w:col w:w="9360"/>
          </w:cols>
        </w:sectPr>
      </w:pPr>
    </w:p>
    <w:p>
      <w:pPr>
        <w:spacing w:after="0"/>
        <w:ind w:left="4400"/>
        <w:rPr>
          <w:color w:val="auto"/>
          <w:sz w:val="20"/>
          <w:szCs w:val="20"/>
        </w:rPr>
      </w:pPr>
      <w:bookmarkStart w:id="56" w:name="page63"/>
      <w:bookmarkEnd w:id="56"/>
      <w:r>
        <w:rPr>
          <w:rFonts w:ascii="Cambria" w:hAnsi="Cambria" w:eastAsia="Cambria" w:cs="Cambria"/>
          <w:color w:val="auto"/>
          <w:sz w:val="24"/>
          <w:szCs w:val="24"/>
        </w:rPr>
        <w:t>CHAPTER 6</w:t>
      </w:r>
    </w:p>
    <w:p>
      <w:pPr>
        <w:spacing w:after="0" w:line="280" w:lineRule="exact"/>
        <w:rPr>
          <w:color w:val="auto"/>
          <w:sz w:val="20"/>
          <w:szCs w:val="20"/>
        </w:rPr>
      </w:pPr>
    </w:p>
    <w:p>
      <w:pPr>
        <w:spacing w:after="0"/>
        <w:ind w:left="3380"/>
        <w:rPr>
          <w:color w:val="auto"/>
          <w:sz w:val="20"/>
          <w:szCs w:val="20"/>
        </w:rPr>
      </w:pPr>
      <w:r>
        <w:rPr>
          <w:rFonts w:ascii="Cambria" w:hAnsi="Cambria" w:eastAsia="Cambria" w:cs="Cambria"/>
          <w:color w:val="auto"/>
          <w:sz w:val="24"/>
          <w:szCs w:val="24"/>
        </w:rPr>
        <w:t>SUMMARY AND CONCLUSIONS</w:t>
      </w:r>
    </w:p>
    <w:p>
      <w:pPr>
        <w:spacing w:after="0" w:line="333" w:lineRule="exact"/>
        <w:rPr>
          <w:color w:val="auto"/>
          <w:sz w:val="20"/>
          <w:szCs w:val="20"/>
        </w:rPr>
      </w:pPr>
    </w:p>
    <w:p>
      <w:pPr>
        <w:spacing w:after="0" w:line="484" w:lineRule="auto"/>
        <w:ind w:left="720" w:right="40" w:firstLine="720"/>
        <w:rPr>
          <w:color w:val="auto"/>
          <w:sz w:val="20"/>
          <w:szCs w:val="20"/>
        </w:rPr>
      </w:pPr>
      <w:r>
        <w:rPr>
          <w:rFonts w:ascii="Cambria" w:hAnsi="Cambria" w:eastAsia="Cambria" w:cs="Cambria"/>
          <w:color w:val="auto"/>
          <w:sz w:val="23"/>
          <w:szCs w:val="23"/>
        </w:rPr>
        <w:t>At the conclusion of our study, we have gained insight into the, as of yet, undefined effects that the histone deacetylase inhibitors TSA and SFN have on vitamin D-modulated gene expression, and their ability to work with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to</w:t>
      </w:r>
    </w:p>
    <w:p>
      <w:pPr>
        <w:spacing w:after="0" w:line="56" w:lineRule="exact"/>
        <w:rPr>
          <w:color w:val="auto"/>
          <w:sz w:val="20"/>
          <w:szCs w:val="20"/>
        </w:rPr>
      </w:pPr>
    </w:p>
    <w:p>
      <w:pPr>
        <w:spacing w:after="0" w:line="476" w:lineRule="auto"/>
        <w:ind w:left="720"/>
        <w:rPr>
          <w:color w:val="auto"/>
          <w:sz w:val="20"/>
          <w:szCs w:val="20"/>
        </w:rPr>
      </w:pPr>
      <w:r>
        <w:rPr>
          <w:rFonts w:ascii="Cambria" w:hAnsi="Cambria" w:eastAsia="Cambria" w:cs="Cambria"/>
          <w:color w:val="auto"/>
          <w:sz w:val="24"/>
          <w:szCs w:val="24"/>
        </w:rPr>
        <w:t>alter overall gene expression of CYP24A1, CYP27B1, and VDR in MCF-7 breast cancer cells. Since an overall trend of down-regulation in vitamin D modulated gene expression is often seen in breast cancer cells (Lopes et al., 2010), the ability of HDACI to effect epigenetic changes in cells may be important to optimize vitamin D’s anti-proliferative effects in cancer cells. TSA is already being used as a co-treatment in cancer therapy. Vorinostat, which is a laboratory developed compound with the same chemical structure to TSA, is being studied in hundreds of clinical trials. (Marks &amp; Breslow, 2007) The findings from these clinical studies are showing that TSA has HDACI effects and is capable of increasing the therapeutic effects of different anti-cancer hormone therapies. Although much more work is needed, our preliminary study of TSA in MCF-7 cells suggests that TSA may have useful properties to modulate therapeutic responses to vitamin D-based breast cancer therapies by increasing VDR gene expression. An important next step in our research would be to show that TSA increases VDR protein in MCF-7 cells and potentiates the anti-cancer effects of vitamin D hormone or vitamin D analogs.</w:t>
      </w:r>
    </w:p>
    <w:p>
      <w:pPr>
        <w:spacing w:after="0" w:line="70" w:lineRule="exact"/>
        <w:rPr>
          <w:color w:val="auto"/>
          <w:sz w:val="20"/>
          <w:szCs w:val="20"/>
        </w:rPr>
      </w:pPr>
    </w:p>
    <w:p>
      <w:pPr>
        <w:spacing w:after="0" w:line="468" w:lineRule="auto"/>
        <w:ind w:left="720" w:right="100" w:firstLine="720"/>
        <w:rPr>
          <w:color w:val="auto"/>
          <w:sz w:val="20"/>
          <w:szCs w:val="20"/>
        </w:rPr>
      </w:pPr>
      <w:r>
        <w:rPr>
          <w:rFonts w:ascii="Cambria" w:hAnsi="Cambria" w:eastAsia="Cambria" w:cs="Cambria"/>
          <w:color w:val="auto"/>
          <w:sz w:val="23"/>
          <w:szCs w:val="23"/>
        </w:rPr>
        <w:t>This is one of the first studies to look at SFN as a HDACI in co-treatment with 1,25(OH)</w:t>
      </w:r>
      <w:r>
        <w:rPr>
          <w:rFonts w:ascii="Cambria" w:hAnsi="Cambria" w:eastAsia="Cambria" w:cs="Cambria"/>
          <w:color w:val="auto"/>
          <w:sz w:val="15"/>
          <w:szCs w:val="15"/>
        </w:rPr>
        <w:t>2</w:t>
      </w:r>
      <w:r>
        <w:rPr>
          <w:rFonts w:ascii="Cambria" w:hAnsi="Cambria" w:eastAsia="Cambria" w:cs="Cambria"/>
          <w:color w:val="auto"/>
          <w:sz w:val="23"/>
          <w:szCs w:val="23"/>
        </w:rPr>
        <w:t>D</w:t>
      </w:r>
      <w:r>
        <w:rPr>
          <w:rFonts w:ascii="Cambria" w:hAnsi="Cambria" w:eastAsia="Cambria" w:cs="Cambria"/>
          <w:color w:val="auto"/>
          <w:sz w:val="15"/>
          <w:szCs w:val="15"/>
        </w:rPr>
        <w:t>3.</w:t>
      </w:r>
      <w:r>
        <w:rPr>
          <w:rFonts w:ascii="Cambria" w:hAnsi="Cambria" w:eastAsia="Cambria" w:cs="Cambria"/>
          <w:color w:val="auto"/>
          <w:sz w:val="23"/>
          <w:szCs w:val="23"/>
        </w:rPr>
        <w:t xml:space="preserve"> Our working hypothesis was based upon the findings from previous</w:t>
      </w:r>
    </w:p>
    <w:p>
      <w:pPr>
        <w:spacing w:after="0" w:line="2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research that SFN has HDACI activity. (M. C. Myzak, Tong, Dashwood, Dashwood, &amp;</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49</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57" w:name="page64"/>
      <w:bookmarkEnd w:id="57"/>
    </w:p>
    <w:p>
      <w:pPr>
        <w:spacing w:after="0" w:line="476" w:lineRule="auto"/>
        <w:ind w:left="720" w:right="100"/>
        <w:rPr>
          <w:color w:val="auto"/>
          <w:sz w:val="20"/>
          <w:szCs w:val="20"/>
        </w:rPr>
      </w:pPr>
      <w:r>
        <w:rPr>
          <w:rFonts w:ascii="Cambria" w:hAnsi="Cambria" w:eastAsia="Cambria" w:cs="Cambria"/>
          <w:color w:val="auto"/>
          <w:sz w:val="24"/>
          <w:szCs w:val="24"/>
        </w:rPr>
        <w:t>Ho, 2007) We expected that SFN and TSA would act through a similar epigenetic mechanism and would have similar effects in MCF-7 cells. However, the apparent inhibition by SFN of vitamin D-induced VDR and CYP27B1 expression was totally unexpected. Additional study will be needed to understand why TSA and SFN had different effects on vitamin D-induced VDR and CYP27B1 expression. Despite this, cancer prevention research with SFN has been producing positive results; SFN has been seen to inhibit HDAC activity in human colon, prostate and breast cancer cells lines, as well as induce histone hyperacetylation; both of which are linked to regulate proliferation, differentiation and apoptosis in cancer cells lines. (Anwar-Mohamed &amp; El-Kadi, 2009; Kim &amp; Singh, 2009; Meeran, Patel, &amp; Tollefsbol, 2010; M. C. Myzak, Tong, Dashwood, Dashwood, &amp; Ho, 2007; Pledgie-Tracy, Sobolewski, &amp; Davidson, 2007) But our conclusions force us to examine the role that HDACI plays on cellular vitamin D metabolism in a different way. Working at a cellular level may not be the best platform for this research, examining the relationship in vivo may yield some new evidence.</w:t>
      </w:r>
    </w:p>
    <w:p>
      <w:pPr>
        <w:spacing w:after="0" w:line="200" w:lineRule="exact"/>
        <w:rPr>
          <w:color w:val="auto"/>
          <w:sz w:val="20"/>
          <w:szCs w:val="20"/>
        </w:rPr>
      </w:pPr>
    </w:p>
    <w:p>
      <w:pPr>
        <w:spacing w:after="0" w:line="240"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6.1 Further Research</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39" w:lineRule="auto"/>
        <w:ind w:left="720" w:right="120" w:firstLine="720"/>
        <w:jc w:val="both"/>
        <w:rPr>
          <w:color w:val="auto"/>
          <w:sz w:val="20"/>
          <w:szCs w:val="20"/>
        </w:rPr>
      </w:pPr>
      <w:r>
        <w:rPr>
          <w:rFonts w:ascii="Cambria" w:hAnsi="Cambria" w:eastAsia="Cambria" w:cs="Cambria"/>
          <w:color w:val="auto"/>
          <w:sz w:val="24"/>
          <w:szCs w:val="24"/>
        </w:rPr>
        <w:t>The results from this research have allowed us to gain additional knowledge about the interactions between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and two HDACI, TSA and SFN in vitro;</w:t>
      </w:r>
    </w:p>
    <w:p>
      <w:pPr>
        <w:spacing w:after="0" w:line="96" w:lineRule="exact"/>
        <w:rPr>
          <w:color w:val="auto"/>
          <w:sz w:val="20"/>
          <w:szCs w:val="20"/>
        </w:rPr>
      </w:pPr>
    </w:p>
    <w:p>
      <w:pPr>
        <w:spacing w:after="0" w:line="483" w:lineRule="auto"/>
        <w:ind w:left="720" w:right="280"/>
        <w:rPr>
          <w:color w:val="auto"/>
          <w:sz w:val="20"/>
          <w:szCs w:val="20"/>
        </w:rPr>
      </w:pPr>
      <w:r>
        <w:rPr>
          <w:rFonts w:ascii="Cambria" w:hAnsi="Cambria" w:eastAsia="Cambria" w:cs="Cambria"/>
          <w:color w:val="auto"/>
          <w:sz w:val="23"/>
          <w:szCs w:val="23"/>
        </w:rPr>
        <w:t>but there are many more interactions that should be explored to fully understand these mechanisms. It would be important to investigate the effects of circulating vitamin D, 25-hydroxyvitamin D, especially in a co-treatment with TSA and SFN 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50</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58" w:name="page65"/>
      <w:bookmarkEnd w:id="58"/>
    </w:p>
    <w:p>
      <w:pPr>
        <w:spacing w:after="0" w:line="437" w:lineRule="auto"/>
        <w:ind w:left="720" w:right="320"/>
        <w:jc w:val="both"/>
        <w:rPr>
          <w:color w:val="auto"/>
          <w:sz w:val="20"/>
          <w:szCs w:val="20"/>
        </w:rPr>
      </w:pPr>
      <w:r>
        <w:rPr>
          <w:rFonts w:ascii="Cambria" w:hAnsi="Cambria" w:eastAsia="Cambria" w:cs="Cambria"/>
          <w:color w:val="auto"/>
          <w:sz w:val="24"/>
          <w:szCs w:val="24"/>
        </w:rPr>
        <w:t>regards to CYP27B1 gene expression to see if the inactive form of vitamin D and a HDACI can raise expression higher than we saw with the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xml:space="preserve"> treatment.</w:t>
      </w:r>
    </w:p>
    <w:p>
      <w:pPr>
        <w:spacing w:after="0" w:line="101" w:lineRule="exact"/>
        <w:rPr>
          <w:color w:val="auto"/>
          <w:sz w:val="20"/>
          <w:szCs w:val="20"/>
        </w:rPr>
      </w:pPr>
    </w:p>
    <w:p>
      <w:pPr>
        <w:spacing w:after="0" w:line="469" w:lineRule="auto"/>
        <w:ind w:left="720" w:right="180" w:firstLine="720"/>
        <w:rPr>
          <w:color w:val="auto"/>
          <w:sz w:val="20"/>
          <w:szCs w:val="20"/>
        </w:rPr>
      </w:pPr>
      <w:r>
        <w:rPr>
          <w:rFonts w:ascii="Cambria" w:hAnsi="Cambria" w:eastAsia="Cambria" w:cs="Cambria"/>
          <w:color w:val="auto"/>
          <w:sz w:val="24"/>
          <w:szCs w:val="24"/>
        </w:rPr>
        <w:t>It would also be important to look at the dose dependent reactions of these treatments; there is limited understanding gained from only one treatment dose. Since our SFN treatment yielded only slight changes, it would be important to raise that dose as well to identify maximum responses. However, the issue of cellular toxicity may limit raising the HDACI dose.</w:t>
      </w:r>
    </w:p>
    <w:p>
      <w:pPr>
        <w:spacing w:after="0" w:line="64" w:lineRule="exact"/>
        <w:rPr>
          <w:color w:val="auto"/>
          <w:sz w:val="20"/>
          <w:szCs w:val="20"/>
        </w:rPr>
      </w:pPr>
    </w:p>
    <w:p>
      <w:pPr>
        <w:spacing w:after="0" w:line="439" w:lineRule="auto"/>
        <w:ind w:left="720" w:right="80" w:firstLine="720"/>
        <w:rPr>
          <w:color w:val="auto"/>
          <w:sz w:val="20"/>
          <w:szCs w:val="20"/>
        </w:rPr>
      </w:pPr>
      <w:r>
        <w:rPr>
          <w:rFonts w:ascii="Cambria" w:hAnsi="Cambria" w:eastAsia="Cambria" w:cs="Cambria"/>
          <w:color w:val="auto"/>
          <w:sz w:val="24"/>
          <w:szCs w:val="24"/>
        </w:rPr>
        <w:t>Continued research will increase our understanding of the interaction taking place between 1,25(OH)</w:t>
      </w:r>
      <w:r>
        <w:rPr>
          <w:rFonts w:ascii="Cambria" w:hAnsi="Cambria" w:eastAsia="Cambria" w:cs="Cambria"/>
          <w:color w:val="auto"/>
          <w:sz w:val="16"/>
          <w:szCs w:val="16"/>
        </w:rPr>
        <w:t>2</w:t>
      </w:r>
      <w:r>
        <w:rPr>
          <w:rFonts w:ascii="Cambria" w:hAnsi="Cambria" w:eastAsia="Cambria" w:cs="Cambria"/>
          <w:color w:val="auto"/>
          <w:sz w:val="24"/>
          <w:szCs w:val="24"/>
        </w:rPr>
        <w:t>D</w:t>
      </w:r>
      <w:r>
        <w:rPr>
          <w:rFonts w:ascii="Cambria" w:hAnsi="Cambria" w:eastAsia="Cambria" w:cs="Cambria"/>
          <w:color w:val="auto"/>
          <w:sz w:val="16"/>
          <w:szCs w:val="16"/>
        </w:rPr>
        <w:t>3</w:t>
      </w:r>
      <w:r>
        <w:rPr>
          <w:rFonts w:ascii="Cambria" w:hAnsi="Cambria" w:eastAsia="Cambria" w:cs="Cambria"/>
          <w:color w:val="auto"/>
          <w:sz w:val="24"/>
          <w:szCs w:val="24"/>
        </w:rPr>
        <w:t>, TSA and SFN; and their impact on vitamin D mediated</w:t>
      </w:r>
    </w:p>
    <w:p>
      <w:pPr>
        <w:spacing w:after="0" w:line="96" w:lineRule="exact"/>
        <w:rPr>
          <w:color w:val="auto"/>
          <w:sz w:val="20"/>
          <w:szCs w:val="20"/>
        </w:rPr>
      </w:pPr>
    </w:p>
    <w:p>
      <w:pPr>
        <w:spacing w:after="0" w:line="458" w:lineRule="auto"/>
        <w:ind w:left="720" w:right="280"/>
        <w:rPr>
          <w:color w:val="auto"/>
          <w:sz w:val="20"/>
          <w:szCs w:val="20"/>
        </w:rPr>
      </w:pPr>
      <w:r>
        <w:rPr>
          <w:rFonts w:ascii="Cambria" w:hAnsi="Cambria" w:eastAsia="Cambria" w:cs="Cambria"/>
          <w:color w:val="auto"/>
          <w:sz w:val="24"/>
          <w:szCs w:val="24"/>
        </w:rPr>
        <w:t>gene expression, as well as cancer cell proliferation, differentiation and apoptosis. This knowledge could eventually aid us in the formation of new treatments and prevention strategies against the deadly disease, cancer.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51</w:t>
      </w:r>
    </w:p>
    <w:p>
      <w:pPr>
        <w:sectPr>
          <w:pgSz w:w="12240" w:h="15840"/>
          <w:pgMar w:top="1440" w:right="1440" w:bottom="120" w:left="1440" w:header="0" w:footer="0" w:gutter="0"/>
          <w:cols w:equalWidth="0" w:num="1">
            <w:col w:w="9360"/>
          </w:cols>
        </w:sectPr>
      </w:pPr>
    </w:p>
    <w:tbl>
      <w:tblPr>
        <w:tblStyle w:val="3"/>
        <w:tblW w:w="0" w:type="auto"/>
        <w:tblInd w:w="610" w:type="dxa"/>
        <w:tblLayout w:type="fixed"/>
        <w:tblCellMar>
          <w:top w:w="0" w:type="dxa"/>
          <w:left w:w="0" w:type="dxa"/>
          <w:bottom w:w="0" w:type="dxa"/>
          <w:right w:w="0" w:type="dxa"/>
        </w:tblCellMar>
      </w:tblPr>
      <w:tblGrid>
        <w:gridCol w:w="2740"/>
        <w:gridCol w:w="6140"/>
        <w:gridCol w:w="20"/>
      </w:tblGrid>
      <w:tr>
        <w:tblPrEx>
          <w:tblCellMar>
            <w:top w:w="0" w:type="dxa"/>
            <w:left w:w="0" w:type="dxa"/>
            <w:bottom w:w="0" w:type="dxa"/>
            <w:right w:w="0" w:type="dxa"/>
          </w:tblCellMar>
        </w:tblPrEx>
        <w:trPr>
          <w:trHeight w:val="281" w:hRule="atLeast"/>
        </w:trPr>
        <w:tc>
          <w:tcPr>
            <w:tcW w:w="2740" w:type="dxa"/>
            <w:vAlign w:val="bottom"/>
          </w:tcPr>
          <w:p>
            <w:pPr>
              <w:spacing w:after="0"/>
              <w:rPr>
                <w:color w:val="auto"/>
                <w:sz w:val="24"/>
                <w:szCs w:val="24"/>
              </w:rPr>
            </w:pPr>
            <w:bookmarkStart w:id="59" w:name="page66"/>
            <w:bookmarkEnd w:id="59"/>
          </w:p>
        </w:tc>
        <w:tc>
          <w:tcPr>
            <w:tcW w:w="6160" w:type="dxa"/>
            <w:gridSpan w:val="2"/>
            <w:vAlign w:val="bottom"/>
          </w:tcPr>
          <w:p>
            <w:pPr>
              <w:spacing w:after="0"/>
              <w:ind w:left="1020"/>
              <w:rPr>
                <w:color w:val="auto"/>
                <w:sz w:val="20"/>
                <w:szCs w:val="20"/>
              </w:rPr>
            </w:pPr>
            <w:r>
              <w:rPr>
                <w:rFonts w:ascii="Cambria" w:hAnsi="Cambria" w:eastAsia="Cambria" w:cs="Cambria"/>
                <w:color w:val="auto"/>
                <w:sz w:val="24"/>
                <w:szCs w:val="24"/>
              </w:rPr>
              <w:t>APPENDIX A</w:t>
            </w:r>
          </w:p>
        </w:tc>
      </w:tr>
      <w:tr>
        <w:tblPrEx>
          <w:tblCellMar>
            <w:top w:w="0" w:type="dxa"/>
            <w:left w:w="0" w:type="dxa"/>
            <w:bottom w:w="0" w:type="dxa"/>
            <w:right w:w="0" w:type="dxa"/>
          </w:tblCellMar>
        </w:tblPrEx>
        <w:trPr>
          <w:trHeight w:val="562" w:hRule="atLeast"/>
        </w:trPr>
        <w:tc>
          <w:tcPr>
            <w:tcW w:w="2740" w:type="dxa"/>
            <w:vAlign w:val="bottom"/>
          </w:tcPr>
          <w:p>
            <w:pPr>
              <w:spacing w:after="0"/>
              <w:rPr>
                <w:color w:val="auto"/>
                <w:sz w:val="24"/>
                <w:szCs w:val="24"/>
              </w:rPr>
            </w:pPr>
          </w:p>
        </w:tc>
        <w:tc>
          <w:tcPr>
            <w:tcW w:w="6160" w:type="dxa"/>
            <w:gridSpan w:val="2"/>
            <w:vAlign w:val="bottom"/>
          </w:tcPr>
          <w:p>
            <w:pPr>
              <w:spacing w:after="0"/>
              <w:ind w:left="120"/>
              <w:rPr>
                <w:color w:val="auto"/>
                <w:sz w:val="20"/>
                <w:szCs w:val="20"/>
              </w:rPr>
            </w:pPr>
            <w:r>
              <w:rPr>
                <w:rFonts w:ascii="Cambria" w:hAnsi="Cambria" w:eastAsia="Cambria" w:cs="Cambria"/>
                <w:color w:val="auto"/>
                <w:sz w:val="24"/>
                <w:szCs w:val="24"/>
              </w:rPr>
              <w:t>TREATMENT CALCULATIONS</w:t>
            </w:r>
          </w:p>
        </w:tc>
      </w:tr>
      <w:tr>
        <w:tblPrEx>
          <w:tblCellMar>
            <w:top w:w="0" w:type="dxa"/>
            <w:left w:w="0" w:type="dxa"/>
            <w:bottom w:w="0" w:type="dxa"/>
            <w:right w:w="0" w:type="dxa"/>
          </w:tblCellMar>
        </w:tblPrEx>
        <w:trPr>
          <w:trHeight w:val="284" w:hRule="atLeast"/>
        </w:trPr>
        <w:tc>
          <w:tcPr>
            <w:tcW w:w="2740" w:type="dxa"/>
            <w:tcBorders>
              <w:bottom w:val="single" w:color="auto" w:sz="8" w:space="0"/>
            </w:tcBorders>
            <w:vAlign w:val="bottom"/>
          </w:tcPr>
          <w:p>
            <w:pPr>
              <w:spacing w:after="0"/>
              <w:rPr>
                <w:color w:val="auto"/>
                <w:sz w:val="24"/>
                <w:szCs w:val="24"/>
              </w:rPr>
            </w:pPr>
          </w:p>
        </w:tc>
        <w:tc>
          <w:tcPr>
            <w:tcW w:w="616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70" w:hRule="atLeast"/>
        </w:trPr>
        <w:tc>
          <w:tcPr>
            <w:tcW w:w="8880" w:type="dxa"/>
            <w:gridSpan w:val="2"/>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Vitamin D (Enzo: BML-DM200-0050)</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Stock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50μg in 50μL EtOH</w:t>
            </w:r>
          </w:p>
        </w:tc>
      </w:tr>
      <w:tr>
        <w:tblPrEx>
          <w:tblCellMar>
            <w:top w:w="0" w:type="dxa"/>
            <w:left w:w="0" w:type="dxa"/>
            <w:bottom w:w="0" w:type="dxa"/>
            <w:right w:w="0" w:type="dxa"/>
          </w:tblCellMar>
        </w:tblPrEx>
        <w:trPr>
          <w:trHeight w:val="664" w:hRule="atLeast"/>
        </w:trPr>
        <w:tc>
          <w:tcPr>
            <w:tcW w:w="2740" w:type="dxa"/>
            <w:tcBorders>
              <w:left w:val="single" w:color="auto" w:sz="8" w:space="0"/>
              <w:right w:val="single" w:color="auto" w:sz="8" w:space="0"/>
            </w:tcBorders>
            <w:vAlign w:val="bottom"/>
          </w:tcPr>
          <w:p>
            <w:pPr>
              <w:spacing w:after="0"/>
              <w:rPr>
                <w:color w:val="auto"/>
                <w:sz w:val="24"/>
                <w:szCs w:val="24"/>
              </w:rPr>
            </w:pPr>
          </w:p>
        </w:tc>
        <w:tc>
          <w:tcPr>
            <w:tcW w:w="6160" w:type="dxa"/>
            <w:gridSpan w:val="2"/>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=2.4mM (2.4x10</w:t>
            </w:r>
            <w:r>
              <w:rPr>
                <w:rFonts w:ascii="Cambria" w:hAnsi="Cambria" w:eastAsia="Cambria" w:cs="Cambria"/>
                <w:color w:val="auto"/>
                <w:sz w:val="32"/>
                <w:szCs w:val="32"/>
                <w:vertAlign w:val="superscript"/>
              </w:rPr>
              <w:t>-3</w:t>
            </w:r>
            <w:r>
              <w:rPr>
                <w:rFonts w:ascii="Cambria" w:hAnsi="Cambria" w:eastAsia="Cambria" w:cs="Cambria"/>
                <w:color w:val="auto"/>
                <w:sz w:val="24"/>
                <w:szCs w:val="24"/>
              </w:rPr>
              <w:t>)</w:t>
            </w:r>
          </w:p>
        </w:tc>
      </w:tr>
      <w:tr>
        <w:tblPrEx>
          <w:tblCellMar>
            <w:top w:w="0" w:type="dxa"/>
            <w:left w:w="0" w:type="dxa"/>
            <w:bottom w:w="0" w:type="dxa"/>
            <w:right w:w="0" w:type="dxa"/>
          </w:tblCellMar>
        </w:tblPrEx>
        <w:trPr>
          <w:trHeight w:val="182" w:hRule="atLeast"/>
        </w:trPr>
        <w:tc>
          <w:tcPr>
            <w:tcW w:w="27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6160" w:type="dxa"/>
            <w:gridSpan w:val="2"/>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Cambria" w:hAnsi="Cambria" w:eastAsia="Cambria" w:cs="Cambria"/>
                <w:color w:val="auto"/>
                <w:sz w:val="24"/>
                <w:szCs w:val="24"/>
              </w:rPr>
              <w:t>Working Solution</w:t>
            </w:r>
          </w:p>
        </w:tc>
        <w:tc>
          <w:tcPr>
            <w:tcW w:w="6160" w:type="dxa"/>
            <w:gridSpan w:val="2"/>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Dilute to 1:1,000</w:t>
            </w:r>
          </w:p>
        </w:tc>
      </w:tr>
      <w:tr>
        <w:tblPrEx>
          <w:tblCellMar>
            <w:top w:w="0" w:type="dxa"/>
            <w:left w:w="0" w:type="dxa"/>
            <w:bottom w:w="0" w:type="dxa"/>
            <w:right w:w="0" w:type="dxa"/>
          </w:tblCellMar>
        </w:tblPrEx>
        <w:trPr>
          <w:trHeight w:val="562" w:hRule="atLeast"/>
        </w:trPr>
        <w:tc>
          <w:tcPr>
            <w:tcW w:w="2740" w:type="dxa"/>
            <w:tcBorders>
              <w:left w:val="single" w:color="auto" w:sz="8" w:space="0"/>
              <w:right w:val="single" w:color="auto" w:sz="8" w:space="0"/>
            </w:tcBorders>
            <w:vAlign w:val="bottom"/>
          </w:tcPr>
          <w:p>
            <w:pPr>
              <w:spacing w:after="0"/>
              <w:rPr>
                <w:color w:val="auto"/>
                <w:sz w:val="24"/>
                <w:szCs w:val="24"/>
              </w:rPr>
            </w:pPr>
          </w:p>
        </w:tc>
        <w:tc>
          <w:tcPr>
            <w:tcW w:w="6160" w:type="dxa"/>
            <w:gridSpan w:val="2"/>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2μL stock solution in 2,000μL (2mL) EtOH</w:t>
            </w:r>
          </w:p>
        </w:tc>
      </w:tr>
      <w:tr>
        <w:tblPrEx>
          <w:tblCellMar>
            <w:top w:w="0" w:type="dxa"/>
            <w:left w:w="0" w:type="dxa"/>
            <w:bottom w:w="0" w:type="dxa"/>
            <w:right w:w="0" w:type="dxa"/>
          </w:tblCellMar>
        </w:tblPrEx>
        <w:trPr>
          <w:trHeight w:val="666" w:hRule="atLeast"/>
        </w:trPr>
        <w:tc>
          <w:tcPr>
            <w:tcW w:w="2740" w:type="dxa"/>
            <w:tcBorders>
              <w:left w:val="single" w:color="auto" w:sz="8" w:space="0"/>
              <w:right w:val="single" w:color="auto" w:sz="8" w:space="0"/>
            </w:tcBorders>
            <w:vAlign w:val="bottom"/>
          </w:tcPr>
          <w:p>
            <w:pPr>
              <w:spacing w:after="0"/>
              <w:rPr>
                <w:color w:val="auto"/>
                <w:sz w:val="24"/>
                <w:szCs w:val="24"/>
              </w:rPr>
            </w:pPr>
          </w:p>
        </w:tc>
        <w:tc>
          <w:tcPr>
            <w:tcW w:w="6160" w:type="dxa"/>
            <w:gridSpan w:val="2"/>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=2.4μM (2.4x10</w:t>
            </w:r>
            <w:r>
              <w:rPr>
                <w:rFonts w:ascii="Cambria" w:hAnsi="Cambria" w:eastAsia="Cambria" w:cs="Cambria"/>
                <w:color w:val="auto"/>
                <w:sz w:val="32"/>
                <w:szCs w:val="32"/>
                <w:vertAlign w:val="superscript"/>
              </w:rPr>
              <w:t>-6</w:t>
            </w:r>
            <w:r>
              <w:rPr>
                <w:rFonts w:ascii="Cambria" w:hAnsi="Cambria" w:eastAsia="Cambria" w:cs="Cambria"/>
                <w:color w:val="auto"/>
                <w:sz w:val="24"/>
                <w:szCs w:val="24"/>
              </w:rPr>
              <w:t xml:space="preserve"> M)</w:t>
            </w:r>
          </w:p>
        </w:tc>
      </w:tr>
      <w:tr>
        <w:tblPrEx>
          <w:tblCellMar>
            <w:top w:w="0" w:type="dxa"/>
            <w:left w:w="0" w:type="dxa"/>
            <w:bottom w:w="0" w:type="dxa"/>
            <w:right w:w="0" w:type="dxa"/>
          </w:tblCellMar>
        </w:tblPrEx>
        <w:trPr>
          <w:trHeight w:val="180" w:hRule="atLeast"/>
        </w:trPr>
        <w:tc>
          <w:tcPr>
            <w:tcW w:w="27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6160" w:type="dxa"/>
            <w:gridSpan w:val="2"/>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Cambria" w:hAnsi="Cambria" w:eastAsia="Cambria" w:cs="Cambria"/>
                <w:color w:val="auto"/>
                <w:sz w:val="24"/>
                <w:szCs w:val="24"/>
              </w:rPr>
              <w:t>Treatment Solution</w:t>
            </w:r>
          </w:p>
        </w:tc>
        <w:tc>
          <w:tcPr>
            <w:tcW w:w="6160" w:type="dxa"/>
            <w:gridSpan w:val="2"/>
            <w:tcBorders>
              <w:right w:val="single" w:color="auto" w:sz="8" w:space="0"/>
            </w:tcBorders>
            <w:vAlign w:val="bottom"/>
          </w:tcPr>
          <w:p>
            <w:pPr>
              <w:spacing w:after="0" w:line="270" w:lineRule="exact"/>
              <w:ind w:left="100"/>
              <w:rPr>
                <w:color w:val="auto"/>
                <w:sz w:val="20"/>
                <w:szCs w:val="20"/>
              </w:rPr>
            </w:pPr>
            <w:r>
              <w:rPr>
                <w:rFonts w:ascii="Cambria" w:hAnsi="Cambria" w:eastAsia="Cambria" w:cs="Cambria"/>
                <w:color w:val="auto"/>
                <w:sz w:val="24"/>
                <w:szCs w:val="24"/>
              </w:rPr>
              <w:t>Dilute 4.2μL working solution in 1mL Media</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554" w:hRule="atLeast"/>
        </w:trPr>
        <w:tc>
          <w:tcPr>
            <w:tcW w:w="888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70" w:hRule="atLeast"/>
        </w:trPr>
        <w:tc>
          <w:tcPr>
            <w:tcW w:w="8880" w:type="dxa"/>
            <w:gridSpan w:val="2"/>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Trichostatin A (TSA) Sigma T8552-1MG (10mM in 330μM in EtOH)</w:t>
            </w:r>
          </w:p>
        </w:tc>
      </w:tr>
      <w:tr>
        <w:tblPrEx>
          <w:tblCellMar>
            <w:top w:w="0" w:type="dxa"/>
            <w:left w:w="0" w:type="dxa"/>
            <w:bottom w:w="0" w:type="dxa"/>
            <w:right w:w="0" w:type="dxa"/>
          </w:tblCellMar>
        </w:tblPrEx>
        <w:trPr>
          <w:trHeight w:val="282" w:hRule="atLeast"/>
        </w:trPr>
        <w:tc>
          <w:tcPr>
            <w:tcW w:w="2740" w:type="dxa"/>
            <w:tcBorders>
              <w:left w:val="single" w:color="auto" w:sz="8" w:space="0"/>
              <w:bottom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Stock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10mM concentration</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Working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5μL stock solution in 500 μL EtOH = 100μM</w:t>
            </w:r>
          </w:p>
        </w:tc>
      </w:tr>
      <w:tr>
        <w:tblPrEx>
          <w:tblCellMar>
            <w:top w:w="0" w:type="dxa"/>
            <w:left w:w="0" w:type="dxa"/>
            <w:bottom w:w="0" w:type="dxa"/>
            <w:right w:w="0" w:type="dxa"/>
          </w:tblCellMar>
        </w:tblPrEx>
        <w:trPr>
          <w:trHeight w:val="562" w:hRule="atLeast"/>
        </w:trPr>
        <w:tc>
          <w:tcPr>
            <w:tcW w:w="2740" w:type="dxa"/>
            <w:tcBorders>
              <w:left w:val="single" w:color="auto" w:sz="8" w:space="0"/>
              <w:right w:val="single" w:color="auto" w:sz="8" w:space="0"/>
            </w:tcBorders>
            <w:vAlign w:val="bottom"/>
          </w:tcPr>
          <w:p>
            <w:pPr>
              <w:spacing w:after="0"/>
              <w:rPr>
                <w:color w:val="auto"/>
                <w:sz w:val="24"/>
                <w:szCs w:val="24"/>
              </w:rPr>
            </w:pPr>
          </w:p>
        </w:tc>
        <w:tc>
          <w:tcPr>
            <w:tcW w:w="6160" w:type="dxa"/>
            <w:gridSpan w:val="2"/>
            <w:tcBorders>
              <w:right w:val="single" w:color="auto" w:sz="8" w:space="0"/>
            </w:tcBorders>
            <w:vAlign w:val="bottom"/>
          </w:tcPr>
          <w:p>
            <w:pPr>
              <w:spacing w:after="0"/>
              <w:ind w:left="100"/>
              <w:rPr>
                <w:color w:val="auto"/>
                <w:sz w:val="20"/>
                <w:szCs w:val="20"/>
              </w:rPr>
            </w:pPr>
            <w:r>
              <w:rPr>
                <w:rFonts w:ascii="Cambria" w:hAnsi="Cambria" w:eastAsia="Cambria" w:cs="Cambria"/>
                <w:color w:val="auto"/>
                <w:sz w:val="24"/>
                <w:szCs w:val="24"/>
              </w:rPr>
              <w:t>concentration</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Treatment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10μL working solution in 1mL media</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551" w:hRule="atLeast"/>
        </w:trPr>
        <w:tc>
          <w:tcPr>
            <w:tcW w:w="888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70" w:hRule="atLeast"/>
        </w:trPr>
        <w:tc>
          <w:tcPr>
            <w:tcW w:w="8880" w:type="dxa"/>
            <w:gridSpan w:val="2"/>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L-Sulforaphane (SFN) (Sigma: S6317)</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Stock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20mM in DMSO</w:t>
            </w:r>
          </w:p>
        </w:tc>
      </w:tr>
      <w:tr>
        <w:tblPrEx>
          <w:tblCellMar>
            <w:top w:w="0" w:type="dxa"/>
            <w:left w:w="0" w:type="dxa"/>
            <w:bottom w:w="0" w:type="dxa"/>
            <w:right w:w="0" w:type="dxa"/>
          </w:tblCellMar>
        </w:tblPrEx>
        <w:trPr>
          <w:trHeight w:val="284"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0" w:hRule="atLeast"/>
        </w:trPr>
        <w:tc>
          <w:tcPr>
            <w:tcW w:w="2740" w:type="dxa"/>
            <w:tcBorders>
              <w:left w:val="single" w:color="auto" w:sz="8" w:space="0"/>
              <w:right w:val="single" w:color="auto" w:sz="8" w:space="0"/>
            </w:tcBorders>
            <w:vAlign w:val="bottom"/>
          </w:tcPr>
          <w:p>
            <w:pPr>
              <w:spacing w:after="0" w:line="269" w:lineRule="exact"/>
              <w:ind w:left="120"/>
              <w:rPr>
                <w:color w:val="auto"/>
                <w:sz w:val="20"/>
                <w:szCs w:val="20"/>
              </w:rPr>
            </w:pPr>
            <w:r>
              <w:rPr>
                <w:rFonts w:ascii="Cambria" w:hAnsi="Cambria" w:eastAsia="Cambria" w:cs="Cambria"/>
                <w:color w:val="auto"/>
                <w:sz w:val="24"/>
                <w:szCs w:val="24"/>
              </w:rPr>
              <w:t>Treatment Solution</w:t>
            </w:r>
          </w:p>
        </w:tc>
        <w:tc>
          <w:tcPr>
            <w:tcW w:w="6160" w:type="dxa"/>
            <w:gridSpan w:val="2"/>
            <w:tcBorders>
              <w:right w:val="single" w:color="auto" w:sz="8" w:space="0"/>
            </w:tcBorders>
            <w:vAlign w:val="bottom"/>
          </w:tcPr>
          <w:p>
            <w:pPr>
              <w:spacing w:after="0" w:line="269" w:lineRule="exact"/>
              <w:ind w:left="100"/>
              <w:rPr>
                <w:color w:val="auto"/>
                <w:sz w:val="20"/>
                <w:szCs w:val="20"/>
              </w:rPr>
            </w:pPr>
            <w:r>
              <w:rPr>
                <w:rFonts w:ascii="Cambria" w:hAnsi="Cambria" w:eastAsia="Cambria" w:cs="Cambria"/>
                <w:color w:val="auto"/>
                <w:sz w:val="24"/>
                <w:szCs w:val="24"/>
              </w:rPr>
              <w:t>20μmol/L = 1μL working solution in 1mL media</w:t>
            </w:r>
          </w:p>
        </w:tc>
      </w:tr>
      <w:tr>
        <w:tblPrEx>
          <w:tblCellMar>
            <w:top w:w="0" w:type="dxa"/>
            <w:left w:w="0" w:type="dxa"/>
            <w:bottom w:w="0" w:type="dxa"/>
            <w:right w:w="0" w:type="dxa"/>
          </w:tblCellMar>
        </w:tblPrEx>
        <w:trPr>
          <w:trHeight w:val="282" w:hRule="atLeast"/>
        </w:trPr>
        <w:tc>
          <w:tcPr>
            <w:tcW w:w="2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6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52</w:t>
      </w:r>
    </w:p>
    <w:p>
      <w:pPr>
        <w:sectPr>
          <w:pgSz w:w="12240" w:h="15840"/>
          <w:pgMar w:top="1438" w:right="1320" w:bottom="120" w:left="1440" w:header="0" w:footer="0" w:gutter="0"/>
          <w:cols w:equalWidth="0" w:num="1">
            <w:col w:w="9480"/>
          </w:cols>
        </w:sectPr>
      </w:pPr>
    </w:p>
    <w:p>
      <w:pPr>
        <w:spacing w:after="0"/>
        <w:ind w:left="4360"/>
        <w:rPr>
          <w:color w:val="auto"/>
          <w:sz w:val="20"/>
          <w:szCs w:val="20"/>
        </w:rPr>
      </w:pPr>
      <w:bookmarkStart w:id="60" w:name="page67"/>
      <w:bookmarkEnd w:id="60"/>
      <w:r>
        <w:rPr>
          <w:rFonts w:ascii="Cambria" w:hAnsi="Cambria" w:eastAsia="Cambria" w:cs="Cambria"/>
          <w:color w:val="auto"/>
          <w:sz w:val="24"/>
          <w:szCs w:val="24"/>
        </w:rPr>
        <w:t>APPENDIX B</w:t>
      </w:r>
    </w:p>
    <w:p>
      <w:pPr>
        <w:spacing w:after="0" w:line="280" w:lineRule="exact"/>
        <w:rPr>
          <w:color w:val="auto"/>
          <w:sz w:val="20"/>
          <w:szCs w:val="20"/>
        </w:rPr>
      </w:pPr>
    </w:p>
    <w:p>
      <w:pPr>
        <w:spacing w:after="0"/>
        <w:ind w:left="3560"/>
        <w:rPr>
          <w:color w:val="auto"/>
          <w:sz w:val="20"/>
          <w:szCs w:val="20"/>
        </w:rPr>
      </w:pPr>
      <w:r>
        <w:rPr>
          <w:rFonts w:ascii="Cambria" w:hAnsi="Cambria" w:eastAsia="Cambria" w:cs="Cambria"/>
          <w:color w:val="auto"/>
          <w:sz w:val="24"/>
          <w:szCs w:val="24"/>
        </w:rPr>
        <w:t>LABORATORY PROTOCOLS</w:t>
      </w:r>
    </w:p>
    <w:p>
      <w:pPr>
        <w:spacing w:after="0" w:line="283"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RNA Isolation (Make sure to use all autoclaved supplies)</w:t>
      </w:r>
    </w:p>
    <w:p>
      <w:pPr>
        <w:spacing w:after="0" w:line="280" w:lineRule="exact"/>
        <w:rPr>
          <w:color w:val="auto"/>
          <w:sz w:val="20"/>
          <w:szCs w:val="20"/>
        </w:rPr>
      </w:pPr>
    </w:p>
    <w:p>
      <w:pPr>
        <w:numPr>
          <w:ilvl w:val="0"/>
          <w:numId w:val="7"/>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Cell Harvest</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Remove the media</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Use 1mL Tri-Reagent (Trizol) per well (in 6-well plate)</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Scratch the cells from the well with a cell scraper</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Pipet suspension till thick and stringy, transfer to eppendorf tubes</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Can then be frozen at -80°C</w:t>
      </w:r>
    </w:p>
    <w:p>
      <w:pPr>
        <w:spacing w:after="0" w:line="330" w:lineRule="exact"/>
        <w:rPr>
          <w:rFonts w:ascii="Cambria" w:hAnsi="Cambria" w:eastAsia="Cambria" w:cs="Cambria"/>
          <w:color w:val="auto"/>
          <w:sz w:val="24"/>
          <w:szCs w:val="24"/>
        </w:rPr>
      </w:pPr>
    </w:p>
    <w:p>
      <w:pPr>
        <w:numPr>
          <w:ilvl w:val="1"/>
          <w:numId w:val="7"/>
        </w:numPr>
        <w:tabs>
          <w:tab w:val="left" w:pos="2160"/>
        </w:tabs>
        <w:spacing w:after="0" w:line="438" w:lineRule="auto"/>
        <w:ind w:left="2160" w:right="620" w:hanging="360"/>
        <w:rPr>
          <w:rFonts w:ascii="Cambria" w:hAnsi="Cambria" w:eastAsia="Cambria" w:cs="Cambria"/>
          <w:color w:val="auto"/>
          <w:sz w:val="24"/>
          <w:szCs w:val="24"/>
        </w:rPr>
      </w:pPr>
      <w:r>
        <w:rPr>
          <w:rFonts w:ascii="Cambria" w:hAnsi="Cambria" w:eastAsia="Cambria" w:cs="Cambria"/>
          <w:color w:val="auto"/>
          <w:sz w:val="24"/>
          <w:szCs w:val="24"/>
        </w:rPr>
        <w:t>Keep 5 minutes at room temp or warm water bath to thaw when ready to complete separation phase</w:t>
      </w:r>
    </w:p>
    <w:p>
      <w:pPr>
        <w:spacing w:after="0" w:line="48" w:lineRule="exact"/>
        <w:rPr>
          <w:rFonts w:ascii="Cambria" w:hAnsi="Cambria" w:eastAsia="Cambria" w:cs="Cambria"/>
          <w:color w:val="auto"/>
          <w:sz w:val="24"/>
          <w:szCs w:val="24"/>
        </w:rPr>
      </w:pPr>
    </w:p>
    <w:p>
      <w:pPr>
        <w:numPr>
          <w:ilvl w:val="0"/>
          <w:numId w:val="7"/>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Phase Separation (Keep on ice between steps)</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Add 150μL chloroform reagent to the homogenate</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Invert vigorously for 15 seconds</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Allow the mixture to sit at room temperature for 5 minutes</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Centrifuge at 12,000g for 15 minutes at 4°C</w:t>
      </w:r>
    </w:p>
    <w:p>
      <w:pPr>
        <w:spacing w:after="0" w:line="282" w:lineRule="exact"/>
        <w:rPr>
          <w:rFonts w:ascii="Cambria" w:hAnsi="Cambria" w:eastAsia="Cambria" w:cs="Cambria"/>
          <w:color w:val="auto"/>
          <w:sz w:val="24"/>
          <w:szCs w:val="24"/>
        </w:rPr>
      </w:pPr>
    </w:p>
    <w:p>
      <w:pPr>
        <w:numPr>
          <w:ilvl w:val="0"/>
          <w:numId w:val="7"/>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RNA Precipitation</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Transfer the aqueous phase to a fresh 1.5mL eppendorf tube</w:t>
      </w:r>
    </w:p>
    <w:p>
      <w:pPr>
        <w:spacing w:after="0" w:line="333" w:lineRule="exact"/>
        <w:rPr>
          <w:rFonts w:ascii="Cambria" w:hAnsi="Cambria" w:eastAsia="Cambria" w:cs="Cambria"/>
          <w:color w:val="auto"/>
          <w:sz w:val="24"/>
          <w:szCs w:val="24"/>
        </w:rPr>
      </w:pPr>
    </w:p>
    <w:p>
      <w:pPr>
        <w:numPr>
          <w:ilvl w:val="2"/>
          <w:numId w:val="7"/>
        </w:numPr>
        <w:tabs>
          <w:tab w:val="left" w:pos="2880"/>
        </w:tabs>
        <w:spacing w:after="0" w:line="436" w:lineRule="auto"/>
        <w:ind w:left="2880" w:right="360" w:hanging="295"/>
        <w:rPr>
          <w:rFonts w:ascii="Cambria" w:hAnsi="Cambria" w:eastAsia="Cambria" w:cs="Cambria"/>
          <w:color w:val="auto"/>
          <w:sz w:val="24"/>
          <w:szCs w:val="24"/>
        </w:rPr>
      </w:pPr>
      <w:r>
        <w:rPr>
          <w:rFonts w:ascii="Cambria" w:hAnsi="Cambria" w:eastAsia="Cambria" w:cs="Cambria"/>
          <w:color w:val="auto"/>
          <w:sz w:val="24"/>
          <w:szCs w:val="24"/>
        </w:rPr>
        <w:t>RNA is the top clear aqueous layer, white strip is DNA in the interphase and bottom pink is protein in the organic phase</w:t>
      </w:r>
    </w:p>
    <w:p>
      <w:pPr>
        <w:spacing w:after="0" w:line="5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Add 0.5mL of 100% isopropanol and mix gently by inversion</w:t>
      </w:r>
    </w:p>
    <w:p>
      <w:pPr>
        <w:spacing w:after="0" w:line="282"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Keep on ice for 15 minutes</w:t>
      </w:r>
    </w:p>
    <w:p>
      <w:pPr>
        <w:spacing w:after="0" w:line="280" w:lineRule="exact"/>
        <w:rPr>
          <w:rFonts w:ascii="Cambria" w:hAnsi="Cambria" w:eastAsia="Cambria" w:cs="Cambria"/>
          <w:color w:val="auto"/>
          <w:sz w:val="24"/>
          <w:szCs w:val="24"/>
        </w:rPr>
      </w:pPr>
    </w:p>
    <w:p>
      <w:pPr>
        <w:numPr>
          <w:ilvl w:val="1"/>
          <w:numId w:val="7"/>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Centrifuge at 12,000 g for 20 min at 4°C</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53</w:t>
      </w:r>
    </w:p>
    <w:p>
      <w:pPr>
        <w:sectPr>
          <w:pgSz w:w="12240" w:h="15840"/>
          <w:pgMar w:top="1438" w:right="1440" w:bottom="120" w:left="1440" w:header="0" w:footer="0" w:gutter="0"/>
          <w:cols w:equalWidth="0" w:num="1">
            <w:col w:w="9360"/>
          </w:cols>
        </w:sectPr>
      </w:pPr>
    </w:p>
    <w:p>
      <w:pPr>
        <w:numPr>
          <w:ilvl w:val="0"/>
          <w:numId w:val="8"/>
        </w:numPr>
        <w:tabs>
          <w:tab w:val="left" w:pos="1440"/>
        </w:tabs>
        <w:spacing w:after="0"/>
        <w:ind w:left="1440" w:hanging="360"/>
        <w:rPr>
          <w:rFonts w:ascii="Cambria" w:hAnsi="Cambria" w:eastAsia="Cambria" w:cs="Cambria"/>
          <w:color w:val="auto"/>
          <w:sz w:val="24"/>
          <w:szCs w:val="24"/>
        </w:rPr>
      </w:pPr>
      <w:bookmarkStart w:id="61" w:name="page68"/>
      <w:bookmarkEnd w:id="61"/>
      <w:r>
        <w:rPr>
          <w:rFonts w:ascii="Cambria" w:hAnsi="Cambria" w:eastAsia="Cambria" w:cs="Cambria"/>
          <w:color w:val="auto"/>
          <w:sz w:val="24"/>
          <w:szCs w:val="24"/>
        </w:rPr>
        <w:t>RNA Washing and Solubilization</w:t>
      </w:r>
    </w:p>
    <w:p>
      <w:pPr>
        <w:spacing w:after="0" w:line="330" w:lineRule="exact"/>
        <w:rPr>
          <w:rFonts w:ascii="Cambria" w:hAnsi="Cambria" w:eastAsia="Cambria" w:cs="Cambria"/>
          <w:color w:val="auto"/>
          <w:sz w:val="24"/>
          <w:szCs w:val="24"/>
        </w:rPr>
      </w:pPr>
    </w:p>
    <w:p>
      <w:pPr>
        <w:numPr>
          <w:ilvl w:val="1"/>
          <w:numId w:val="8"/>
        </w:numPr>
        <w:tabs>
          <w:tab w:val="left" w:pos="2160"/>
        </w:tabs>
        <w:spacing w:after="0" w:line="467" w:lineRule="auto"/>
        <w:ind w:left="2160" w:right="280" w:hanging="360"/>
        <w:jc w:val="both"/>
        <w:rPr>
          <w:rFonts w:ascii="Cambria" w:hAnsi="Cambria" w:eastAsia="Cambria" w:cs="Cambria"/>
          <w:color w:val="auto"/>
          <w:sz w:val="23"/>
          <w:szCs w:val="23"/>
        </w:rPr>
      </w:pPr>
      <w:r>
        <w:rPr>
          <w:rFonts w:ascii="Cambria" w:hAnsi="Cambria" w:eastAsia="Cambria" w:cs="Cambria"/>
          <w:color w:val="auto"/>
          <w:sz w:val="23"/>
          <w:szCs w:val="23"/>
        </w:rPr>
        <w:t>Remove the supernatant (all liquid above small pellet on bottom, be careful not to disturb the pellet, may appear white or as a clear gel)</w:t>
      </w:r>
    </w:p>
    <w:p>
      <w:pPr>
        <w:spacing w:after="0" w:line="25" w:lineRule="exact"/>
        <w:rPr>
          <w:rFonts w:ascii="Cambria" w:hAnsi="Cambria" w:eastAsia="Cambria" w:cs="Cambria"/>
          <w:color w:val="auto"/>
          <w:sz w:val="23"/>
          <w:szCs w:val="23"/>
        </w:rPr>
      </w:pPr>
    </w:p>
    <w:p>
      <w:pPr>
        <w:numPr>
          <w:ilvl w:val="1"/>
          <w:numId w:val="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Add 1mL of 75% Ethanol (EtOH) (made with Milli-Q water)</w:t>
      </w:r>
    </w:p>
    <w:p>
      <w:pPr>
        <w:spacing w:after="0" w:line="282" w:lineRule="exact"/>
        <w:rPr>
          <w:rFonts w:ascii="Cambria" w:hAnsi="Cambria" w:eastAsia="Cambria" w:cs="Cambria"/>
          <w:color w:val="auto"/>
          <w:sz w:val="24"/>
          <w:szCs w:val="24"/>
        </w:rPr>
      </w:pPr>
    </w:p>
    <w:p>
      <w:pPr>
        <w:numPr>
          <w:ilvl w:val="1"/>
          <w:numId w:val="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Kick samples at the bottom to dislodge the pellet</w:t>
      </w:r>
    </w:p>
    <w:p>
      <w:pPr>
        <w:spacing w:after="0" w:line="280" w:lineRule="exact"/>
        <w:rPr>
          <w:rFonts w:ascii="Cambria" w:hAnsi="Cambria" w:eastAsia="Cambria" w:cs="Cambria"/>
          <w:color w:val="auto"/>
          <w:sz w:val="24"/>
          <w:szCs w:val="24"/>
        </w:rPr>
      </w:pPr>
    </w:p>
    <w:p>
      <w:pPr>
        <w:numPr>
          <w:ilvl w:val="1"/>
          <w:numId w:val="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Centrifuge at 7,500 g for 5 minutes at 4°C</w:t>
      </w:r>
    </w:p>
    <w:p>
      <w:pPr>
        <w:spacing w:after="0" w:line="332" w:lineRule="exact"/>
        <w:rPr>
          <w:rFonts w:ascii="Cambria" w:hAnsi="Cambria" w:eastAsia="Cambria" w:cs="Cambria"/>
          <w:color w:val="auto"/>
          <w:sz w:val="24"/>
          <w:szCs w:val="24"/>
        </w:rPr>
      </w:pPr>
    </w:p>
    <w:p>
      <w:pPr>
        <w:numPr>
          <w:ilvl w:val="1"/>
          <w:numId w:val="8"/>
        </w:numPr>
        <w:tabs>
          <w:tab w:val="left" w:pos="2160"/>
        </w:tabs>
        <w:spacing w:after="0" w:line="465" w:lineRule="auto"/>
        <w:ind w:left="2160" w:right="300" w:hanging="360"/>
        <w:rPr>
          <w:rFonts w:ascii="Cambria" w:hAnsi="Cambria" w:eastAsia="Cambria" w:cs="Cambria"/>
          <w:color w:val="auto"/>
          <w:sz w:val="23"/>
          <w:szCs w:val="23"/>
        </w:rPr>
      </w:pPr>
      <w:r>
        <w:rPr>
          <w:rFonts w:ascii="Cambria" w:hAnsi="Cambria" w:eastAsia="Cambria" w:cs="Cambria"/>
          <w:color w:val="auto"/>
          <w:sz w:val="23"/>
          <w:szCs w:val="23"/>
        </w:rPr>
        <w:t>Remove EtOH: pipette the solution out but be careful not to lose the pellet at the bottom, and pipette the rest out with a 200μL pipette</w:t>
      </w:r>
    </w:p>
    <w:p>
      <w:pPr>
        <w:spacing w:after="0" w:line="80" w:lineRule="exact"/>
        <w:rPr>
          <w:rFonts w:ascii="Cambria" w:hAnsi="Cambria" w:eastAsia="Cambria" w:cs="Cambria"/>
          <w:color w:val="auto"/>
          <w:sz w:val="23"/>
          <w:szCs w:val="23"/>
        </w:rPr>
      </w:pPr>
    </w:p>
    <w:p>
      <w:pPr>
        <w:numPr>
          <w:ilvl w:val="1"/>
          <w:numId w:val="8"/>
        </w:numPr>
        <w:tabs>
          <w:tab w:val="left" w:pos="2160"/>
        </w:tabs>
        <w:spacing w:after="0" w:line="436" w:lineRule="auto"/>
        <w:ind w:left="2160" w:right="200" w:hanging="360"/>
        <w:rPr>
          <w:rFonts w:ascii="Cambria" w:hAnsi="Cambria" w:eastAsia="Cambria" w:cs="Cambria"/>
          <w:color w:val="auto"/>
          <w:sz w:val="24"/>
          <w:szCs w:val="24"/>
        </w:rPr>
      </w:pPr>
      <w:r>
        <w:rPr>
          <w:rFonts w:ascii="Cambria" w:hAnsi="Cambria" w:eastAsia="Cambria" w:cs="Cambria"/>
          <w:color w:val="auto"/>
          <w:sz w:val="24"/>
          <w:szCs w:val="24"/>
        </w:rPr>
        <w:t>Briefly spin samples down, remove the remaining liquid with a 10μL pipette</w:t>
      </w:r>
    </w:p>
    <w:p>
      <w:pPr>
        <w:spacing w:after="0" w:line="52" w:lineRule="exact"/>
        <w:rPr>
          <w:rFonts w:ascii="Cambria" w:hAnsi="Cambria" w:eastAsia="Cambria" w:cs="Cambria"/>
          <w:color w:val="auto"/>
          <w:sz w:val="24"/>
          <w:szCs w:val="24"/>
        </w:rPr>
      </w:pPr>
    </w:p>
    <w:p>
      <w:pPr>
        <w:numPr>
          <w:ilvl w:val="1"/>
          <w:numId w:val="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Air dry: keep samples open for several minutes, don’t dry completely</w:t>
      </w:r>
    </w:p>
    <w:p>
      <w:pPr>
        <w:spacing w:after="0" w:line="330" w:lineRule="exact"/>
        <w:rPr>
          <w:rFonts w:ascii="Cambria" w:hAnsi="Cambria" w:eastAsia="Cambria" w:cs="Cambria"/>
          <w:color w:val="auto"/>
          <w:sz w:val="24"/>
          <w:szCs w:val="24"/>
        </w:rPr>
      </w:pPr>
    </w:p>
    <w:p>
      <w:pPr>
        <w:numPr>
          <w:ilvl w:val="1"/>
          <w:numId w:val="8"/>
        </w:numPr>
        <w:tabs>
          <w:tab w:val="left" w:pos="2160"/>
        </w:tabs>
        <w:spacing w:after="0" w:line="438" w:lineRule="auto"/>
        <w:ind w:left="2160" w:right="360" w:hanging="360"/>
        <w:rPr>
          <w:rFonts w:ascii="Cambria" w:hAnsi="Cambria" w:eastAsia="Cambria" w:cs="Cambria"/>
          <w:color w:val="auto"/>
          <w:sz w:val="24"/>
          <w:szCs w:val="24"/>
        </w:rPr>
      </w:pPr>
      <w:r>
        <w:rPr>
          <w:rFonts w:ascii="Cambria" w:hAnsi="Cambria" w:eastAsia="Cambria" w:cs="Cambria"/>
          <w:color w:val="auto"/>
          <w:sz w:val="24"/>
          <w:szCs w:val="24"/>
        </w:rPr>
        <w:t>Add 40μL of Milli-Q water (or DEPC treated water), invert and spin down</w:t>
      </w:r>
    </w:p>
    <w:p>
      <w:pPr>
        <w:spacing w:after="0" w:line="48" w:lineRule="exact"/>
        <w:rPr>
          <w:rFonts w:ascii="Cambria" w:hAnsi="Cambria" w:eastAsia="Cambria" w:cs="Cambria"/>
          <w:color w:val="auto"/>
          <w:sz w:val="24"/>
          <w:szCs w:val="24"/>
        </w:rPr>
      </w:pPr>
    </w:p>
    <w:p>
      <w:pPr>
        <w:numPr>
          <w:ilvl w:val="1"/>
          <w:numId w:val="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Incubate 10 minutes at 56°C to make RNA molecule spread evenly and</w:t>
      </w:r>
    </w:p>
    <w:p>
      <w:pPr>
        <w:spacing w:after="0" w:line="333" w:lineRule="exact"/>
        <w:rPr>
          <w:color w:val="auto"/>
          <w:sz w:val="20"/>
          <w:szCs w:val="20"/>
        </w:rPr>
      </w:pPr>
    </w:p>
    <w:p>
      <w:pPr>
        <w:spacing w:after="0" w:line="436" w:lineRule="auto"/>
        <w:ind w:left="720" w:right="3500" w:firstLine="1440"/>
        <w:rPr>
          <w:color w:val="auto"/>
          <w:sz w:val="20"/>
          <w:szCs w:val="20"/>
        </w:rPr>
      </w:pPr>
      <w:r>
        <w:rPr>
          <w:rFonts w:ascii="Cambria" w:hAnsi="Cambria" w:eastAsia="Cambria" w:cs="Cambria"/>
          <w:color w:val="auto"/>
          <w:sz w:val="24"/>
          <w:szCs w:val="24"/>
        </w:rPr>
        <w:t>then keep on ice for several minutes RNA Quantification</w:t>
      </w:r>
    </w:p>
    <w:p>
      <w:pPr>
        <w:spacing w:after="0" w:line="103" w:lineRule="exact"/>
        <w:rPr>
          <w:color w:val="auto"/>
          <w:sz w:val="20"/>
          <w:szCs w:val="20"/>
        </w:rPr>
      </w:pPr>
    </w:p>
    <w:p>
      <w:pPr>
        <w:numPr>
          <w:ilvl w:val="0"/>
          <w:numId w:val="9"/>
        </w:numPr>
        <w:tabs>
          <w:tab w:val="left" w:pos="1440"/>
        </w:tabs>
        <w:spacing w:after="0" w:line="436" w:lineRule="auto"/>
        <w:ind w:left="1440" w:right="160" w:hanging="360"/>
        <w:rPr>
          <w:rFonts w:ascii="Cambria" w:hAnsi="Cambria" w:eastAsia="Cambria" w:cs="Cambria"/>
          <w:color w:val="auto"/>
          <w:sz w:val="24"/>
          <w:szCs w:val="24"/>
        </w:rPr>
      </w:pPr>
      <w:r>
        <w:rPr>
          <w:rFonts w:ascii="Cambria" w:hAnsi="Cambria" w:eastAsia="Cambria" w:cs="Cambria"/>
          <w:color w:val="auto"/>
          <w:sz w:val="24"/>
          <w:szCs w:val="24"/>
        </w:rPr>
        <w:t>Combine 498μL Milli-Q water and 2μL of RNA sample together in eppendorf tubes</w:t>
      </w:r>
    </w:p>
    <w:p>
      <w:pPr>
        <w:spacing w:after="0" w:line="52" w:lineRule="exact"/>
        <w:rPr>
          <w:rFonts w:ascii="Cambria" w:hAnsi="Cambria" w:eastAsia="Cambria" w:cs="Cambria"/>
          <w:color w:val="auto"/>
          <w:sz w:val="24"/>
          <w:szCs w:val="24"/>
        </w:rPr>
      </w:pPr>
    </w:p>
    <w:p>
      <w:pPr>
        <w:numPr>
          <w:ilvl w:val="0"/>
          <w:numId w:val="9"/>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On spectrophotometer</w:t>
      </w:r>
    </w:p>
    <w:p>
      <w:pPr>
        <w:spacing w:after="0" w:line="280" w:lineRule="exact"/>
        <w:rPr>
          <w:rFonts w:ascii="Cambria" w:hAnsi="Cambria" w:eastAsia="Cambria" w:cs="Cambria"/>
          <w:color w:val="auto"/>
          <w:sz w:val="24"/>
          <w:szCs w:val="24"/>
        </w:rPr>
      </w:pPr>
    </w:p>
    <w:p>
      <w:pPr>
        <w:numPr>
          <w:ilvl w:val="1"/>
          <w:numId w:val="9"/>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Turn on the machine (Allow about 10 minutes to boot up)</w:t>
      </w:r>
    </w:p>
    <w:p>
      <w:pPr>
        <w:spacing w:after="0" w:line="280" w:lineRule="exact"/>
        <w:rPr>
          <w:rFonts w:ascii="Cambria" w:hAnsi="Cambria" w:eastAsia="Cambria" w:cs="Cambria"/>
          <w:color w:val="auto"/>
          <w:sz w:val="24"/>
          <w:szCs w:val="24"/>
        </w:rPr>
      </w:pPr>
    </w:p>
    <w:p>
      <w:pPr>
        <w:numPr>
          <w:ilvl w:val="1"/>
          <w:numId w:val="9"/>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Press 7 = BioMethods</w:t>
      </w:r>
    </w:p>
    <w:p>
      <w:pPr>
        <w:spacing w:after="0" w:line="282" w:lineRule="exact"/>
        <w:rPr>
          <w:rFonts w:ascii="Cambria" w:hAnsi="Cambria" w:eastAsia="Cambria" w:cs="Cambria"/>
          <w:color w:val="auto"/>
          <w:sz w:val="24"/>
          <w:szCs w:val="24"/>
        </w:rPr>
      </w:pPr>
    </w:p>
    <w:p>
      <w:pPr>
        <w:numPr>
          <w:ilvl w:val="1"/>
          <w:numId w:val="9"/>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Press 1 = DNA Quantification</w:t>
      </w:r>
    </w:p>
    <w:p>
      <w:pPr>
        <w:spacing w:after="0" w:line="280" w:lineRule="exact"/>
        <w:rPr>
          <w:rFonts w:ascii="Cambria" w:hAnsi="Cambria" w:eastAsia="Cambria" w:cs="Cambria"/>
          <w:color w:val="auto"/>
          <w:sz w:val="24"/>
          <w:szCs w:val="24"/>
        </w:rPr>
      </w:pPr>
    </w:p>
    <w:p>
      <w:pPr>
        <w:numPr>
          <w:ilvl w:val="1"/>
          <w:numId w:val="9"/>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Rinse cuvette very well to remove ethanol and dry with Kim wipes</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54</w:t>
      </w:r>
    </w:p>
    <w:p>
      <w:pPr>
        <w:sectPr>
          <w:pgSz w:w="12240" w:h="15840"/>
          <w:pgMar w:top="1438" w:right="1440" w:bottom="120" w:left="1440" w:header="0" w:footer="0" w:gutter="0"/>
          <w:cols w:equalWidth="0" w:num="1">
            <w:col w:w="9360"/>
          </w:cols>
        </w:sectPr>
      </w:pPr>
    </w:p>
    <w:p>
      <w:pPr>
        <w:numPr>
          <w:ilvl w:val="1"/>
          <w:numId w:val="10"/>
        </w:numPr>
        <w:tabs>
          <w:tab w:val="left" w:pos="2160"/>
        </w:tabs>
        <w:spacing w:after="0"/>
        <w:ind w:left="2160" w:hanging="360"/>
        <w:rPr>
          <w:rFonts w:ascii="Cambria" w:hAnsi="Cambria" w:eastAsia="Cambria" w:cs="Cambria"/>
          <w:color w:val="auto"/>
          <w:sz w:val="24"/>
          <w:szCs w:val="24"/>
        </w:rPr>
      </w:pPr>
      <w:bookmarkStart w:id="62" w:name="page69"/>
      <w:bookmarkEnd w:id="62"/>
      <w:r>
        <w:rPr>
          <w:rFonts w:ascii="Cambria" w:hAnsi="Cambria" w:eastAsia="Cambria" w:cs="Cambria"/>
          <w:color w:val="auto"/>
          <w:sz w:val="24"/>
          <w:szCs w:val="24"/>
        </w:rPr>
        <w:t>Blank the spectrometer with 500μL Milli-Q water</w:t>
      </w:r>
    </w:p>
    <w:p>
      <w:pPr>
        <w:spacing w:after="0" w:line="280" w:lineRule="exact"/>
        <w:rPr>
          <w:rFonts w:ascii="Cambria" w:hAnsi="Cambria" w:eastAsia="Cambria" w:cs="Cambria"/>
          <w:color w:val="auto"/>
          <w:sz w:val="24"/>
          <w:szCs w:val="24"/>
        </w:rPr>
      </w:pPr>
    </w:p>
    <w:p>
      <w:pPr>
        <w:numPr>
          <w:ilvl w:val="1"/>
          <w:numId w:val="10"/>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Press start to test blank is at 0.000</w:t>
      </w:r>
    </w:p>
    <w:p>
      <w:pPr>
        <w:spacing w:after="0" w:line="332" w:lineRule="exact"/>
        <w:rPr>
          <w:rFonts w:ascii="Cambria" w:hAnsi="Cambria" w:eastAsia="Cambria" w:cs="Cambria"/>
          <w:color w:val="auto"/>
          <w:sz w:val="24"/>
          <w:szCs w:val="24"/>
        </w:rPr>
      </w:pPr>
    </w:p>
    <w:p>
      <w:pPr>
        <w:numPr>
          <w:ilvl w:val="1"/>
          <w:numId w:val="10"/>
        </w:numPr>
        <w:tabs>
          <w:tab w:val="left" w:pos="2160"/>
        </w:tabs>
        <w:spacing w:after="0" w:line="458" w:lineRule="auto"/>
        <w:ind w:left="2160" w:right="900" w:hanging="360"/>
        <w:rPr>
          <w:rFonts w:ascii="Cambria" w:hAnsi="Cambria" w:eastAsia="Cambria" w:cs="Cambria"/>
          <w:color w:val="auto"/>
          <w:sz w:val="24"/>
          <w:szCs w:val="24"/>
        </w:rPr>
      </w:pPr>
      <w:r>
        <w:rPr>
          <w:rFonts w:ascii="Cambria" w:hAnsi="Cambria" w:eastAsia="Cambria" w:cs="Cambria"/>
          <w:color w:val="auto"/>
          <w:sz w:val="24"/>
          <w:szCs w:val="24"/>
        </w:rPr>
        <w:t>Run samples and record A260, A280 (A320 can identify contamination) and the ratio. The A260/A280 ratio should be between 1.5-1.8</w:t>
      </w:r>
    </w:p>
    <w:p>
      <w:pPr>
        <w:spacing w:after="0" w:line="26" w:lineRule="exact"/>
        <w:rPr>
          <w:rFonts w:ascii="Cambria" w:hAnsi="Cambria" w:eastAsia="Cambria" w:cs="Cambria"/>
          <w:color w:val="auto"/>
          <w:sz w:val="24"/>
          <w:szCs w:val="24"/>
        </w:rPr>
      </w:pPr>
    </w:p>
    <w:p>
      <w:pPr>
        <w:numPr>
          <w:ilvl w:val="0"/>
          <w:numId w:val="11"/>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Enter A260 and A 280 readings into “RNA Concentration” excel spreadsheet</w:t>
      </w:r>
    </w:p>
    <w:p>
      <w:pPr>
        <w:spacing w:after="0" w:line="332" w:lineRule="exact"/>
        <w:rPr>
          <w:rFonts w:ascii="Cambria" w:hAnsi="Cambria" w:eastAsia="Cambria" w:cs="Cambria"/>
          <w:color w:val="auto"/>
          <w:sz w:val="24"/>
          <w:szCs w:val="24"/>
        </w:rPr>
      </w:pPr>
    </w:p>
    <w:p>
      <w:pPr>
        <w:numPr>
          <w:ilvl w:val="0"/>
          <w:numId w:val="11"/>
        </w:numPr>
        <w:tabs>
          <w:tab w:val="left" w:pos="1440"/>
        </w:tabs>
        <w:spacing w:after="0" w:line="436" w:lineRule="auto"/>
        <w:ind w:left="1440" w:right="120" w:hanging="360"/>
        <w:rPr>
          <w:rFonts w:ascii="Cambria" w:hAnsi="Cambria" w:eastAsia="Cambria" w:cs="Cambria"/>
          <w:color w:val="auto"/>
          <w:sz w:val="24"/>
          <w:szCs w:val="24"/>
        </w:rPr>
      </w:pPr>
      <w:r>
        <w:rPr>
          <w:rFonts w:ascii="Cambria" w:hAnsi="Cambria" w:eastAsia="Cambria" w:cs="Cambria"/>
          <w:color w:val="auto"/>
          <w:sz w:val="24"/>
          <w:szCs w:val="24"/>
        </w:rPr>
        <w:t>The concentration of RNA is A</w:t>
      </w:r>
      <w:r>
        <w:rPr>
          <w:rFonts w:ascii="Cambria" w:hAnsi="Cambria" w:eastAsia="Cambria" w:cs="Cambria"/>
          <w:color w:val="auto"/>
          <w:sz w:val="16"/>
          <w:szCs w:val="16"/>
        </w:rPr>
        <w:t>260</w:t>
      </w:r>
      <w:r>
        <w:rPr>
          <w:rFonts w:ascii="Cambria" w:hAnsi="Cambria" w:eastAsia="Cambria" w:cs="Cambria"/>
          <w:color w:val="auto"/>
          <w:sz w:val="24"/>
          <w:szCs w:val="24"/>
        </w:rPr>
        <w:t xml:space="preserve"> of 10 x μg/μL because the A</w:t>
      </w:r>
      <w:r>
        <w:rPr>
          <w:rFonts w:ascii="Cambria" w:hAnsi="Cambria" w:eastAsia="Cambria" w:cs="Cambria"/>
          <w:color w:val="auto"/>
          <w:sz w:val="16"/>
          <w:szCs w:val="16"/>
        </w:rPr>
        <w:t>260</w:t>
      </w:r>
      <w:r>
        <w:rPr>
          <w:rFonts w:ascii="Cambria" w:hAnsi="Cambria" w:eastAsia="Cambria" w:cs="Cambria"/>
          <w:color w:val="auto"/>
          <w:sz w:val="24"/>
          <w:szCs w:val="24"/>
        </w:rPr>
        <w:t xml:space="preserve"> of 40 μg/mL RNA samples equals to 1</w:t>
      </w:r>
    </w:p>
    <w:p>
      <w:pPr>
        <w:spacing w:after="0" w:line="103" w:lineRule="exact"/>
        <w:rPr>
          <w:rFonts w:ascii="Cambria" w:hAnsi="Cambria" w:eastAsia="Cambria" w:cs="Cambria"/>
          <w:color w:val="auto"/>
          <w:sz w:val="24"/>
          <w:szCs w:val="24"/>
        </w:rPr>
      </w:pPr>
    </w:p>
    <w:p>
      <w:pPr>
        <w:numPr>
          <w:ilvl w:val="0"/>
          <w:numId w:val="11"/>
        </w:numPr>
        <w:tabs>
          <w:tab w:val="left" w:pos="1440"/>
        </w:tabs>
        <w:spacing w:after="0" w:line="436" w:lineRule="auto"/>
        <w:ind w:left="720" w:right="380" w:firstLine="360"/>
        <w:rPr>
          <w:rFonts w:ascii="Cambria" w:hAnsi="Cambria" w:eastAsia="Cambria" w:cs="Cambria"/>
          <w:color w:val="auto"/>
          <w:sz w:val="24"/>
          <w:szCs w:val="24"/>
        </w:rPr>
      </w:pPr>
      <w:r>
        <w:rPr>
          <w:rFonts w:ascii="Cambria" w:hAnsi="Cambria" w:eastAsia="Cambria" w:cs="Cambria"/>
          <w:color w:val="auto"/>
          <w:sz w:val="24"/>
          <w:szCs w:val="24"/>
        </w:rPr>
        <w:t>Dilute RNA samples to 1μg RNA/4.75μL we need at least 2μg RNA for PCR First Strand cDNA Synthesis</w:t>
      </w:r>
    </w:p>
    <w:p>
      <w:pPr>
        <w:spacing w:after="0" w:line="103" w:lineRule="exact"/>
        <w:rPr>
          <w:rFonts w:ascii="Cambria" w:hAnsi="Cambria" w:eastAsia="Cambria" w:cs="Cambria"/>
          <w:color w:val="auto"/>
          <w:sz w:val="24"/>
          <w:szCs w:val="24"/>
        </w:rPr>
      </w:pPr>
    </w:p>
    <w:p>
      <w:pPr>
        <w:numPr>
          <w:ilvl w:val="0"/>
          <w:numId w:val="12"/>
        </w:numPr>
        <w:tabs>
          <w:tab w:val="left" w:pos="1440"/>
        </w:tabs>
        <w:spacing w:after="0" w:line="436" w:lineRule="auto"/>
        <w:ind w:left="1440" w:right="360" w:hanging="360"/>
        <w:rPr>
          <w:rFonts w:ascii="Cambria" w:hAnsi="Cambria" w:eastAsia="Cambria" w:cs="Cambria"/>
          <w:color w:val="auto"/>
          <w:sz w:val="24"/>
          <w:szCs w:val="24"/>
        </w:rPr>
      </w:pPr>
      <w:r>
        <w:rPr>
          <w:rFonts w:ascii="Cambria" w:hAnsi="Cambria" w:eastAsia="Cambria" w:cs="Cambria"/>
          <w:color w:val="auto"/>
          <w:sz w:val="24"/>
          <w:szCs w:val="24"/>
        </w:rPr>
        <w:t>The following procedure is designed to convert 5μg of total RNA into first-strand cDNA</w:t>
      </w:r>
    </w:p>
    <w:p>
      <w:pPr>
        <w:spacing w:after="0" w:line="52" w:lineRule="exact"/>
        <w:rPr>
          <w:rFonts w:ascii="Cambria" w:hAnsi="Cambria" w:eastAsia="Cambria" w:cs="Cambria"/>
          <w:color w:val="auto"/>
          <w:sz w:val="24"/>
          <w:szCs w:val="24"/>
        </w:rPr>
      </w:pPr>
    </w:p>
    <w:p>
      <w:pPr>
        <w:numPr>
          <w:ilvl w:val="0"/>
          <w:numId w:val="12"/>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Mix and briefly centrifuge each component before each use</w:t>
      </w:r>
    </w:p>
    <w:p>
      <w:pPr>
        <w:spacing w:after="0" w:line="280" w:lineRule="exact"/>
        <w:rPr>
          <w:rFonts w:ascii="Cambria" w:hAnsi="Cambria" w:eastAsia="Cambria" w:cs="Cambria"/>
          <w:color w:val="auto"/>
          <w:sz w:val="24"/>
          <w:szCs w:val="24"/>
        </w:rPr>
      </w:pPr>
    </w:p>
    <w:p>
      <w:pPr>
        <w:numPr>
          <w:ilvl w:val="0"/>
          <w:numId w:val="12"/>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Combine the following in 0.2 or 0.5mL RNAased tube (will add up to 10μL)</w:t>
      </w:r>
    </w:p>
    <w:p>
      <w:pPr>
        <w:spacing w:after="0" w:line="282" w:lineRule="exact"/>
        <w:rPr>
          <w:rFonts w:ascii="Cambria" w:hAnsi="Cambria" w:eastAsia="Cambria" w:cs="Cambria"/>
          <w:color w:val="auto"/>
          <w:sz w:val="24"/>
          <w:szCs w:val="24"/>
        </w:rPr>
      </w:pPr>
    </w:p>
    <w:p>
      <w:pPr>
        <w:numPr>
          <w:ilvl w:val="1"/>
          <w:numId w:val="12"/>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1μL Primer: 50μM oligo(dT)</w:t>
      </w:r>
    </w:p>
    <w:p>
      <w:pPr>
        <w:spacing w:after="0" w:line="280" w:lineRule="exact"/>
        <w:rPr>
          <w:rFonts w:ascii="Cambria" w:hAnsi="Cambria" w:eastAsia="Cambria" w:cs="Cambria"/>
          <w:color w:val="auto"/>
          <w:sz w:val="24"/>
          <w:szCs w:val="24"/>
        </w:rPr>
      </w:pPr>
    </w:p>
    <w:p>
      <w:pPr>
        <w:numPr>
          <w:ilvl w:val="1"/>
          <w:numId w:val="12"/>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1μL 10mM dNTP mix</w:t>
      </w:r>
    </w:p>
    <w:p>
      <w:pPr>
        <w:spacing w:after="0" w:line="332" w:lineRule="exact"/>
        <w:rPr>
          <w:rFonts w:ascii="Cambria" w:hAnsi="Cambria" w:eastAsia="Cambria" w:cs="Cambria"/>
          <w:color w:val="auto"/>
          <w:sz w:val="24"/>
          <w:szCs w:val="24"/>
        </w:rPr>
      </w:pPr>
    </w:p>
    <w:p>
      <w:pPr>
        <w:numPr>
          <w:ilvl w:val="1"/>
          <w:numId w:val="12"/>
        </w:numPr>
        <w:tabs>
          <w:tab w:val="left" w:pos="2160"/>
        </w:tabs>
        <w:spacing w:after="0" w:line="436" w:lineRule="auto"/>
        <w:ind w:left="2160" w:right="1280" w:hanging="360"/>
        <w:rPr>
          <w:rFonts w:ascii="Cambria" w:hAnsi="Cambria" w:eastAsia="Cambria" w:cs="Cambria"/>
          <w:color w:val="auto"/>
          <w:sz w:val="24"/>
          <w:szCs w:val="24"/>
        </w:rPr>
      </w:pPr>
      <w:r>
        <w:rPr>
          <w:rFonts w:ascii="Cambria" w:hAnsi="Cambria" w:eastAsia="Cambria" w:cs="Cambria"/>
          <w:color w:val="auto"/>
          <w:sz w:val="24"/>
          <w:szCs w:val="24"/>
        </w:rPr>
        <w:t>8μL 5μg RNA and DEPC water (information found in Excel Spreadsheet)</w:t>
      </w:r>
    </w:p>
    <w:p>
      <w:pPr>
        <w:spacing w:after="0" w:line="103" w:lineRule="exact"/>
        <w:rPr>
          <w:rFonts w:ascii="Cambria" w:hAnsi="Cambria" w:eastAsia="Cambria" w:cs="Cambria"/>
          <w:color w:val="auto"/>
          <w:sz w:val="24"/>
          <w:szCs w:val="24"/>
        </w:rPr>
      </w:pPr>
    </w:p>
    <w:p>
      <w:pPr>
        <w:numPr>
          <w:ilvl w:val="1"/>
          <w:numId w:val="12"/>
        </w:numPr>
        <w:tabs>
          <w:tab w:val="left" w:pos="2160"/>
        </w:tabs>
        <w:spacing w:after="0" w:line="436" w:lineRule="auto"/>
        <w:ind w:left="2160" w:right="100" w:hanging="360"/>
        <w:rPr>
          <w:rFonts w:ascii="Cambria" w:hAnsi="Cambria" w:eastAsia="Cambria" w:cs="Cambria"/>
          <w:color w:val="auto"/>
          <w:sz w:val="24"/>
          <w:szCs w:val="24"/>
        </w:rPr>
      </w:pPr>
      <w:r>
        <w:rPr>
          <w:rFonts w:ascii="Cambria" w:hAnsi="Cambria" w:eastAsia="Cambria" w:cs="Cambria"/>
          <w:color w:val="auto"/>
          <w:sz w:val="24"/>
          <w:szCs w:val="24"/>
        </w:rPr>
        <w:t>Incubate at 65°C for 5 minutes, then place on ice for at least 1 minute. (Protocol Library: Kim pre-cDNA)</w:t>
      </w:r>
    </w:p>
    <w:p>
      <w:pPr>
        <w:spacing w:after="0" w:line="101" w:lineRule="exact"/>
        <w:rPr>
          <w:color w:val="auto"/>
          <w:sz w:val="20"/>
          <w:szCs w:val="20"/>
        </w:rPr>
      </w:pPr>
    </w:p>
    <w:p>
      <w:pPr>
        <w:numPr>
          <w:ilvl w:val="0"/>
          <w:numId w:val="13"/>
        </w:numPr>
        <w:tabs>
          <w:tab w:val="left" w:pos="1440"/>
        </w:tabs>
        <w:spacing w:after="0" w:line="438" w:lineRule="auto"/>
        <w:ind w:left="1440" w:right="420" w:hanging="360"/>
        <w:rPr>
          <w:rFonts w:ascii="Cambria" w:hAnsi="Cambria" w:eastAsia="Cambria" w:cs="Cambria"/>
          <w:color w:val="auto"/>
          <w:sz w:val="24"/>
          <w:szCs w:val="24"/>
        </w:rPr>
      </w:pPr>
      <w:r>
        <w:rPr>
          <w:rFonts w:ascii="Cambria" w:hAnsi="Cambria" w:eastAsia="Cambria" w:cs="Cambria"/>
          <w:color w:val="auto"/>
          <w:sz w:val="24"/>
          <w:szCs w:val="24"/>
        </w:rPr>
        <w:t>Prepare the following cDNA Synthesis Mix, adding each component in the indicated order (listed are amounts for 1 reaction)</w:t>
      </w:r>
    </w:p>
    <w:p>
      <w:pPr>
        <w:spacing w:after="0" w:line="48" w:lineRule="exact"/>
        <w:rPr>
          <w:rFonts w:ascii="Cambria" w:hAnsi="Cambria" w:eastAsia="Cambria" w:cs="Cambria"/>
          <w:color w:val="auto"/>
          <w:sz w:val="24"/>
          <w:szCs w:val="24"/>
        </w:rPr>
      </w:pPr>
    </w:p>
    <w:p>
      <w:pPr>
        <w:spacing w:after="0"/>
        <w:ind w:left="1800"/>
        <w:rPr>
          <w:rFonts w:ascii="Cambria" w:hAnsi="Cambria" w:eastAsia="Cambria" w:cs="Cambria"/>
          <w:color w:val="auto"/>
          <w:sz w:val="24"/>
          <w:szCs w:val="24"/>
        </w:rPr>
      </w:pPr>
      <w:r>
        <w:rPr>
          <w:rFonts w:ascii="Cambria" w:hAnsi="Cambria" w:eastAsia="Cambria" w:cs="Cambria"/>
          <w:color w:val="auto"/>
          <w:sz w:val="24"/>
          <w:szCs w:val="24"/>
        </w:rPr>
        <w:t>a.  2μL 10X RT buffer</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55</w:t>
      </w:r>
    </w:p>
    <w:p>
      <w:pPr>
        <w:sectPr>
          <w:pgSz w:w="12240" w:h="15840"/>
          <w:pgMar w:top="1438" w:right="1440" w:bottom="120" w:left="1440" w:header="0" w:footer="0" w:gutter="0"/>
          <w:cols w:equalWidth="0" w:num="1">
            <w:col w:w="9360"/>
          </w:cols>
        </w:sectPr>
      </w:pPr>
    </w:p>
    <w:p>
      <w:pPr>
        <w:spacing w:after="0" w:line="7" w:lineRule="exact"/>
        <w:rPr>
          <w:color w:val="auto"/>
          <w:sz w:val="20"/>
          <w:szCs w:val="20"/>
        </w:rPr>
      </w:pPr>
      <w:bookmarkStart w:id="63" w:name="page70"/>
      <w:bookmarkEnd w:id="63"/>
    </w:p>
    <w:p>
      <w:pPr>
        <w:numPr>
          <w:ilvl w:val="1"/>
          <w:numId w:val="14"/>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4μL 25mM MgCl</w:t>
      </w:r>
      <w:r>
        <w:rPr>
          <w:rFonts w:ascii="Cambria" w:hAnsi="Cambria" w:eastAsia="Cambria" w:cs="Cambria"/>
          <w:color w:val="auto"/>
          <w:sz w:val="32"/>
          <w:szCs w:val="32"/>
          <w:vertAlign w:val="superscript"/>
        </w:rPr>
        <w:t>2</w:t>
      </w:r>
    </w:p>
    <w:p>
      <w:pPr>
        <w:spacing w:after="0" w:line="178" w:lineRule="exact"/>
        <w:rPr>
          <w:rFonts w:ascii="Cambria" w:hAnsi="Cambria" w:eastAsia="Cambria" w:cs="Cambria"/>
          <w:color w:val="auto"/>
          <w:sz w:val="24"/>
          <w:szCs w:val="24"/>
        </w:rPr>
      </w:pPr>
    </w:p>
    <w:p>
      <w:pPr>
        <w:numPr>
          <w:ilvl w:val="1"/>
          <w:numId w:val="14"/>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2μL 0.1 M DTT</w:t>
      </w:r>
    </w:p>
    <w:p>
      <w:pPr>
        <w:spacing w:after="0" w:line="282" w:lineRule="exact"/>
        <w:rPr>
          <w:rFonts w:ascii="Cambria" w:hAnsi="Cambria" w:eastAsia="Cambria" w:cs="Cambria"/>
          <w:color w:val="auto"/>
          <w:sz w:val="24"/>
          <w:szCs w:val="24"/>
        </w:rPr>
      </w:pPr>
    </w:p>
    <w:p>
      <w:pPr>
        <w:numPr>
          <w:ilvl w:val="1"/>
          <w:numId w:val="14"/>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1μL RNaseOUT (40 U/μL)</w:t>
      </w:r>
    </w:p>
    <w:p>
      <w:pPr>
        <w:spacing w:after="0" w:line="280" w:lineRule="exact"/>
        <w:rPr>
          <w:rFonts w:ascii="Cambria" w:hAnsi="Cambria" w:eastAsia="Cambria" w:cs="Cambria"/>
          <w:color w:val="auto"/>
          <w:sz w:val="24"/>
          <w:szCs w:val="24"/>
        </w:rPr>
      </w:pPr>
    </w:p>
    <w:p>
      <w:pPr>
        <w:numPr>
          <w:ilvl w:val="1"/>
          <w:numId w:val="14"/>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1μL SuperScript III-RT (200 U/μL)</w:t>
      </w:r>
    </w:p>
    <w:p>
      <w:pPr>
        <w:spacing w:after="0" w:line="332" w:lineRule="exact"/>
        <w:rPr>
          <w:rFonts w:ascii="Cambria" w:hAnsi="Cambria" w:eastAsia="Cambria" w:cs="Cambria"/>
          <w:color w:val="auto"/>
          <w:sz w:val="24"/>
          <w:szCs w:val="24"/>
        </w:rPr>
      </w:pPr>
    </w:p>
    <w:p>
      <w:pPr>
        <w:numPr>
          <w:ilvl w:val="0"/>
          <w:numId w:val="15"/>
        </w:numPr>
        <w:tabs>
          <w:tab w:val="left" w:pos="1440"/>
        </w:tabs>
        <w:spacing w:after="0" w:line="436" w:lineRule="auto"/>
        <w:ind w:left="1440" w:right="340" w:hanging="360"/>
        <w:rPr>
          <w:rFonts w:ascii="Cambria" w:hAnsi="Cambria" w:eastAsia="Cambria" w:cs="Cambria"/>
          <w:color w:val="auto"/>
          <w:sz w:val="24"/>
          <w:szCs w:val="24"/>
        </w:rPr>
      </w:pPr>
      <w:r>
        <w:rPr>
          <w:rFonts w:ascii="Cambria" w:hAnsi="Cambria" w:eastAsia="Cambria" w:cs="Cambria"/>
          <w:color w:val="auto"/>
          <w:sz w:val="24"/>
          <w:szCs w:val="24"/>
        </w:rPr>
        <w:t>Add 10μL of cDNA Synthesis Mix to each RNA/ primer mixture; mix gently and collect by brief centrifuge.</w:t>
      </w:r>
    </w:p>
    <w:p>
      <w:pPr>
        <w:spacing w:after="0" w:line="52" w:lineRule="exact"/>
        <w:rPr>
          <w:rFonts w:ascii="Cambria" w:hAnsi="Cambria" w:eastAsia="Cambria" w:cs="Cambria"/>
          <w:color w:val="auto"/>
          <w:sz w:val="24"/>
          <w:szCs w:val="24"/>
        </w:rPr>
      </w:pPr>
    </w:p>
    <w:p>
      <w:pPr>
        <w:numPr>
          <w:ilvl w:val="0"/>
          <w:numId w:val="15"/>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Incubate as follows: (Protocol Library: Kim cDNA)</w:t>
      </w:r>
    </w:p>
    <w:p>
      <w:pPr>
        <w:spacing w:after="0" w:line="280" w:lineRule="exact"/>
        <w:rPr>
          <w:rFonts w:ascii="Cambria" w:hAnsi="Cambria" w:eastAsia="Cambria" w:cs="Cambria"/>
          <w:color w:val="auto"/>
          <w:sz w:val="24"/>
          <w:szCs w:val="24"/>
        </w:rPr>
      </w:pPr>
    </w:p>
    <w:p>
      <w:pPr>
        <w:numPr>
          <w:ilvl w:val="1"/>
          <w:numId w:val="15"/>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10 minute at 25°C followed by</w:t>
      </w:r>
    </w:p>
    <w:p>
      <w:pPr>
        <w:spacing w:after="0" w:line="282" w:lineRule="exact"/>
        <w:rPr>
          <w:rFonts w:ascii="Cambria" w:hAnsi="Cambria" w:eastAsia="Cambria" w:cs="Cambria"/>
          <w:color w:val="auto"/>
          <w:sz w:val="24"/>
          <w:szCs w:val="24"/>
        </w:rPr>
      </w:pPr>
    </w:p>
    <w:p>
      <w:pPr>
        <w:numPr>
          <w:ilvl w:val="1"/>
          <w:numId w:val="15"/>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50 minutes at 50°C</w:t>
      </w:r>
    </w:p>
    <w:p>
      <w:pPr>
        <w:spacing w:after="0" w:line="280" w:lineRule="exact"/>
        <w:rPr>
          <w:rFonts w:ascii="Cambria" w:hAnsi="Cambria" w:eastAsia="Cambria" w:cs="Cambria"/>
          <w:color w:val="auto"/>
          <w:sz w:val="24"/>
          <w:szCs w:val="24"/>
        </w:rPr>
      </w:pPr>
    </w:p>
    <w:p>
      <w:pPr>
        <w:numPr>
          <w:ilvl w:val="1"/>
          <w:numId w:val="15"/>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Terminate the reaction at 85°C for 5 minutes, then chill on ice</w:t>
      </w:r>
    </w:p>
    <w:p>
      <w:pPr>
        <w:spacing w:after="0" w:line="332" w:lineRule="exact"/>
        <w:rPr>
          <w:rFonts w:ascii="Cambria" w:hAnsi="Cambria" w:eastAsia="Cambria" w:cs="Cambria"/>
          <w:color w:val="auto"/>
          <w:sz w:val="24"/>
          <w:szCs w:val="24"/>
        </w:rPr>
      </w:pPr>
    </w:p>
    <w:p>
      <w:pPr>
        <w:numPr>
          <w:ilvl w:val="0"/>
          <w:numId w:val="15"/>
        </w:numPr>
        <w:tabs>
          <w:tab w:val="left" w:pos="1440"/>
        </w:tabs>
        <w:spacing w:after="0" w:line="436" w:lineRule="auto"/>
        <w:ind w:left="1440" w:right="20" w:hanging="360"/>
        <w:rPr>
          <w:rFonts w:ascii="Cambria" w:hAnsi="Cambria" w:eastAsia="Cambria" w:cs="Cambria"/>
          <w:color w:val="auto"/>
          <w:sz w:val="24"/>
          <w:szCs w:val="24"/>
        </w:rPr>
      </w:pPr>
      <w:r>
        <w:rPr>
          <w:rFonts w:ascii="Cambria" w:hAnsi="Cambria" w:eastAsia="Cambria" w:cs="Cambria"/>
          <w:color w:val="auto"/>
          <w:sz w:val="24"/>
          <w:szCs w:val="24"/>
        </w:rPr>
        <w:t>Collect the reactions by brief centrifuge. Add 1μL of RNase H to each tube and incubate for 20 minutes at 37°C (Protocol Library: RNaseH)</w:t>
      </w:r>
    </w:p>
    <w:p>
      <w:pPr>
        <w:spacing w:after="0" w:line="103" w:lineRule="exact"/>
        <w:rPr>
          <w:rFonts w:ascii="Cambria" w:hAnsi="Cambria" w:eastAsia="Cambria" w:cs="Cambria"/>
          <w:color w:val="auto"/>
          <w:sz w:val="24"/>
          <w:szCs w:val="24"/>
        </w:rPr>
      </w:pPr>
    </w:p>
    <w:p>
      <w:pPr>
        <w:numPr>
          <w:ilvl w:val="0"/>
          <w:numId w:val="15"/>
        </w:numPr>
        <w:tabs>
          <w:tab w:val="left" w:pos="1440"/>
        </w:tabs>
        <w:spacing w:after="0" w:line="436" w:lineRule="auto"/>
        <w:ind w:left="1440" w:right="500" w:hanging="360"/>
        <w:rPr>
          <w:rFonts w:ascii="Cambria" w:hAnsi="Cambria" w:eastAsia="Cambria" w:cs="Cambria"/>
          <w:color w:val="auto"/>
          <w:sz w:val="24"/>
          <w:szCs w:val="24"/>
        </w:rPr>
      </w:pPr>
      <w:r>
        <w:rPr>
          <w:rFonts w:ascii="Cambria" w:hAnsi="Cambria" w:eastAsia="Cambria" w:cs="Cambria"/>
          <w:color w:val="auto"/>
          <w:sz w:val="24"/>
          <w:szCs w:val="24"/>
        </w:rPr>
        <w:t>cDNA synthesis reactions can be stored at -30°C to -10°C or used for PCR immediately</w:t>
      </w: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numPr>
          <w:ilvl w:val="0"/>
          <w:numId w:val="16"/>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cDNA quantification</w:t>
      </w:r>
    </w:p>
    <w:p>
      <w:pPr>
        <w:spacing w:after="0" w:line="332" w:lineRule="exact"/>
        <w:rPr>
          <w:rFonts w:ascii="Cambria" w:hAnsi="Cambria" w:eastAsia="Cambria" w:cs="Cambria"/>
          <w:color w:val="auto"/>
          <w:sz w:val="24"/>
          <w:szCs w:val="24"/>
        </w:rPr>
      </w:pPr>
    </w:p>
    <w:p>
      <w:pPr>
        <w:numPr>
          <w:ilvl w:val="1"/>
          <w:numId w:val="16"/>
        </w:numPr>
        <w:tabs>
          <w:tab w:val="left" w:pos="2213"/>
        </w:tabs>
        <w:spacing w:after="0" w:line="436" w:lineRule="auto"/>
        <w:ind w:left="2160" w:right="300" w:hanging="360"/>
        <w:rPr>
          <w:rFonts w:ascii="Cambria" w:hAnsi="Cambria" w:eastAsia="Cambria" w:cs="Cambria"/>
          <w:color w:val="auto"/>
          <w:sz w:val="24"/>
          <w:szCs w:val="24"/>
        </w:rPr>
      </w:pPr>
      <w:r>
        <w:rPr>
          <w:rFonts w:ascii="Cambria" w:hAnsi="Cambria" w:eastAsia="Cambria" w:cs="Cambria"/>
          <w:color w:val="auto"/>
          <w:sz w:val="24"/>
          <w:szCs w:val="24"/>
        </w:rPr>
        <w:t>Add 1μL of each cDNA sample to 499μL Milli-Q Water in eppendorf tubes</w:t>
      </w:r>
    </w:p>
    <w:p>
      <w:pPr>
        <w:spacing w:after="0" w:line="52" w:lineRule="exact"/>
        <w:rPr>
          <w:rFonts w:ascii="Cambria" w:hAnsi="Cambria" w:eastAsia="Cambria" w:cs="Cambria"/>
          <w:color w:val="auto"/>
          <w:sz w:val="24"/>
          <w:szCs w:val="24"/>
        </w:rPr>
      </w:pPr>
    </w:p>
    <w:p>
      <w:pPr>
        <w:numPr>
          <w:ilvl w:val="1"/>
          <w:numId w:val="16"/>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Use spectrophotometer to obtain A=260 and A=280</w:t>
      </w:r>
    </w:p>
    <w:p>
      <w:pPr>
        <w:spacing w:after="0" w:line="280" w:lineRule="exact"/>
        <w:rPr>
          <w:rFonts w:ascii="Cambria" w:hAnsi="Cambria" w:eastAsia="Cambria" w:cs="Cambria"/>
          <w:color w:val="auto"/>
          <w:sz w:val="24"/>
          <w:szCs w:val="24"/>
        </w:rPr>
      </w:pPr>
    </w:p>
    <w:p>
      <w:pPr>
        <w:numPr>
          <w:ilvl w:val="1"/>
          <w:numId w:val="16"/>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Use “DNA Quantification” excel spreadsheet</w:t>
      </w:r>
    </w:p>
    <w:p>
      <w:pPr>
        <w:spacing w:after="0" w:line="280" w:lineRule="exact"/>
        <w:rPr>
          <w:rFonts w:ascii="Cambria" w:hAnsi="Cambria" w:eastAsia="Cambria" w:cs="Cambria"/>
          <w:color w:val="auto"/>
          <w:sz w:val="24"/>
          <w:szCs w:val="24"/>
        </w:rPr>
      </w:pPr>
    </w:p>
    <w:p>
      <w:pPr>
        <w:numPr>
          <w:ilvl w:val="2"/>
          <w:numId w:val="16"/>
        </w:numPr>
        <w:tabs>
          <w:tab w:val="left" w:pos="3060"/>
        </w:tabs>
        <w:spacing w:after="0"/>
        <w:ind w:left="3060" w:hanging="475"/>
        <w:rPr>
          <w:rFonts w:ascii="Cambria" w:hAnsi="Cambria" w:eastAsia="Cambria" w:cs="Cambria"/>
          <w:color w:val="auto"/>
          <w:sz w:val="24"/>
          <w:szCs w:val="24"/>
        </w:rPr>
      </w:pPr>
      <w:r>
        <w:rPr>
          <w:rFonts w:ascii="Cambria" w:hAnsi="Cambria" w:eastAsia="Cambria" w:cs="Cambria"/>
          <w:color w:val="auto"/>
          <w:sz w:val="24"/>
          <w:szCs w:val="24"/>
        </w:rPr>
        <w:t>(A280/.027) x 500 = cDNA concentration</w:t>
      </w:r>
    </w:p>
    <w:p>
      <w:pPr>
        <w:spacing w:after="0" w:line="333" w:lineRule="exact"/>
        <w:rPr>
          <w:rFonts w:ascii="Cambria" w:hAnsi="Cambria" w:eastAsia="Cambria" w:cs="Cambria"/>
          <w:color w:val="auto"/>
          <w:sz w:val="24"/>
          <w:szCs w:val="24"/>
        </w:rPr>
      </w:pPr>
    </w:p>
    <w:p>
      <w:pPr>
        <w:numPr>
          <w:ilvl w:val="2"/>
          <w:numId w:val="16"/>
        </w:numPr>
        <w:tabs>
          <w:tab w:val="left" w:pos="3060"/>
        </w:tabs>
        <w:spacing w:after="0" w:line="436" w:lineRule="auto"/>
        <w:ind w:left="3060" w:right="80" w:hanging="542"/>
        <w:rPr>
          <w:rFonts w:ascii="Cambria" w:hAnsi="Cambria" w:eastAsia="Cambria" w:cs="Cambria"/>
          <w:color w:val="auto"/>
          <w:sz w:val="24"/>
          <w:szCs w:val="24"/>
        </w:rPr>
      </w:pPr>
      <w:r>
        <w:rPr>
          <w:rFonts w:ascii="Cambria" w:hAnsi="Cambria" w:eastAsia="Cambria" w:cs="Cambria"/>
          <w:color w:val="auto"/>
          <w:sz w:val="24"/>
          <w:szCs w:val="24"/>
        </w:rPr>
        <w:t>cDNA concentration/50 = Total volume of sample containing 50μg/mL cDNA</w:t>
      </w:r>
    </w:p>
    <w:p>
      <w:pPr>
        <w:spacing w:after="0" w:line="200" w:lineRule="exact"/>
        <w:rPr>
          <w:color w:val="auto"/>
          <w:sz w:val="20"/>
          <w:szCs w:val="20"/>
        </w:rPr>
      </w:pPr>
    </w:p>
    <w:p>
      <w:pPr>
        <w:spacing w:after="0" w:line="34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56</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64" w:name="page71"/>
      <w:bookmarkEnd w:id="64"/>
    </w:p>
    <w:p>
      <w:pPr>
        <w:numPr>
          <w:ilvl w:val="2"/>
          <w:numId w:val="17"/>
        </w:numPr>
        <w:tabs>
          <w:tab w:val="left" w:pos="3060"/>
        </w:tabs>
        <w:spacing w:after="0" w:line="436" w:lineRule="auto"/>
        <w:ind w:left="3060" w:right="40" w:hanging="610"/>
        <w:rPr>
          <w:rFonts w:ascii="Cambria" w:hAnsi="Cambria" w:eastAsia="Cambria" w:cs="Cambria"/>
          <w:color w:val="auto"/>
          <w:sz w:val="24"/>
          <w:szCs w:val="24"/>
        </w:rPr>
      </w:pPr>
      <w:r>
        <w:rPr>
          <w:rFonts w:ascii="Cambria" w:hAnsi="Cambria" w:eastAsia="Cambria" w:cs="Cambria"/>
          <w:color w:val="auto"/>
          <w:sz w:val="24"/>
          <w:szCs w:val="24"/>
        </w:rPr>
        <w:t>Total Volume - 1μL cDNA = Volume of Milli-Q Water to add to 1μL cDNA to have each sample have 50μg/mL cDNA</w:t>
      </w:r>
    </w:p>
    <w:p>
      <w:pPr>
        <w:spacing w:after="0" w:line="52" w:lineRule="exact"/>
        <w:rPr>
          <w:rFonts w:ascii="Cambria" w:hAnsi="Cambria" w:eastAsia="Cambria" w:cs="Cambria"/>
          <w:color w:val="auto"/>
          <w:sz w:val="24"/>
          <w:szCs w:val="24"/>
        </w:rPr>
      </w:pPr>
    </w:p>
    <w:p>
      <w:pPr>
        <w:numPr>
          <w:ilvl w:val="0"/>
          <w:numId w:val="18"/>
        </w:numPr>
        <w:tabs>
          <w:tab w:val="left" w:pos="1500"/>
        </w:tabs>
        <w:spacing w:after="0"/>
        <w:ind w:left="1500" w:hanging="420"/>
        <w:rPr>
          <w:rFonts w:ascii="Cambria" w:hAnsi="Cambria" w:eastAsia="Cambria" w:cs="Cambria"/>
          <w:color w:val="auto"/>
          <w:sz w:val="24"/>
          <w:szCs w:val="24"/>
        </w:rPr>
      </w:pPr>
      <w:r>
        <w:rPr>
          <w:rFonts w:ascii="Cambria" w:hAnsi="Cambria" w:eastAsia="Cambria" w:cs="Cambria"/>
          <w:color w:val="auto"/>
          <w:sz w:val="24"/>
          <w:szCs w:val="24"/>
        </w:rPr>
        <w:t>Correcting cDNA concentration</w:t>
      </w:r>
    </w:p>
    <w:p>
      <w:pPr>
        <w:spacing w:after="0" w:line="280" w:lineRule="exact"/>
        <w:rPr>
          <w:rFonts w:ascii="Cambria" w:hAnsi="Cambria" w:eastAsia="Cambria" w:cs="Cambria"/>
          <w:color w:val="auto"/>
          <w:sz w:val="24"/>
          <w:szCs w:val="24"/>
        </w:rPr>
      </w:pPr>
    </w:p>
    <w:p>
      <w:pPr>
        <w:numPr>
          <w:ilvl w:val="1"/>
          <w:numId w:val="1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Add 1μL of each cDNA sample to new PCR tube</w:t>
      </w:r>
    </w:p>
    <w:p>
      <w:pPr>
        <w:spacing w:after="0" w:line="332" w:lineRule="exact"/>
        <w:rPr>
          <w:rFonts w:ascii="Cambria" w:hAnsi="Cambria" w:eastAsia="Cambria" w:cs="Cambria"/>
          <w:color w:val="auto"/>
          <w:sz w:val="24"/>
          <w:szCs w:val="24"/>
        </w:rPr>
      </w:pPr>
    </w:p>
    <w:p>
      <w:pPr>
        <w:numPr>
          <w:ilvl w:val="1"/>
          <w:numId w:val="18"/>
        </w:numPr>
        <w:tabs>
          <w:tab w:val="left" w:pos="2160"/>
        </w:tabs>
        <w:spacing w:after="0" w:line="458" w:lineRule="auto"/>
        <w:ind w:left="2160" w:right="460" w:hanging="360"/>
        <w:rPr>
          <w:rFonts w:ascii="Cambria" w:hAnsi="Cambria" w:eastAsia="Cambria" w:cs="Cambria"/>
          <w:color w:val="auto"/>
          <w:sz w:val="24"/>
          <w:szCs w:val="24"/>
        </w:rPr>
      </w:pPr>
      <w:r>
        <w:rPr>
          <w:rFonts w:ascii="Cambria" w:hAnsi="Cambria" w:eastAsia="Cambria" w:cs="Cambria"/>
          <w:color w:val="auto"/>
          <w:sz w:val="24"/>
          <w:szCs w:val="24"/>
        </w:rPr>
        <w:t>Add the amount of Milli-Q water specified in “DNA Quantification” excel spreadsheet to bring samples to the same concentration (50μg/mL cDNA)</w:t>
      </w:r>
    </w:p>
    <w:p>
      <w:pPr>
        <w:spacing w:after="0" w:line="76" w:lineRule="exact"/>
        <w:rPr>
          <w:rFonts w:ascii="Cambria" w:hAnsi="Cambria" w:eastAsia="Cambria" w:cs="Cambria"/>
          <w:color w:val="auto"/>
          <w:sz w:val="24"/>
          <w:szCs w:val="24"/>
        </w:rPr>
      </w:pPr>
    </w:p>
    <w:p>
      <w:pPr>
        <w:numPr>
          <w:ilvl w:val="0"/>
          <w:numId w:val="18"/>
        </w:numPr>
        <w:tabs>
          <w:tab w:val="left" w:pos="1440"/>
        </w:tabs>
        <w:spacing w:after="0" w:line="438" w:lineRule="auto"/>
        <w:ind w:left="1440" w:right="100" w:hanging="360"/>
        <w:rPr>
          <w:rFonts w:ascii="Cambria" w:hAnsi="Cambria" w:eastAsia="Cambria" w:cs="Cambria"/>
          <w:color w:val="auto"/>
          <w:sz w:val="24"/>
          <w:szCs w:val="24"/>
        </w:rPr>
      </w:pPr>
      <w:r>
        <w:rPr>
          <w:rFonts w:ascii="Cambria" w:hAnsi="Cambria" w:eastAsia="Cambria" w:cs="Cambria"/>
          <w:color w:val="auto"/>
          <w:sz w:val="24"/>
          <w:szCs w:val="24"/>
        </w:rPr>
        <w:t>Preparation of Master Mix (in eppendorf tube): each qPCR reaction will have 20μL total</w:t>
      </w:r>
    </w:p>
    <w:p>
      <w:pPr>
        <w:spacing w:after="0" w:line="48" w:lineRule="exact"/>
        <w:rPr>
          <w:rFonts w:ascii="Cambria" w:hAnsi="Cambria" w:eastAsia="Cambria" w:cs="Cambria"/>
          <w:color w:val="auto"/>
          <w:sz w:val="24"/>
          <w:szCs w:val="24"/>
        </w:rPr>
      </w:pPr>
    </w:p>
    <w:p>
      <w:pPr>
        <w:numPr>
          <w:ilvl w:val="1"/>
          <w:numId w:val="1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10μL TaqMan Gene Expression Master Mix</w:t>
      </w:r>
    </w:p>
    <w:p>
      <w:pPr>
        <w:spacing w:after="0" w:line="282" w:lineRule="exact"/>
        <w:rPr>
          <w:rFonts w:ascii="Cambria" w:hAnsi="Cambria" w:eastAsia="Cambria" w:cs="Cambria"/>
          <w:color w:val="auto"/>
          <w:sz w:val="24"/>
          <w:szCs w:val="24"/>
        </w:rPr>
      </w:pPr>
    </w:p>
    <w:p>
      <w:pPr>
        <w:numPr>
          <w:ilvl w:val="2"/>
          <w:numId w:val="18"/>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Applied Biosystems #4369016</w:t>
      </w:r>
    </w:p>
    <w:p>
      <w:pPr>
        <w:spacing w:after="0" w:line="291" w:lineRule="exact"/>
        <w:rPr>
          <w:rFonts w:ascii="Cambria" w:hAnsi="Cambria" w:eastAsia="Cambria" w:cs="Cambria"/>
          <w:color w:val="auto"/>
          <w:sz w:val="24"/>
          <w:szCs w:val="24"/>
        </w:rPr>
      </w:pPr>
    </w:p>
    <w:p>
      <w:pPr>
        <w:numPr>
          <w:ilvl w:val="1"/>
          <w:numId w:val="18"/>
        </w:numPr>
        <w:tabs>
          <w:tab w:val="left" w:pos="2220"/>
        </w:tabs>
        <w:spacing w:after="0"/>
        <w:ind w:left="2220" w:hanging="420"/>
        <w:rPr>
          <w:rFonts w:ascii="Cambria" w:hAnsi="Cambria" w:eastAsia="Cambria" w:cs="Cambria"/>
          <w:color w:val="auto"/>
          <w:sz w:val="23"/>
          <w:szCs w:val="23"/>
        </w:rPr>
      </w:pPr>
      <w:r>
        <w:rPr>
          <w:rFonts w:ascii="Cambria" w:hAnsi="Cambria" w:eastAsia="Cambria" w:cs="Cambria"/>
          <w:color w:val="auto"/>
          <w:sz w:val="23"/>
          <w:szCs w:val="23"/>
        </w:rPr>
        <w:t>1μL TaqMan Gene Expression Assay: Housekeeping-GAPDH (VIC dye)</w:t>
      </w:r>
    </w:p>
    <w:p>
      <w:pPr>
        <w:spacing w:after="0" w:line="282" w:lineRule="exact"/>
        <w:rPr>
          <w:rFonts w:ascii="Cambria" w:hAnsi="Cambria" w:eastAsia="Cambria" w:cs="Cambria"/>
          <w:color w:val="auto"/>
          <w:sz w:val="23"/>
          <w:szCs w:val="23"/>
        </w:rPr>
      </w:pPr>
    </w:p>
    <w:p>
      <w:pPr>
        <w:numPr>
          <w:ilvl w:val="2"/>
          <w:numId w:val="18"/>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Applied Biosystems Hs99999905_m1</w:t>
      </w:r>
    </w:p>
    <w:p>
      <w:pPr>
        <w:spacing w:after="0" w:line="280" w:lineRule="exact"/>
        <w:rPr>
          <w:rFonts w:ascii="Cambria" w:hAnsi="Cambria" w:eastAsia="Cambria" w:cs="Cambria"/>
          <w:color w:val="auto"/>
          <w:sz w:val="24"/>
          <w:szCs w:val="24"/>
        </w:rPr>
      </w:pPr>
    </w:p>
    <w:p>
      <w:pPr>
        <w:numPr>
          <w:ilvl w:val="1"/>
          <w:numId w:val="18"/>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1μL TaqMan Gene Expression Assay</w:t>
      </w:r>
    </w:p>
    <w:p>
      <w:pPr>
        <w:spacing w:after="0" w:line="282" w:lineRule="exact"/>
        <w:rPr>
          <w:rFonts w:ascii="Cambria" w:hAnsi="Cambria" w:eastAsia="Cambria" w:cs="Cambria"/>
          <w:color w:val="auto"/>
          <w:sz w:val="24"/>
          <w:szCs w:val="24"/>
        </w:rPr>
      </w:pPr>
    </w:p>
    <w:p>
      <w:pPr>
        <w:numPr>
          <w:ilvl w:val="2"/>
          <w:numId w:val="18"/>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Target-CYP24A1 with FAM dye</w:t>
      </w:r>
    </w:p>
    <w:p>
      <w:pPr>
        <w:spacing w:after="0" w:line="280" w:lineRule="exact"/>
        <w:rPr>
          <w:rFonts w:ascii="Cambria" w:hAnsi="Cambria" w:eastAsia="Cambria" w:cs="Cambria"/>
          <w:color w:val="auto"/>
          <w:sz w:val="24"/>
          <w:szCs w:val="24"/>
        </w:rPr>
      </w:pPr>
    </w:p>
    <w:p>
      <w:pPr>
        <w:numPr>
          <w:ilvl w:val="4"/>
          <w:numId w:val="18"/>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Applied Biosystems Hs00167999_m1</w:t>
      </w:r>
    </w:p>
    <w:p>
      <w:pPr>
        <w:spacing w:after="0" w:line="282" w:lineRule="exact"/>
        <w:rPr>
          <w:rFonts w:ascii="Cambria" w:hAnsi="Cambria" w:eastAsia="Cambria" w:cs="Cambria"/>
          <w:color w:val="auto"/>
          <w:sz w:val="24"/>
          <w:szCs w:val="24"/>
        </w:rPr>
      </w:pPr>
    </w:p>
    <w:p>
      <w:pPr>
        <w:numPr>
          <w:ilvl w:val="3"/>
          <w:numId w:val="18"/>
        </w:numPr>
        <w:tabs>
          <w:tab w:val="left" w:pos="2880"/>
        </w:tabs>
        <w:spacing w:after="0"/>
        <w:ind w:left="2880" w:hanging="362"/>
        <w:rPr>
          <w:rFonts w:ascii="Cambria" w:hAnsi="Cambria" w:eastAsia="Cambria" w:cs="Cambria"/>
          <w:color w:val="auto"/>
          <w:sz w:val="24"/>
          <w:szCs w:val="24"/>
        </w:rPr>
      </w:pPr>
      <w:r>
        <w:rPr>
          <w:rFonts w:ascii="Cambria" w:hAnsi="Cambria" w:eastAsia="Cambria" w:cs="Cambria"/>
          <w:color w:val="auto"/>
          <w:sz w:val="24"/>
          <w:szCs w:val="24"/>
        </w:rPr>
        <w:t>Target-CYP27B1 with FAM dye</w:t>
      </w:r>
    </w:p>
    <w:p>
      <w:pPr>
        <w:spacing w:after="0" w:line="280" w:lineRule="exact"/>
        <w:rPr>
          <w:rFonts w:ascii="Cambria" w:hAnsi="Cambria" w:eastAsia="Cambria" w:cs="Cambria"/>
          <w:color w:val="auto"/>
          <w:sz w:val="24"/>
          <w:szCs w:val="24"/>
        </w:rPr>
      </w:pPr>
    </w:p>
    <w:p>
      <w:pPr>
        <w:numPr>
          <w:ilvl w:val="4"/>
          <w:numId w:val="18"/>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Applied Biosystems Hs00168017_m1</w:t>
      </w:r>
    </w:p>
    <w:p>
      <w:pPr>
        <w:spacing w:after="0" w:line="282" w:lineRule="exact"/>
        <w:rPr>
          <w:rFonts w:ascii="Cambria" w:hAnsi="Cambria" w:eastAsia="Cambria" w:cs="Cambria"/>
          <w:color w:val="auto"/>
          <w:sz w:val="24"/>
          <w:szCs w:val="24"/>
        </w:rPr>
      </w:pPr>
    </w:p>
    <w:p>
      <w:pPr>
        <w:numPr>
          <w:ilvl w:val="3"/>
          <w:numId w:val="19"/>
        </w:numPr>
        <w:tabs>
          <w:tab w:val="left" w:pos="2880"/>
        </w:tabs>
        <w:spacing w:after="0"/>
        <w:ind w:left="2880" w:hanging="430"/>
        <w:rPr>
          <w:rFonts w:ascii="Cambria" w:hAnsi="Cambria" w:eastAsia="Cambria" w:cs="Cambria"/>
          <w:color w:val="auto"/>
          <w:sz w:val="24"/>
          <w:szCs w:val="24"/>
        </w:rPr>
      </w:pPr>
      <w:r>
        <w:rPr>
          <w:rFonts w:ascii="Cambria" w:hAnsi="Cambria" w:eastAsia="Cambria" w:cs="Cambria"/>
          <w:color w:val="auto"/>
          <w:sz w:val="24"/>
          <w:szCs w:val="24"/>
        </w:rPr>
        <w:t>Target- TRPV6 with FAM dye</w:t>
      </w:r>
    </w:p>
    <w:p>
      <w:pPr>
        <w:spacing w:after="0" w:line="280" w:lineRule="exact"/>
        <w:rPr>
          <w:rFonts w:ascii="Cambria" w:hAnsi="Cambria" w:eastAsia="Cambria" w:cs="Cambria"/>
          <w:color w:val="auto"/>
          <w:sz w:val="24"/>
          <w:szCs w:val="24"/>
        </w:rPr>
      </w:pPr>
    </w:p>
    <w:p>
      <w:pPr>
        <w:numPr>
          <w:ilvl w:val="4"/>
          <w:numId w:val="19"/>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Applied Biosystems Hs01114089_g1</w:t>
      </w:r>
    </w:p>
    <w:p>
      <w:pPr>
        <w:spacing w:after="0" w:line="280" w:lineRule="exact"/>
        <w:rPr>
          <w:rFonts w:ascii="Cambria" w:hAnsi="Cambria" w:eastAsia="Cambria" w:cs="Cambria"/>
          <w:color w:val="auto"/>
          <w:sz w:val="24"/>
          <w:szCs w:val="24"/>
        </w:rPr>
      </w:pPr>
    </w:p>
    <w:p>
      <w:pPr>
        <w:numPr>
          <w:ilvl w:val="2"/>
          <w:numId w:val="20"/>
        </w:numPr>
        <w:tabs>
          <w:tab w:val="left" w:pos="2880"/>
        </w:tabs>
        <w:spacing w:after="0"/>
        <w:ind w:left="2880" w:hanging="418"/>
        <w:rPr>
          <w:rFonts w:ascii="Cambria" w:hAnsi="Cambria" w:eastAsia="Cambria" w:cs="Cambria"/>
          <w:color w:val="auto"/>
          <w:sz w:val="24"/>
          <w:szCs w:val="24"/>
        </w:rPr>
      </w:pPr>
      <w:r>
        <w:rPr>
          <w:rFonts w:ascii="Cambria" w:hAnsi="Cambria" w:eastAsia="Cambria" w:cs="Cambria"/>
          <w:color w:val="auto"/>
          <w:sz w:val="24"/>
          <w:szCs w:val="24"/>
        </w:rPr>
        <w:t>Target-VDR with FAM dye</w:t>
      </w:r>
    </w:p>
    <w:p>
      <w:pPr>
        <w:spacing w:after="0" w:line="282" w:lineRule="exact"/>
        <w:rPr>
          <w:rFonts w:ascii="Cambria" w:hAnsi="Cambria" w:eastAsia="Cambria" w:cs="Cambria"/>
          <w:color w:val="auto"/>
          <w:sz w:val="24"/>
          <w:szCs w:val="24"/>
        </w:rPr>
      </w:pPr>
    </w:p>
    <w:p>
      <w:pPr>
        <w:numPr>
          <w:ilvl w:val="4"/>
          <w:numId w:val="20"/>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Applied Biosystems Hs00172113_m1</w:t>
      </w:r>
    </w:p>
    <w:p>
      <w:pPr>
        <w:spacing w:after="0" w:line="280" w:lineRule="exact"/>
        <w:rPr>
          <w:rFonts w:ascii="Cambria" w:hAnsi="Cambria" w:eastAsia="Cambria" w:cs="Cambria"/>
          <w:color w:val="auto"/>
          <w:sz w:val="24"/>
          <w:szCs w:val="24"/>
        </w:rPr>
      </w:pPr>
    </w:p>
    <w:p>
      <w:pPr>
        <w:numPr>
          <w:ilvl w:val="1"/>
          <w:numId w:val="21"/>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4μL Milli-Q Water</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57</w:t>
      </w:r>
    </w:p>
    <w:p>
      <w:pPr>
        <w:sectPr>
          <w:pgSz w:w="12240" w:h="15840"/>
          <w:pgMar w:top="1440" w:right="1440" w:bottom="120" w:left="1440" w:header="0" w:footer="0" w:gutter="0"/>
          <w:cols w:equalWidth="0" w:num="1">
            <w:col w:w="9360"/>
          </w:cols>
        </w:sectPr>
      </w:pPr>
    </w:p>
    <w:p>
      <w:pPr>
        <w:numPr>
          <w:ilvl w:val="1"/>
          <w:numId w:val="22"/>
        </w:numPr>
        <w:tabs>
          <w:tab w:val="left" w:pos="2160"/>
        </w:tabs>
        <w:spacing w:after="0"/>
        <w:ind w:left="2160" w:hanging="360"/>
        <w:rPr>
          <w:rFonts w:ascii="Cambria" w:hAnsi="Cambria" w:eastAsia="Cambria" w:cs="Cambria"/>
          <w:color w:val="auto"/>
          <w:sz w:val="24"/>
          <w:szCs w:val="24"/>
        </w:rPr>
      </w:pPr>
      <w:bookmarkStart w:id="65" w:name="page72"/>
      <w:bookmarkEnd w:id="65"/>
      <w:r>
        <w:rPr>
          <w:rFonts w:ascii="Cambria" w:hAnsi="Cambria" w:eastAsia="Cambria" w:cs="Cambria"/>
          <w:color w:val="auto"/>
          <w:sz w:val="24"/>
          <w:szCs w:val="24"/>
        </w:rPr>
        <w:t>Added later to reaction plate: 4μL cDNA (200ng/mL total cDNA)</w:t>
      </w:r>
    </w:p>
    <w:p>
      <w:pPr>
        <w:spacing w:after="0" w:line="280" w:lineRule="exact"/>
        <w:rPr>
          <w:rFonts w:ascii="Cambria" w:hAnsi="Cambria" w:eastAsia="Cambria" w:cs="Cambria"/>
          <w:color w:val="auto"/>
          <w:sz w:val="24"/>
          <w:szCs w:val="24"/>
        </w:rPr>
      </w:pPr>
    </w:p>
    <w:p>
      <w:pPr>
        <w:numPr>
          <w:ilvl w:val="0"/>
          <w:numId w:val="23"/>
        </w:numPr>
        <w:tabs>
          <w:tab w:val="left" w:pos="1440"/>
        </w:tabs>
        <w:spacing w:after="0"/>
        <w:ind w:left="1440" w:hanging="360"/>
        <w:rPr>
          <w:rFonts w:ascii="Cambria" w:hAnsi="Cambria" w:eastAsia="Cambria" w:cs="Cambria"/>
          <w:color w:val="auto"/>
          <w:sz w:val="24"/>
          <w:szCs w:val="24"/>
        </w:rPr>
      </w:pPr>
      <w:r>
        <w:rPr>
          <w:rFonts w:ascii="Cambria" w:hAnsi="Cambria" w:eastAsia="Cambria" w:cs="Cambria"/>
          <w:color w:val="auto"/>
          <w:sz w:val="24"/>
          <w:szCs w:val="24"/>
        </w:rPr>
        <w:t>Preparation of qPCR plate</w:t>
      </w:r>
    </w:p>
    <w:p>
      <w:pPr>
        <w:spacing w:after="0" w:line="332" w:lineRule="exact"/>
        <w:rPr>
          <w:rFonts w:ascii="Cambria" w:hAnsi="Cambria" w:eastAsia="Cambria" w:cs="Cambria"/>
          <w:color w:val="auto"/>
          <w:sz w:val="24"/>
          <w:szCs w:val="24"/>
        </w:rPr>
      </w:pPr>
    </w:p>
    <w:p>
      <w:pPr>
        <w:numPr>
          <w:ilvl w:val="1"/>
          <w:numId w:val="23"/>
        </w:numPr>
        <w:tabs>
          <w:tab w:val="left" w:pos="2213"/>
        </w:tabs>
        <w:spacing w:after="0" w:line="436" w:lineRule="auto"/>
        <w:ind w:left="2160" w:right="20" w:hanging="360"/>
        <w:rPr>
          <w:rFonts w:ascii="Cambria" w:hAnsi="Cambria" w:eastAsia="Cambria" w:cs="Cambria"/>
          <w:color w:val="auto"/>
          <w:sz w:val="24"/>
          <w:szCs w:val="24"/>
        </w:rPr>
      </w:pPr>
      <w:r>
        <w:rPr>
          <w:rFonts w:ascii="Cambria" w:hAnsi="Cambria" w:eastAsia="Cambria" w:cs="Cambria"/>
          <w:color w:val="auto"/>
          <w:sz w:val="24"/>
          <w:szCs w:val="24"/>
        </w:rPr>
        <w:t>Pipette 16μL of prepared master mix (from eppendorf tube) into each reaction well in 96 well plate</w:t>
      </w:r>
    </w:p>
    <w:p>
      <w:pPr>
        <w:spacing w:after="0" w:line="52" w:lineRule="exact"/>
        <w:rPr>
          <w:rFonts w:ascii="Cambria" w:hAnsi="Cambria" w:eastAsia="Cambria" w:cs="Cambria"/>
          <w:color w:val="auto"/>
          <w:sz w:val="24"/>
          <w:szCs w:val="24"/>
        </w:rPr>
      </w:pPr>
    </w:p>
    <w:p>
      <w:pPr>
        <w:numPr>
          <w:ilvl w:val="2"/>
          <w:numId w:val="23"/>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Applied Biosystems #4346906</w:t>
      </w:r>
    </w:p>
    <w:p>
      <w:pPr>
        <w:spacing w:after="0" w:line="280"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Pipette 4μL of cDNA sample into each reaction well (run in triplicate)</w:t>
      </w:r>
    </w:p>
    <w:p>
      <w:pPr>
        <w:spacing w:after="0" w:line="282"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Cover plate with 96 well plate cover</w:t>
      </w:r>
    </w:p>
    <w:p>
      <w:pPr>
        <w:spacing w:after="0" w:line="280" w:lineRule="exact"/>
        <w:rPr>
          <w:rFonts w:ascii="Cambria" w:hAnsi="Cambria" w:eastAsia="Cambria" w:cs="Cambria"/>
          <w:color w:val="auto"/>
          <w:sz w:val="24"/>
          <w:szCs w:val="24"/>
        </w:rPr>
      </w:pPr>
    </w:p>
    <w:p>
      <w:pPr>
        <w:numPr>
          <w:ilvl w:val="2"/>
          <w:numId w:val="23"/>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Applied Biosystems #4360954</w:t>
      </w:r>
    </w:p>
    <w:p>
      <w:pPr>
        <w:spacing w:after="0" w:line="332" w:lineRule="exact"/>
        <w:rPr>
          <w:rFonts w:ascii="Cambria" w:hAnsi="Cambria" w:eastAsia="Cambria" w:cs="Cambria"/>
          <w:color w:val="auto"/>
          <w:sz w:val="24"/>
          <w:szCs w:val="24"/>
        </w:rPr>
      </w:pPr>
    </w:p>
    <w:p>
      <w:pPr>
        <w:numPr>
          <w:ilvl w:val="1"/>
          <w:numId w:val="23"/>
        </w:numPr>
        <w:tabs>
          <w:tab w:val="left" w:pos="2160"/>
        </w:tabs>
        <w:spacing w:after="0" w:line="436" w:lineRule="auto"/>
        <w:ind w:left="2160" w:right="240" w:hanging="360"/>
        <w:rPr>
          <w:rFonts w:ascii="Cambria" w:hAnsi="Cambria" w:eastAsia="Cambria" w:cs="Cambria"/>
          <w:color w:val="auto"/>
          <w:sz w:val="24"/>
          <w:szCs w:val="24"/>
        </w:rPr>
      </w:pPr>
      <w:r>
        <w:rPr>
          <w:rFonts w:ascii="Cambria" w:hAnsi="Cambria" w:eastAsia="Cambria" w:cs="Cambria"/>
          <w:color w:val="auto"/>
          <w:sz w:val="24"/>
          <w:szCs w:val="24"/>
        </w:rPr>
        <w:t>Tear off white ends of plate cover and smooth out plate cover with a “plate cover smoother” so that it adheres to the plate</w:t>
      </w:r>
    </w:p>
    <w:p>
      <w:pPr>
        <w:spacing w:after="0" w:line="103" w:lineRule="exact"/>
        <w:rPr>
          <w:rFonts w:ascii="Cambria" w:hAnsi="Cambria" w:eastAsia="Cambria" w:cs="Cambria"/>
          <w:color w:val="auto"/>
          <w:sz w:val="24"/>
          <w:szCs w:val="24"/>
        </w:rPr>
      </w:pPr>
    </w:p>
    <w:p>
      <w:pPr>
        <w:numPr>
          <w:ilvl w:val="1"/>
          <w:numId w:val="23"/>
        </w:numPr>
        <w:tabs>
          <w:tab w:val="left" w:pos="2160"/>
        </w:tabs>
        <w:spacing w:after="0" w:line="436" w:lineRule="auto"/>
        <w:ind w:left="2160" w:right="600" w:hanging="360"/>
        <w:rPr>
          <w:rFonts w:ascii="Cambria" w:hAnsi="Cambria" w:eastAsia="Cambria" w:cs="Cambria"/>
          <w:color w:val="auto"/>
          <w:sz w:val="24"/>
          <w:szCs w:val="24"/>
        </w:rPr>
      </w:pPr>
      <w:r>
        <w:rPr>
          <w:rFonts w:ascii="Cambria" w:hAnsi="Cambria" w:eastAsia="Cambria" w:cs="Cambria"/>
          <w:color w:val="auto"/>
          <w:sz w:val="24"/>
          <w:szCs w:val="24"/>
        </w:rPr>
        <w:t>Centrifuge plate in plate spinner (make sure it’s balanced) for 30 seconds</w:t>
      </w:r>
    </w:p>
    <w:p>
      <w:pPr>
        <w:spacing w:after="0" w:line="52" w:lineRule="exact"/>
        <w:rPr>
          <w:rFonts w:ascii="Cambria" w:hAnsi="Cambria" w:eastAsia="Cambria" w:cs="Cambria"/>
          <w:color w:val="auto"/>
          <w:sz w:val="24"/>
          <w:szCs w:val="24"/>
        </w:rPr>
      </w:pPr>
    </w:p>
    <w:p>
      <w:pPr>
        <w:numPr>
          <w:ilvl w:val="0"/>
          <w:numId w:val="23"/>
        </w:numPr>
        <w:tabs>
          <w:tab w:val="left" w:pos="1500"/>
        </w:tabs>
        <w:spacing w:after="0"/>
        <w:ind w:left="1500" w:hanging="420"/>
        <w:rPr>
          <w:rFonts w:ascii="Cambria" w:hAnsi="Cambria" w:eastAsia="Cambria" w:cs="Cambria"/>
          <w:color w:val="auto"/>
          <w:sz w:val="24"/>
          <w:szCs w:val="24"/>
        </w:rPr>
      </w:pPr>
      <w:r>
        <w:rPr>
          <w:rFonts w:ascii="Cambria" w:hAnsi="Cambria" w:eastAsia="Cambria" w:cs="Cambria"/>
          <w:color w:val="auto"/>
          <w:sz w:val="24"/>
          <w:szCs w:val="24"/>
        </w:rPr>
        <w:t>StepOnePlus Real-Time PCR System</w:t>
      </w:r>
    </w:p>
    <w:p>
      <w:pPr>
        <w:spacing w:after="0" w:line="280"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Turn on machine</w:t>
      </w:r>
    </w:p>
    <w:p>
      <w:pPr>
        <w:spacing w:after="0" w:line="332" w:lineRule="exact"/>
        <w:rPr>
          <w:rFonts w:ascii="Cambria" w:hAnsi="Cambria" w:eastAsia="Cambria" w:cs="Cambria"/>
          <w:color w:val="auto"/>
          <w:sz w:val="24"/>
          <w:szCs w:val="24"/>
        </w:rPr>
      </w:pPr>
    </w:p>
    <w:p>
      <w:pPr>
        <w:numPr>
          <w:ilvl w:val="1"/>
          <w:numId w:val="23"/>
        </w:numPr>
        <w:tabs>
          <w:tab w:val="left" w:pos="2160"/>
        </w:tabs>
        <w:spacing w:after="0" w:line="436" w:lineRule="auto"/>
        <w:ind w:left="2160" w:right="480" w:hanging="360"/>
        <w:rPr>
          <w:rFonts w:ascii="Cambria" w:hAnsi="Cambria" w:eastAsia="Cambria" w:cs="Cambria"/>
          <w:color w:val="auto"/>
          <w:sz w:val="24"/>
          <w:szCs w:val="24"/>
        </w:rPr>
      </w:pPr>
      <w:r>
        <w:rPr>
          <w:rFonts w:ascii="Cambria" w:hAnsi="Cambria" w:eastAsia="Cambria" w:cs="Cambria"/>
          <w:color w:val="auto"/>
          <w:sz w:val="24"/>
          <w:szCs w:val="24"/>
        </w:rPr>
        <w:t>Place plate into machine making sure the numbers and letters are lined up</w:t>
      </w:r>
    </w:p>
    <w:p>
      <w:pPr>
        <w:spacing w:after="0" w:line="52"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Make sure machine has fully turned on (takes 15 minutes)</w:t>
      </w:r>
    </w:p>
    <w:p>
      <w:pPr>
        <w:spacing w:after="0" w:line="280"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Click on StepOne Software v2.0 on desktop</w:t>
      </w:r>
    </w:p>
    <w:p>
      <w:pPr>
        <w:spacing w:after="0" w:line="282"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Click advanced step up</w:t>
      </w:r>
    </w:p>
    <w:p>
      <w:pPr>
        <w:spacing w:after="0" w:line="280" w:lineRule="exact"/>
        <w:rPr>
          <w:rFonts w:ascii="Cambria" w:hAnsi="Cambria" w:eastAsia="Cambria" w:cs="Cambria"/>
          <w:color w:val="auto"/>
          <w:sz w:val="24"/>
          <w:szCs w:val="24"/>
        </w:rPr>
      </w:pPr>
    </w:p>
    <w:p>
      <w:pPr>
        <w:numPr>
          <w:ilvl w:val="1"/>
          <w:numId w:val="23"/>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For tab “Experiment Properties”</w:t>
      </w:r>
    </w:p>
    <w:p>
      <w:pPr>
        <w:spacing w:after="0" w:line="280" w:lineRule="exact"/>
        <w:rPr>
          <w:rFonts w:ascii="Cambria" w:hAnsi="Cambria" w:eastAsia="Cambria" w:cs="Cambria"/>
          <w:color w:val="auto"/>
          <w:sz w:val="24"/>
          <w:szCs w:val="24"/>
        </w:rPr>
      </w:pPr>
    </w:p>
    <w:p>
      <w:pPr>
        <w:numPr>
          <w:ilvl w:val="2"/>
          <w:numId w:val="23"/>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Create name for experiment (experiment # and target gene)</w:t>
      </w:r>
    </w:p>
    <w:p>
      <w:pPr>
        <w:spacing w:after="0" w:line="282" w:lineRule="exact"/>
        <w:rPr>
          <w:rFonts w:ascii="Cambria" w:hAnsi="Cambria" w:eastAsia="Cambria" w:cs="Cambria"/>
          <w:color w:val="auto"/>
          <w:sz w:val="24"/>
          <w:szCs w:val="24"/>
        </w:rPr>
      </w:pPr>
    </w:p>
    <w:p>
      <w:pPr>
        <w:numPr>
          <w:ilvl w:val="2"/>
          <w:numId w:val="23"/>
        </w:numPr>
        <w:tabs>
          <w:tab w:val="left" w:pos="2880"/>
        </w:tabs>
        <w:spacing w:after="0"/>
        <w:ind w:left="2880" w:hanging="362"/>
        <w:rPr>
          <w:rFonts w:ascii="Cambria" w:hAnsi="Cambria" w:eastAsia="Cambria" w:cs="Cambria"/>
          <w:color w:val="auto"/>
          <w:sz w:val="24"/>
          <w:szCs w:val="24"/>
        </w:rPr>
      </w:pPr>
      <w:r>
        <w:rPr>
          <w:rFonts w:ascii="Cambria" w:hAnsi="Cambria" w:eastAsia="Cambria" w:cs="Cambria"/>
          <w:color w:val="auto"/>
          <w:sz w:val="24"/>
          <w:szCs w:val="24"/>
        </w:rPr>
        <w:t>Make sure the following settings are clicked:</w:t>
      </w:r>
    </w:p>
    <w:p>
      <w:pPr>
        <w:spacing w:after="0" w:line="280" w:lineRule="exact"/>
        <w:rPr>
          <w:rFonts w:ascii="Cambria" w:hAnsi="Cambria" w:eastAsia="Cambria" w:cs="Cambria"/>
          <w:color w:val="auto"/>
          <w:sz w:val="24"/>
          <w:szCs w:val="24"/>
        </w:rPr>
      </w:pPr>
    </w:p>
    <w:p>
      <w:pPr>
        <w:numPr>
          <w:ilvl w:val="3"/>
          <w:numId w:val="23"/>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StepOnePlus (96 wells)</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58</w:t>
      </w:r>
    </w:p>
    <w:p>
      <w:pPr>
        <w:sectPr>
          <w:pgSz w:w="12240" w:h="15840"/>
          <w:pgMar w:top="1438" w:right="1440" w:bottom="120" w:left="1440" w:header="0" w:footer="0" w:gutter="0"/>
          <w:cols w:equalWidth="0" w:num="1">
            <w:col w:w="9360"/>
          </w:cols>
        </w:sectPr>
      </w:pPr>
    </w:p>
    <w:p>
      <w:pPr>
        <w:numPr>
          <w:ilvl w:val="2"/>
          <w:numId w:val="24"/>
        </w:numPr>
        <w:tabs>
          <w:tab w:val="left" w:pos="3600"/>
        </w:tabs>
        <w:spacing w:after="0"/>
        <w:ind w:left="3600" w:hanging="360"/>
        <w:rPr>
          <w:rFonts w:ascii="Cambria" w:hAnsi="Cambria" w:eastAsia="Cambria" w:cs="Cambria"/>
          <w:color w:val="auto"/>
          <w:sz w:val="24"/>
          <w:szCs w:val="24"/>
        </w:rPr>
      </w:pPr>
      <w:bookmarkStart w:id="66" w:name="page73"/>
      <w:bookmarkEnd w:id="66"/>
      <w:r>
        <w:rPr>
          <w:rFonts w:ascii="Cambria" w:hAnsi="Cambria" w:eastAsia="Cambria" w:cs="Cambria"/>
          <w:color w:val="auto"/>
          <w:sz w:val="24"/>
          <w:szCs w:val="24"/>
        </w:rPr>
        <w:t>Quantitation-comparative Ct (ΔΔCt)</w:t>
      </w:r>
    </w:p>
    <w:p>
      <w:pPr>
        <w:spacing w:after="0" w:line="280" w:lineRule="exact"/>
        <w:rPr>
          <w:rFonts w:ascii="Cambria" w:hAnsi="Cambria" w:eastAsia="Cambria" w:cs="Cambria"/>
          <w:color w:val="auto"/>
          <w:sz w:val="24"/>
          <w:szCs w:val="24"/>
        </w:rPr>
      </w:pPr>
    </w:p>
    <w:p>
      <w:pPr>
        <w:numPr>
          <w:ilvl w:val="2"/>
          <w:numId w:val="24"/>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TaqMan Reagents</w:t>
      </w:r>
    </w:p>
    <w:p>
      <w:pPr>
        <w:spacing w:after="0" w:line="282" w:lineRule="exact"/>
        <w:rPr>
          <w:rFonts w:ascii="Cambria" w:hAnsi="Cambria" w:eastAsia="Cambria" w:cs="Cambria"/>
          <w:color w:val="auto"/>
          <w:sz w:val="24"/>
          <w:szCs w:val="24"/>
        </w:rPr>
      </w:pPr>
    </w:p>
    <w:p>
      <w:pPr>
        <w:numPr>
          <w:ilvl w:val="2"/>
          <w:numId w:val="24"/>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Standard (~2 hours)</w:t>
      </w:r>
    </w:p>
    <w:p>
      <w:pPr>
        <w:spacing w:after="0" w:line="280" w:lineRule="exact"/>
        <w:rPr>
          <w:rFonts w:ascii="Cambria" w:hAnsi="Cambria" w:eastAsia="Cambria" w:cs="Cambria"/>
          <w:color w:val="auto"/>
          <w:sz w:val="24"/>
          <w:szCs w:val="24"/>
        </w:rPr>
      </w:pPr>
    </w:p>
    <w:p>
      <w:pPr>
        <w:numPr>
          <w:ilvl w:val="0"/>
          <w:numId w:val="25"/>
        </w:numPr>
        <w:tabs>
          <w:tab w:val="left" w:pos="2160"/>
        </w:tabs>
        <w:spacing w:after="0"/>
        <w:ind w:left="2160" w:hanging="360"/>
        <w:rPr>
          <w:rFonts w:ascii="Cambria" w:hAnsi="Cambria" w:eastAsia="Cambria" w:cs="Cambria"/>
          <w:color w:val="auto"/>
          <w:sz w:val="24"/>
          <w:szCs w:val="24"/>
        </w:rPr>
      </w:pPr>
      <w:r>
        <w:rPr>
          <w:rFonts w:ascii="Cambria" w:hAnsi="Cambria" w:eastAsia="Cambria" w:cs="Cambria"/>
          <w:color w:val="auto"/>
          <w:sz w:val="24"/>
          <w:szCs w:val="24"/>
        </w:rPr>
        <w:t>For tab “PLATE-SET UP”</w:t>
      </w:r>
    </w:p>
    <w:p>
      <w:pPr>
        <w:spacing w:after="0" w:line="332" w:lineRule="exact"/>
        <w:rPr>
          <w:rFonts w:ascii="Cambria" w:hAnsi="Cambria" w:eastAsia="Cambria" w:cs="Cambria"/>
          <w:color w:val="auto"/>
          <w:sz w:val="24"/>
          <w:szCs w:val="24"/>
        </w:rPr>
      </w:pPr>
    </w:p>
    <w:p>
      <w:pPr>
        <w:numPr>
          <w:ilvl w:val="1"/>
          <w:numId w:val="25"/>
        </w:numPr>
        <w:tabs>
          <w:tab w:val="left" w:pos="2880"/>
        </w:tabs>
        <w:spacing w:after="0" w:line="458" w:lineRule="auto"/>
        <w:ind w:left="2880" w:right="520" w:hanging="295"/>
        <w:rPr>
          <w:rFonts w:ascii="Cambria" w:hAnsi="Cambria" w:eastAsia="Cambria" w:cs="Cambria"/>
          <w:color w:val="auto"/>
          <w:sz w:val="24"/>
          <w:szCs w:val="24"/>
        </w:rPr>
      </w:pPr>
      <w:r>
        <w:rPr>
          <w:rFonts w:ascii="Cambria" w:hAnsi="Cambria" w:eastAsia="Cambria" w:cs="Cambria"/>
          <w:color w:val="auto"/>
          <w:sz w:val="24"/>
          <w:szCs w:val="24"/>
        </w:rPr>
        <w:t>Make two targets: One is the housekeeping gene (GAPDH), with VIC dye selected, target gene should have FAM dye selected</w:t>
      </w:r>
    </w:p>
    <w:p>
      <w:pPr>
        <w:spacing w:after="0" w:line="26" w:lineRule="exact"/>
        <w:rPr>
          <w:rFonts w:ascii="Cambria" w:hAnsi="Cambria" w:eastAsia="Cambria" w:cs="Cambria"/>
          <w:color w:val="auto"/>
          <w:sz w:val="24"/>
          <w:szCs w:val="24"/>
        </w:rPr>
      </w:pPr>
    </w:p>
    <w:p>
      <w:pPr>
        <w:numPr>
          <w:ilvl w:val="1"/>
          <w:numId w:val="25"/>
        </w:numPr>
        <w:tabs>
          <w:tab w:val="left" w:pos="2880"/>
        </w:tabs>
        <w:spacing w:after="0"/>
        <w:ind w:left="2880" w:hanging="362"/>
        <w:rPr>
          <w:rFonts w:ascii="Cambria" w:hAnsi="Cambria" w:eastAsia="Cambria" w:cs="Cambria"/>
          <w:color w:val="auto"/>
          <w:sz w:val="24"/>
          <w:szCs w:val="24"/>
        </w:rPr>
      </w:pPr>
      <w:r>
        <w:rPr>
          <w:rFonts w:ascii="Cambria" w:hAnsi="Cambria" w:eastAsia="Cambria" w:cs="Cambria"/>
          <w:color w:val="auto"/>
          <w:sz w:val="24"/>
          <w:szCs w:val="24"/>
        </w:rPr>
        <w:t>Add the number of samples wells you have</w:t>
      </w:r>
    </w:p>
    <w:p>
      <w:pPr>
        <w:spacing w:after="0" w:line="282" w:lineRule="exact"/>
        <w:rPr>
          <w:rFonts w:ascii="Cambria" w:hAnsi="Cambria" w:eastAsia="Cambria" w:cs="Cambria"/>
          <w:color w:val="auto"/>
          <w:sz w:val="24"/>
          <w:szCs w:val="24"/>
        </w:rPr>
      </w:pPr>
    </w:p>
    <w:p>
      <w:pPr>
        <w:numPr>
          <w:ilvl w:val="1"/>
          <w:numId w:val="25"/>
        </w:numPr>
        <w:tabs>
          <w:tab w:val="left" w:pos="2880"/>
        </w:tabs>
        <w:spacing w:after="0"/>
        <w:ind w:left="2880" w:hanging="430"/>
        <w:rPr>
          <w:rFonts w:ascii="Cambria" w:hAnsi="Cambria" w:eastAsia="Cambria" w:cs="Cambria"/>
          <w:color w:val="auto"/>
          <w:sz w:val="24"/>
          <w:szCs w:val="24"/>
        </w:rPr>
      </w:pPr>
      <w:r>
        <w:rPr>
          <w:rFonts w:ascii="Cambria" w:hAnsi="Cambria" w:eastAsia="Cambria" w:cs="Cambria"/>
          <w:color w:val="auto"/>
          <w:sz w:val="24"/>
          <w:szCs w:val="24"/>
        </w:rPr>
        <w:t>Click “Assign Targets and Samples”</w:t>
      </w:r>
    </w:p>
    <w:p>
      <w:pPr>
        <w:spacing w:after="0" w:line="330" w:lineRule="exact"/>
        <w:rPr>
          <w:rFonts w:ascii="Cambria" w:hAnsi="Cambria" w:eastAsia="Cambria" w:cs="Cambria"/>
          <w:color w:val="auto"/>
          <w:sz w:val="24"/>
          <w:szCs w:val="24"/>
        </w:rPr>
      </w:pPr>
    </w:p>
    <w:p>
      <w:pPr>
        <w:numPr>
          <w:ilvl w:val="2"/>
          <w:numId w:val="25"/>
        </w:numPr>
        <w:tabs>
          <w:tab w:val="left" w:pos="3600"/>
        </w:tabs>
        <w:spacing w:after="0" w:line="458" w:lineRule="auto"/>
        <w:ind w:left="3600" w:right="80" w:hanging="360"/>
        <w:rPr>
          <w:rFonts w:ascii="Cambria" w:hAnsi="Cambria" w:eastAsia="Cambria" w:cs="Cambria"/>
          <w:color w:val="auto"/>
          <w:sz w:val="24"/>
          <w:szCs w:val="24"/>
        </w:rPr>
      </w:pPr>
      <w:r>
        <w:rPr>
          <w:rFonts w:ascii="Cambria" w:hAnsi="Cambria" w:eastAsia="Cambria" w:cs="Cambria"/>
          <w:color w:val="auto"/>
          <w:sz w:val="24"/>
          <w:szCs w:val="24"/>
        </w:rPr>
        <w:t>Assign samples to the wells that they are in, assign each triplicate as one sample, and all control wells as one sample; double check these</w:t>
      </w:r>
    </w:p>
    <w:p>
      <w:pPr>
        <w:spacing w:after="0" w:line="28" w:lineRule="exact"/>
        <w:rPr>
          <w:rFonts w:ascii="Cambria" w:hAnsi="Cambria" w:eastAsia="Cambria" w:cs="Cambria"/>
          <w:color w:val="auto"/>
          <w:sz w:val="24"/>
          <w:szCs w:val="24"/>
        </w:rPr>
      </w:pPr>
    </w:p>
    <w:p>
      <w:pPr>
        <w:numPr>
          <w:ilvl w:val="2"/>
          <w:numId w:val="25"/>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Assign both GAPDH and target to all sample wells</w:t>
      </w:r>
    </w:p>
    <w:p>
      <w:pPr>
        <w:spacing w:after="0" w:line="280" w:lineRule="exact"/>
        <w:rPr>
          <w:rFonts w:ascii="Cambria" w:hAnsi="Cambria" w:eastAsia="Cambria" w:cs="Cambria"/>
          <w:color w:val="auto"/>
          <w:sz w:val="24"/>
          <w:szCs w:val="24"/>
        </w:rPr>
      </w:pPr>
    </w:p>
    <w:p>
      <w:pPr>
        <w:numPr>
          <w:ilvl w:val="2"/>
          <w:numId w:val="25"/>
        </w:numPr>
        <w:tabs>
          <w:tab w:val="left" w:pos="3600"/>
        </w:tabs>
        <w:spacing w:after="0"/>
        <w:ind w:left="3600" w:hanging="360"/>
        <w:rPr>
          <w:rFonts w:ascii="Cambria" w:hAnsi="Cambria" w:eastAsia="Cambria" w:cs="Cambria"/>
          <w:color w:val="auto"/>
          <w:sz w:val="24"/>
          <w:szCs w:val="24"/>
        </w:rPr>
      </w:pPr>
      <w:r>
        <w:rPr>
          <w:rFonts w:ascii="Cambria" w:hAnsi="Cambria" w:eastAsia="Cambria" w:cs="Cambria"/>
          <w:color w:val="auto"/>
          <w:sz w:val="24"/>
          <w:szCs w:val="24"/>
        </w:rPr>
        <w:t>Select ROX dye for passive reference</w:t>
      </w:r>
    </w:p>
    <w:p>
      <w:pPr>
        <w:spacing w:after="0" w:line="282" w:lineRule="exact"/>
        <w:rPr>
          <w:rFonts w:ascii="Cambria" w:hAnsi="Cambria" w:eastAsia="Cambria" w:cs="Cambria"/>
          <w:color w:val="auto"/>
          <w:sz w:val="24"/>
          <w:szCs w:val="24"/>
        </w:rPr>
      </w:pPr>
    </w:p>
    <w:p>
      <w:pPr>
        <w:numPr>
          <w:ilvl w:val="0"/>
          <w:numId w:val="25"/>
        </w:numPr>
        <w:tabs>
          <w:tab w:val="left" w:pos="2220"/>
        </w:tabs>
        <w:spacing w:after="0"/>
        <w:ind w:left="2220" w:hanging="420"/>
        <w:rPr>
          <w:rFonts w:ascii="Cambria" w:hAnsi="Cambria" w:eastAsia="Cambria" w:cs="Cambria"/>
          <w:color w:val="auto"/>
          <w:sz w:val="24"/>
          <w:szCs w:val="24"/>
        </w:rPr>
      </w:pPr>
      <w:r>
        <w:rPr>
          <w:rFonts w:ascii="Cambria" w:hAnsi="Cambria" w:eastAsia="Cambria" w:cs="Cambria"/>
          <w:color w:val="auto"/>
          <w:sz w:val="24"/>
          <w:szCs w:val="24"/>
        </w:rPr>
        <w:t>Click “Start Run”</w:t>
      </w:r>
    </w:p>
    <w:p>
      <w:pPr>
        <w:spacing w:after="0" w:line="280" w:lineRule="exact"/>
        <w:rPr>
          <w:rFonts w:ascii="Cambria" w:hAnsi="Cambria" w:eastAsia="Cambria" w:cs="Cambria"/>
          <w:color w:val="auto"/>
          <w:sz w:val="24"/>
          <w:szCs w:val="24"/>
        </w:rPr>
      </w:pPr>
    </w:p>
    <w:p>
      <w:pPr>
        <w:numPr>
          <w:ilvl w:val="1"/>
          <w:numId w:val="25"/>
        </w:numPr>
        <w:tabs>
          <w:tab w:val="left" w:pos="2880"/>
        </w:tabs>
        <w:spacing w:after="0"/>
        <w:ind w:left="2880" w:hanging="295"/>
        <w:rPr>
          <w:rFonts w:ascii="Cambria" w:hAnsi="Cambria" w:eastAsia="Cambria" w:cs="Cambria"/>
          <w:color w:val="auto"/>
          <w:sz w:val="24"/>
          <w:szCs w:val="24"/>
        </w:rPr>
      </w:pPr>
      <w:r>
        <w:rPr>
          <w:rFonts w:ascii="Cambria" w:hAnsi="Cambria" w:eastAsia="Cambria" w:cs="Cambria"/>
          <w:color w:val="auto"/>
          <w:sz w:val="24"/>
          <w:szCs w:val="24"/>
        </w:rPr>
        <w:t>Make sure the machine actually starts the reaction</w:t>
      </w:r>
    </w:p>
    <w:p>
      <w:pPr>
        <w:spacing w:after="0" w:line="332" w:lineRule="exact"/>
        <w:rPr>
          <w:rFonts w:ascii="Cambria" w:hAnsi="Cambria" w:eastAsia="Cambria" w:cs="Cambria"/>
          <w:color w:val="auto"/>
          <w:sz w:val="24"/>
          <w:szCs w:val="24"/>
        </w:rPr>
      </w:pPr>
    </w:p>
    <w:p>
      <w:pPr>
        <w:numPr>
          <w:ilvl w:val="0"/>
          <w:numId w:val="25"/>
        </w:numPr>
        <w:tabs>
          <w:tab w:val="left" w:pos="2213"/>
        </w:tabs>
        <w:spacing w:after="0" w:line="436" w:lineRule="auto"/>
        <w:ind w:left="2160" w:right="100" w:hanging="360"/>
        <w:rPr>
          <w:rFonts w:ascii="Cambria" w:hAnsi="Cambria" w:eastAsia="Cambria" w:cs="Cambria"/>
          <w:color w:val="auto"/>
          <w:sz w:val="24"/>
          <w:szCs w:val="24"/>
        </w:rPr>
      </w:pPr>
      <w:r>
        <w:rPr>
          <w:rFonts w:ascii="Cambria" w:hAnsi="Cambria" w:eastAsia="Cambria" w:cs="Cambria"/>
          <w:color w:val="auto"/>
          <w:sz w:val="24"/>
          <w:szCs w:val="24"/>
        </w:rPr>
        <w:t>Come back in two hours to check status of reaction, discard plate and export data to the desired place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59</w:t>
      </w:r>
    </w:p>
    <w:p>
      <w:pPr>
        <w:sectPr>
          <w:pgSz w:w="12240" w:h="15840"/>
          <w:pgMar w:top="1438" w:right="1440" w:bottom="120" w:left="1440" w:header="0" w:footer="0" w:gutter="0"/>
          <w:cols w:equalWidth="0" w:num="1">
            <w:col w:w="9360"/>
          </w:cols>
        </w:sectPr>
      </w:pPr>
    </w:p>
    <w:p>
      <w:pPr>
        <w:spacing w:after="0"/>
        <w:ind w:left="4320"/>
        <w:rPr>
          <w:color w:val="auto"/>
          <w:sz w:val="20"/>
          <w:szCs w:val="20"/>
        </w:rPr>
      </w:pPr>
      <w:bookmarkStart w:id="67" w:name="page74"/>
      <w:bookmarkEnd w:id="67"/>
      <w:r>
        <w:rPr>
          <w:rFonts w:ascii="Cambria" w:hAnsi="Cambria" w:eastAsia="Cambria" w:cs="Cambria"/>
          <w:color w:val="auto"/>
          <w:sz w:val="24"/>
          <w:szCs w:val="24"/>
        </w:rPr>
        <w:t>REFERENCES</w:t>
      </w:r>
    </w:p>
    <w:p>
      <w:pPr>
        <w:spacing w:after="0" w:line="328" w:lineRule="exact"/>
        <w:rPr>
          <w:color w:val="auto"/>
          <w:sz w:val="20"/>
          <w:szCs w:val="20"/>
        </w:rPr>
      </w:pPr>
    </w:p>
    <w:p>
      <w:pPr>
        <w:spacing w:after="0" w:line="229" w:lineRule="auto"/>
        <w:ind w:left="1180" w:right="40" w:hanging="450"/>
        <w:rPr>
          <w:color w:val="auto"/>
          <w:sz w:val="20"/>
          <w:szCs w:val="20"/>
        </w:rPr>
      </w:pPr>
      <w:r>
        <w:rPr>
          <w:rFonts w:ascii="Cambria" w:hAnsi="Cambria" w:eastAsia="Cambria" w:cs="Cambria"/>
          <w:color w:val="auto"/>
          <w:sz w:val="24"/>
          <w:szCs w:val="24"/>
        </w:rPr>
        <w:t>Abbas, S., Linseisen, J., Slanger, T., Kropp, S., Mutschelknauss, E. J., Flesch-Janys, D., &amp; Chang-Claude, J. (2008). Serum 25-hydroxyvitamin D and risk of post-menopausal breast cancer - results of a large case-control study. Carcinogenesis, 29(1), 93-99. doi:10.1093/carcin/bgm240</w:t>
      </w:r>
    </w:p>
    <w:p>
      <w:pPr>
        <w:spacing w:after="0" w:line="335" w:lineRule="exact"/>
        <w:rPr>
          <w:color w:val="auto"/>
          <w:sz w:val="20"/>
          <w:szCs w:val="20"/>
        </w:rPr>
      </w:pPr>
    </w:p>
    <w:p>
      <w:pPr>
        <w:spacing w:after="0" w:line="217" w:lineRule="auto"/>
        <w:ind w:left="1180" w:right="560" w:hanging="450"/>
        <w:rPr>
          <w:color w:val="auto"/>
          <w:sz w:val="20"/>
          <w:szCs w:val="20"/>
        </w:rPr>
      </w:pPr>
      <w:r>
        <w:rPr>
          <w:rFonts w:ascii="Cambria" w:hAnsi="Cambria" w:eastAsia="Cambria" w:cs="Cambria"/>
          <w:color w:val="auto"/>
          <w:sz w:val="24"/>
          <w:szCs w:val="24"/>
        </w:rPr>
        <w:t xml:space="preserve">American Cancer Society. (2013). Breast cancer. Retrieved March 2, 2013, from </w:t>
      </w:r>
      <w:r>
        <w:rPr>
          <w:rFonts w:ascii="Cambria" w:hAnsi="Cambria" w:eastAsia="Cambria" w:cs="Cambria"/>
          <w:color w:val="0000FF"/>
          <w:sz w:val="24"/>
          <w:szCs w:val="24"/>
          <w:u w:val="single" w:color="auto"/>
        </w:rPr>
        <w:t>http://www.cancer.org/cancer/breastcancer/index</w:t>
      </w:r>
    </w:p>
    <w:p>
      <w:pPr>
        <w:spacing w:after="0" w:line="334" w:lineRule="exact"/>
        <w:rPr>
          <w:color w:val="auto"/>
          <w:sz w:val="20"/>
          <w:szCs w:val="20"/>
        </w:rPr>
      </w:pPr>
    </w:p>
    <w:p>
      <w:pPr>
        <w:spacing w:after="0" w:line="234" w:lineRule="auto"/>
        <w:ind w:left="1180" w:hanging="450"/>
        <w:rPr>
          <w:color w:val="auto"/>
          <w:sz w:val="20"/>
          <w:szCs w:val="20"/>
        </w:rPr>
      </w:pPr>
      <w:r>
        <w:rPr>
          <w:rFonts w:ascii="Cambria" w:hAnsi="Cambria" w:eastAsia="Cambria" w:cs="Cambria"/>
          <w:color w:val="auto"/>
          <w:sz w:val="23"/>
          <w:szCs w:val="23"/>
        </w:rPr>
        <w:t>Anderson, M. G., Nakane, M., Ruan, X. A., Kroeger, P. E., &amp; Wu-Wong, J. R. (2006). Expression of VDR and CYP24A1 mRNA in human tumors. Cancer Chemotherapy and Pharmacology, 57(2), 234-240. doi:10.1007/s00280-005-0059-7</w:t>
      </w:r>
    </w:p>
    <w:p>
      <w:pPr>
        <w:spacing w:after="0" w:line="334" w:lineRule="exact"/>
        <w:rPr>
          <w:color w:val="auto"/>
          <w:sz w:val="20"/>
          <w:szCs w:val="20"/>
        </w:rPr>
      </w:pPr>
    </w:p>
    <w:p>
      <w:pPr>
        <w:spacing w:after="0" w:line="225" w:lineRule="auto"/>
        <w:ind w:left="1180" w:right="200" w:hanging="450"/>
        <w:rPr>
          <w:color w:val="auto"/>
          <w:sz w:val="20"/>
          <w:szCs w:val="20"/>
        </w:rPr>
      </w:pPr>
      <w:r>
        <w:rPr>
          <w:rFonts w:ascii="Cambria" w:hAnsi="Cambria" w:eastAsia="Cambria" w:cs="Cambria"/>
          <w:color w:val="auto"/>
          <w:sz w:val="24"/>
          <w:szCs w:val="24"/>
        </w:rPr>
        <w:t>Anderson, P. H., May, B. K., &amp; Morris, H. A. (2003). Vitamin D metabolism: New concepts and clinical implications. The Clinical Biochemist.Reviews / Australian Association of Clinical Biochemists, 24(1), 13-26.</w:t>
      </w:r>
    </w:p>
    <w:p>
      <w:pPr>
        <w:spacing w:after="0" w:line="332" w:lineRule="exact"/>
        <w:rPr>
          <w:color w:val="auto"/>
          <w:sz w:val="20"/>
          <w:szCs w:val="20"/>
        </w:rPr>
      </w:pPr>
    </w:p>
    <w:p>
      <w:pPr>
        <w:spacing w:after="0" w:line="228" w:lineRule="auto"/>
        <w:ind w:left="1180" w:right="280" w:hanging="450"/>
        <w:rPr>
          <w:color w:val="auto"/>
          <w:sz w:val="20"/>
          <w:szCs w:val="20"/>
        </w:rPr>
      </w:pPr>
      <w:r>
        <w:rPr>
          <w:rFonts w:ascii="Cambria" w:hAnsi="Cambria" w:eastAsia="Cambria" w:cs="Cambria"/>
          <w:color w:val="auto"/>
          <w:sz w:val="24"/>
          <w:szCs w:val="24"/>
        </w:rPr>
        <w:t>Anwar-Mohamed, A., &amp; El-Kadi, A. O. S. (2009). Sulforaphane induces CYP1A1 mRNA, protein, and catalytic activity levels via an AhR-dependent pathway in murine hepatoma hepa 1c1c7 and human HepG2 cells. Cancer Letters, 275(1), 93-101. doi:10.1016/j.canlet.2008.10.003</w:t>
      </w:r>
    </w:p>
    <w:p>
      <w:pPr>
        <w:spacing w:after="0" w:line="337" w:lineRule="exact"/>
        <w:rPr>
          <w:color w:val="auto"/>
          <w:sz w:val="20"/>
          <w:szCs w:val="20"/>
        </w:rPr>
      </w:pPr>
    </w:p>
    <w:p>
      <w:pPr>
        <w:spacing w:after="0" w:line="217" w:lineRule="auto"/>
        <w:ind w:left="1180" w:right="940" w:hanging="450"/>
        <w:rPr>
          <w:color w:val="auto"/>
          <w:sz w:val="20"/>
          <w:szCs w:val="20"/>
        </w:rPr>
      </w:pPr>
      <w:r>
        <w:rPr>
          <w:rFonts w:ascii="Cambria" w:hAnsi="Cambria" w:eastAsia="Cambria" w:cs="Cambria"/>
          <w:color w:val="auto"/>
          <w:sz w:val="24"/>
          <w:szCs w:val="24"/>
        </w:rPr>
        <w:t xml:space="preserve">ATCC. (2013). Cell line designation: MCF-7. Retrieved March 17, 2013, from </w:t>
      </w:r>
      <w:r>
        <w:rPr>
          <w:rFonts w:ascii="Cambria" w:hAnsi="Cambria" w:eastAsia="Cambria" w:cs="Cambria"/>
          <w:color w:val="0000FF"/>
          <w:sz w:val="24"/>
          <w:szCs w:val="24"/>
          <w:u w:val="single" w:color="auto"/>
        </w:rPr>
        <w:t>http://www.atcc.org/Products/All/htb-22.aspx</w:t>
      </w:r>
    </w:p>
    <w:p>
      <w:pPr>
        <w:spacing w:after="0" w:line="334" w:lineRule="exact"/>
        <w:rPr>
          <w:color w:val="auto"/>
          <w:sz w:val="20"/>
          <w:szCs w:val="20"/>
        </w:rPr>
      </w:pPr>
    </w:p>
    <w:p>
      <w:pPr>
        <w:spacing w:after="0" w:line="228" w:lineRule="auto"/>
        <w:ind w:left="1180" w:right="80" w:hanging="450"/>
        <w:rPr>
          <w:color w:val="auto"/>
          <w:sz w:val="20"/>
          <w:szCs w:val="20"/>
        </w:rPr>
      </w:pPr>
      <w:r>
        <w:rPr>
          <w:rFonts w:ascii="Cambria" w:hAnsi="Cambria" w:eastAsia="Cambria" w:cs="Cambria"/>
          <w:color w:val="auto"/>
          <w:sz w:val="24"/>
          <w:szCs w:val="24"/>
        </w:rPr>
        <w:t>Banwell, C. M., Singh, R., Stewart, P. M., Uskokovic, M. R., &amp; Campbell, M. J. (2003). Proliferative signalling by 1,25(OH)(2)D-3 in prostate and breast cancer is suppressed by a mechanism involving histone deacetylation. Vitamin D Analogs in Cancer Prevention and Therapy, 164, 83-98.</w:t>
      </w:r>
    </w:p>
    <w:p>
      <w:pPr>
        <w:spacing w:after="0" w:line="337" w:lineRule="exact"/>
        <w:rPr>
          <w:color w:val="auto"/>
          <w:sz w:val="20"/>
          <w:szCs w:val="20"/>
        </w:rPr>
      </w:pPr>
    </w:p>
    <w:p>
      <w:pPr>
        <w:spacing w:after="0" w:line="228" w:lineRule="auto"/>
        <w:ind w:left="1180" w:right="120" w:hanging="450"/>
        <w:rPr>
          <w:color w:val="auto"/>
          <w:sz w:val="20"/>
          <w:szCs w:val="20"/>
        </w:rPr>
      </w:pPr>
      <w:r>
        <w:rPr>
          <w:rFonts w:ascii="Cambria" w:hAnsi="Cambria" w:eastAsia="Cambria" w:cs="Cambria"/>
          <w:color w:val="auto"/>
          <w:sz w:val="24"/>
          <w:szCs w:val="24"/>
        </w:rPr>
        <w:t>Banwell, C., MacCartney, D., Guy, M., Miles, A., Uskokovic, M., Mansi, J., . . . Campbell, M. (2006). Altered nuclear receptor corepressor expression attenuates vitamin D receptor signaling in breast cancer cells. Clinical Cancer Research, 12(7), 2004-2013. doi:10.1158/1078-0432.CCR-05-1218</w:t>
      </w:r>
    </w:p>
    <w:p>
      <w:pPr>
        <w:spacing w:after="0" w:line="335" w:lineRule="exact"/>
        <w:rPr>
          <w:color w:val="auto"/>
          <w:sz w:val="20"/>
          <w:szCs w:val="20"/>
        </w:rPr>
      </w:pPr>
    </w:p>
    <w:p>
      <w:pPr>
        <w:spacing w:after="0" w:line="238" w:lineRule="auto"/>
        <w:ind w:left="1180" w:right="20" w:hanging="450"/>
        <w:rPr>
          <w:color w:val="auto"/>
          <w:sz w:val="20"/>
          <w:szCs w:val="20"/>
        </w:rPr>
      </w:pPr>
      <w:r>
        <w:rPr>
          <w:rFonts w:ascii="Cambria" w:hAnsi="Cambria" w:eastAsia="Cambria" w:cs="Cambria"/>
          <w:color w:val="auto"/>
          <w:sz w:val="23"/>
          <w:szCs w:val="23"/>
        </w:rPr>
        <w:t>Banwell, C., O'Neill, L., Uskokovic, M., &amp; Campbell, M. (2004). Targeting 1 alpha,25-dihydroxyvitamin D-3 antiproliferative insensitivity in breast cancer cells by co-treatment with histone deacetylation inhibitors. Journal of Steroid Biochemistry and Molecular Biology, 89-90(1-5), 245-249. doi:10.1016/j.jsbmb.2004.03.081</w:t>
      </w:r>
    </w:p>
    <w:p>
      <w:pPr>
        <w:spacing w:after="0" w:line="337" w:lineRule="exact"/>
        <w:rPr>
          <w:color w:val="auto"/>
          <w:sz w:val="20"/>
          <w:szCs w:val="20"/>
        </w:rPr>
      </w:pPr>
    </w:p>
    <w:p>
      <w:pPr>
        <w:spacing w:after="0" w:line="217" w:lineRule="auto"/>
        <w:ind w:left="1180" w:right="100" w:hanging="450"/>
        <w:rPr>
          <w:color w:val="auto"/>
          <w:sz w:val="20"/>
          <w:szCs w:val="20"/>
        </w:rPr>
      </w:pPr>
      <w:r>
        <w:rPr>
          <w:rFonts w:ascii="Cambria" w:hAnsi="Cambria" w:eastAsia="Cambria" w:cs="Cambria"/>
          <w:color w:val="auto"/>
          <w:sz w:val="24"/>
          <w:szCs w:val="24"/>
        </w:rPr>
        <w:t>Bertone-Johnson, E. R. (2009). Vitamin D and breast cancer. Annals of Epidemiology, 19(7), 462-467. doi:10.1016/j.annepidem.2009.01.003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60</w:t>
      </w:r>
    </w:p>
    <w:p>
      <w:pPr>
        <w:sectPr>
          <w:pgSz w:w="12240" w:h="15840"/>
          <w:pgMar w:top="1438" w:right="1440" w:bottom="120" w:left="1440" w:header="0" w:footer="0" w:gutter="0"/>
          <w:cols w:equalWidth="0" w:num="1">
            <w:col w:w="9360"/>
          </w:cols>
        </w:sectPr>
      </w:pPr>
    </w:p>
    <w:p>
      <w:pPr>
        <w:spacing w:after="0" w:line="49" w:lineRule="exact"/>
        <w:rPr>
          <w:color w:val="auto"/>
          <w:sz w:val="20"/>
          <w:szCs w:val="20"/>
        </w:rPr>
      </w:pPr>
      <w:bookmarkStart w:id="68" w:name="page75"/>
      <w:bookmarkEnd w:id="68"/>
    </w:p>
    <w:p>
      <w:pPr>
        <w:spacing w:after="0" w:line="228" w:lineRule="auto"/>
        <w:ind w:left="1180" w:right="440" w:hanging="450"/>
        <w:rPr>
          <w:color w:val="auto"/>
          <w:sz w:val="20"/>
          <w:szCs w:val="20"/>
        </w:rPr>
      </w:pPr>
      <w:r>
        <w:rPr>
          <w:rFonts w:ascii="Cambria" w:hAnsi="Cambria" w:eastAsia="Cambria" w:cs="Cambria"/>
          <w:color w:val="auto"/>
          <w:sz w:val="24"/>
          <w:szCs w:val="24"/>
        </w:rPr>
        <w:t>Blackmore, K. M., Lesosky, M., Barnett, H., Raboud, J. M., Vieth, R., &amp; Knight, J. A. (2008). Vitamin D from dietary intake and sunlight exposure and the risk of hormone-receptor-defined breast cancer. American Journal of Epidemiology, 168(8), 915-924. doi:10.1093/aje/kwn198</w:t>
      </w:r>
    </w:p>
    <w:p>
      <w:pPr>
        <w:spacing w:after="0" w:line="337" w:lineRule="exact"/>
        <w:rPr>
          <w:color w:val="auto"/>
          <w:sz w:val="20"/>
          <w:szCs w:val="20"/>
        </w:rPr>
      </w:pPr>
    </w:p>
    <w:p>
      <w:pPr>
        <w:spacing w:after="0" w:line="238" w:lineRule="auto"/>
        <w:ind w:left="1180" w:right="280" w:hanging="450"/>
        <w:rPr>
          <w:color w:val="auto"/>
          <w:sz w:val="20"/>
          <w:szCs w:val="20"/>
        </w:rPr>
      </w:pPr>
      <w:r>
        <w:rPr>
          <w:rFonts w:ascii="Cambria" w:hAnsi="Cambria" w:eastAsia="Cambria" w:cs="Cambria"/>
          <w:color w:val="auto"/>
          <w:sz w:val="23"/>
          <w:szCs w:val="23"/>
        </w:rPr>
        <w:t>Chen, K. S., &amp; Deluca, H. F. (1995). Cloning of the human 1-alpha,25-dihydroxyvitamin-D-3 24-hydroxylase gene promoter and identification of 2 vitamin-D-responsive elements. Biochimica Et Biophysica Acta-Gene Structure and Expression, 1263(1), 1-9. doi:10.1016/0167-4781(95)00060-T</w:t>
      </w:r>
    </w:p>
    <w:p>
      <w:pPr>
        <w:spacing w:after="0" w:line="335" w:lineRule="exact"/>
        <w:rPr>
          <w:color w:val="auto"/>
          <w:sz w:val="20"/>
          <w:szCs w:val="20"/>
        </w:rPr>
      </w:pPr>
    </w:p>
    <w:p>
      <w:pPr>
        <w:spacing w:after="0" w:line="217" w:lineRule="auto"/>
        <w:ind w:left="1180" w:right="700" w:hanging="450"/>
        <w:rPr>
          <w:color w:val="auto"/>
          <w:sz w:val="20"/>
          <w:szCs w:val="20"/>
        </w:rPr>
      </w:pPr>
      <w:r>
        <w:rPr>
          <w:rFonts w:ascii="Cambria" w:hAnsi="Cambria" w:eastAsia="Cambria" w:cs="Cambria"/>
          <w:color w:val="auto"/>
          <w:sz w:val="24"/>
          <w:szCs w:val="24"/>
        </w:rPr>
        <w:t>Christensen, B. C., &amp; Marsit, C. J. (2011). Epigenomics in environmental health. Frontiers in Genetics, 2</w:t>
      </w:r>
    </w:p>
    <w:p>
      <w:pPr>
        <w:spacing w:after="0" w:line="334" w:lineRule="exact"/>
        <w:rPr>
          <w:color w:val="auto"/>
          <w:sz w:val="20"/>
          <w:szCs w:val="20"/>
        </w:rPr>
      </w:pPr>
    </w:p>
    <w:p>
      <w:pPr>
        <w:spacing w:after="0" w:line="227" w:lineRule="auto"/>
        <w:ind w:left="720" w:right="420"/>
        <w:jc w:val="right"/>
        <w:rPr>
          <w:color w:val="auto"/>
          <w:sz w:val="20"/>
          <w:szCs w:val="20"/>
        </w:rPr>
      </w:pPr>
      <w:r>
        <w:rPr>
          <w:rFonts w:ascii="Cambria" w:hAnsi="Cambria" w:eastAsia="Cambria" w:cs="Cambria"/>
          <w:color w:val="auto"/>
          <w:sz w:val="23"/>
          <w:szCs w:val="23"/>
        </w:rPr>
        <w:t>Colston, K. W. (2008). Vitamin D and breast cancer risk. Best Practice &amp; Research Clinical Endocrinology &amp; Metabolism, 22(4) doi:10.1016/j.beem.2008.08.002</w:t>
      </w:r>
    </w:p>
    <w:p>
      <w:pPr>
        <w:spacing w:after="0" w:line="335" w:lineRule="exact"/>
        <w:rPr>
          <w:color w:val="auto"/>
          <w:sz w:val="20"/>
          <w:szCs w:val="20"/>
        </w:rPr>
      </w:pPr>
    </w:p>
    <w:p>
      <w:pPr>
        <w:spacing w:after="0" w:line="224" w:lineRule="auto"/>
        <w:ind w:left="1180" w:right="160" w:hanging="450"/>
        <w:rPr>
          <w:color w:val="auto"/>
          <w:sz w:val="20"/>
          <w:szCs w:val="20"/>
        </w:rPr>
      </w:pPr>
      <w:r>
        <w:rPr>
          <w:rFonts w:ascii="Cambria" w:hAnsi="Cambria" w:eastAsia="Cambria" w:cs="Cambria"/>
          <w:color w:val="auto"/>
          <w:sz w:val="24"/>
          <w:szCs w:val="24"/>
        </w:rPr>
        <w:t>Dashwood, R. H., &amp; Ho, E. (2007). Dietary histone deacetylase inhibitors: From cells to mice to man. Seminars in Cancer Biology, 17(5) doi:10.1016/j.semcancer.2007.04.001</w:t>
      </w:r>
    </w:p>
    <w:p>
      <w:pPr>
        <w:spacing w:after="0" w:line="335" w:lineRule="exact"/>
        <w:rPr>
          <w:color w:val="auto"/>
          <w:sz w:val="20"/>
          <w:szCs w:val="20"/>
        </w:rPr>
      </w:pPr>
    </w:p>
    <w:p>
      <w:pPr>
        <w:spacing w:after="0" w:line="226" w:lineRule="auto"/>
        <w:ind w:left="1180" w:right="220" w:hanging="450"/>
        <w:rPr>
          <w:color w:val="auto"/>
          <w:sz w:val="20"/>
          <w:szCs w:val="20"/>
        </w:rPr>
      </w:pPr>
      <w:r>
        <w:rPr>
          <w:rFonts w:ascii="Cambria" w:hAnsi="Cambria" w:eastAsia="Cambria" w:cs="Cambria"/>
          <w:color w:val="auto"/>
          <w:sz w:val="23"/>
          <w:szCs w:val="23"/>
        </w:rPr>
        <w:t>Davis, C. D., &amp; Ross, S. A. (2007). Dietary components impact histone modifications and cancer risk. Nutrition Reviews, 65(2) doi:10.1301/nr.2007.feb.88-94</w:t>
      </w:r>
    </w:p>
    <w:p>
      <w:pPr>
        <w:spacing w:after="0" w:line="335" w:lineRule="exact"/>
        <w:rPr>
          <w:color w:val="auto"/>
          <w:sz w:val="20"/>
          <w:szCs w:val="20"/>
        </w:rPr>
      </w:pPr>
    </w:p>
    <w:p>
      <w:pPr>
        <w:spacing w:after="0" w:line="224" w:lineRule="auto"/>
        <w:ind w:left="1180" w:right="320" w:hanging="450"/>
        <w:rPr>
          <w:color w:val="auto"/>
          <w:sz w:val="20"/>
          <w:szCs w:val="20"/>
        </w:rPr>
      </w:pPr>
      <w:r>
        <w:rPr>
          <w:rFonts w:ascii="Cambria" w:hAnsi="Cambria" w:eastAsia="Cambria" w:cs="Cambria"/>
          <w:color w:val="auto"/>
          <w:sz w:val="24"/>
          <w:szCs w:val="24"/>
        </w:rPr>
        <w:t>Deeb, K. K., Trump, D. L., &amp; Johnson, C. S. (2007). Vitamin D signalling pathways in cancer: Potential for anticancer therapeutics. Nature Reviews Cancer, 7(9) doi:10.1038/nrc2196</w:t>
      </w:r>
    </w:p>
    <w:p>
      <w:pPr>
        <w:spacing w:after="0" w:line="335" w:lineRule="exact"/>
        <w:rPr>
          <w:color w:val="auto"/>
          <w:sz w:val="20"/>
          <w:szCs w:val="20"/>
        </w:rPr>
      </w:pPr>
    </w:p>
    <w:p>
      <w:pPr>
        <w:spacing w:after="0" w:line="235" w:lineRule="auto"/>
        <w:ind w:left="1180" w:right="140" w:hanging="450"/>
        <w:rPr>
          <w:color w:val="auto"/>
          <w:sz w:val="20"/>
          <w:szCs w:val="20"/>
        </w:rPr>
      </w:pPr>
      <w:r>
        <w:rPr>
          <w:rFonts w:ascii="Cambria" w:hAnsi="Cambria" w:eastAsia="Cambria" w:cs="Cambria"/>
          <w:color w:val="auto"/>
          <w:sz w:val="23"/>
          <w:szCs w:val="23"/>
        </w:rPr>
        <w:t>Drzewiecka, H., &amp; Jagodzinski, P. P. (2012). Trichostatin A reduced phospholipase C gamma-1 transcript and protein contents in MCF-7 breast cancer cells. Biomedicine &amp; Pharmacotherapy, 66(1), 1-5. doi:10.1016/j.biopha.2011.09.005</w:t>
      </w:r>
    </w:p>
    <w:p>
      <w:pPr>
        <w:spacing w:after="0" w:line="334" w:lineRule="exact"/>
        <w:rPr>
          <w:color w:val="auto"/>
          <w:sz w:val="20"/>
          <w:szCs w:val="20"/>
        </w:rPr>
      </w:pPr>
    </w:p>
    <w:p>
      <w:pPr>
        <w:spacing w:after="0" w:line="224" w:lineRule="auto"/>
        <w:ind w:left="1180" w:right="100" w:hanging="450"/>
        <w:jc w:val="both"/>
        <w:rPr>
          <w:color w:val="auto"/>
          <w:sz w:val="20"/>
          <w:szCs w:val="20"/>
        </w:rPr>
      </w:pPr>
      <w:r>
        <w:rPr>
          <w:rFonts w:ascii="Cambria" w:hAnsi="Cambria" w:eastAsia="Cambria" w:cs="Cambria"/>
          <w:color w:val="auto"/>
          <w:sz w:val="24"/>
          <w:szCs w:val="24"/>
        </w:rPr>
        <w:t>Essa, S., Reichrath, S., Mahlknecht, U., Montenarh, M., Vogt, T., &amp; Reichrath, J. (2012). Signature of VDR miRNAs and epigenetic modulation of vitamin D signaling in melanoma cell lines. Anticancer Research, 32(1), 383-389.</w:t>
      </w:r>
    </w:p>
    <w:p>
      <w:pPr>
        <w:spacing w:after="0" w:line="335" w:lineRule="exact"/>
        <w:rPr>
          <w:color w:val="auto"/>
          <w:sz w:val="20"/>
          <w:szCs w:val="20"/>
        </w:rPr>
      </w:pPr>
    </w:p>
    <w:p>
      <w:pPr>
        <w:spacing w:after="0" w:line="226" w:lineRule="auto"/>
        <w:ind w:left="1180" w:right="120" w:hanging="450"/>
        <w:jc w:val="both"/>
        <w:rPr>
          <w:color w:val="auto"/>
          <w:sz w:val="20"/>
          <w:szCs w:val="20"/>
        </w:rPr>
      </w:pPr>
      <w:r>
        <w:rPr>
          <w:rFonts w:ascii="Cambria" w:hAnsi="Cambria" w:eastAsia="Cambria" w:cs="Cambria"/>
          <w:color w:val="auto"/>
          <w:sz w:val="23"/>
          <w:szCs w:val="23"/>
        </w:rPr>
        <w:t>Esteller, M. (2003). Cancer epigenetics: DNA methylation and chromatin alterations in human cancer. New Trends in Cancer for the 21st Century, 532, 39-49.</w:t>
      </w:r>
    </w:p>
    <w:p>
      <w:pPr>
        <w:spacing w:after="0" w:line="335" w:lineRule="exact"/>
        <w:rPr>
          <w:color w:val="auto"/>
          <w:sz w:val="20"/>
          <w:szCs w:val="20"/>
        </w:rPr>
      </w:pPr>
    </w:p>
    <w:p>
      <w:pPr>
        <w:spacing w:after="0" w:line="225" w:lineRule="auto"/>
        <w:ind w:left="1180" w:right="120" w:hanging="450"/>
        <w:rPr>
          <w:color w:val="auto"/>
          <w:sz w:val="20"/>
          <w:szCs w:val="20"/>
        </w:rPr>
      </w:pPr>
      <w:r>
        <w:rPr>
          <w:rFonts w:ascii="Cambria" w:hAnsi="Cambria" w:eastAsia="Cambria" w:cs="Cambria"/>
          <w:color w:val="auto"/>
          <w:sz w:val="24"/>
          <w:szCs w:val="24"/>
        </w:rPr>
        <w:t>Gerhaeuser, C. (2012). Cancer cell metabolism, epigenetics and the potential influence of dietary components - A perspective. Biomedical Research-India, 23, 69-89.</w:t>
      </w:r>
    </w:p>
    <w:p>
      <w:pPr>
        <w:spacing w:after="0" w:line="334" w:lineRule="exact"/>
        <w:rPr>
          <w:color w:val="auto"/>
          <w:sz w:val="20"/>
          <w:szCs w:val="20"/>
        </w:rPr>
      </w:pPr>
    </w:p>
    <w:p>
      <w:pPr>
        <w:spacing w:after="0" w:line="228" w:lineRule="auto"/>
        <w:ind w:left="1180" w:right="360" w:hanging="450"/>
        <w:rPr>
          <w:color w:val="auto"/>
          <w:sz w:val="20"/>
          <w:szCs w:val="20"/>
        </w:rPr>
      </w:pPr>
      <w:r>
        <w:rPr>
          <w:rFonts w:ascii="Cambria" w:hAnsi="Cambria" w:eastAsia="Cambria" w:cs="Cambria"/>
          <w:color w:val="auto"/>
          <w:sz w:val="24"/>
          <w:szCs w:val="24"/>
        </w:rPr>
        <w:t>Grant, W. B. (2010). Relation between prediagnostic serum 25-hydroxyvitamin D level and incidence of breast, colorectal, and other cancers. Journal of Photochemistry and Photobiology B-Biology, 101(2), 130-136. doi:10.1016/j.jphotobiol.2010.04.008</w:t>
      </w:r>
    </w:p>
    <w:p>
      <w:pPr>
        <w:spacing w:after="0" w:line="200" w:lineRule="exact"/>
        <w:rPr>
          <w:color w:val="auto"/>
          <w:sz w:val="20"/>
          <w:szCs w:val="20"/>
        </w:rPr>
      </w:pPr>
    </w:p>
    <w:p>
      <w:pPr>
        <w:spacing w:after="0" w:line="31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61</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69" w:name="page76"/>
      <w:bookmarkEnd w:id="69"/>
    </w:p>
    <w:p>
      <w:pPr>
        <w:spacing w:after="0" w:line="228" w:lineRule="auto"/>
        <w:ind w:left="1180" w:right="320" w:hanging="450"/>
        <w:jc w:val="both"/>
        <w:rPr>
          <w:color w:val="auto"/>
          <w:sz w:val="20"/>
          <w:szCs w:val="20"/>
        </w:rPr>
      </w:pPr>
      <w:r>
        <w:rPr>
          <w:rFonts w:ascii="Cambria" w:hAnsi="Cambria" w:eastAsia="Cambria" w:cs="Cambria"/>
          <w:color w:val="auto"/>
          <w:sz w:val="24"/>
          <w:szCs w:val="24"/>
        </w:rPr>
        <w:t>Hong, Z., Tian, C., &amp; Zhang, X. (2012). Dietary calcium intake, vitamin D levels, and breast cancer risk: A dose-response analysis of observational studies. Breast Cancer Research and Treatment, 136(1), 309-312. doi:10.1007/s10549-012-2172-8</w:t>
      </w:r>
    </w:p>
    <w:p>
      <w:pPr>
        <w:spacing w:after="0" w:line="337" w:lineRule="exact"/>
        <w:rPr>
          <w:color w:val="auto"/>
          <w:sz w:val="20"/>
          <w:szCs w:val="20"/>
        </w:rPr>
      </w:pPr>
    </w:p>
    <w:p>
      <w:pPr>
        <w:spacing w:after="0" w:line="224" w:lineRule="auto"/>
        <w:ind w:left="1180" w:hanging="450"/>
        <w:rPr>
          <w:color w:val="auto"/>
          <w:sz w:val="20"/>
          <w:szCs w:val="20"/>
        </w:rPr>
      </w:pPr>
      <w:r>
        <w:rPr>
          <w:rFonts w:ascii="Cambria" w:hAnsi="Cambria" w:eastAsia="Cambria" w:cs="Cambria"/>
          <w:color w:val="auto"/>
          <w:sz w:val="24"/>
          <w:szCs w:val="24"/>
        </w:rPr>
        <w:t>Johnson, C. S., Chung, I., &amp; Trump, D. L. (2010). Epigenetic silencing of CYP24 in the tumor microenvironment. Journal of Steroid Biochemistry and Molecular Biology, 121(1-2), 338-342. doi:10.1016/j.jsbmb.2010.03.046</w:t>
      </w:r>
    </w:p>
    <w:p>
      <w:pPr>
        <w:spacing w:after="0" w:line="335" w:lineRule="exact"/>
        <w:rPr>
          <w:color w:val="auto"/>
          <w:sz w:val="20"/>
          <w:szCs w:val="20"/>
        </w:rPr>
      </w:pPr>
    </w:p>
    <w:p>
      <w:pPr>
        <w:spacing w:after="0" w:line="238" w:lineRule="auto"/>
        <w:ind w:left="1180" w:right="340" w:hanging="450"/>
        <w:rPr>
          <w:color w:val="auto"/>
          <w:sz w:val="20"/>
          <w:szCs w:val="20"/>
        </w:rPr>
      </w:pPr>
      <w:r>
        <w:rPr>
          <w:rFonts w:ascii="Cambria" w:hAnsi="Cambria" w:eastAsia="Cambria" w:cs="Cambria"/>
          <w:color w:val="auto"/>
          <w:sz w:val="23"/>
          <w:szCs w:val="23"/>
        </w:rPr>
        <w:t>Jones, E. G., Tighilet, B., Tran, B. V., &amp; Huntsman, M. M. (1998). Nucleus- and cell-specific expression of NMDA and non-NMDA receptor subunits in monkey thalamus. Journal of Comparative Neurology, 397(3), 371-393. doi:10.1002/(SICI)1096-9861(19980803)397:3&lt;371::AID-CNE5&gt;3.0.CO;2-#</w:t>
      </w:r>
    </w:p>
    <w:p>
      <w:pPr>
        <w:spacing w:after="0" w:line="337" w:lineRule="exact"/>
        <w:rPr>
          <w:color w:val="auto"/>
          <w:sz w:val="20"/>
          <w:szCs w:val="20"/>
        </w:rPr>
      </w:pPr>
    </w:p>
    <w:p>
      <w:pPr>
        <w:spacing w:after="0" w:line="224" w:lineRule="auto"/>
        <w:ind w:left="1180" w:right="180" w:hanging="450"/>
        <w:rPr>
          <w:color w:val="auto"/>
          <w:sz w:val="20"/>
          <w:szCs w:val="20"/>
        </w:rPr>
      </w:pPr>
      <w:r>
        <w:rPr>
          <w:rFonts w:ascii="Cambria" w:hAnsi="Cambria" w:eastAsia="Cambria" w:cs="Cambria"/>
          <w:color w:val="auto"/>
          <w:sz w:val="24"/>
          <w:szCs w:val="24"/>
        </w:rPr>
        <w:t>Kim, S., &amp; Singh, S. V. (2009). D,L-sulforaphane causes transcriptional repression of androgen receptor in human prostate cancer cells. Molecular Cancer Therapeutics, 8(7), 1946-1954. doi:10.1158/1535-7163.MCT-09-0104</w:t>
      </w:r>
    </w:p>
    <w:p>
      <w:pPr>
        <w:spacing w:after="0" w:line="335" w:lineRule="exact"/>
        <w:rPr>
          <w:color w:val="auto"/>
          <w:sz w:val="20"/>
          <w:szCs w:val="20"/>
        </w:rPr>
      </w:pPr>
    </w:p>
    <w:p>
      <w:pPr>
        <w:spacing w:after="0" w:line="224" w:lineRule="auto"/>
        <w:ind w:left="1180" w:right="260" w:hanging="450"/>
        <w:rPr>
          <w:color w:val="auto"/>
          <w:sz w:val="20"/>
          <w:szCs w:val="20"/>
        </w:rPr>
      </w:pPr>
      <w:r>
        <w:rPr>
          <w:rFonts w:ascii="Cambria" w:hAnsi="Cambria" w:eastAsia="Cambria" w:cs="Cambria"/>
          <w:color w:val="auto"/>
          <w:sz w:val="24"/>
          <w:szCs w:val="24"/>
        </w:rPr>
        <w:t>Kim, S., Kang, H., Na, H., &amp; Lee, M. (2010). Trichostatin A enhances acetylation as well as protein stability of ER alpha through induction of p300 protein. Breast Cancer Research, 12(2), R22. doi:10.1186/bcr2562</w:t>
      </w:r>
    </w:p>
    <w:p>
      <w:pPr>
        <w:spacing w:after="0" w:line="335" w:lineRule="exact"/>
        <w:rPr>
          <w:color w:val="auto"/>
          <w:sz w:val="20"/>
          <w:szCs w:val="20"/>
        </w:rPr>
      </w:pPr>
    </w:p>
    <w:p>
      <w:pPr>
        <w:spacing w:after="0" w:line="228" w:lineRule="auto"/>
        <w:ind w:left="1180" w:right="100" w:hanging="450"/>
        <w:rPr>
          <w:color w:val="auto"/>
          <w:sz w:val="20"/>
          <w:szCs w:val="20"/>
        </w:rPr>
      </w:pPr>
      <w:r>
        <w:rPr>
          <w:rFonts w:ascii="Cambria" w:hAnsi="Cambria" w:eastAsia="Cambria" w:cs="Cambria"/>
          <w:color w:val="auto"/>
          <w:sz w:val="24"/>
          <w:szCs w:val="24"/>
        </w:rPr>
        <w:t>Knight, J. A., Lesosky, M., Barnett, H., Raboud, J. M., &amp; Vieth, R. (2007). Vitamin D and reduced risk of breast cancer: A population-based case-control study. Cancer Epidemiology Biomarkers &amp; Prevention, 16(3), 422-429. doi:10.1158/1055-9965.EPI-06-0865</w:t>
      </w:r>
    </w:p>
    <w:p>
      <w:pPr>
        <w:spacing w:after="0" w:line="337" w:lineRule="exact"/>
        <w:rPr>
          <w:color w:val="auto"/>
          <w:sz w:val="20"/>
          <w:szCs w:val="20"/>
        </w:rPr>
      </w:pPr>
    </w:p>
    <w:p>
      <w:pPr>
        <w:spacing w:after="0" w:line="228" w:lineRule="auto"/>
        <w:ind w:left="1180" w:right="60" w:hanging="450"/>
        <w:rPr>
          <w:color w:val="auto"/>
          <w:sz w:val="20"/>
          <w:szCs w:val="20"/>
        </w:rPr>
      </w:pPr>
      <w:r>
        <w:rPr>
          <w:rFonts w:ascii="Cambria" w:hAnsi="Cambria" w:eastAsia="Cambria" w:cs="Cambria"/>
          <w:color w:val="auto"/>
          <w:sz w:val="24"/>
          <w:szCs w:val="24"/>
        </w:rPr>
        <w:t>Kuper, H., Yang, L., Sandin, S., Lof, M., Adami, H., &amp; Weiderpass, E. (2009). Prospective study of solar exposure, dietary vitamin D intake, and risk of breast cancer among middle-aged women. Cancer Epidemiology Biomarkers &amp; Prevention, 18(9), 2558-2561. doi:10.1158/1055-9965.EPI-09-0449</w:t>
      </w:r>
    </w:p>
    <w:p>
      <w:pPr>
        <w:spacing w:after="0" w:line="337" w:lineRule="exact"/>
        <w:rPr>
          <w:color w:val="auto"/>
          <w:sz w:val="20"/>
          <w:szCs w:val="20"/>
        </w:rPr>
      </w:pPr>
    </w:p>
    <w:p>
      <w:pPr>
        <w:spacing w:after="0" w:line="217" w:lineRule="auto"/>
        <w:ind w:left="1180" w:right="20" w:hanging="450"/>
        <w:rPr>
          <w:color w:val="auto"/>
          <w:sz w:val="20"/>
          <w:szCs w:val="20"/>
        </w:rPr>
      </w:pPr>
      <w:r>
        <w:rPr>
          <w:rFonts w:ascii="Cambria" w:hAnsi="Cambria" w:eastAsia="Cambria" w:cs="Cambria"/>
          <w:color w:val="auto"/>
          <w:sz w:val="24"/>
          <w:szCs w:val="24"/>
        </w:rPr>
        <w:t>Levenson, A., &amp; Jordan, C. (1997). &lt;br /&gt;MCF-7: The first hormone-responsiveBreast cancer cell line . Cancer Research, 57, 3071.</w:t>
      </w:r>
    </w:p>
    <w:p>
      <w:pPr>
        <w:spacing w:after="0" w:line="334" w:lineRule="exact"/>
        <w:rPr>
          <w:color w:val="auto"/>
          <w:sz w:val="20"/>
          <w:szCs w:val="20"/>
        </w:rPr>
      </w:pPr>
    </w:p>
    <w:p>
      <w:pPr>
        <w:spacing w:after="0" w:line="228" w:lineRule="auto"/>
        <w:ind w:left="1180" w:right="100" w:hanging="450"/>
        <w:rPr>
          <w:color w:val="auto"/>
          <w:sz w:val="20"/>
          <w:szCs w:val="20"/>
        </w:rPr>
      </w:pPr>
      <w:r>
        <w:rPr>
          <w:rFonts w:ascii="Cambria" w:hAnsi="Cambria" w:eastAsia="Cambria" w:cs="Cambria"/>
          <w:color w:val="auto"/>
          <w:sz w:val="24"/>
          <w:szCs w:val="24"/>
        </w:rPr>
        <w:t>Li, Y., Zhang, T., Korkaya, H., Liu, S., Lee, H., Newman, B., . . . Sun, D. (2010). Sulforaphane, a dietary component of broccoli/broccoli sprouts, inhibits breast cancer stem cells. Clinical Cancer Research, 16(9), 2580-2590. doi:10.1158/1078-0432.CCR-09-2937</w:t>
      </w:r>
    </w:p>
    <w:p>
      <w:pPr>
        <w:spacing w:after="0" w:line="335" w:lineRule="exact"/>
        <w:rPr>
          <w:color w:val="auto"/>
          <w:sz w:val="20"/>
          <w:szCs w:val="20"/>
        </w:rPr>
      </w:pPr>
    </w:p>
    <w:p>
      <w:pPr>
        <w:spacing w:after="0" w:line="225" w:lineRule="auto"/>
        <w:ind w:left="1180" w:right="40" w:hanging="450"/>
        <w:rPr>
          <w:color w:val="auto"/>
          <w:sz w:val="20"/>
          <w:szCs w:val="20"/>
        </w:rPr>
      </w:pPr>
      <w:r>
        <w:rPr>
          <w:rFonts w:ascii="Cambria" w:hAnsi="Cambria" w:eastAsia="Cambria" w:cs="Cambria"/>
          <w:color w:val="auto"/>
          <w:sz w:val="24"/>
          <w:szCs w:val="24"/>
        </w:rPr>
        <w:t>Lopes, N., Paredes, J., Costa, J. L., Ylstra, B., &amp; Schmitt, F. (2012). Vitamin D and the mammary gland: A review on its role in normal development and breast cancer. Breast Cancer Research, 14(3), 211. doi:10.1186/bcr3178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62</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70" w:name="page77"/>
      <w:bookmarkEnd w:id="70"/>
    </w:p>
    <w:p>
      <w:pPr>
        <w:spacing w:after="0" w:line="231" w:lineRule="auto"/>
        <w:ind w:left="1180" w:right="280" w:hanging="450"/>
        <w:rPr>
          <w:color w:val="auto"/>
          <w:sz w:val="20"/>
          <w:szCs w:val="20"/>
        </w:rPr>
      </w:pPr>
      <w:r>
        <w:rPr>
          <w:rFonts w:ascii="Cambria" w:hAnsi="Cambria" w:eastAsia="Cambria" w:cs="Cambria"/>
          <w:color w:val="auto"/>
          <w:sz w:val="24"/>
          <w:szCs w:val="24"/>
        </w:rPr>
        <w:t>Lopes, N., Sousa, B., Martins, D., Gomes, M., Vieira, D., Veronese, L. A., Schmitt, F. (2010). Alterations in vitamin D signalling and metabolic pathways in breast cancer progression: A study of VDR, CYP27B1 and CYP24A1 expression in benign and malignant breast lesions. Bmc Cancer, 10, 483. doi:10.1186/1471-2407-10-483</w:t>
      </w:r>
    </w:p>
    <w:p>
      <w:pPr>
        <w:spacing w:after="0" w:line="333" w:lineRule="exact"/>
        <w:rPr>
          <w:color w:val="auto"/>
          <w:sz w:val="20"/>
          <w:szCs w:val="20"/>
        </w:rPr>
      </w:pPr>
    </w:p>
    <w:p>
      <w:pPr>
        <w:spacing w:after="0" w:line="228" w:lineRule="auto"/>
        <w:ind w:left="1180" w:right="40" w:hanging="450"/>
        <w:rPr>
          <w:color w:val="auto"/>
          <w:sz w:val="20"/>
          <w:szCs w:val="20"/>
        </w:rPr>
      </w:pPr>
      <w:r>
        <w:rPr>
          <w:rFonts w:ascii="Cambria" w:hAnsi="Cambria" w:eastAsia="Cambria" w:cs="Cambria"/>
          <w:color w:val="auto"/>
          <w:sz w:val="24"/>
          <w:szCs w:val="24"/>
        </w:rPr>
        <w:t>Luo, W., Karpf, A. R., Deeb, K. K., Muindi, J. R., Morrison, C. D., Johnson, C. S., &amp; Trump, D. L. (2010). Epigenetic regulation of vitamin D 24-hydroxylase/CYP24A1 in human prostate cancer. Cancer Research, 70(14), 5953-5962. doi:10.1158/0008-5472.CAN-10-0617</w:t>
      </w:r>
    </w:p>
    <w:p>
      <w:pPr>
        <w:spacing w:after="0" w:line="335" w:lineRule="exact"/>
        <w:rPr>
          <w:color w:val="auto"/>
          <w:sz w:val="20"/>
          <w:szCs w:val="20"/>
        </w:rPr>
      </w:pPr>
    </w:p>
    <w:p>
      <w:pPr>
        <w:spacing w:after="0" w:line="231" w:lineRule="auto"/>
        <w:ind w:left="1180" w:right="200" w:hanging="450"/>
        <w:rPr>
          <w:color w:val="auto"/>
          <w:sz w:val="20"/>
          <w:szCs w:val="20"/>
        </w:rPr>
      </w:pPr>
      <w:r>
        <w:rPr>
          <w:rFonts w:ascii="Cambria" w:hAnsi="Cambria" w:eastAsia="Cambria" w:cs="Cambria"/>
          <w:color w:val="auto"/>
          <w:sz w:val="24"/>
          <w:szCs w:val="24"/>
        </w:rPr>
        <w:t>Malinen, M., Saramaki, A., Ropponen, A., Degenhardt, T., Vaisanen, S., &amp; Carlberg, C. (2008). Distinct HDACs regulate the transcriptional response of human cyclin-dependent kinase inhibitor genes to trichostatin A and 1 alpha,25-dihydroxyvitamin D-3. Nucleic Acids Research, 36(1), 121-132. doi:10.1093/nar/gkm913</w:t>
      </w:r>
    </w:p>
    <w:p>
      <w:pPr>
        <w:spacing w:after="0" w:line="333" w:lineRule="exact"/>
        <w:rPr>
          <w:color w:val="auto"/>
          <w:sz w:val="20"/>
          <w:szCs w:val="20"/>
        </w:rPr>
      </w:pPr>
    </w:p>
    <w:p>
      <w:pPr>
        <w:spacing w:after="0" w:line="225" w:lineRule="auto"/>
        <w:ind w:left="1180" w:right="80" w:hanging="450"/>
        <w:jc w:val="both"/>
        <w:rPr>
          <w:color w:val="auto"/>
          <w:sz w:val="20"/>
          <w:szCs w:val="20"/>
        </w:rPr>
      </w:pPr>
      <w:r>
        <w:rPr>
          <w:rFonts w:ascii="Cambria" w:hAnsi="Cambria" w:eastAsia="Cambria" w:cs="Cambria"/>
          <w:color w:val="auto"/>
          <w:sz w:val="24"/>
          <w:szCs w:val="24"/>
        </w:rPr>
        <w:t>Marks, P. A., &amp; Breslow, R. (2007). Dimethyl sulfoxide to vorinostat: Development of this histone deacetylase inhibitor as an anticancer drug. Nature Biotechnology, 25(1), 84-90. doi:10.1038/nbt1272</w:t>
      </w:r>
    </w:p>
    <w:p>
      <w:pPr>
        <w:spacing w:after="0" w:line="334" w:lineRule="exact"/>
        <w:rPr>
          <w:color w:val="auto"/>
          <w:sz w:val="20"/>
          <w:szCs w:val="20"/>
        </w:rPr>
      </w:pPr>
    </w:p>
    <w:p>
      <w:pPr>
        <w:spacing w:after="0" w:line="231" w:lineRule="auto"/>
        <w:ind w:left="1180" w:right="60" w:hanging="450"/>
        <w:rPr>
          <w:color w:val="auto"/>
          <w:sz w:val="20"/>
          <w:szCs w:val="20"/>
        </w:rPr>
      </w:pPr>
      <w:r>
        <w:rPr>
          <w:rFonts w:ascii="Cambria" w:hAnsi="Cambria" w:eastAsia="Cambria" w:cs="Cambria"/>
          <w:color w:val="auto"/>
          <w:sz w:val="24"/>
          <w:szCs w:val="24"/>
        </w:rPr>
        <w:t>Matilainen, J. M., Malinen, M., Turunen, M. M., Carlberg, C., &amp; Vaisanen, S. (2010). The number of vitamin D receptor binding sites defines the different vitamin D responsiveness of the CYP24 gene in malignant and normal mammary cells. Journal of Biological Chemistry, 285(31), 24174-24183. doi:10.1074/jbc.M110.124073</w:t>
      </w:r>
    </w:p>
    <w:p>
      <w:pPr>
        <w:spacing w:after="0" w:line="333" w:lineRule="exact"/>
        <w:rPr>
          <w:color w:val="auto"/>
          <w:sz w:val="20"/>
          <w:szCs w:val="20"/>
        </w:rPr>
      </w:pPr>
    </w:p>
    <w:p>
      <w:pPr>
        <w:spacing w:after="0" w:line="224" w:lineRule="auto"/>
        <w:ind w:left="1180" w:right="60" w:hanging="450"/>
        <w:rPr>
          <w:color w:val="auto"/>
          <w:sz w:val="20"/>
          <w:szCs w:val="20"/>
        </w:rPr>
      </w:pPr>
      <w:r>
        <w:rPr>
          <w:rFonts w:ascii="Cambria" w:hAnsi="Cambria" w:eastAsia="Cambria" w:cs="Cambria"/>
          <w:color w:val="auto"/>
          <w:sz w:val="24"/>
          <w:szCs w:val="24"/>
        </w:rPr>
        <w:t>Meadows, G. G. (2012). Diet, nutrients, phytochemicals, and cancer metastasis suppressor genes. Cancer and Metastasis Reviews, 31(3-4) doi:10.1007/s10555-012-9369-5</w:t>
      </w:r>
    </w:p>
    <w:p>
      <w:pPr>
        <w:spacing w:after="0" w:line="335" w:lineRule="exact"/>
        <w:rPr>
          <w:color w:val="auto"/>
          <w:sz w:val="20"/>
          <w:szCs w:val="20"/>
        </w:rPr>
      </w:pPr>
    </w:p>
    <w:p>
      <w:pPr>
        <w:spacing w:after="0" w:line="224" w:lineRule="auto"/>
        <w:ind w:left="1180" w:right="160" w:hanging="450"/>
        <w:rPr>
          <w:color w:val="auto"/>
          <w:sz w:val="20"/>
          <w:szCs w:val="20"/>
        </w:rPr>
      </w:pPr>
      <w:r>
        <w:rPr>
          <w:rFonts w:ascii="Cambria" w:hAnsi="Cambria" w:eastAsia="Cambria" w:cs="Cambria"/>
          <w:color w:val="auto"/>
          <w:sz w:val="24"/>
          <w:szCs w:val="24"/>
        </w:rPr>
        <w:t>Meeran, S. M., Patel, S. N., &amp; Tollefsbol, T. O. (2010). Sulforaphane causes epigenetic repression of hTERT expression in human breast cancer cell lines. Plos One, 5(7), e11457. doi:10.1371/journal.pone.0011457</w:t>
      </w:r>
    </w:p>
    <w:p>
      <w:pPr>
        <w:spacing w:after="0" w:line="335" w:lineRule="exact"/>
        <w:rPr>
          <w:color w:val="auto"/>
          <w:sz w:val="20"/>
          <w:szCs w:val="20"/>
        </w:rPr>
      </w:pPr>
    </w:p>
    <w:p>
      <w:pPr>
        <w:spacing w:after="0" w:line="235" w:lineRule="auto"/>
        <w:ind w:left="1180" w:right="480" w:hanging="450"/>
        <w:jc w:val="both"/>
        <w:rPr>
          <w:color w:val="auto"/>
          <w:sz w:val="20"/>
          <w:szCs w:val="20"/>
        </w:rPr>
      </w:pPr>
      <w:r>
        <w:rPr>
          <w:rFonts w:ascii="Cambria" w:hAnsi="Cambria" w:eastAsia="Cambria" w:cs="Cambria"/>
          <w:color w:val="auto"/>
          <w:sz w:val="23"/>
          <w:szCs w:val="23"/>
        </w:rPr>
        <w:t>Myzak, M., Karplus, P., Chung, F., &amp; Dashwood, R. (2004). A novel mechanism of chemoprotection by sulforaphane: Inhibition of histone deacetylase. Cancer Research, 64(16), 5767-5774. doi:10.1158/0008-5472.CAN-04-1326</w:t>
      </w:r>
    </w:p>
    <w:p>
      <w:pPr>
        <w:spacing w:after="0" w:line="333" w:lineRule="exact"/>
        <w:rPr>
          <w:color w:val="auto"/>
          <w:sz w:val="20"/>
          <w:szCs w:val="20"/>
        </w:rPr>
      </w:pPr>
    </w:p>
    <w:p>
      <w:pPr>
        <w:spacing w:after="0" w:line="234" w:lineRule="auto"/>
        <w:ind w:left="1180" w:right="20" w:hanging="450"/>
        <w:rPr>
          <w:color w:val="auto"/>
          <w:sz w:val="20"/>
          <w:szCs w:val="20"/>
        </w:rPr>
      </w:pPr>
      <w:r>
        <w:rPr>
          <w:rFonts w:ascii="Cambria" w:hAnsi="Cambria" w:eastAsia="Cambria" w:cs="Cambria"/>
          <w:color w:val="auto"/>
          <w:sz w:val="23"/>
          <w:szCs w:val="23"/>
        </w:rPr>
        <w:t>Myzak, M. C., Tong, P., Dashwood, W., Dashwood, R. H., &amp; Ho, E. (2007). Sulforaphane retards the growth of human PC-3 xenografts and inhibits HDAC activity in human subjects. Experimental Biology and Medicine, 232(2), 227-234.</w:t>
      </w:r>
    </w:p>
    <w:p>
      <w:pPr>
        <w:spacing w:after="0" w:line="335" w:lineRule="exact"/>
        <w:rPr>
          <w:color w:val="auto"/>
          <w:sz w:val="20"/>
          <w:szCs w:val="20"/>
        </w:rPr>
      </w:pPr>
    </w:p>
    <w:p>
      <w:pPr>
        <w:spacing w:after="0" w:line="217" w:lineRule="auto"/>
        <w:ind w:left="1180" w:right="860" w:hanging="450"/>
        <w:rPr>
          <w:color w:val="auto"/>
          <w:sz w:val="20"/>
          <w:szCs w:val="20"/>
        </w:rPr>
      </w:pPr>
      <w:r>
        <w:rPr>
          <w:rFonts w:ascii="Cambria" w:hAnsi="Cambria" w:eastAsia="Cambria" w:cs="Cambria"/>
          <w:color w:val="auto"/>
          <w:sz w:val="24"/>
          <w:szCs w:val="24"/>
        </w:rPr>
        <w:t xml:space="preserve">National Cancer Institute. (2013). Breast cancer. Retrieved 1/24, 2013, from </w:t>
      </w:r>
      <w:r>
        <w:rPr>
          <w:rFonts w:ascii="Cambria" w:hAnsi="Cambria" w:eastAsia="Cambria" w:cs="Cambria"/>
          <w:color w:val="0000FF"/>
          <w:sz w:val="24"/>
          <w:szCs w:val="24"/>
          <w:u w:val="single" w:color="auto"/>
        </w:rPr>
        <w:t>http://www.cancer.gov/cancertopics/types/breast</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63</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71" w:name="page78"/>
      <w:bookmarkEnd w:id="71"/>
    </w:p>
    <w:p>
      <w:pPr>
        <w:spacing w:after="0" w:line="224" w:lineRule="auto"/>
        <w:ind w:left="1180" w:right="680" w:hanging="450"/>
        <w:jc w:val="both"/>
        <w:rPr>
          <w:color w:val="auto"/>
          <w:sz w:val="20"/>
          <w:szCs w:val="20"/>
        </w:rPr>
      </w:pPr>
      <w:r>
        <w:rPr>
          <w:rFonts w:ascii="Cambria" w:hAnsi="Cambria" w:eastAsia="Cambria" w:cs="Cambria"/>
          <w:color w:val="auto"/>
          <w:sz w:val="24"/>
          <w:szCs w:val="24"/>
        </w:rPr>
        <w:t>National Institute of Health. (2011). Dietary supplement fact sheet: Vitamin D. Retrieved 03/09, 2013, from</w:t>
      </w:r>
      <w:r>
        <w:rPr>
          <w:rFonts w:ascii="Cambria" w:hAnsi="Cambria" w:eastAsia="Cambria" w:cs="Cambria"/>
          <w:color w:val="0000FF"/>
          <w:sz w:val="24"/>
          <w:szCs w:val="24"/>
        </w:rPr>
        <w:t xml:space="preserve"> </w:t>
      </w:r>
      <w:r>
        <w:rPr>
          <w:rFonts w:ascii="Cambria" w:hAnsi="Cambria" w:eastAsia="Cambria" w:cs="Cambria"/>
          <w:color w:val="0000FF"/>
          <w:sz w:val="24"/>
          <w:szCs w:val="24"/>
          <w:u w:val="single" w:color="auto"/>
        </w:rPr>
        <w:t>http://ods.od.nih.gov/factsheets/VitaminD-HealthProfessional/</w:t>
      </w:r>
    </w:p>
    <w:p>
      <w:pPr>
        <w:spacing w:after="0" w:line="28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Nuclear Receptor Resource. (2011). Nuclear hormone receptor. Retrieved March,</w:t>
      </w:r>
    </w:p>
    <w:p>
      <w:pPr>
        <w:spacing w:after="0" w:line="2" w:lineRule="exact"/>
        <w:rPr>
          <w:color w:val="auto"/>
          <w:sz w:val="20"/>
          <w:szCs w:val="20"/>
        </w:rPr>
      </w:pPr>
    </w:p>
    <w:p>
      <w:pPr>
        <w:spacing w:after="0"/>
        <w:ind w:left="1180"/>
        <w:rPr>
          <w:color w:val="auto"/>
          <w:sz w:val="20"/>
          <w:szCs w:val="20"/>
        </w:rPr>
      </w:pPr>
      <w:r>
        <w:rPr>
          <w:rFonts w:ascii="Cambria" w:hAnsi="Cambria" w:eastAsia="Cambria" w:cs="Cambria"/>
          <w:color w:val="auto"/>
          <w:sz w:val="24"/>
          <w:szCs w:val="24"/>
        </w:rPr>
        <w:t>10, 2013, from</w:t>
      </w:r>
    </w:p>
    <w:p>
      <w:pPr>
        <w:spacing w:after="0" w:line="237" w:lineRule="auto"/>
        <w:ind w:left="1180"/>
        <w:rPr>
          <w:color w:val="auto"/>
          <w:sz w:val="20"/>
          <w:szCs w:val="20"/>
        </w:rPr>
      </w:pPr>
      <w:r>
        <w:rPr>
          <w:rFonts w:ascii="Cambria" w:hAnsi="Cambria" w:eastAsia="Cambria" w:cs="Cambria"/>
          <w:color w:val="0000FF"/>
          <w:sz w:val="24"/>
          <w:szCs w:val="24"/>
          <w:u w:val="single" w:color="auto"/>
        </w:rPr>
        <w:t>http://nrresource.org/general_information/general_information.html</w:t>
      </w:r>
    </w:p>
    <w:p>
      <w:pPr>
        <w:spacing w:after="0" w:line="334" w:lineRule="exact"/>
        <w:rPr>
          <w:color w:val="auto"/>
          <w:sz w:val="20"/>
          <w:szCs w:val="20"/>
        </w:rPr>
      </w:pPr>
    </w:p>
    <w:p>
      <w:pPr>
        <w:spacing w:after="0" w:line="228" w:lineRule="auto"/>
        <w:ind w:left="1180" w:right="320" w:hanging="450"/>
        <w:rPr>
          <w:color w:val="auto"/>
          <w:sz w:val="20"/>
          <w:szCs w:val="20"/>
        </w:rPr>
      </w:pPr>
      <w:r>
        <w:rPr>
          <w:rFonts w:ascii="Cambria" w:hAnsi="Cambria" w:eastAsia="Cambria" w:cs="Cambria"/>
          <w:color w:val="auto"/>
          <w:sz w:val="24"/>
          <w:szCs w:val="24"/>
        </w:rPr>
        <w:t>Ouadid-Ahidouch, H., Dhennin-Duthille, I., Gautier, M., Sevestre, H., &amp; Ahidouch, A. (2012). TRP calcium channel and breast cancer: Expression, role and correlation with clinical parameters. Bulletin Du Cancer, 99(6), 655-664. doi:10.1684/bdc.2012.1595</w:t>
      </w:r>
    </w:p>
    <w:p>
      <w:pPr>
        <w:spacing w:after="0" w:line="284"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Peters, A. A., Simpson, P. T., Bassett, J. J., Lee, J. M., Da Silva, L., Reid, L. E., . . .</w:t>
      </w:r>
    </w:p>
    <w:p>
      <w:pPr>
        <w:spacing w:after="0" w:line="52" w:lineRule="exact"/>
        <w:rPr>
          <w:color w:val="auto"/>
          <w:sz w:val="20"/>
          <w:szCs w:val="20"/>
        </w:rPr>
      </w:pPr>
    </w:p>
    <w:p>
      <w:pPr>
        <w:spacing w:after="0" w:line="224" w:lineRule="auto"/>
        <w:ind w:left="1180" w:right="80"/>
        <w:rPr>
          <w:color w:val="auto"/>
          <w:sz w:val="20"/>
          <w:szCs w:val="20"/>
        </w:rPr>
      </w:pPr>
      <w:r>
        <w:rPr>
          <w:rFonts w:ascii="Cambria" w:hAnsi="Cambria" w:eastAsia="Cambria" w:cs="Cambria"/>
          <w:color w:val="auto"/>
          <w:sz w:val="24"/>
          <w:szCs w:val="24"/>
        </w:rPr>
        <w:t>Monteith, G. R. (2012). Calcium channel TRPV6 as a potential therapeutic target in estrogen receptor-negative breast cancer. Molecular Cancer Therapeutics, 11(10), 2158-2168. doi:10.1158/1535-7163.MCT-11-0965</w:t>
      </w:r>
    </w:p>
    <w:p>
      <w:pPr>
        <w:spacing w:after="0" w:line="335" w:lineRule="exact"/>
        <w:rPr>
          <w:color w:val="auto"/>
          <w:sz w:val="20"/>
          <w:szCs w:val="20"/>
        </w:rPr>
      </w:pPr>
    </w:p>
    <w:p>
      <w:pPr>
        <w:spacing w:after="0" w:line="228" w:lineRule="auto"/>
        <w:ind w:left="1180" w:right="180" w:hanging="450"/>
        <w:rPr>
          <w:color w:val="auto"/>
          <w:sz w:val="20"/>
          <w:szCs w:val="20"/>
        </w:rPr>
      </w:pPr>
      <w:r>
        <w:rPr>
          <w:rFonts w:ascii="Cambria" w:hAnsi="Cambria" w:eastAsia="Cambria" w:cs="Cambria"/>
          <w:color w:val="auto"/>
          <w:sz w:val="24"/>
          <w:szCs w:val="24"/>
        </w:rPr>
        <w:t>Pitta, C. A., Papageorgis, P., Charalambous, C., &amp; Constantinou, A. I. (2013). Reversal of ER-beta silencing by chromatin modifying agents overrides acquired tamoxifen resistance. Cancer Letters, 337(2), 167-76. doi:10.1016/j.canlet.2013.05.031</w:t>
      </w:r>
    </w:p>
    <w:p>
      <w:pPr>
        <w:spacing w:after="0" w:line="337" w:lineRule="exact"/>
        <w:rPr>
          <w:color w:val="auto"/>
          <w:sz w:val="20"/>
          <w:szCs w:val="20"/>
        </w:rPr>
      </w:pPr>
    </w:p>
    <w:p>
      <w:pPr>
        <w:spacing w:after="0" w:line="234" w:lineRule="auto"/>
        <w:ind w:left="1180" w:right="120" w:hanging="450"/>
        <w:jc w:val="both"/>
        <w:rPr>
          <w:color w:val="auto"/>
          <w:sz w:val="20"/>
          <w:szCs w:val="20"/>
        </w:rPr>
      </w:pPr>
      <w:r>
        <w:rPr>
          <w:rFonts w:ascii="Cambria" w:hAnsi="Cambria" w:eastAsia="Cambria" w:cs="Cambria"/>
          <w:color w:val="auto"/>
          <w:sz w:val="23"/>
          <w:szCs w:val="23"/>
        </w:rPr>
        <w:t>Pledgie-Tracy, A., Sobolewski, M. D., &amp; Davidson, N. E. (2007). Sulforaphane induces cell type-specific apoptosis in human breast cancer cell lines. Molecular Cancer Therapeutics, 6(3), 1013-1021. doi:10.1158/1535-7163.MCT-06-0494</w:t>
      </w:r>
    </w:p>
    <w:p>
      <w:pPr>
        <w:spacing w:after="0" w:line="335" w:lineRule="exact"/>
        <w:rPr>
          <w:color w:val="auto"/>
          <w:sz w:val="20"/>
          <w:szCs w:val="20"/>
        </w:rPr>
      </w:pPr>
    </w:p>
    <w:p>
      <w:pPr>
        <w:spacing w:after="0" w:line="231" w:lineRule="auto"/>
        <w:ind w:left="1180" w:right="60" w:hanging="450"/>
        <w:rPr>
          <w:color w:val="auto"/>
          <w:sz w:val="20"/>
          <w:szCs w:val="20"/>
        </w:rPr>
      </w:pPr>
      <w:r>
        <w:rPr>
          <w:rFonts w:ascii="Cambria" w:hAnsi="Cambria" w:eastAsia="Cambria" w:cs="Cambria"/>
          <w:color w:val="auto"/>
          <w:sz w:val="24"/>
          <w:szCs w:val="24"/>
        </w:rPr>
        <w:t>Prentice, R. L., Pettinger, M. B., Jackson, R. D., Wactawski-Wende, J., LaCroix, A. Z., Anderson, G. L., . . . Rossouw, J. E. (2013). Health risks and benefits from calcium and vitamin D supplementation: Women's health initiative clinical trial and cohort study. Osteoporosis International, 24(2), 567-580. doi:10.1007/s00198-012-2224-2</w:t>
      </w:r>
    </w:p>
    <w:p>
      <w:pPr>
        <w:spacing w:after="0" w:line="333" w:lineRule="exact"/>
        <w:rPr>
          <w:color w:val="auto"/>
          <w:sz w:val="20"/>
          <w:szCs w:val="20"/>
        </w:rPr>
      </w:pPr>
    </w:p>
    <w:p>
      <w:pPr>
        <w:spacing w:after="0" w:line="231" w:lineRule="auto"/>
        <w:ind w:left="1180" w:right="100" w:hanging="450"/>
        <w:rPr>
          <w:color w:val="auto"/>
          <w:sz w:val="20"/>
          <w:szCs w:val="20"/>
        </w:rPr>
      </w:pPr>
      <w:r>
        <w:rPr>
          <w:rFonts w:ascii="Cambria" w:hAnsi="Cambria" w:eastAsia="Cambria" w:cs="Cambria"/>
          <w:color w:val="auto"/>
          <w:sz w:val="24"/>
          <w:szCs w:val="24"/>
        </w:rPr>
        <w:t>Rashid, S., Moore, J., Walker, E., Driver, P., Engel, J., Edwards, C., . . . Campbell, M. (2001). Synergistic growth inhibition of prostate cancer cells by 1 alpha,25 dihydroxyvitamin D-3 and its 19-nor-hexafluoride analogs in combination with either sodium butyrate or trichostatin A. Oncogene, 20(15), 1860-1872. doi:10.1038/sj.onc.1204269</w:t>
      </w:r>
    </w:p>
    <w:p>
      <w:pPr>
        <w:spacing w:after="0" w:line="333" w:lineRule="exact"/>
        <w:rPr>
          <w:color w:val="auto"/>
          <w:sz w:val="20"/>
          <w:szCs w:val="20"/>
        </w:rPr>
      </w:pPr>
    </w:p>
    <w:p>
      <w:pPr>
        <w:spacing w:after="0" w:line="234" w:lineRule="auto"/>
        <w:ind w:left="1180" w:hanging="450"/>
        <w:rPr>
          <w:color w:val="auto"/>
          <w:sz w:val="20"/>
          <w:szCs w:val="20"/>
        </w:rPr>
      </w:pPr>
      <w:r>
        <w:rPr>
          <w:rFonts w:ascii="Cambria" w:hAnsi="Cambria" w:eastAsia="Cambria" w:cs="Cambria"/>
          <w:color w:val="auto"/>
          <w:sz w:val="23"/>
          <w:szCs w:val="23"/>
        </w:rPr>
        <w:t>Rossi, M., McLaughlin, J. K., Lagiou, P., Bosetti, C., Talamini, R., Lipworth, L., La Vecchia, C. (2009). Vitamin D intake and breast cancer risk: A case-control study in italy. Annals of Oncology, 20(2), 374-378. doi:10.1093/annonc/mdn550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64</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72" w:name="page79"/>
      <w:bookmarkEnd w:id="72"/>
    </w:p>
    <w:p>
      <w:pPr>
        <w:spacing w:after="0" w:line="228" w:lineRule="auto"/>
        <w:ind w:left="1180" w:right="140" w:hanging="450"/>
        <w:rPr>
          <w:color w:val="auto"/>
          <w:sz w:val="20"/>
          <w:szCs w:val="20"/>
        </w:rPr>
      </w:pPr>
      <w:r>
        <w:rPr>
          <w:rFonts w:ascii="Cambria" w:hAnsi="Cambria" w:eastAsia="Cambria" w:cs="Cambria"/>
          <w:color w:val="auto"/>
          <w:sz w:val="24"/>
          <w:szCs w:val="24"/>
        </w:rPr>
        <w:t>Schwab, M., Reynders, V., Loitsch, S., Steinhilber, D., Schroeder, O., &amp; Stein, J. (2008). The dietary histone deacetylase inhibitor sulforaphane induces human beta-defensin-2 in intestinal epithelial cells. Immunology, 125(2), 241-251. doi:10.1111/j.1365-2567.2008.02834.x</w:t>
      </w:r>
    </w:p>
    <w:p>
      <w:pPr>
        <w:spacing w:after="0" w:line="337" w:lineRule="exact"/>
        <w:rPr>
          <w:color w:val="auto"/>
          <w:sz w:val="20"/>
          <w:szCs w:val="20"/>
        </w:rPr>
      </w:pPr>
    </w:p>
    <w:p>
      <w:pPr>
        <w:spacing w:after="0" w:line="231" w:lineRule="auto"/>
        <w:ind w:left="1180" w:right="240" w:hanging="450"/>
        <w:rPr>
          <w:color w:val="auto"/>
          <w:sz w:val="20"/>
          <w:szCs w:val="20"/>
        </w:rPr>
      </w:pPr>
      <w:r>
        <w:rPr>
          <w:rFonts w:ascii="Cambria" w:hAnsi="Cambria" w:eastAsia="Cambria" w:cs="Cambria"/>
          <w:color w:val="auto"/>
          <w:sz w:val="24"/>
          <w:szCs w:val="24"/>
        </w:rPr>
        <w:t>Seuter, S., Heikkinen, S., &amp; Carlberg, C. (2013). Chromatin acetylation at transcription start sites and vitamin D receptor binding regions relates to effects of 1 alpha,25-dihydroxyvitamin D-3 and histone deacetylase inhibitors on gene expression. Nucleic Acids Research, 41(1), 110-124. doi:10.1093/nar/gks959</w:t>
      </w:r>
    </w:p>
    <w:p>
      <w:pPr>
        <w:spacing w:after="0" w:line="331" w:lineRule="exact"/>
        <w:rPr>
          <w:color w:val="auto"/>
          <w:sz w:val="20"/>
          <w:szCs w:val="20"/>
        </w:rPr>
      </w:pPr>
    </w:p>
    <w:p>
      <w:pPr>
        <w:spacing w:after="0" w:line="231" w:lineRule="auto"/>
        <w:ind w:left="1180" w:right="140" w:hanging="450"/>
        <w:rPr>
          <w:color w:val="auto"/>
          <w:sz w:val="20"/>
          <w:szCs w:val="20"/>
        </w:rPr>
      </w:pPr>
      <w:r>
        <w:rPr>
          <w:rFonts w:ascii="Cambria" w:hAnsi="Cambria" w:eastAsia="Cambria" w:cs="Cambria"/>
          <w:color w:val="auto"/>
          <w:sz w:val="24"/>
          <w:szCs w:val="24"/>
        </w:rPr>
        <w:t>Shinki, T., Jin, C., Nishimura, A., Nagai, Y., Ohyama, Y., Noshiro, M., Suda, T. (1992). Parathyroid-hormone inhibits 25-hydroxyvitamin-D(3)-24-hydroxylase messenger-rna expression stimulated by 1-alpha,25-dihydroxyvitamin-D(3) in rat-kidney but not in intestine. Journal of Biological Chemistry, 267(19), 13757-13762.</w:t>
      </w:r>
    </w:p>
    <w:p>
      <w:pPr>
        <w:spacing w:after="0" w:line="283" w:lineRule="exact"/>
        <w:rPr>
          <w:color w:val="auto"/>
          <w:sz w:val="20"/>
          <w:szCs w:val="20"/>
        </w:rPr>
      </w:pPr>
    </w:p>
    <w:p>
      <w:pPr>
        <w:spacing w:after="0"/>
        <w:ind w:right="-239"/>
        <w:jc w:val="center"/>
        <w:rPr>
          <w:color w:val="auto"/>
          <w:sz w:val="20"/>
          <w:szCs w:val="20"/>
        </w:rPr>
      </w:pPr>
      <w:r>
        <w:rPr>
          <w:rFonts w:ascii="Cambria" w:hAnsi="Cambria" w:eastAsia="Cambria" w:cs="Cambria"/>
          <w:color w:val="auto"/>
          <w:sz w:val="24"/>
          <w:szCs w:val="24"/>
        </w:rPr>
        <w:t>Stefanska, B., Karlic, H., Varga, F., Fabianowska-Majewska, K., &amp; Haslberger, A. G.</w:t>
      </w:r>
    </w:p>
    <w:p>
      <w:pPr>
        <w:spacing w:after="0" w:line="52" w:lineRule="exact"/>
        <w:rPr>
          <w:color w:val="auto"/>
          <w:sz w:val="20"/>
          <w:szCs w:val="20"/>
        </w:rPr>
      </w:pPr>
    </w:p>
    <w:p>
      <w:pPr>
        <w:spacing w:after="0" w:line="234" w:lineRule="auto"/>
        <w:ind w:left="1180" w:right="780"/>
        <w:rPr>
          <w:color w:val="auto"/>
          <w:sz w:val="20"/>
          <w:szCs w:val="20"/>
        </w:rPr>
      </w:pPr>
      <w:r>
        <w:rPr>
          <w:rFonts w:ascii="Cambria" w:hAnsi="Cambria" w:eastAsia="Cambria" w:cs="Cambria"/>
          <w:color w:val="auto"/>
          <w:sz w:val="23"/>
          <w:szCs w:val="23"/>
        </w:rPr>
        <w:t>(2012). Epigenetic mechanisms in anti-cancer actions of bioactive food components - the implications in cancer prevention. British Journal of Pharmacology, 167(2), 279-297. doi:10.1111/j.1476-5381.2012.02002.x</w:t>
      </w:r>
    </w:p>
    <w:p>
      <w:pPr>
        <w:spacing w:after="0" w:line="335" w:lineRule="exact"/>
        <w:rPr>
          <w:color w:val="auto"/>
          <w:sz w:val="20"/>
          <w:szCs w:val="20"/>
        </w:rPr>
      </w:pPr>
    </w:p>
    <w:p>
      <w:pPr>
        <w:spacing w:after="0" w:line="224" w:lineRule="auto"/>
        <w:ind w:left="1180" w:right="420" w:hanging="450"/>
        <w:jc w:val="both"/>
        <w:rPr>
          <w:color w:val="auto"/>
          <w:sz w:val="20"/>
          <w:szCs w:val="20"/>
        </w:rPr>
      </w:pPr>
      <w:r>
        <w:rPr>
          <w:rFonts w:ascii="Cambria" w:hAnsi="Cambria" w:eastAsia="Cambria" w:cs="Cambria"/>
          <w:color w:val="auto"/>
          <w:sz w:val="24"/>
          <w:szCs w:val="24"/>
        </w:rPr>
        <w:t>Stipanuk, M., &amp; Holick, M. (2006). Vitamin D. Biological, physiological, molecular apsects of human nutrition (Second ed., pp. 863). St, Louis, Missouri: Sauders Elsevier.</w:t>
      </w:r>
    </w:p>
    <w:p>
      <w:pPr>
        <w:spacing w:after="0" w:line="285" w:lineRule="exact"/>
        <w:rPr>
          <w:color w:val="auto"/>
          <w:sz w:val="20"/>
          <w:szCs w:val="20"/>
        </w:rPr>
      </w:pPr>
    </w:p>
    <w:p>
      <w:pPr>
        <w:spacing w:after="0"/>
        <w:ind w:left="720"/>
        <w:rPr>
          <w:color w:val="auto"/>
          <w:sz w:val="20"/>
          <w:szCs w:val="20"/>
        </w:rPr>
      </w:pPr>
      <w:r>
        <w:rPr>
          <w:rFonts w:ascii="Cambria" w:hAnsi="Cambria" w:eastAsia="Cambria" w:cs="Cambria"/>
          <w:color w:val="auto"/>
          <w:sz w:val="24"/>
          <w:szCs w:val="24"/>
        </w:rPr>
        <w:t>Suba, Z. (2012). Light deficiency confers breast cancer risk by endocrine disorders.</w:t>
      </w:r>
    </w:p>
    <w:p>
      <w:pPr>
        <w:spacing w:after="0"/>
        <w:ind w:left="1180"/>
        <w:rPr>
          <w:color w:val="auto"/>
          <w:sz w:val="20"/>
          <w:szCs w:val="20"/>
        </w:rPr>
      </w:pPr>
      <w:r>
        <w:rPr>
          <w:rFonts w:ascii="Cambria" w:hAnsi="Cambria" w:eastAsia="Cambria" w:cs="Cambria"/>
          <w:color w:val="auto"/>
          <w:sz w:val="24"/>
          <w:szCs w:val="24"/>
        </w:rPr>
        <w:t>Recent Patents on Anti-Cancer Drug Discovery, 7(3), 337-344.</w:t>
      </w:r>
    </w:p>
    <w:p>
      <w:pPr>
        <w:spacing w:after="0" w:line="330" w:lineRule="exact"/>
        <w:rPr>
          <w:color w:val="auto"/>
          <w:sz w:val="20"/>
          <w:szCs w:val="20"/>
        </w:rPr>
      </w:pPr>
    </w:p>
    <w:p>
      <w:pPr>
        <w:spacing w:after="0" w:line="231" w:lineRule="auto"/>
        <w:ind w:left="1180" w:right="180" w:hanging="450"/>
        <w:rPr>
          <w:color w:val="auto"/>
          <w:sz w:val="20"/>
          <w:szCs w:val="20"/>
        </w:rPr>
      </w:pPr>
      <w:r>
        <w:rPr>
          <w:rFonts w:ascii="Cambria" w:hAnsi="Cambria" w:eastAsia="Cambria" w:cs="Cambria"/>
          <w:color w:val="auto"/>
          <w:sz w:val="24"/>
          <w:szCs w:val="24"/>
        </w:rPr>
        <w:t>Swami, S., Krishnan, A. V., Wang, J. Y., Jensen, K., Horst, R., Albertelli, M. A., &amp; Feldman, D. (2012). Dietary vitamin D-3 and 1,25-dihydroxyvitamin D-3 (calcitriol) exhibit equivalent anticancer activity in mouse xenograft models of breast and prostate cancer. Endocrinology, 153(6), 2576-2587. doi:10.1210/en.2011-1600</w:t>
      </w:r>
    </w:p>
    <w:p>
      <w:pPr>
        <w:spacing w:after="0" w:line="333" w:lineRule="exact"/>
        <w:rPr>
          <w:color w:val="auto"/>
          <w:sz w:val="20"/>
          <w:szCs w:val="20"/>
        </w:rPr>
      </w:pPr>
    </w:p>
    <w:p>
      <w:pPr>
        <w:spacing w:after="0" w:line="228" w:lineRule="auto"/>
        <w:ind w:left="1180" w:right="180" w:hanging="450"/>
        <w:rPr>
          <w:color w:val="auto"/>
          <w:sz w:val="20"/>
          <w:szCs w:val="20"/>
        </w:rPr>
      </w:pPr>
      <w:r>
        <w:rPr>
          <w:rFonts w:ascii="Cambria" w:hAnsi="Cambria" w:eastAsia="Cambria" w:cs="Cambria"/>
          <w:color w:val="auto"/>
          <w:sz w:val="24"/>
          <w:szCs w:val="24"/>
        </w:rPr>
        <w:t>Tavakoli-Yaraki, M., Karami-Tehrani, F., Salimi, V., &amp; Sirati-Sabet, M. (2013). Induction of apoptosis by trichostatin A in human breast cancer cell lines: Involvement of 15-lox-1. Tumor Biology, 34(1), 241-249. doi:10.1007/s13277-012-0544-7</w:t>
      </w:r>
    </w:p>
    <w:p>
      <w:pPr>
        <w:spacing w:after="0" w:line="337" w:lineRule="exact"/>
        <w:rPr>
          <w:color w:val="auto"/>
          <w:sz w:val="20"/>
          <w:szCs w:val="20"/>
        </w:rPr>
      </w:pPr>
    </w:p>
    <w:p>
      <w:pPr>
        <w:spacing w:after="0" w:line="226" w:lineRule="auto"/>
        <w:ind w:left="1180" w:right="100" w:hanging="450"/>
        <w:rPr>
          <w:color w:val="auto"/>
          <w:sz w:val="20"/>
          <w:szCs w:val="20"/>
        </w:rPr>
      </w:pPr>
      <w:r>
        <w:rPr>
          <w:rFonts w:ascii="Cambria" w:hAnsi="Cambria" w:eastAsia="Cambria" w:cs="Cambria"/>
          <w:color w:val="auto"/>
          <w:sz w:val="23"/>
          <w:szCs w:val="23"/>
        </w:rPr>
        <w:t>Thomson, C. A. (2012). Diet and breast cancer: Understanding risks and benefits. Nutrition in Clinical Practice, 27(5), 636-650. doi:10.1177/0884533612454302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65</w:t>
      </w:r>
    </w:p>
    <w:p>
      <w:pPr>
        <w:sectPr>
          <w:pgSz w:w="12240" w:h="15840"/>
          <w:pgMar w:top="1440" w:right="1440" w:bottom="120" w:left="1440" w:header="0" w:footer="0" w:gutter="0"/>
          <w:cols w:equalWidth="0" w:num="1">
            <w:col w:w="9360"/>
          </w:cols>
        </w:sectPr>
      </w:pPr>
    </w:p>
    <w:p>
      <w:pPr>
        <w:spacing w:after="0" w:line="49" w:lineRule="exact"/>
        <w:rPr>
          <w:color w:val="auto"/>
          <w:sz w:val="20"/>
          <w:szCs w:val="20"/>
        </w:rPr>
      </w:pPr>
      <w:bookmarkStart w:id="73" w:name="page80"/>
      <w:bookmarkEnd w:id="73"/>
    </w:p>
    <w:p>
      <w:pPr>
        <w:spacing w:after="0" w:line="231" w:lineRule="auto"/>
        <w:ind w:left="1180" w:right="300" w:hanging="450"/>
        <w:rPr>
          <w:color w:val="auto"/>
          <w:sz w:val="20"/>
          <w:szCs w:val="20"/>
        </w:rPr>
      </w:pPr>
      <w:r>
        <w:rPr>
          <w:rFonts w:ascii="Cambria" w:hAnsi="Cambria" w:eastAsia="Cambria" w:cs="Cambria"/>
          <w:color w:val="auto"/>
          <w:sz w:val="24"/>
          <w:szCs w:val="24"/>
        </w:rPr>
        <w:t>Tu, Z., Li, H., Ma, Y., Tang, B., Tian, J., Akers, W., . . . Gu, Y. (2012). The enhanced antiproliferative response to combined treatment of trichostatin A with raloxifene in MCF-7 breast cancer cells and its relevance to estrogen receptor beta expression. Molecular and Cellular Biochemistry, 366(1-2), 111-122. doi:10.1007/s11010-012-1288-9</w:t>
      </w:r>
    </w:p>
    <w:p>
      <w:pPr>
        <w:spacing w:after="0" w:line="333" w:lineRule="exact"/>
        <w:rPr>
          <w:color w:val="auto"/>
          <w:sz w:val="20"/>
          <w:szCs w:val="20"/>
        </w:rPr>
      </w:pPr>
    </w:p>
    <w:p>
      <w:pPr>
        <w:spacing w:after="0" w:line="231" w:lineRule="auto"/>
        <w:ind w:left="1180" w:right="20" w:hanging="450"/>
        <w:rPr>
          <w:color w:val="auto"/>
          <w:sz w:val="20"/>
          <w:szCs w:val="20"/>
        </w:rPr>
      </w:pPr>
      <w:r>
        <w:rPr>
          <w:rFonts w:ascii="Cambria" w:hAnsi="Cambria" w:eastAsia="Cambria" w:cs="Cambria"/>
          <w:color w:val="auto"/>
          <w:sz w:val="24"/>
          <w:szCs w:val="24"/>
        </w:rPr>
        <w:t>Vera-Ramirez, L., Carmen Ramirez-Tortosa, M., Sanchez-Rovira, P., Ramirez-Tortosa, C. L., Granados-Principal, S., Lorente, J. A., &amp; Quiles, J. L. (2013). Impact of diet on breast cancer risk: A review of experimental and observational studies. Critical Reviews in Food Science and Nutrition, 53(1), 49-75. doi:10.1080/10408398.2010.521600</w:t>
      </w:r>
    </w:p>
    <w:p>
      <w:pPr>
        <w:spacing w:after="0" w:line="333" w:lineRule="exact"/>
        <w:rPr>
          <w:color w:val="auto"/>
          <w:sz w:val="20"/>
          <w:szCs w:val="20"/>
        </w:rPr>
      </w:pPr>
    </w:p>
    <w:p>
      <w:pPr>
        <w:spacing w:after="0" w:line="226" w:lineRule="auto"/>
        <w:ind w:left="1180" w:right="120" w:hanging="450"/>
        <w:rPr>
          <w:color w:val="auto"/>
          <w:sz w:val="20"/>
          <w:szCs w:val="20"/>
        </w:rPr>
      </w:pPr>
      <w:r>
        <w:rPr>
          <w:rFonts w:ascii="Cambria" w:hAnsi="Cambria" w:eastAsia="Cambria" w:cs="Cambria"/>
          <w:color w:val="auto"/>
          <w:sz w:val="23"/>
          <w:szCs w:val="23"/>
        </w:rPr>
        <w:t>Welsh, J. E. (2011). Vitamin D metabolism in mammary gland and breast cancer. Molecular and Cellular Endocrinology, 347(1-2) doi:10.1016/j.mce.2011.05.020</w:t>
      </w:r>
    </w:p>
    <w:p>
      <w:pPr>
        <w:spacing w:after="0" w:line="335" w:lineRule="exact"/>
        <w:rPr>
          <w:color w:val="auto"/>
          <w:sz w:val="20"/>
          <w:szCs w:val="20"/>
        </w:rPr>
      </w:pPr>
    </w:p>
    <w:p>
      <w:pPr>
        <w:spacing w:after="0" w:line="224" w:lineRule="auto"/>
        <w:ind w:left="1180" w:right="300" w:hanging="450"/>
        <w:rPr>
          <w:color w:val="auto"/>
          <w:sz w:val="20"/>
          <w:szCs w:val="20"/>
        </w:rPr>
      </w:pPr>
      <w:r>
        <w:rPr>
          <w:rFonts w:ascii="Cambria" w:hAnsi="Cambria" w:eastAsia="Cambria" w:cs="Cambria"/>
          <w:color w:val="auto"/>
          <w:sz w:val="24"/>
          <w:szCs w:val="24"/>
        </w:rPr>
        <w:t>Welsh, J. E., Wietzke, J. A., Zinser, G. M., Byrne, B., Smith, K., &amp; Narvaez, C. J. (2003). Vitamin D-3 receptor as a target for breast cancer prevention. Journal of Nutrition, 133(7)</w:t>
      </w:r>
    </w:p>
    <w:p>
      <w:pPr>
        <w:spacing w:after="0" w:line="335" w:lineRule="exact"/>
        <w:rPr>
          <w:color w:val="auto"/>
          <w:sz w:val="20"/>
          <w:szCs w:val="20"/>
        </w:rPr>
      </w:pPr>
    </w:p>
    <w:p>
      <w:pPr>
        <w:spacing w:after="0" w:line="225" w:lineRule="auto"/>
        <w:ind w:left="1180" w:right="140" w:hanging="450"/>
        <w:rPr>
          <w:color w:val="auto"/>
          <w:sz w:val="20"/>
          <w:szCs w:val="20"/>
        </w:rPr>
      </w:pPr>
      <w:r>
        <w:rPr>
          <w:rFonts w:ascii="Cambria" w:hAnsi="Cambria" w:eastAsia="Cambria" w:cs="Cambria"/>
          <w:color w:val="auto"/>
          <w:sz w:val="24"/>
          <w:szCs w:val="24"/>
        </w:rPr>
        <w:t>Yoshida, M. (2007). [Potent and specific inhibition of mammalian histone deacetylase both in vivo and in vitro by trichostatin A]. Tanpakushitsu Kakusan Koso.Protein, Nucleic Acid, Enzyme, 52(13 Suppl), 1788-9.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left="4900"/>
        <w:rPr>
          <w:color w:val="auto"/>
          <w:sz w:val="20"/>
          <w:szCs w:val="20"/>
        </w:rPr>
      </w:pPr>
      <w:r>
        <w:rPr>
          <w:rFonts w:ascii="Cambria" w:hAnsi="Cambria" w:eastAsia="Cambria" w:cs="Cambria"/>
          <w:color w:val="auto"/>
          <w:sz w:val="24"/>
          <w:szCs w:val="24"/>
        </w:rPr>
        <w:t>66</w:t>
      </w:r>
    </w:p>
    <w:sectPr>
      <w:pgSz w:w="12240" w:h="15840"/>
      <w:pgMar w:top="1440" w:right="1440" w:bottom="120"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BDAB"/>
    <w:multiLevelType w:val="multilevel"/>
    <w:tmpl w:val="08EDBDAB"/>
    <w:lvl w:ilvl="0" w:tentative="0">
      <w:start w:val="1"/>
      <w:numFmt w:val="lowerLetter"/>
      <w:lvlText w:val="%1"/>
      <w:lvlJc w:val="left"/>
    </w:lvl>
    <w:lvl w:ilvl="1" w:tentative="0">
      <w:start w:val="1"/>
      <w:numFmt w:val="lowerRoman"/>
      <w:lvlText w:val="%2"/>
      <w:lvlJc w:val="left"/>
    </w:lvl>
    <w:lvl w:ilvl="2" w:tentative="0">
      <w:start w:val="2"/>
      <w:numFmt w:val="decimal"/>
      <w:lvlText w:val="%3."/>
      <w:lvlJc w:val="left"/>
    </w:lvl>
  </w:abstractNum>
  <w:abstractNum w:abstractNumId="1">
    <w:nsid w:val="0DED7263"/>
    <w:multiLevelType w:val="singleLevel"/>
    <w:tmpl w:val="0DED7263"/>
    <w:lvl w:ilvl="0" w:tentative="0">
      <w:start w:val="1"/>
      <w:numFmt w:val="bullet"/>
      <w:lvlText w:val="•"/>
      <w:lvlJc w:val="left"/>
    </w:lvl>
  </w:abstractNum>
  <w:abstractNum w:abstractNumId="2">
    <w:nsid w:val="109CF92E"/>
    <w:multiLevelType w:val="singleLevel"/>
    <w:tmpl w:val="109CF92E"/>
    <w:lvl w:ilvl="0" w:tentative="0">
      <w:start w:val="1"/>
      <w:numFmt w:val="bullet"/>
      <w:lvlText w:val="•"/>
      <w:lvlJc w:val="left"/>
    </w:lvl>
  </w:abstractNum>
  <w:abstractNum w:abstractNumId="3">
    <w:nsid w:val="1BEFD79F"/>
    <w:multiLevelType w:val="singleLevel"/>
    <w:tmpl w:val="1BEFD79F"/>
    <w:lvl w:ilvl="0" w:tentative="0">
      <w:start w:val="1"/>
      <w:numFmt w:val="bullet"/>
      <w:lvlText w:val="&amp;"/>
      <w:lvlJc w:val="left"/>
    </w:lvl>
  </w:abstractNum>
  <w:abstractNum w:abstractNumId="4">
    <w:nsid w:val="2443A858"/>
    <w:multiLevelType w:val="multilevel"/>
    <w:tmpl w:val="2443A858"/>
    <w:lvl w:ilvl="0" w:tentative="0">
      <w:start w:val="1"/>
      <w:numFmt w:val="decimal"/>
      <w:lvlText w:val="%1"/>
      <w:lvlJc w:val="left"/>
    </w:lvl>
    <w:lvl w:ilvl="1" w:tentative="0">
      <w:start w:val="1"/>
      <w:numFmt w:val="lowerLetter"/>
      <w:lvlText w:val="%2"/>
      <w:lvlJc w:val="left"/>
    </w:lvl>
    <w:lvl w:ilvl="2" w:tentative="0">
      <w:start w:val="4"/>
      <w:numFmt w:val="lowerRoman"/>
      <w:lvlText w:val="%3."/>
      <w:lvlJc w:val="left"/>
    </w:lvl>
    <w:lvl w:ilvl="3" w:tentative="0">
      <w:start w:val="1"/>
      <w:numFmt w:val="lowerLetter"/>
      <w:lvlText w:val="%4"/>
      <w:lvlJc w:val="left"/>
    </w:lvl>
    <w:lvl w:ilvl="4" w:tentative="0">
      <w:start w:val="1"/>
      <w:numFmt w:val="decimal"/>
      <w:lvlText w:val="%5."/>
      <w:lvlJc w:val="left"/>
    </w:lvl>
  </w:abstractNum>
  <w:abstractNum w:abstractNumId="5">
    <w:nsid w:val="257130A3"/>
    <w:multiLevelType w:val="multilevel"/>
    <w:tmpl w:val="257130A3"/>
    <w:lvl w:ilvl="0" w:tentative="0">
      <w:start w:val="1"/>
      <w:numFmt w:val="decimal"/>
      <w:lvlText w:val="%1"/>
      <w:lvlJc w:val="left"/>
    </w:lvl>
    <w:lvl w:ilvl="1" w:tentative="0">
      <w:start w:val="2"/>
      <w:numFmt w:val="lowerLetter"/>
      <w:lvlText w:val="%2."/>
      <w:lvlJc w:val="left"/>
    </w:lvl>
  </w:abstractNum>
  <w:abstractNum w:abstractNumId="6">
    <w:nsid w:val="25E45D32"/>
    <w:multiLevelType w:val="multilevel"/>
    <w:tmpl w:val="25E45D32"/>
    <w:lvl w:ilvl="0" w:tentative="0">
      <w:start w:val="1"/>
      <w:numFmt w:val="decimal"/>
      <w:lvlText w:val="%1."/>
      <w:lvlJc w:val="left"/>
    </w:lvl>
    <w:lvl w:ilvl="1" w:tentative="0">
      <w:start w:val="1"/>
      <w:numFmt w:val="lowerLetter"/>
      <w:lvlText w:val="%2."/>
      <w:lvlJc w:val="left"/>
    </w:lvl>
  </w:abstractNum>
  <w:abstractNum w:abstractNumId="7">
    <w:nsid w:val="2D1D5AE9"/>
    <w:multiLevelType w:val="multilevel"/>
    <w:tmpl w:val="2D1D5AE9"/>
    <w:lvl w:ilvl="0" w:tentative="0">
      <w:start w:val="1"/>
      <w:numFmt w:val="decimal"/>
      <w:lvlText w:val="%1"/>
      <w:lvlJc w:val="left"/>
    </w:lvl>
    <w:lvl w:ilvl="1" w:tentative="0">
      <w:start w:val="4"/>
      <w:numFmt w:val="lowerLetter"/>
      <w:lvlText w:val="%2."/>
      <w:lvlJc w:val="left"/>
    </w:lvl>
    <w:lvl w:ilvl="2" w:tentative="0">
      <w:start w:val="1"/>
      <w:numFmt w:val="lowerRoman"/>
      <w:lvlText w:val="%3"/>
      <w:lvlJc w:val="left"/>
    </w:lvl>
    <w:lvl w:ilvl="3" w:tentative="0">
      <w:start w:val="1"/>
      <w:numFmt w:val="lowerLetter"/>
      <w:lvlText w:val="%4"/>
      <w:lvlJc w:val="left"/>
    </w:lvl>
    <w:lvl w:ilvl="4" w:tentative="0">
      <w:start w:val="1"/>
      <w:numFmt w:val="decimal"/>
      <w:lvlText w:val="%5"/>
      <w:lvlJc w:val="left"/>
    </w:lvl>
  </w:abstractNum>
  <w:abstractNum w:abstractNumId="8">
    <w:nsid w:val="333AB105"/>
    <w:multiLevelType w:val="multilevel"/>
    <w:tmpl w:val="333AB105"/>
    <w:lvl w:ilvl="0" w:tentative="0">
      <w:start w:val="2"/>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34"/>
      <w:numFmt w:val="lowerLetter"/>
      <w:lvlText w:val="%4."/>
      <w:lvlJc w:val="left"/>
    </w:lvl>
    <w:lvl w:ilvl="4" w:tentative="0">
      <w:start w:val="1"/>
      <w:numFmt w:val="decimal"/>
      <w:lvlText w:val="%5."/>
      <w:lvlJc w:val="left"/>
    </w:lvl>
  </w:abstractNum>
  <w:abstractNum w:abstractNumId="9">
    <w:nsid w:val="3352255A"/>
    <w:multiLevelType w:val="multilevel"/>
    <w:tmpl w:val="3352255A"/>
    <w:lvl w:ilvl="0" w:tentative="0">
      <w:start w:val="1"/>
      <w:numFmt w:val="bullet"/>
      <w:lvlText w:val="&amp;"/>
      <w:lvlJc w:val="left"/>
    </w:lvl>
    <w:lvl w:ilvl="1" w:tentative="0">
      <w:start w:val="1"/>
      <w:numFmt w:val="decimal"/>
      <w:lvlText w:val="%2"/>
      <w:lvlJc w:val="left"/>
    </w:lvl>
  </w:abstractNum>
  <w:abstractNum w:abstractNumId="10">
    <w:nsid w:val="3F2DBA31"/>
    <w:multiLevelType w:val="multilevel"/>
    <w:tmpl w:val="3F2DBA31"/>
    <w:lvl w:ilvl="0" w:tentative="0">
      <w:start w:val="1"/>
      <w:numFmt w:val="decimal"/>
      <w:lvlText w:val="%1."/>
      <w:lvlJc w:val="left"/>
    </w:lvl>
    <w:lvl w:ilvl="1" w:tentative="0">
      <w:start w:val="1"/>
      <w:numFmt w:val="lowerLetter"/>
      <w:lvlText w:val="%2."/>
      <w:lvlJc w:val="left"/>
    </w:lvl>
  </w:abstractNum>
  <w:abstractNum w:abstractNumId="11">
    <w:nsid w:val="41A7C4C9"/>
    <w:multiLevelType w:val="singleLevel"/>
    <w:tmpl w:val="41A7C4C9"/>
    <w:lvl w:ilvl="0" w:tentative="0">
      <w:start w:val="1"/>
      <w:numFmt w:val="bullet"/>
      <w:lvlText w:val="&amp;"/>
      <w:lvlJc w:val="left"/>
    </w:lvl>
  </w:abstractNum>
  <w:abstractNum w:abstractNumId="12">
    <w:nsid w:val="431BD7B7"/>
    <w:multiLevelType w:val="multilevel"/>
    <w:tmpl w:val="431BD7B7"/>
    <w:lvl w:ilvl="0" w:tentative="0">
      <w:start w:val="3"/>
      <w:numFmt w:val="decimal"/>
      <w:lvlText w:val="%1."/>
      <w:lvlJc w:val="left"/>
    </w:lvl>
    <w:lvl w:ilvl="1" w:tentative="0">
      <w:start w:val="1"/>
      <w:numFmt w:val="lowerLetter"/>
      <w:lvlText w:val="%2"/>
      <w:lvlJc w:val="left"/>
    </w:lvl>
  </w:abstractNum>
  <w:abstractNum w:abstractNumId="13">
    <w:nsid w:val="436C6125"/>
    <w:multiLevelType w:val="multilevel"/>
    <w:tmpl w:val="436C6125"/>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abstractNum>
  <w:abstractNum w:abstractNumId="14">
    <w:nsid w:val="4E6AFB66"/>
    <w:multiLevelType w:val="multilevel"/>
    <w:tmpl w:val="4E6AFB66"/>
    <w:lvl w:ilvl="0" w:tentative="0">
      <w:start w:val="4"/>
      <w:numFmt w:val="decimal"/>
      <w:lvlText w:val="%1."/>
      <w:lvlJc w:val="left"/>
    </w:lvl>
    <w:lvl w:ilvl="1" w:tentative="0">
      <w:start w:val="1"/>
      <w:numFmt w:val="lowerLetter"/>
      <w:lvlText w:val="%2."/>
      <w:lvlJc w:val="left"/>
    </w:lvl>
  </w:abstractNum>
  <w:abstractNum w:abstractNumId="15">
    <w:nsid w:val="519B500D"/>
    <w:multiLevelType w:val="multilevel"/>
    <w:tmpl w:val="519B500D"/>
    <w:lvl w:ilvl="0" w:tentative="0">
      <w:start w:val="1"/>
      <w:numFmt w:val="decimal"/>
      <w:lvlText w:val="%1"/>
      <w:lvlJc w:val="left"/>
    </w:lvl>
    <w:lvl w:ilvl="1" w:tentative="0">
      <w:start w:val="5"/>
      <w:numFmt w:val="lowerLetter"/>
      <w:lvlText w:val="%2."/>
      <w:lvlJc w:val="left"/>
    </w:lvl>
  </w:abstractNum>
  <w:abstractNum w:abstractNumId="16">
    <w:nsid w:val="628C895D"/>
    <w:multiLevelType w:val="multilevel"/>
    <w:tmpl w:val="628C895D"/>
    <w:lvl w:ilvl="0" w:tentative="0">
      <w:start w:val="1"/>
      <w:numFmt w:val="decimal"/>
      <w:lvlText w:val="%1"/>
      <w:lvlJc w:val="left"/>
    </w:lvl>
    <w:lvl w:ilvl="1" w:tentative="0">
      <w:start w:val="1"/>
      <w:numFmt w:val="lowerLetter"/>
      <w:lvlText w:val="%2"/>
      <w:lvlJc w:val="left"/>
    </w:lvl>
    <w:lvl w:ilvl="2" w:tentative="0">
      <w:start w:val="3"/>
      <w:numFmt w:val="lowerRoman"/>
      <w:lvlText w:val="%3."/>
      <w:lvlJc w:val="left"/>
    </w:lvl>
    <w:lvl w:ilvl="3" w:tentative="0">
      <w:start w:val="1"/>
      <w:numFmt w:val="lowerLetter"/>
      <w:lvlText w:val="%4"/>
      <w:lvlJc w:val="left"/>
    </w:lvl>
    <w:lvl w:ilvl="4" w:tentative="0">
      <w:start w:val="1"/>
      <w:numFmt w:val="decimal"/>
      <w:lvlText w:val="%5"/>
      <w:lvlJc w:val="left"/>
    </w:lvl>
  </w:abstractNum>
  <w:abstractNum w:abstractNumId="17">
    <w:nsid w:val="62BBD95A"/>
    <w:multiLevelType w:val="multilevel"/>
    <w:tmpl w:val="62BBD95A"/>
    <w:lvl w:ilvl="0" w:tentative="0">
      <w:start w:val="5"/>
      <w:numFmt w:val="decimal"/>
      <w:lvlText w:val="%1."/>
      <w:lvlJc w:val="left"/>
    </w:lvl>
    <w:lvl w:ilvl="1" w:tentative="0">
      <w:start w:val="1"/>
      <w:numFmt w:val="lowerLetter"/>
      <w:lvlText w:val="%2."/>
      <w:lvlJc w:val="left"/>
    </w:lvl>
  </w:abstractNum>
  <w:abstractNum w:abstractNumId="18">
    <w:nsid w:val="6763845E"/>
    <w:multiLevelType w:val="multilevel"/>
    <w:tmpl w:val="6763845E"/>
    <w:lvl w:ilvl="0" w:tentative="0">
      <w:start w:val="1"/>
      <w:numFmt w:val="decimal"/>
      <w:lvlText w:val="%1"/>
      <w:lvlJc w:val="left"/>
    </w:lvl>
    <w:lvl w:ilvl="1" w:tentative="0">
      <w:start w:val="5"/>
      <w:numFmt w:val="lowerLetter"/>
      <w:lvlText w:val="%2."/>
      <w:lvlJc w:val="left"/>
    </w:lvl>
    <w:lvl w:ilvl="2" w:tentative="0">
      <w:start w:val="1"/>
      <w:numFmt w:val="lowerRoman"/>
      <w:lvlText w:val="%3"/>
      <w:lvlJc w:val="left"/>
    </w:lvl>
    <w:lvl w:ilvl="3" w:tentative="0">
      <w:start w:val="1"/>
      <w:numFmt w:val="decimal"/>
      <w:lvlText w:val="%4"/>
      <w:lvlJc w:val="left"/>
    </w:lvl>
  </w:abstractNum>
  <w:abstractNum w:abstractNumId="19">
    <w:nsid w:val="6B68079A"/>
    <w:multiLevelType w:val="multilevel"/>
    <w:tmpl w:val="6B68079A"/>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abstractNum>
  <w:abstractNum w:abstractNumId="20">
    <w:nsid w:val="721DA317"/>
    <w:multiLevelType w:val="multilevel"/>
    <w:tmpl w:val="721DA317"/>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61"/>
      <w:numFmt w:val="lowerLetter"/>
      <w:lvlText w:val="%4."/>
      <w:lvlJc w:val="left"/>
    </w:lvl>
    <w:lvl w:ilvl="4" w:tentative="0">
      <w:start w:val="1"/>
      <w:numFmt w:val="decimal"/>
      <w:lvlText w:val="%5."/>
      <w:lvlJc w:val="left"/>
    </w:lvl>
  </w:abstractNum>
  <w:abstractNum w:abstractNumId="21">
    <w:nsid w:val="75A2A8D4"/>
    <w:multiLevelType w:val="multilevel"/>
    <w:tmpl w:val="75A2A8D4"/>
    <w:lvl w:ilvl="0" w:tentative="0">
      <w:start w:val="4"/>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abstractNum>
  <w:abstractNum w:abstractNumId="22">
    <w:nsid w:val="79838CB2"/>
    <w:multiLevelType w:val="multilevel"/>
    <w:tmpl w:val="79838CB2"/>
    <w:lvl w:ilvl="0" w:tentative="0">
      <w:start w:val="7"/>
      <w:numFmt w:val="lowerLetter"/>
      <w:lvlText w:val="%1."/>
      <w:lvlJc w:val="left"/>
    </w:lvl>
    <w:lvl w:ilvl="1" w:tentative="0">
      <w:start w:val="1"/>
      <w:numFmt w:val="lowerRoman"/>
      <w:lvlText w:val="%2."/>
      <w:lvlJc w:val="left"/>
    </w:lvl>
    <w:lvl w:ilvl="2" w:tentative="0">
      <w:start w:val="1"/>
      <w:numFmt w:val="decimal"/>
      <w:lvlText w:val="%3."/>
      <w:lvlJc w:val="left"/>
    </w:lvl>
  </w:abstractNum>
  <w:abstractNum w:abstractNumId="23">
    <w:nsid w:val="7C83E458"/>
    <w:multiLevelType w:val="multilevel"/>
    <w:tmpl w:val="7C83E458"/>
    <w:lvl w:ilvl="0" w:tentative="0">
      <w:start w:val="4"/>
      <w:numFmt w:val="decimal"/>
      <w:lvlText w:val="%1."/>
      <w:lvlJc w:val="left"/>
    </w:lvl>
    <w:lvl w:ilvl="1" w:tentative="0">
      <w:start w:val="1"/>
      <w:numFmt w:val="lowerLetter"/>
      <w:lvlText w:val="%2"/>
      <w:lvlJc w:val="left"/>
    </w:lvl>
  </w:abstractNum>
  <w:abstractNum w:abstractNumId="24">
    <w:nsid w:val="7FDCC233"/>
    <w:multiLevelType w:val="singleLevel"/>
    <w:tmpl w:val="7FDCC233"/>
    <w:lvl w:ilvl="0" w:tentative="0">
      <w:start w:val="1"/>
      <w:numFmt w:val="bullet"/>
      <w:lvlText w:val="±"/>
      <w:lvlJc w:val="left"/>
    </w:lvl>
  </w:abstractNum>
  <w:num w:numId="1">
    <w:abstractNumId w:val="9"/>
  </w:num>
  <w:num w:numId="2">
    <w:abstractNumId w:val="2"/>
  </w:num>
  <w:num w:numId="3">
    <w:abstractNumId w:val="1"/>
  </w:num>
  <w:num w:numId="4">
    <w:abstractNumId w:val="24"/>
  </w:num>
  <w:num w:numId="5">
    <w:abstractNumId w:val="3"/>
  </w:num>
  <w:num w:numId="6">
    <w:abstractNumId w:val="11"/>
  </w:num>
  <w:num w:numId="7">
    <w:abstractNumId w:val="19"/>
  </w:num>
  <w:num w:numId="8">
    <w:abstractNumId w:val="14"/>
  </w:num>
  <w:num w:numId="9">
    <w:abstractNumId w:val="6"/>
  </w:num>
  <w:num w:numId="10">
    <w:abstractNumId w:val="15"/>
  </w:num>
  <w:num w:numId="11">
    <w:abstractNumId w:val="12"/>
  </w:num>
  <w:num w:numId="12">
    <w:abstractNumId w:val="10"/>
  </w:num>
  <w:num w:numId="13">
    <w:abstractNumId w:val="23"/>
  </w:num>
  <w:num w:numId="14">
    <w:abstractNumId w:val="5"/>
  </w:num>
  <w:num w:numId="15">
    <w:abstractNumId w:val="17"/>
  </w:num>
  <w:num w:numId="16">
    <w:abstractNumId w:val="13"/>
  </w:num>
  <w:num w:numId="17">
    <w:abstractNumId w:val="16"/>
  </w:num>
  <w:num w:numId="18">
    <w:abstractNumId w:val="8"/>
  </w:num>
  <w:num w:numId="19">
    <w:abstractNumId w:val="20"/>
  </w:num>
  <w:num w:numId="20">
    <w:abstractNumId w:val="4"/>
  </w:num>
  <w:num w:numId="21">
    <w:abstractNumId w:val="7"/>
  </w:num>
  <w:num w:numId="22">
    <w:abstractNumId w:val="18"/>
  </w:num>
  <w:num w:numId="23">
    <w:abstractNumId w:val="2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52762"/>
    <w:rsid w:val="6FCE5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2024-03-07T17:36:00Z</dcterms:created>
  <dc:creator>Windows User</dc:creator>
  <cp:lastModifiedBy>user</cp:lastModifiedBy>
  <dcterms:modified xsi:type="dcterms:W3CDTF">2024-03-07T18:31:39Z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E169F29EE1704C2FAC64C833C7341B0A</vt:lpwstr>
  </property>
</Properties>
</file>