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60" w:lineRule="auto" w:before="68"/>
        <w:ind w:left="272" w:right="124" w:hanging="6"/>
      </w:pPr>
      <w:r>
        <w:rPr/>
        <w:t>EFFECTS OF DETOXIFICATION ON SOME PHARMACOLOGICAL PROPERTIES</w:t>
      </w:r>
      <w:r>
        <w:rPr>
          <w:spacing w:val="-4"/>
        </w:rPr>
        <w:t> </w:t>
      </w:r>
      <w:r>
        <w:rPr/>
        <w:t>OF</w:t>
      </w:r>
      <w:r>
        <w:rPr>
          <w:spacing w:val="-8"/>
        </w:rPr>
        <w:t> </w:t>
      </w:r>
      <w:r>
        <w:rPr>
          <w:i/>
        </w:rPr>
        <w:t>JATROPHA</w:t>
      </w:r>
      <w:r>
        <w:rPr>
          <w:i/>
          <w:spacing w:val="-8"/>
        </w:rPr>
        <w:t> </w:t>
      </w:r>
      <w:r>
        <w:rPr>
          <w:i/>
        </w:rPr>
        <w:t>CURCAS</w:t>
      </w:r>
      <w:r>
        <w:rPr>
          <w:i/>
          <w:spacing w:val="-3"/>
        </w:rPr>
        <w:t> </w:t>
      </w:r>
      <w:r>
        <w:rPr/>
        <w:t>LINN.</w:t>
      </w:r>
      <w:r>
        <w:rPr>
          <w:spacing w:val="-4"/>
        </w:rPr>
        <w:t> </w:t>
      </w:r>
      <w:r>
        <w:rPr/>
        <w:t>(EUPHORBIACEAE)</w:t>
      </w:r>
      <w:r>
        <w:rPr>
          <w:spacing w:val="-2"/>
        </w:rPr>
        <w:t> </w:t>
      </w:r>
      <w:r>
        <w:rPr/>
        <w:t>SEED</w:t>
      </w:r>
      <w:r>
        <w:rPr>
          <w:spacing w:val="-6"/>
        </w:rPr>
        <w:t> </w:t>
      </w:r>
      <w:r>
        <w:rPr/>
        <w:t>OIL</w:t>
      </w:r>
      <w:r>
        <w:rPr>
          <w:spacing w:val="-8"/>
        </w:rPr>
        <w:t> </w:t>
      </w:r>
      <w:r>
        <w:rPr/>
        <w:t>IN LABORATORY ANIMALS</w:t>
      </w:r>
    </w:p>
    <w:p>
      <w:pPr>
        <w:pStyle w:val="BodyText"/>
        <w:rPr>
          <w:b/>
        </w:rPr>
      </w:pPr>
    </w:p>
    <w:p>
      <w:pPr>
        <w:pStyle w:val="BodyText"/>
        <w:rPr>
          <w:b/>
        </w:rPr>
      </w:pPr>
    </w:p>
    <w:p>
      <w:pPr>
        <w:pStyle w:val="BodyText"/>
        <w:rPr>
          <w:b/>
        </w:rPr>
      </w:pPr>
    </w:p>
    <w:p>
      <w:pPr>
        <w:pStyle w:val="BodyText"/>
        <w:spacing w:before="136"/>
        <w:rPr>
          <w:b/>
        </w:rPr>
      </w:pPr>
    </w:p>
    <w:p>
      <w:pPr>
        <w:spacing w:before="0"/>
        <w:ind w:left="1972" w:right="1823" w:firstLine="0"/>
        <w:jc w:val="center"/>
        <w:rPr>
          <w:b/>
          <w:sz w:val="24"/>
        </w:rPr>
      </w:pPr>
      <w:r>
        <w:rPr>
          <w:b/>
          <w:spacing w:val="-5"/>
          <w:sz w:val="24"/>
        </w:rPr>
        <w:t>By</w:t>
      </w:r>
    </w:p>
    <w:p>
      <w:pPr>
        <w:pStyle w:val="BodyText"/>
        <w:rPr>
          <w:b/>
        </w:rPr>
      </w:pPr>
    </w:p>
    <w:p>
      <w:pPr>
        <w:pStyle w:val="BodyText"/>
        <w:spacing w:before="3"/>
        <w:rPr>
          <w:b/>
        </w:rPr>
      </w:pPr>
    </w:p>
    <w:p>
      <w:pPr>
        <w:spacing w:line="360" w:lineRule="auto" w:before="0"/>
        <w:ind w:left="1972" w:right="1825" w:firstLine="0"/>
        <w:jc w:val="center"/>
        <w:rPr>
          <w:b/>
          <w:sz w:val="24"/>
        </w:rPr>
      </w:pPr>
      <w:r>
        <w:rPr>
          <w:b/>
          <w:sz w:val="24"/>
        </w:rPr>
        <w:t>Shola</w:t>
      </w:r>
      <w:r>
        <w:rPr>
          <w:b/>
          <w:spacing w:val="-5"/>
          <w:sz w:val="24"/>
        </w:rPr>
        <w:t> </w:t>
      </w:r>
      <w:r>
        <w:rPr>
          <w:b/>
          <w:sz w:val="24"/>
        </w:rPr>
        <w:t>Paul</w:t>
      </w:r>
      <w:r>
        <w:rPr>
          <w:b/>
          <w:spacing w:val="-10"/>
          <w:sz w:val="24"/>
        </w:rPr>
        <w:t> </w:t>
      </w:r>
      <w:r>
        <w:rPr>
          <w:b/>
          <w:sz w:val="24"/>
        </w:rPr>
        <w:t>EMIADE,</w:t>
      </w:r>
      <w:r>
        <w:rPr>
          <w:b/>
          <w:spacing w:val="-4"/>
          <w:sz w:val="24"/>
        </w:rPr>
        <w:t> </w:t>
      </w:r>
      <w:r>
        <w:rPr>
          <w:b/>
          <w:sz w:val="24"/>
        </w:rPr>
        <w:t>B.Sc</w:t>
      </w:r>
      <w:r>
        <w:rPr>
          <w:b/>
          <w:spacing w:val="-11"/>
          <w:sz w:val="24"/>
        </w:rPr>
        <w:t> </w:t>
      </w:r>
      <w:r>
        <w:rPr>
          <w:b/>
          <w:sz w:val="24"/>
        </w:rPr>
        <w:t>Biochemistry</w:t>
      </w:r>
      <w:r>
        <w:rPr>
          <w:b/>
          <w:spacing w:val="-5"/>
          <w:sz w:val="24"/>
        </w:rPr>
        <w:t> </w:t>
      </w:r>
      <w:r>
        <w:rPr>
          <w:b/>
          <w:sz w:val="24"/>
        </w:rPr>
        <w:t>(ABU)</w:t>
      </w:r>
      <w:r>
        <w:rPr>
          <w:b/>
          <w:spacing w:val="-9"/>
          <w:sz w:val="24"/>
        </w:rPr>
        <w:t> </w:t>
      </w:r>
      <w:r>
        <w:rPr>
          <w:b/>
          <w:sz w:val="24"/>
        </w:rPr>
        <w:t>2011 MSc/Pharm Sci/38610/2012-2013</w:t>
      </w:r>
    </w:p>
    <w:p>
      <w:pPr>
        <w:pStyle w:val="BodyText"/>
        <w:rPr>
          <w:b/>
        </w:rPr>
      </w:pPr>
    </w:p>
    <w:p>
      <w:pPr>
        <w:pStyle w:val="BodyText"/>
        <w:rPr>
          <w:b/>
        </w:rPr>
      </w:pPr>
    </w:p>
    <w:p>
      <w:pPr>
        <w:pStyle w:val="BodyText"/>
        <w:rPr>
          <w:b/>
        </w:rPr>
      </w:pPr>
    </w:p>
    <w:p>
      <w:pPr>
        <w:pStyle w:val="BodyText"/>
        <w:spacing w:before="138"/>
        <w:rPr>
          <w:b/>
        </w:rPr>
      </w:pPr>
    </w:p>
    <w:p>
      <w:pPr>
        <w:spacing w:line="360" w:lineRule="auto" w:before="0"/>
        <w:ind w:left="273" w:right="132" w:firstLine="0"/>
        <w:jc w:val="center"/>
        <w:rPr>
          <w:b/>
          <w:sz w:val="24"/>
        </w:rPr>
      </w:pPr>
      <w:r>
        <w:rPr>
          <w:b/>
          <w:sz w:val="24"/>
        </w:rPr>
        <w:t>A</w:t>
      </w:r>
      <w:r>
        <w:rPr>
          <w:b/>
          <w:spacing w:val="-7"/>
          <w:sz w:val="24"/>
        </w:rPr>
        <w:t> </w:t>
      </w:r>
      <w:r>
        <w:rPr>
          <w:b/>
          <w:sz w:val="24"/>
        </w:rPr>
        <w:t>DISSERTATION</w:t>
      </w:r>
      <w:r>
        <w:rPr>
          <w:b/>
          <w:spacing w:val="-5"/>
          <w:sz w:val="24"/>
        </w:rPr>
        <w:t> </w:t>
      </w:r>
      <w:r>
        <w:rPr>
          <w:b/>
          <w:sz w:val="24"/>
        </w:rPr>
        <w:t>SUBMITTED</w:t>
      </w:r>
      <w:r>
        <w:rPr>
          <w:b/>
          <w:spacing w:val="-7"/>
          <w:sz w:val="24"/>
        </w:rPr>
        <w:t> </w:t>
      </w:r>
      <w:r>
        <w:rPr>
          <w:b/>
          <w:sz w:val="24"/>
        </w:rPr>
        <w:t>TO</w:t>
      </w:r>
      <w:r>
        <w:rPr>
          <w:b/>
          <w:spacing w:val="-6"/>
          <w:sz w:val="24"/>
        </w:rPr>
        <w:t> </w:t>
      </w:r>
      <w:r>
        <w:rPr>
          <w:b/>
          <w:sz w:val="24"/>
        </w:rPr>
        <w:t>THE</w:t>
      </w:r>
      <w:r>
        <w:rPr>
          <w:b/>
          <w:spacing w:val="-8"/>
          <w:sz w:val="24"/>
        </w:rPr>
        <w:t> </w:t>
      </w:r>
      <w:r>
        <w:rPr>
          <w:b/>
          <w:sz w:val="24"/>
        </w:rPr>
        <w:t>SCHOOL</w:t>
      </w:r>
      <w:r>
        <w:rPr>
          <w:b/>
          <w:spacing w:val="-8"/>
          <w:sz w:val="24"/>
        </w:rPr>
        <w:t> </w:t>
      </w:r>
      <w:r>
        <w:rPr>
          <w:b/>
          <w:sz w:val="24"/>
        </w:rPr>
        <w:t>OF</w:t>
      </w:r>
      <w:r>
        <w:rPr>
          <w:b/>
          <w:spacing w:val="-8"/>
          <w:sz w:val="24"/>
        </w:rPr>
        <w:t> </w:t>
      </w:r>
      <w:r>
        <w:rPr>
          <w:b/>
          <w:sz w:val="24"/>
        </w:rPr>
        <w:t>POSTGRADUATE </w:t>
      </w:r>
      <w:r>
        <w:rPr>
          <w:b/>
          <w:spacing w:val="-2"/>
          <w:sz w:val="24"/>
        </w:rPr>
        <w:t>STUDIES,</w:t>
      </w:r>
    </w:p>
    <w:p>
      <w:pPr>
        <w:spacing w:before="3"/>
        <w:ind w:left="134" w:right="0" w:firstLine="0"/>
        <w:jc w:val="center"/>
        <w:rPr>
          <w:b/>
          <w:sz w:val="24"/>
        </w:rPr>
      </w:pPr>
      <w:r>
        <w:rPr>
          <w:b/>
          <w:sz w:val="24"/>
        </w:rPr>
        <w:t>AHMADU</w:t>
      </w:r>
      <w:r>
        <w:rPr>
          <w:b/>
          <w:spacing w:val="-6"/>
          <w:sz w:val="24"/>
        </w:rPr>
        <w:t> </w:t>
      </w:r>
      <w:r>
        <w:rPr>
          <w:b/>
          <w:sz w:val="24"/>
        </w:rPr>
        <w:t>BELLO</w:t>
      </w:r>
      <w:r>
        <w:rPr>
          <w:b/>
          <w:spacing w:val="-1"/>
          <w:sz w:val="24"/>
        </w:rPr>
        <w:t> </w:t>
      </w:r>
      <w:r>
        <w:rPr>
          <w:b/>
          <w:sz w:val="24"/>
        </w:rPr>
        <w:t>UNIVERSITY, </w:t>
      </w:r>
      <w:r>
        <w:rPr>
          <w:b/>
          <w:spacing w:val="-4"/>
          <w:sz w:val="24"/>
        </w:rPr>
        <w:t>ZARIA</w:t>
      </w:r>
    </w:p>
    <w:p>
      <w:pPr>
        <w:pStyle w:val="BodyText"/>
        <w:spacing w:before="273"/>
        <w:rPr>
          <w:b/>
        </w:rPr>
      </w:pPr>
    </w:p>
    <w:p>
      <w:pPr>
        <w:spacing w:line="360" w:lineRule="auto" w:before="0"/>
        <w:ind w:left="271" w:right="132" w:firstLine="0"/>
        <w:jc w:val="center"/>
        <w:rPr>
          <w:b/>
          <w:sz w:val="24"/>
        </w:rPr>
      </w:pPr>
      <w:r>
        <w:rPr>
          <w:b/>
          <w:sz w:val="24"/>
        </w:rPr>
        <w:t>IN</w:t>
      </w:r>
      <w:r>
        <w:rPr>
          <w:b/>
          <w:spacing w:val="-5"/>
          <w:sz w:val="24"/>
        </w:rPr>
        <w:t> </w:t>
      </w:r>
      <w:r>
        <w:rPr>
          <w:b/>
          <w:sz w:val="24"/>
        </w:rPr>
        <w:t>PARTIAL</w:t>
      </w:r>
      <w:r>
        <w:rPr>
          <w:b/>
          <w:spacing w:val="-6"/>
          <w:sz w:val="24"/>
        </w:rPr>
        <w:t> </w:t>
      </w:r>
      <w:r>
        <w:rPr>
          <w:b/>
          <w:sz w:val="24"/>
        </w:rPr>
        <w:t>FULFILLMENT</w:t>
      </w:r>
      <w:r>
        <w:rPr>
          <w:b/>
          <w:spacing w:val="-6"/>
          <w:sz w:val="24"/>
        </w:rPr>
        <w:t> </w:t>
      </w:r>
      <w:r>
        <w:rPr>
          <w:b/>
          <w:sz w:val="24"/>
        </w:rPr>
        <w:t>OF</w:t>
      </w:r>
      <w:r>
        <w:rPr>
          <w:b/>
          <w:spacing w:val="-6"/>
          <w:sz w:val="24"/>
        </w:rPr>
        <w:t> </w:t>
      </w:r>
      <w:r>
        <w:rPr>
          <w:b/>
          <w:sz w:val="24"/>
        </w:rPr>
        <w:t>THE</w:t>
      </w:r>
      <w:r>
        <w:rPr>
          <w:b/>
          <w:spacing w:val="-6"/>
          <w:sz w:val="24"/>
        </w:rPr>
        <w:t> </w:t>
      </w:r>
      <w:r>
        <w:rPr>
          <w:b/>
          <w:sz w:val="24"/>
        </w:rPr>
        <w:t>REQUIREMENTS</w:t>
      </w:r>
      <w:r>
        <w:rPr>
          <w:b/>
          <w:spacing w:val="-4"/>
          <w:sz w:val="24"/>
        </w:rPr>
        <w:t> </w:t>
      </w:r>
      <w:r>
        <w:rPr>
          <w:b/>
          <w:sz w:val="24"/>
        </w:rPr>
        <w:t>FOR</w:t>
      </w:r>
      <w:r>
        <w:rPr>
          <w:b/>
          <w:spacing w:val="-4"/>
          <w:sz w:val="24"/>
        </w:rPr>
        <w:t> </w:t>
      </w:r>
      <w:r>
        <w:rPr>
          <w:b/>
          <w:sz w:val="24"/>
        </w:rPr>
        <w:t>THE</w:t>
      </w:r>
      <w:r>
        <w:rPr>
          <w:b/>
          <w:spacing w:val="-6"/>
          <w:sz w:val="24"/>
        </w:rPr>
        <w:t> </w:t>
      </w:r>
      <w:r>
        <w:rPr>
          <w:b/>
          <w:sz w:val="24"/>
        </w:rPr>
        <w:t>AWARD</w:t>
      </w:r>
      <w:r>
        <w:rPr>
          <w:b/>
          <w:spacing w:val="-5"/>
          <w:sz w:val="24"/>
        </w:rPr>
        <w:t> </w:t>
      </w:r>
      <w:r>
        <w:rPr>
          <w:b/>
          <w:sz w:val="24"/>
        </w:rPr>
        <w:t>OF </w:t>
      </w:r>
      <w:r>
        <w:rPr>
          <w:b/>
          <w:spacing w:val="-10"/>
          <w:sz w:val="24"/>
        </w:rPr>
        <w:t>A</w:t>
      </w:r>
    </w:p>
    <w:p>
      <w:pPr>
        <w:spacing w:before="3"/>
        <w:ind w:left="136" w:right="0" w:firstLine="0"/>
        <w:jc w:val="center"/>
        <w:rPr>
          <w:b/>
          <w:sz w:val="24"/>
        </w:rPr>
      </w:pPr>
      <w:r>
        <w:rPr>
          <w:b/>
          <w:sz w:val="24"/>
        </w:rPr>
        <w:t>MASTER</w:t>
      </w:r>
      <w:r>
        <w:rPr>
          <w:b/>
          <w:spacing w:val="-3"/>
          <w:sz w:val="24"/>
        </w:rPr>
        <w:t> </w:t>
      </w:r>
      <w:r>
        <w:rPr>
          <w:b/>
          <w:sz w:val="24"/>
        </w:rPr>
        <w:t>DEGREE</w:t>
      </w:r>
      <w:r>
        <w:rPr>
          <w:b/>
          <w:spacing w:val="-2"/>
          <w:sz w:val="24"/>
        </w:rPr>
        <w:t> </w:t>
      </w:r>
      <w:r>
        <w:rPr>
          <w:b/>
          <w:sz w:val="24"/>
        </w:rPr>
        <w:t>IN</w:t>
      </w:r>
      <w:r>
        <w:rPr>
          <w:b/>
          <w:spacing w:val="-2"/>
          <w:sz w:val="24"/>
        </w:rPr>
        <w:t> PHARMACOLOGY.</w:t>
      </w:r>
    </w:p>
    <w:p>
      <w:pPr>
        <w:pStyle w:val="BodyText"/>
        <w:spacing w:before="274"/>
        <w:rPr>
          <w:b/>
        </w:rPr>
      </w:pPr>
    </w:p>
    <w:p>
      <w:pPr>
        <w:spacing w:line="360" w:lineRule="auto" w:before="0"/>
        <w:ind w:left="693" w:right="552" w:firstLine="0"/>
        <w:jc w:val="center"/>
        <w:rPr>
          <w:b/>
          <w:sz w:val="24"/>
        </w:rPr>
      </w:pPr>
      <w:r>
        <w:rPr>
          <w:b/>
          <w:sz w:val="24"/>
        </w:rPr>
        <w:t>DEPARTMENT</w:t>
      </w:r>
      <w:r>
        <w:rPr>
          <w:b/>
          <w:spacing w:val="-12"/>
          <w:sz w:val="24"/>
        </w:rPr>
        <w:t> </w:t>
      </w:r>
      <w:r>
        <w:rPr>
          <w:b/>
          <w:sz w:val="24"/>
        </w:rPr>
        <w:t>OF</w:t>
      </w:r>
      <w:r>
        <w:rPr>
          <w:b/>
          <w:spacing w:val="-12"/>
          <w:sz w:val="24"/>
        </w:rPr>
        <w:t> </w:t>
      </w:r>
      <w:r>
        <w:rPr>
          <w:b/>
          <w:sz w:val="24"/>
        </w:rPr>
        <w:t>PHARMACOLOGY</w:t>
      </w:r>
      <w:r>
        <w:rPr>
          <w:b/>
          <w:spacing w:val="-11"/>
          <w:sz w:val="24"/>
        </w:rPr>
        <w:t> </w:t>
      </w:r>
      <w:r>
        <w:rPr>
          <w:b/>
          <w:sz w:val="24"/>
        </w:rPr>
        <w:t>AND</w:t>
      </w:r>
      <w:r>
        <w:rPr>
          <w:b/>
          <w:spacing w:val="-11"/>
          <w:sz w:val="24"/>
        </w:rPr>
        <w:t> </w:t>
      </w:r>
      <w:r>
        <w:rPr>
          <w:b/>
          <w:sz w:val="24"/>
        </w:rPr>
        <w:t>THERAPEUTICS, FACULTY OF PHARMACEUTICAL SCIENCES</w:t>
      </w:r>
    </w:p>
    <w:p>
      <w:pPr>
        <w:spacing w:line="360" w:lineRule="auto" w:before="3"/>
        <w:ind w:left="1972" w:right="1836"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w:t>
      </w:r>
      <w:r>
        <w:rPr>
          <w:b/>
          <w:spacing w:val="-13"/>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spacing w:before="137"/>
        <w:rPr>
          <w:b/>
        </w:rPr>
      </w:pPr>
    </w:p>
    <w:p>
      <w:pPr>
        <w:spacing w:before="0"/>
        <w:ind w:left="1972" w:right="1823" w:firstLine="0"/>
        <w:jc w:val="center"/>
        <w:rPr>
          <w:b/>
          <w:sz w:val="24"/>
        </w:rPr>
      </w:pPr>
      <w:r>
        <w:rPr>
          <w:b/>
          <w:sz w:val="24"/>
        </w:rPr>
        <w:t>MARCH,</w:t>
      </w:r>
      <w:r>
        <w:rPr>
          <w:b/>
          <w:spacing w:val="1"/>
          <w:sz w:val="24"/>
        </w:rPr>
        <w:t> </w:t>
      </w:r>
      <w:r>
        <w:rPr>
          <w:b/>
          <w:spacing w:val="-4"/>
          <w:sz w:val="24"/>
        </w:rPr>
        <w:t>2016</w:t>
      </w:r>
    </w:p>
    <w:p>
      <w:pPr>
        <w:spacing w:after="0"/>
        <w:jc w:val="center"/>
        <w:rPr>
          <w:sz w:val="24"/>
        </w:rPr>
        <w:sectPr>
          <w:type w:val="continuous"/>
          <w:pgSz w:w="12240" w:h="15840"/>
          <w:pgMar w:top="1340" w:bottom="280" w:left="1720" w:right="1300"/>
        </w:sectPr>
      </w:pPr>
    </w:p>
    <w:p>
      <w:pPr>
        <w:pStyle w:val="Heading2"/>
        <w:spacing w:before="61"/>
        <w:ind w:left="138" w:firstLine="0"/>
        <w:jc w:val="center"/>
      </w:pPr>
      <w:bookmarkStart w:name="_TOC_250055" w:id="1"/>
      <w:bookmarkEnd w:id="1"/>
      <w:r>
        <w:rPr>
          <w:spacing w:val="-2"/>
        </w:rPr>
        <w:t>Declaration</w:t>
      </w:r>
    </w:p>
    <w:p>
      <w:pPr>
        <w:pStyle w:val="BodyText"/>
        <w:spacing w:before="274"/>
        <w:rPr>
          <w:b/>
        </w:rPr>
      </w:pPr>
    </w:p>
    <w:p>
      <w:pPr>
        <w:pStyle w:val="BodyText"/>
        <w:spacing w:line="360" w:lineRule="auto"/>
        <w:ind w:left="253" w:right="109"/>
        <w:jc w:val="both"/>
      </w:pPr>
      <w:r>
        <w:rPr/>
        <w:t>I declare that the work in</w:t>
      </w:r>
      <w:r>
        <w:rPr>
          <w:spacing w:val="-2"/>
        </w:rPr>
        <w:t> </w:t>
      </w:r>
      <w:r>
        <w:rPr/>
        <w:t>this dissertation entitled “EFFECTS OF DETOXIFICATION ON SOME</w:t>
      </w:r>
      <w:r>
        <w:rPr>
          <w:spacing w:val="51"/>
        </w:rPr>
        <w:t>  </w:t>
      </w:r>
      <w:r>
        <w:rPr/>
        <w:t>PHARMACOLOGICAL</w:t>
      </w:r>
      <w:r>
        <w:rPr>
          <w:spacing w:val="49"/>
        </w:rPr>
        <w:t>  </w:t>
      </w:r>
      <w:r>
        <w:rPr/>
        <w:t>PROPERTIES</w:t>
      </w:r>
      <w:r>
        <w:rPr>
          <w:spacing w:val="53"/>
        </w:rPr>
        <w:t>  </w:t>
      </w:r>
      <w:r>
        <w:rPr/>
        <w:t>OF</w:t>
      </w:r>
      <w:r>
        <w:rPr>
          <w:spacing w:val="49"/>
        </w:rPr>
        <w:t>  </w:t>
      </w:r>
      <w:r>
        <w:rPr>
          <w:i/>
        </w:rPr>
        <w:t>JATROPHA</w:t>
      </w:r>
      <w:r>
        <w:rPr>
          <w:i/>
          <w:spacing w:val="50"/>
        </w:rPr>
        <w:t>  </w:t>
      </w:r>
      <w:r>
        <w:rPr>
          <w:i/>
        </w:rPr>
        <w:t>CURCAS</w:t>
      </w:r>
      <w:r>
        <w:rPr>
          <w:i/>
          <w:spacing w:val="50"/>
        </w:rPr>
        <w:t>  </w:t>
      </w:r>
      <w:r>
        <w:rPr>
          <w:spacing w:val="-2"/>
        </w:rPr>
        <w:t>LINN.</w:t>
      </w:r>
    </w:p>
    <w:p>
      <w:pPr>
        <w:pStyle w:val="BodyText"/>
        <w:spacing w:line="360" w:lineRule="auto"/>
        <w:ind w:left="253" w:right="103"/>
        <w:jc w:val="both"/>
      </w:pPr>
      <w:r>
        <w:rPr/>
        <w:t>(EUPHORBIACEAE) SEED</w:t>
      </w:r>
      <w:r>
        <w:rPr>
          <w:spacing w:val="-2"/>
        </w:rPr>
        <w:t> </w:t>
      </w:r>
      <w:r>
        <w:rPr/>
        <w:t>OIL</w:t>
      </w:r>
      <w:r>
        <w:rPr>
          <w:spacing w:val="-5"/>
        </w:rPr>
        <w:t> </w:t>
      </w:r>
      <w:r>
        <w:rPr/>
        <w:t>IN</w:t>
      </w:r>
      <w:r>
        <w:rPr>
          <w:spacing w:val="-4"/>
        </w:rPr>
        <w:t> </w:t>
      </w:r>
      <w:r>
        <w:rPr/>
        <w:t>LABORATORY ANIMALS” has</w:t>
      </w:r>
      <w:r>
        <w:rPr>
          <w:spacing w:val="-1"/>
        </w:rPr>
        <w:t> </w:t>
      </w:r>
      <w:r>
        <w:rPr/>
        <w:t>been</w:t>
      </w:r>
      <w:r>
        <w:rPr>
          <w:spacing w:val="-8"/>
        </w:rPr>
        <w:t> </w:t>
      </w:r>
      <w:r>
        <w:rPr/>
        <w:t>carried</w:t>
      </w:r>
      <w:r>
        <w:rPr>
          <w:spacing w:val="-3"/>
        </w:rPr>
        <w:t> </w:t>
      </w:r>
      <w:r>
        <w:rPr/>
        <w:t>out by me in the Department of Pharmacology and Therapeutics, Ahmadu Bello University, Zaria under the supervisions of Prof. (Mrs.) H.O. Kwanashie, Prof. B.A. Chindo and Dr. J.I. Ejiofor. The information</w:t>
      </w:r>
      <w:r>
        <w:rPr>
          <w:spacing w:val="-6"/>
        </w:rPr>
        <w:t> </w:t>
      </w:r>
      <w:r>
        <w:rPr/>
        <w:t>derived from</w:t>
      </w:r>
      <w:r>
        <w:rPr>
          <w:spacing w:val="-9"/>
        </w:rPr>
        <w:t> </w:t>
      </w:r>
      <w:r>
        <w:rPr/>
        <w:t>the literature has been</w:t>
      </w:r>
      <w:r>
        <w:rPr>
          <w:spacing w:val="-1"/>
        </w:rPr>
        <w:t> </w:t>
      </w:r>
      <w:r>
        <w:rPr/>
        <w:t>duly</w:t>
      </w:r>
      <w:r>
        <w:rPr>
          <w:spacing w:val="-1"/>
        </w:rPr>
        <w:t> </w:t>
      </w:r>
      <w:r>
        <w:rPr/>
        <w:t>acknowledged in</w:t>
      </w:r>
      <w:r>
        <w:rPr>
          <w:spacing w:val="-1"/>
        </w:rPr>
        <w:t> </w:t>
      </w:r>
      <w:r>
        <w:rPr/>
        <w:t>the text and a list of references provided. No part of this project was previously presented for another degree or diploma at this or any other Institution.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4"/>
        <w:rPr>
          <w:sz w:val="20"/>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1"/>
        <w:gridCol w:w="3338"/>
        <w:gridCol w:w="2958"/>
      </w:tblGrid>
      <w:tr>
        <w:trPr>
          <w:trHeight w:val="272" w:hRule="atLeast"/>
        </w:trPr>
        <w:tc>
          <w:tcPr>
            <w:tcW w:w="2501" w:type="dxa"/>
          </w:tcPr>
          <w:p>
            <w:pPr>
              <w:pStyle w:val="TableParagraph"/>
              <w:spacing w:line="252" w:lineRule="exact"/>
              <w:ind w:left="50"/>
              <w:rPr>
                <w:sz w:val="24"/>
              </w:rPr>
            </w:pPr>
            <w:r>
              <w:rPr>
                <w:sz w:val="24"/>
                <w:u w:val="single"/>
              </w:rPr>
              <w:t>Shola</w:t>
            </w:r>
            <w:r>
              <w:rPr>
                <w:spacing w:val="-1"/>
                <w:sz w:val="24"/>
                <w:u w:val="single"/>
              </w:rPr>
              <w:t> </w:t>
            </w:r>
            <w:r>
              <w:rPr>
                <w:sz w:val="24"/>
                <w:u w:val="single"/>
              </w:rPr>
              <w:t>Paul</w:t>
            </w:r>
            <w:r>
              <w:rPr>
                <w:spacing w:val="-8"/>
                <w:sz w:val="24"/>
                <w:u w:val="single"/>
              </w:rPr>
              <w:t> </w:t>
            </w:r>
            <w:r>
              <w:rPr>
                <w:spacing w:val="-2"/>
                <w:sz w:val="24"/>
                <w:u w:val="single"/>
              </w:rPr>
              <w:t>EMIADE</w:t>
            </w:r>
          </w:p>
        </w:tc>
        <w:tc>
          <w:tcPr>
            <w:tcW w:w="3338" w:type="dxa"/>
          </w:tcPr>
          <w:p>
            <w:pPr>
              <w:pStyle w:val="TableParagraph"/>
              <w:tabs>
                <w:tab w:pos="2215" w:val="left" w:leader="none"/>
              </w:tabs>
              <w:spacing w:line="252" w:lineRule="exact"/>
              <w:ind w:right="260"/>
              <w:jc w:val="center"/>
              <w:rPr>
                <w:sz w:val="24"/>
              </w:rPr>
            </w:pPr>
            <w:r>
              <w:rPr>
                <w:sz w:val="24"/>
                <w:u w:val="single"/>
              </w:rPr>
              <w:t> </w:t>
              <w:tab/>
            </w:r>
          </w:p>
        </w:tc>
        <w:tc>
          <w:tcPr>
            <w:tcW w:w="2958" w:type="dxa"/>
          </w:tcPr>
          <w:p>
            <w:pPr>
              <w:pStyle w:val="TableParagraph"/>
              <w:tabs>
                <w:tab w:pos="2908" w:val="left" w:leader="none"/>
              </w:tabs>
              <w:spacing w:line="252" w:lineRule="exact"/>
              <w:ind w:left="693"/>
              <w:rPr>
                <w:sz w:val="24"/>
              </w:rPr>
            </w:pPr>
            <w:r>
              <w:rPr>
                <w:sz w:val="24"/>
                <w:u w:val="single"/>
              </w:rPr>
              <w:t> </w:t>
              <w:tab/>
            </w:r>
          </w:p>
        </w:tc>
      </w:tr>
      <w:tr>
        <w:trPr>
          <w:trHeight w:val="272" w:hRule="atLeast"/>
        </w:trPr>
        <w:tc>
          <w:tcPr>
            <w:tcW w:w="2501" w:type="dxa"/>
          </w:tcPr>
          <w:p>
            <w:pPr>
              <w:pStyle w:val="TableParagraph"/>
              <w:spacing w:line="252" w:lineRule="exact"/>
              <w:ind w:left="50"/>
              <w:rPr>
                <w:sz w:val="24"/>
              </w:rPr>
            </w:pPr>
            <w:r>
              <w:rPr>
                <w:sz w:val="24"/>
              </w:rPr>
              <w:t>Name</w:t>
            </w:r>
            <w:r>
              <w:rPr>
                <w:spacing w:val="2"/>
                <w:sz w:val="24"/>
              </w:rPr>
              <w:t> </w:t>
            </w:r>
            <w:r>
              <w:rPr>
                <w:sz w:val="24"/>
              </w:rPr>
              <w:t>of</w:t>
            </w:r>
            <w:r>
              <w:rPr>
                <w:spacing w:val="-5"/>
                <w:sz w:val="24"/>
              </w:rPr>
              <w:t> </w:t>
            </w:r>
            <w:r>
              <w:rPr>
                <w:spacing w:val="-2"/>
                <w:sz w:val="24"/>
              </w:rPr>
              <w:t>Student</w:t>
            </w:r>
          </w:p>
        </w:tc>
        <w:tc>
          <w:tcPr>
            <w:tcW w:w="3338" w:type="dxa"/>
          </w:tcPr>
          <w:p>
            <w:pPr>
              <w:pStyle w:val="TableParagraph"/>
              <w:spacing w:line="252" w:lineRule="exact"/>
              <w:ind w:right="114"/>
              <w:jc w:val="center"/>
              <w:rPr>
                <w:sz w:val="24"/>
              </w:rPr>
            </w:pPr>
            <w:r>
              <w:rPr>
                <w:spacing w:val="-2"/>
                <w:sz w:val="24"/>
              </w:rPr>
              <w:t>Signature</w:t>
            </w:r>
          </w:p>
        </w:tc>
        <w:tc>
          <w:tcPr>
            <w:tcW w:w="2958" w:type="dxa"/>
          </w:tcPr>
          <w:p>
            <w:pPr>
              <w:pStyle w:val="TableParagraph"/>
              <w:spacing w:line="252" w:lineRule="exact"/>
              <w:ind w:left="325"/>
              <w:jc w:val="center"/>
              <w:rPr>
                <w:sz w:val="24"/>
              </w:rPr>
            </w:pPr>
            <w:r>
              <w:rPr>
                <w:spacing w:val="-4"/>
                <w:sz w:val="24"/>
              </w:rPr>
              <w:t>Date</w:t>
            </w:r>
          </w:p>
        </w:tc>
      </w:tr>
    </w:tbl>
    <w:p>
      <w:pPr>
        <w:spacing w:after="0" w:line="252" w:lineRule="exact"/>
        <w:jc w:val="center"/>
        <w:rPr>
          <w:sz w:val="24"/>
        </w:rPr>
        <w:sectPr>
          <w:footerReference w:type="default" r:id="rId5"/>
          <w:pgSz w:w="12240" w:h="15840"/>
          <w:pgMar w:header="0" w:footer="1012" w:top="1760" w:bottom="1200" w:left="1720" w:right="1300"/>
          <w:pgNumType w:start="2"/>
        </w:sectPr>
      </w:pPr>
    </w:p>
    <w:p>
      <w:pPr>
        <w:pStyle w:val="Heading2"/>
        <w:spacing w:before="68"/>
        <w:ind w:left="138" w:firstLine="0"/>
        <w:jc w:val="center"/>
      </w:pPr>
      <w:bookmarkStart w:name="_TOC_250054" w:id="2"/>
      <w:bookmarkEnd w:id="2"/>
      <w:r>
        <w:rPr>
          <w:spacing w:val="-2"/>
        </w:rPr>
        <w:t>Certification</w:t>
      </w:r>
    </w:p>
    <w:p>
      <w:pPr>
        <w:pStyle w:val="BodyText"/>
        <w:rPr>
          <w:b/>
        </w:rPr>
      </w:pPr>
    </w:p>
    <w:p>
      <w:pPr>
        <w:pStyle w:val="BodyText"/>
        <w:spacing w:before="133"/>
        <w:rPr>
          <w:b/>
        </w:rPr>
      </w:pPr>
    </w:p>
    <w:p>
      <w:pPr>
        <w:pStyle w:val="BodyText"/>
        <w:spacing w:line="360" w:lineRule="auto"/>
        <w:ind w:left="253" w:right="103"/>
        <w:jc w:val="both"/>
      </w:pPr>
      <w:r>
        <w:rPr/>
        <w:t>This dissertation entitled “EFFECTS OF DETOXIFICATION ON SOME PHARMACOLOGICAL PROPERTIES OF </w:t>
      </w:r>
      <w:r>
        <w:rPr>
          <w:i/>
        </w:rPr>
        <w:t>JATROPHA CURCAS </w:t>
      </w:r>
      <w:r>
        <w:rPr/>
        <w:t>LINN. (EUPHORBIACEAE)</w:t>
      </w:r>
      <w:r>
        <w:rPr>
          <w:spacing w:val="26"/>
        </w:rPr>
        <w:t>  </w:t>
      </w:r>
      <w:r>
        <w:rPr/>
        <w:t>SEED</w:t>
      </w:r>
      <w:r>
        <w:rPr>
          <w:spacing w:val="26"/>
        </w:rPr>
        <w:t>  </w:t>
      </w:r>
      <w:r>
        <w:rPr/>
        <w:t>OIL</w:t>
      </w:r>
      <w:r>
        <w:rPr>
          <w:spacing w:val="77"/>
          <w:w w:val="150"/>
        </w:rPr>
        <w:t> </w:t>
      </w:r>
      <w:r>
        <w:rPr/>
        <w:t>IN</w:t>
      </w:r>
      <w:r>
        <w:rPr>
          <w:spacing w:val="25"/>
        </w:rPr>
        <w:t>  </w:t>
      </w:r>
      <w:r>
        <w:rPr/>
        <w:t>LABORATORY</w:t>
      </w:r>
      <w:r>
        <w:rPr>
          <w:spacing w:val="27"/>
        </w:rPr>
        <w:t>  </w:t>
      </w:r>
      <w:r>
        <w:rPr/>
        <w:t>ANIMALS”</w:t>
      </w:r>
      <w:r>
        <w:rPr>
          <w:spacing w:val="26"/>
        </w:rPr>
        <w:t>  </w:t>
      </w:r>
      <w:r>
        <w:rPr/>
        <w:t>by</w:t>
      </w:r>
      <w:r>
        <w:rPr>
          <w:spacing w:val="76"/>
          <w:w w:val="150"/>
        </w:rPr>
        <w:t> </w:t>
      </w:r>
      <w:r>
        <w:rPr/>
        <w:t>Shola</w:t>
      </w:r>
      <w:r>
        <w:rPr>
          <w:spacing w:val="79"/>
          <w:w w:val="150"/>
        </w:rPr>
        <w:t> </w:t>
      </w:r>
      <w:r>
        <w:rPr>
          <w:spacing w:val="-4"/>
        </w:rPr>
        <w:t>Paul</w:t>
      </w:r>
    </w:p>
    <w:p>
      <w:pPr>
        <w:pStyle w:val="BodyText"/>
        <w:spacing w:line="360" w:lineRule="auto" w:before="1"/>
        <w:ind w:left="253" w:right="113"/>
        <w:jc w:val="both"/>
      </w:pPr>
      <w:r>
        <w:rPr/>
        <w:t>EMIADE meets the regulations governing the award of the degree of Master of Science in Pharmacology</w:t>
      </w:r>
      <w:r>
        <w:rPr>
          <w:spacing w:val="-12"/>
        </w:rPr>
        <w:t> </w:t>
      </w:r>
      <w:r>
        <w:rPr/>
        <w:t>of</w:t>
      </w:r>
      <w:r>
        <w:rPr>
          <w:spacing w:val="-8"/>
        </w:rPr>
        <w:t> </w:t>
      </w:r>
      <w:r>
        <w:rPr/>
        <w:t>the</w:t>
      </w:r>
      <w:r>
        <w:rPr>
          <w:spacing w:val="-3"/>
        </w:rPr>
        <w:t> </w:t>
      </w:r>
      <w:r>
        <w:rPr/>
        <w:t>Ahmadu</w:t>
      </w:r>
      <w:r>
        <w:rPr>
          <w:spacing w:val="-2"/>
        </w:rPr>
        <w:t> </w:t>
      </w:r>
      <w:r>
        <w:rPr/>
        <w:t>Bello University, Zaria</w:t>
      </w:r>
      <w:r>
        <w:rPr>
          <w:spacing w:val="-3"/>
        </w:rPr>
        <w:t> </w:t>
      </w:r>
      <w:r>
        <w:rPr/>
        <w:t>and is</w:t>
      </w:r>
      <w:r>
        <w:rPr>
          <w:spacing w:val="-4"/>
        </w:rPr>
        <w:t> </w:t>
      </w:r>
      <w:r>
        <w:rPr/>
        <w:t>approved</w:t>
      </w:r>
      <w:r>
        <w:rPr>
          <w:spacing w:val="-2"/>
        </w:rPr>
        <w:t> </w:t>
      </w:r>
      <w:r>
        <w:rPr/>
        <w:t>for</w:t>
      </w:r>
      <w:r>
        <w:rPr>
          <w:spacing w:val="-1"/>
        </w:rPr>
        <w:t> </w:t>
      </w:r>
      <w:r>
        <w:rPr/>
        <w:t>its</w:t>
      </w:r>
      <w:r>
        <w:rPr>
          <w:spacing w:val="-4"/>
        </w:rPr>
        <w:t> </w:t>
      </w:r>
      <w:r>
        <w:rPr/>
        <w:t>contribution</w:t>
      </w:r>
      <w:r>
        <w:rPr>
          <w:spacing w:val="-7"/>
        </w:rPr>
        <w:t> </w:t>
      </w:r>
      <w:r>
        <w:rPr/>
        <w:t>to knowledge and literary presentation.</w:t>
      </w:r>
    </w:p>
    <w:p>
      <w:pPr>
        <w:pStyle w:val="BodyText"/>
        <w:rPr>
          <w:sz w:val="20"/>
        </w:rPr>
      </w:pPr>
    </w:p>
    <w:p>
      <w:pPr>
        <w:pStyle w:val="BodyText"/>
        <w:rPr>
          <w:sz w:val="20"/>
        </w:rPr>
      </w:pPr>
    </w:p>
    <w:p>
      <w:pPr>
        <w:pStyle w:val="BodyText"/>
        <w:rPr>
          <w:sz w:val="20"/>
        </w:rPr>
      </w:pPr>
    </w:p>
    <w:p>
      <w:pPr>
        <w:pStyle w:val="BodyText"/>
        <w:spacing w:before="196" w:after="1"/>
        <w:rPr>
          <w:sz w:val="20"/>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1"/>
        <w:gridCol w:w="2909"/>
        <w:gridCol w:w="1878"/>
      </w:tblGrid>
      <w:tr>
        <w:trPr>
          <w:trHeight w:val="821" w:hRule="atLeast"/>
        </w:trPr>
        <w:tc>
          <w:tcPr>
            <w:tcW w:w="4011" w:type="dxa"/>
          </w:tcPr>
          <w:p>
            <w:pPr>
              <w:pStyle w:val="TableParagraph"/>
              <w:tabs>
                <w:tab w:pos="3650" w:val="left" w:leader="none"/>
              </w:tabs>
              <w:spacing w:line="237" w:lineRule="auto"/>
              <w:ind w:left="112" w:right="358" w:hanging="63"/>
              <w:rPr>
                <w:sz w:val="24"/>
              </w:rPr>
            </w:pPr>
            <w:r>
              <w:rPr>
                <w:sz w:val="24"/>
                <w:u w:val="single"/>
              </w:rPr>
              <w:t> Prof. (Mrs.) H.O. Kwanashie</w:t>
              <w:tab/>
            </w:r>
            <w:r>
              <w:rPr>
                <w:sz w:val="24"/>
              </w:rPr>
              <w:t> Chairman, Supervisory committee</w:t>
            </w:r>
          </w:p>
        </w:tc>
        <w:tc>
          <w:tcPr>
            <w:tcW w:w="2909" w:type="dxa"/>
          </w:tcPr>
          <w:p>
            <w:pPr>
              <w:pStyle w:val="TableParagraph"/>
              <w:tabs>
                <w:tab w:pos="2576" w:val="left" w:leader="none"/>
              </w:tabs>
              <w:spacing w:line="237" w:lineRule="auto"/>
              <w:ind w:left="1080" w:right="330" w:hanging="663"/>
              <w:rPr>
                <w:sz w:val="24"/>
              </w:rPr>
            </w:pPr>
            <w:r>
              <w:rPr>
                <w:sz w:val="24"/>
                <w:u w:val="single"/>
              </w:rPr>
              <w:tab/>
              <w:tab/>
            </w:r>
            <w:r>
              <w:rPr>
                <w:sz w:val="24"/>
              </w:rPr>
              <w:t> </w:t>
            </w:r>
            <w:r>
              <w:rPr>
                <w:spacing w:val="-2"/>
                <w:sz w:val="24"/>
              </w:rPr>
              <w:t>Signature</w:t>
            </w:r>
          </w:p>
        </w:tc>
        <w:tc>
          <w:tcPr>
            <w:tcW w:w="1878" w:type="dxa"/>
          </w:tcPr>
          <w:p>
            <w:pPr>
              <w:pStyle w:val="TableParagraph"/>
              <w:tabs>
                <w:tab w:pos="1827" w:val="left" w:leader="none"/>
              </w:tabs>
              <w:spacing w:line="237" w:lineRule="auto"/>
              <w:ind w:left="874" w:right="48" w:hanging="485"/>
              <w:rPr>
                <w:sz w:val="24"/>
              </w:rPr>
            </w:pPr>
            <w:r>
              <w:rPr>
                <w:sz w:val="24"/>
                <w:u w:val="single"/>
              </w:rPr>
              <w:tab/>
              <w:tab/>
            </w:r>
            <w:r>
              <w:rPr>
                <w:sz w:val="24"/>
              </w:rPr>
              <w:t> </w:t>
            </w:r>
            <w:r>
              <w:rPr>
                <w:spacing w:val="-4"/>
                <w:sz w:val="24"/>
              </w:rPr>
              <w:t>Date</w:t>
            </w:r>
          </w:p>
        </w:tc>
      </w:tr>
      <w:tr>
        <w:trPr>
          <w:trHeight w:val="621" w:hRule="atLeast"/>
        </w:trPr>
        <w:tc>
          <w:tcPr>
            <w:tcW w:w="4011" w:type="dxa"/>
          </w:tcPr>
          <w:p>
            <w:pPr>
              <w:pStyle w:val="TableParagraph"/>
              <w:tabs>
                <w:tab w:pos="3650" w:val="left" w:leader="none"/>
              </w:tabs>
              <w:spacing w:before="272"/>
              <w:ind w:left="50"/>
              <w:rPr>
                <w:sz w:val="24"/>
              </w:rPr>
            </w:pPr>
            <w:r>
              <w:rPr>
                <w:sz w:val="24"/>
                <w:u w:val="single"/>
              </w:rPr>
              <w:t>Prof.</w:t>
            </w:r>
            <w:r>
              <w:rPr>
                <w:spacing w:val="-3"/>
                <w:sz w:val="24"/>
                <w:u w:val="single"/>
              </w:rPr>
              <w:t> </w:t>
            </w:r>
            <w:r>
              <w:rPr>
                <w:sz w:val="24"/>
                <w:u w:val="single"/>
              </w:rPr>
              <w:t>B.A.</w:t>
            </w:r>
            <w:r>
              <w:rPr>
                <w:spacing w:val="-2"/>
                <w:sz w:val="24"/>
                <w:u w:val="single"/>
              </w:rPr>
              <w:t> Chindo</w:t>
            </w:r>
            <w:r>
              <w:rPr>
                <w:sz w:val="24"/>
                <w:u w:val="single"/>
              </w:rPr>
              <w:tab/>
            </w:r>
          </w:p>
        </w:tc>
        <w:tc>
          <w:tcPr>
            <w:tcW w:w="2909" w:type="dxa"/>
          </w:tcPr>
          <w:p>
            <w:pPr>
              <w:pStyle w:val="TableParagraph"/>
              <w:tabs>
                <w:tab w:pos="2243" w:val="left" w:leader="none"/>
              </w:tabs>
              <w:spacing w:before="272"/>
              <w:ind w:left="27"/>
              <w:jc w:val="center"/>
              <w:rPr>
                <w:sz w:val="24"/>
              </w:rPr>
            </w:pPr>
            <w:r>
              <w:rPr>
                <w:sz w:val="24"/>
                <w:u w:val="single"/>
              </w:rPr>
              <w:t> </w:t>
              <w:tab/>
            </w:r>
          </w:p>
        </w:tc>
        <w:tc>
          <w:tcPr>
            <w:tcW w:w="1878" w:type="dxa"/>
          </w:tcPr>
          <w:p>
            <w:pPr>
              <w:pStyle w:val="TableParagraph"/>
              <w:tabs>
                <w:tab w:pos="1777" w:val="left" w:leader="none"/>
              </w:tabs>
              <w:spacing w:before="272"/>
              <w:ind w:left="339"/>
              <w:jc w:val="center"/>
              <w:rPr>
                <w:sz w:val="24"/>
              </w:rPr>
            </w:pPr>
            <w:r>
              <w:rPr>
                <w:sz w:val="24"/>
                <w:u w:val="single"/>
              </w:rPr>
              <w:t> </w:t>
              <w:tab/>
            </w:r>
          </w:p>
        </w:tc>
      </w:tr>
      <w:tr>
        <w:trPr>
          <w:trHeight w:val="619" w:hRule="atLeast"/>
        </w:trPr>
        <w:tc>
          <w:tcPr>
            <w:tcW w:w="4011" w:type="dxa"/>
          </w:tcPr>
          <w:p>
            <w:pPr>
              <w:pStyle w:val="TableParagraph"/>
              <w:spacing w:before="63"/>
              <w:ind w:left="50"/>
              <w:rPr>
                <w:sz w:val="24"/>
              </w:rPr>
            </w:pPr>
            <w:r>
              <w:rPr>
                <w:sz w:val="24"/>
              </w:rPr>
              <w:t>Member</w:t>
            </w:r>
            <w:r>
              <w:rPr>
                <w:spacing w:val="-2"/>
                <w:sz w:val="24"/>
              </w:rPr>
              <w:t> </w:t>
            </w:r>
            <w:r>
              <w:rPr>
                <w:sz w:val="24"/>
              </w:rPr>
              <w:t>Supervisory</w:t>
            </w:r>
            <w:r>
              <w:rPr>
                <w:spacing w:val="-12"/>
                <w:sz w:val="24"/>
              </w:rPr>
              <w:t> </w:t>
            </w:r>
            <w:r>
              <w:rPr>
                <w:spacing w:val="-2"/>
                <w:sz w:val="24"/>
              </w:rPr>
              <w:t>committee</w:t>
            </w:r>
          </w:p>
        </w:tc>
        <w:tc>
          <w:tcPr>
            <w:tcW w:w="2909" w:type="dxa"/>
          </w:tcPr>
          <w:p>
            <w:pPr>
              <w:pStyle w:val="TableParagraph"/>
              <w:spacing w:before="63"/>
              <w:ind w:left="173"/>
              <w:jc w:val="center"/>
              <w:rPr>
                <w:sz w:val="24"/>
              </w:rPr>
            </w:pPr>
            <w:r>
              <w:rPr>
                <w:spacing w:val="-2"/>
                <w:sz w:val="24"/>
              </w:rPr>
              <w:t>Signature</w:t>
            </w:r>
          </w:p>
        </w:tc>
        <w:tc>
          <w:tcPr>
            <w:tcW w:w="1878" w:type="dxa"/>
          </w:tcPr>
          <w:p>
            <w:pPr>
              <w:pStyle w:val="TableParagraph"/>
              <w:spacing w:before="63"/>
              <w:ind w:left="328"/>
              <w:jc w:val="center"/>
              <w:rPr>
                <w:sz w:val="24"/>
              </w:rPr>
            </w:pPr>
            <w:r>
              <w:rPr>
                <w:spacing w:val="-4"/>
                <w:sz w:val="24"/>
              </w:rPr>
              <w:t>Date</w:t>
            </w:r>
          </w:p>
        </w:tc>
      </w:tr>
      <w:tr>
        <w:trPr>
          <w:trHeight w:val="621" w:hRule="atLeast"/>
        </w:trPr>
        <w:tc>
          <w:tcPr>
            <w:tcW w:w="4011" w:type="dxa"/>
          </w:tcPr>
          <w:p>
            <w:pPr>
              <w:pStyle w:val="TableParagraph"/>
              <w:tabs>
                <w:tab w:pos="3650" w:val="left" w:leader="none"/>
              </w:tabs>
              <w:spacing w:before="269"/>
              <w:ind w:left="50"/>
              <w:rPr>
                <w:sz w:val="24"/>
              </w:rPr>
            </w:pPr>
            <w:r>
              <w:rPr>
                <w:sz w:val="24"/>
                <w:u w:val="single"/>
              </w:rPr>
              <w:t>Dr.</w:t>
            </w:r>
            <w:r>
              <w:rPr>
                <w:spacing w:val="1"/>
                <w:sz w:val="24"/>
                <w:u w:val="single"/>
              </w:rPr>
              <w:t> </w:t>
            </w:r>
            <w:r>
              <w:rPr>
                <w:sz w:val="24"/>
                <w:u w:val="single"/>
              </w:rPr>
              <w:t>J.I.</w:t>
            </w:r>
            <w:r>
              <w:rPr>
                <w:spacing w:val="-3"/>
                <w:sz w:val="24"/>
                <w:u w:val="single"/>
              </w:rPr>
              <w:t> </w:t>
            </w:r>
            <w:r>
              <w:rPr>
                <w:spacing w:val="-2"/>
                <w:sz w:val="24"/>
                <w:u w:val="single"/>
              </w:rPr>
              <w:t>Ejiofor</w:t>
            </w:r>
            <w:r>
              <w:rPr>
                <w:sz w:val="24"/>
                <w:u w:val="single"/>
              </w:rPr>
              <w:tab/>
            </w:r>
          </w:p>
        </w:tc>
        <w:tc>
          <w:tcPr>
            <w:tcW w:w="2909" w:type="dxa"/>
          </w:tcPr>
          <w:p>
            <w:pPr>
              <w:pStyle w:val="TableParagraph"/>
              <w:tabs>
                <w:tab w:pos="2243" w:val="left" w:leader="none"/>
              </w:tabs>
              <w:spacing w:before="269"/>
              <w:ind w:left="27"/>
              <w:jc w:val="center"/>
              <w:rPr>
                <w:sz w:val="24"/>
              </w:rPr>
            </w:pPr>
            <w:r>
              <w:rPr>
                <w:sz w:val="24"/>
                <w:u w:val="single"/>
              </w:rPr>
              <w:t> </w:t>
              <w:tab/>
            </w:r>
          </w:p>
        </w:tc>
        <w:tc>
          <w:tcPr>
            <w:tcW w:w="1878" w:type="dxa"/>
          </w:tcPr>
          <w:p>
            <w:pPr>
              <w:pStyle w:val="TableParagraph"/>
              <w:tabs>
                <w:tab w:pos="1777" w:val="left" w:leader="none"/>
              </w:tabs>
              <w:spacing w:before="269"/>
              <w:ind w:left="282"/>
              <w:jc w:val="center"/>
              <w:rPr>
                <w:sz w:val="24"/>
              </w:rPr>
            </w:pPr>
            <w:r>
              <w:rPr>
                <w:sz w:val="24"/>
                <w:u w:val="single"/>
              </w:rPr>
              <w:t> </w:t>
              <w:tab/>
            </w:r>
          </w:p>
        </w:tc>
      </w:tr>
      <w:tr>
        <w:trPr>
          <w:trHeight w:val="621" w:hRule="atLeast"/>
        </w:trPr>
        <w:tc>
          <w:tcPr>
            <w:tcW w:w="4011" w:type="dxa"/>
          </w:tcPr>
          <w:p>
            <w:pPr>
              <w:pStyle w:val="TableParagraph"/>
              <w:spacing w:before="65"/>
              <w:ind w:left="50"/>
              <w:rPr>
                <w:sz w:val="24"/>
              </w:rPr>
            </w:pPr>
            <w:r>
              <w:rPr>
                <w:sz w:val="24"/>
              </w:rPr>
              <w:t>Member</w:t>
            </w:r>
            <w:r>
              <w:rPr>
                <w:spacing w:val="-1"/>
                <w:sz w:val="24"/>
              </w:rPr>
              <w:t> </w:t>
            </w:r>
            <w:r>
              <w:rPr>
                <w:sz w:val="24"/>
              </w:rPr>
              <w:t>supervisory</w:t>
            </w:r>
            <w:r>
              <w:rPr>
                <w:spacing w:val="-11"/>
                <w:sz w:val="24"/>
              </w:rPr>
              <w:t> </w:t>
            </w:r>
            <w:r>
              <w:rPr>
                <w:spacing w:val="-2"/>
                <w:sz w:val="24"/>
              </w:rPr>
              <w:t>committee</w:t>
            </w:r>
          </w:p>
        </w:tc>
        <w:tc>
          <w:tcPr>
            <w:tcW w:w="2909" w:type="dxa"/>
          </w:tcPr>
          <w:p>
            <w:pPr>
              <w:pStyle w:val="TableParagraph"/>
              <w:spacing w:before="65"/>
              <w:ind w:left="173"/>
              <w:jc w:val="center"/>
              <w:rPr>
                <w:sz w:val="24"/>
              </w:rPr>
            </w:pPr>
            <w:r>
              <w:rPr>
                <w:spacing w:val="-2"/>
                <w:sz w:val="24"/>
              </w:rPr>
              <w:t>Signature</w:t>
            </w:r>
          </w:p>
        </w:tc>
        <w:tc>
          <w:tcPr>
            <w:tcW w:w="1878" w:type="dxa"/>
          </w:tcPr>
          <w:p>
            <w:pPr>
              <w:pStyle w:val="TableParagraph"/>
              <w:spacing w:before="65"/>
              <w:ind w:left="208"/>
              <w:jc w:val="center"/>
              <w:rPr>
                <w:sz w:val="24"/>
              </w:rPr>
            </w:pPr>
            <w:r>
              <w:rPr>
                <w:spacing w:val="-4"/>
                <w:sz w:val="24"/>
              </w:rPr>
              <w:t>Date</w:t>
            </w:r>
          </w:p>
        </w:tc>
      </w:tr>
      <w:tr>
        <w:trPr>
          <w:trHeight w:val="619" w:hRule="atLeast"/>
        </w:trPr>
        <w:tc>
          <w:tcPr>
            <w:tcW w:w="4011" w:type="dxa"/>
          </w:tcPr>
          <w:p>
            <w:pPr>
              <w:pStyle w:val="TableParagraph"/>
              <w:tabs>
                <w:tab w:pos="3650" w:val="left" w:leader="none"/>
              </w:tabs>
              <w:spacing w:before="270"/>
              <w:ind w:left="50"/>
              <w:rPr>
                <w:sz w:val="24"/>
              </w:rPr>
            </w:pPr>
            <w:r>
              <w:rPr>
                <w:sz w:val="24"/>
                <w:u w:val="single"/>
              </w:rPr>
              <w:t>Dr. N.M.</w:t>
            </w:r>
            <w:r>
              <w:rPr>
                <w:spacing w:val="1"/>
                <w:sz w:val="24"/>
                <w:u w:val="single"/>
              </w:rPr>
              <w:t> </w:t>
            </w:r>
            <w:r>
              <w:rPr>
                <w:spacing w:val="-2"/>
                <w:sz w:val="24"/>
                <w:u w:val="single"/>
              </w:rPr>
              <w:t>Danjuma</w:t>
            </w:r>
            <w:r>
              <w:rPr>
                <w:sz w:val="24"/>
                <w:u w:val="single"/>
              </w:rPr>
              <w:tab/>
            </w:r>
          </w:p>
        </w:tc>
        <w:tc>
          <w:tcPr>
            <w:tcW w:w="2909" w:type="dxa"/>
          </w:tcPr>
          <w:p>
            <w:pPr>
              <w:pStyle w:val="TableParagraph"/>
              <w:tabs>
                <w:tab w:pos="2243" w:val="left" w:leader="none"/>
              </w:tabs>
              <w:spacing w:before="270"/>
              <w:ind w:left="27"/>
              <w:jc w:val="center"/>
              <w:rPr>
                <w:sz w:val="24"/>
              </w:rPr>
            </w:pPr>
            <w:r>
              <w:rPr>
                <w:sz w:val="24"/>
                <w:u w:val="single"/>
              </w:rPr>
              <w:t> </w:t>
              <w:tab/>
            </w:r>
          </w:p>
        </w:tc>
        <w:tc>
          <w:tcPr>
            <w:tcW w:w="1878" w:type="dxa"/>
          </w:tcPr>
          <w:p>
            <w:pPr>
              <w:pStyle w:val="TableParagraph"/>
              <w:tabs>
                <w:tab w:pos="1777" w:val="left" w:leader="none"/>
              </w:tabs>
              <w:spacing w:before="270"/>
              <w:ind w:left="282"/>
              <w:jc w:val="center"/>
              <w:rPr>
                <w:sz w:val="24"/>
              </w:rPr>
            </w:pPr>
            <w:r>
              <w:rPr>
                <w:sz w:val="24"/>
                <w:u w:val="single"/>
              </w:rPr>
              <w:t> </w:t>
              <w:tab/>
            </w:r>
          </w:p>
        </w:tc>
      </w:tr>
      <w:tr>
        <w:trPr>
          <w:trHeight w:val="756" w:hRule="atLeast"/>
        </w:trPr>
        <w:tc>
          <w:tcPr>
            <w:tcW w:w="4011" w:type="dxa"/>
          </w:tcPr>
          <w:p>
            <w:pPr>
              <w:pStyle w:val="TableParagraph"/>
              <w:spacing w:before="63"/>
              <w:ind w:left="50"/>
              <w:rPr>
                <w:sz w:val="24"/>
              </w:rPr>
            </w:pPr>
            <w:r>
              <w:rPr>
                <w:sz w:val="24"/>
              </w:rPr>
              <w:t>Head,</w:t>
            </w:r>
            <w:r>
              <w:rPr>
                <w:spacing w:val="-3"/>
                <w:sz w:val="24"/>
              </w:rPr>
              <w:t> </w:t>
            </w:r>
            <w:r>
              <w:rPr>
                <w:sz w:val="24"/>
              </w:rPr>
              <w:t>Department</w:t>
            </w:r>
            <w:r>
              <w:rPr>
                <w:spacing w:val="-3"/>
                <w:sz w:val="24"/>
              </w:rPr>
              <w:t> </w:t>
            </w:r>
            <w:r>
              <w:rPr>
                <w:spacing w:val="-5"/>
                <w:sz w:val="24"/>
              </w:rPr>
              <w:t>of</w:t>
            </w:r>
          </w:p>
          <w:p>
            <w:pPr>
              <w:pStyle w:val="TableParagraph"/>
              <w:spacing w:line="256" w:lineRule="exact" w:before="142"/>
              <w:ind w:left="50"/>
              <w:rPr>
                <w:sz w:val="24"/>
              </w:rPr>
            </w:pPr>
            <w:r>
              <w:rPr>
                <w:sz w:val="24"/>
              </w:rPr>
              <w:t>Pharmacology</w:t>
            </w:r>
            <w:r>
              <w:rPr>
                <w:spacing w:val="-9"/>
                <w:sz w:val="24"/>
              </w:rPr>
              <w:t> </w:t>
            </w:r>
            <w:r>
              <w:rPr>
                <w:sz w:val="24"/>
              </w:rPr>
              <w:t>and</w:t>
            </w:r>
            <w:r>
              <w:rPr>
                <w:spacing w:val="-1"/>
                <w:sz w:val="24"/>
              </w:rPr>
              <w:t> </w:t>
            </w:r>
            <w:r>
              <w:rPr>
                <w:spacing w:val="-2"/>
                <w:sz w:val="24"/>
              </w:rPr>
              <w:t>Therapeautics</w:t>
            </w:r>
          </w:p>
        </w:tc>
        <w:tc>
          <w:tcPr>
            <w:tcW w:w="2909" w:type="dxa"/>
          </w:tcPr>
          <w:p>
            <w:pPr>
              <w:pStyle w:val="TableParagraph"/>
              <w:spacing w:before="63"/>
              <w:ind w:left="173"/>
              <w:jc w:val="center"/>
              <w:rPr>
                <w:sz w:val="24"/>
              </w:rPr>
            </w:pPr>
            <w:r>
              <w:rPr>
                <w:spacing w:val="-2"/>
                <w:sz w:val="24"/>
              </w:rPr>
              <w:t>Signature</w:t>
            </w:r>
          </w:p>
        </w:tc>
        <w:tc>
          <w:tcPr>
            <w:tcW w:w="1878" w:type="dxa"/>
          </w:tcPr>
          <w:p>
            <w:pPr>
              <w:pStyle w:val="TableParagraph"/>
              <w:spacing w:before="63"/>
              <w:ind w:left="208"/>
              <w:jc w:val="center"/>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57" w:after="1"/>
        <w:rPr>
          <w:sz w:val="20"/>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7"/>
        <w:gridCol w:w="2903"/>
        <w:gridCol w:w="1878"/>
      </w:tblGrid>
      <w:tr>
        <w:trPr>
          <w:trHeight w:val="341" w:hRule="atLeast"/>
        </w:trPr>
        <w:tc>
          <w:tcPr>
            <w:tcW w:w="4017" w:type="dxa"/>
          </w:tcPr>
          <w:p>
            <w:pPr>
              <w:pStyle w:val="TableParagraph"/>
              <w:tabs>
                <w:tab w:pos="2930" w:val="left" w:leader="none"/>
              </w:tabs>
              <w:spacing w:line="266" w:lineRule="exact"/>
              <w:ind w:left="50"/>
              <w:rPr>
                <w:sz w:val="24"/>
              </w:rPr>
            </w:pPr>
            <w:r>
              <w:rPr>
                <w:sz w:val="24"/>
                <w:u w:val="single"/>
              </w:rPr>
              <w:t>Prof.</w:t>
            </w:r>
            <w:r>
              <w:rPr>
                <w:spacing w:val="-5"/>
                <w:sz w:val="24"/>
                <w:u w:val="single"/>
              </w:rPr>
              <w:t> </w:t>
            </w:r>
            <w:r>
              <w:rPr>
                <w:sz w:val="24"/>
                <w:u w:val="single"/>
              </w:rPr>
              <w:t>K.</w:t>
            </w:r>
            <w:r>
              <w:rPr>
                <w:spacing w:val="-2"/>
                <w:sz w:val="24"/>
                <w:u w:val="single"/>
              </w:rPr>
              <w:t> </w:t>
            </w:r>
            <w:r>
              <w:rPr>
                <w:spacing w:val="-4"/>
                <w:sz w:val="24"/>
                <w:u w:val="single"/>
              </w:rPr>
              <w:t>Bala</w:t>
            </w:r>
            <w:r>
              <w:rPr>
                <w:sz w:val="24"/>
                <w:u w:val="single"/>
              </w:rPr>
              <w:tab/>
            </w:r>
          </w:p>
        </w:tc>
        <w:tc>
          <w:tcPr>
            <w:tcW w:w="2903" w:type="dxa"/>
          </w:tcPr>
          <w:p>
            <w:pPr>
              <w:pStyle w:val="TableParagraph"/>
              <w:tabs>
                <w:tab w:pos="2237" w:val="left" w:leader="none"/>
              </w:tabs>
              <w:spacing w:line="266" w:lineRule="exact"/>
              <w:ind w:left="21"/>
              <w:jc w:val="center"/>
              <w:rPr>
                <w:sz w:val="24"/>
              </w:rPr>
            </w:pPr>
            <w:r>
              <w:rPr>
                <w:sz w:val="24"/>
                <w:u w:val="single"/>
              </w:rPr>
              <w:t> </w:t>
              <w:tab/>
            </w:r>
          </w:p>
        </w:tc>
        <w:tc>
          <w:tcPr>
            <w:tcW w:w="1878" w:type="dxa"/>
          </w:tcPr>
          <w:p>
            <w:pPr>
              <w:pStyle w:val="TableParagraph"/>
              <w:tabs>
                <w:tab w:pos="1777" w:val="left" w:leader="none"/>
              </w:tabs>
              <w:spacing w:line="266" w:lineRule="exact"/>
              <w:ind w:left="282"/>
              <w:jc w:val="center"/>
              <w:rPr>
                <w:sz w:val="24"/>
              </w:rPr>
            </w:pPr>
            <w:r>
              <w:rPr>
                <w:sz w:val="24"/>
                <w:u w:val="single"/>
              </w:rPr>
              <w:t> </w:t>
              <w:tab/>
            </w:r>
          </w:p>
        </w:tc>
      </w:tr>
      <w:tr>
        <w:trPr>
          <w:trHeight w:val="341" w:hRule="atLeast"/>
        </w:trPr>
        <w:tc>
          <w:tcPr>
            <w:tcW w:w="4017" w:type="dxa"/>
          </w:tcPr>
          <w:p>
            <w:pPr>
              <w:pStyle w:val="TableParagraph"/>
              <w:spacing w:line="256" w:lineRule="exact" w:before="65"/>
              <w:ind w:left="50"/>
              <w:rPr>
                <w:sz w:val="24"/>
              </w:rPr>
            </w:pPr>
            <w:r>
              <w:rPr>
                <w:sz w:val="24"/>
              </w:rPr>
              <w:t>Dean,</w:t>
            </w:r>
            <w:r>
              <w:rPr>
                <w:spacing w:val="4"/>
                <w:sz w:val="24"/>
              </w:rPr>
              <w:t> </w:t>
            </w:r>
            <w:r>
              <w:rPr>
                <w:sz w:val="24"/>
              </w:rPr>
              <w:t>School</w:t>
            </w:r>
            <w:r>
              <w:rPr>
                <w:spacing w:val="-6"/>
                <w:sz w:val="24"/>
              </w:rPr>
              <w:t> </w:t>
            </w:r>
            <w:r>
              <w:rPr>
                <w:sz w:val="24"/>
              </w:rPr>
              <w:t>of</w:t>
            </w:r>
            <w:r>
              <w:rPr>
                <w:spacing w:val="-5"/>
                <w:sz w:val="24"/>
              </w:rPr>
              <w:t> </w:t>
            </w:r>
            <w:r>
              <w:rPr>
                <w:sz w:val="24"/>
              </w:rPr>
              <w:t>Postgraduate</w:t>
            </w:r>
            <w:r>
              <w:rPr>
                <w:spacing w:val="2"/>
                <w:sz w:val="24"/>
              </w:rPr>
              <w:t> </w:t>
            </w:r>
            <w:r>
              <w:rPr>
                <w:spacing w:val="-2"/>
                <w:sz w:val="24"/>
              </w:rPr>
              <w:t>Studies</w:t>
            </w:r>
          </w:p>
        </w:tc>
        <w:tc>
          <w:tcPr>
            <w:tcW w:w="2903" w:type="dxa"/>
          </w:tcPr>
          <w:p>
            <w:pPr>
              <w:pStyle w:val="TableParagraph"/>
              <w:spacing w:line="256" w:lineRule="exact" w:before="65"/>
              <w:ind w:left="167"/>
              <w:jc w:val="center"/>
              <w:rPr>
                <w:sz w:val="24"/>
              </w:rPr>
            </w:pPr>
            <w:r>
              <w:rPr>
                <w:spacing w:val="-2"/>
                <w:sz w:val="24"/>
              </w:rPr>
              <w:t>Signature</w:t>
            </w:r>
          </w:p>
        </w:tc>
        <w:tc>
          <w:tcPr>
            <w:tcW w:w="1878" w:type="dxa"/>
          </w:tcPr>
          <w:p>
            <w:pPr>
              <w:pStyle w:val="TableParagraph"/>
              <w:spacing w:line="256" w:lineRule="exact" w:before="65"/>
              <w:ind w:left="208"/>
              <w:jc w:val="center"/>
              <w:rPr>
                <w:sz w:val="24"/>
              </w:rPr>
            </w:pPr>
            <w:r>
              <w:rPr>
                <w:spacing w:val="-4"/>
                <w:sz w:val="24"/>
              </w:rPr>
              <w:t>Date</w:t>
            </w:r>
          </w:p>
        </w:tc>
      </w:tr>
    </w:tbl>
    <w:p>
      <w:pPr>
        <w:spacing w:after="0" w:line="256" w:lineRule="exact"/>
        <w:jc w:val="center"/>
        <w:rPr>
          <w:sz w:val="24"/>
        </w:rPr>
        <w:sectPr>
          <w:pgSz w:w="12240" w:h="15840"/>
          <w:pgMar w:header="0" w:footer="1012" w:top="1340" w:bottom="1200" w:left="1720" w:right="1300"/>
        </w:sectPr>
      </w:pPr>
    </w:p>
    <w:p>
      <w:pPr>
        <w:pStyle w:val="Heading2"/>
        <w:spacing w:before="68"/>
        <w:ind w:left="1972" w:right="1828" w:firstLine="0"/>
        <w:jc w:val="center"/>
      </w:pPr>
      <w:bookmarkStart w:name="_TOC_250053" w:id="3"/>
      <w:bookmarkEnd w:id="3"/>
      <w:r>
        <w:rPr>
          <w:spacing w:val="-2"/>
        </w:rPr>
        <w:t>Dedication</w:t>
      </w:r>
    </w:p>
    <w:p>
      <w:pPr>
        <w:pStyle w:val="BodyText"/>
        <w:spacing w:before="269"/>
        <w:rPr>
          <w:b/>
        </w:rPr>
      </w:pPr>
    </w:p>
    <w:p>
      <w:pPr>
        <w:pStyle w:val="BodyText"/>
        <w:spacing w:line="364" w:lineRule="auto"/>
        <w:ind w:left="253" w:right="69"/>
      </w:pPr>
      <w:r>
        <w:rPr/>
        <w:t>This work</w:t>
      </w:r>
      <w:r>
        <w:rPr>
          <w:spacing w:val="23"/>
        </w:rPr>
        <w:t> </w:t>
      </w:r>
      <w:r>
        <w:rPr/>
        <w:t>is dedicated to the glory of God and</w:t>
      </w:r>
      <w:r>
        <w:rPr>
          <w:spacing w:val="23"/>
        </w:rPr>
        <w:t> </w:t>
      </w:r>
      <w:r>
        <w:rPr/>
        <w:t>my lovely family for</w:t>
      </w:r>
      <w:r>
        <w:rPr>
          <w:spacing w:val="30"/>
        </w:rPr>
        <w:t> </w:t>
      </w:r>
      <w:r>
        <w:rPr/>
        <w:t>their</w:t>
      </w:r>
      <w:r>
        <w:rPr>
          <w:spacing w:val="20"/>
        </w:rPr>
        <w:t> </w:t>
      </w:r>
      <w:r>
        <w:rPr/>
        <w:t>support</w:t>
      </w:r>
      <w:r>
        <w:rPr>
          <w:spacing w:val="23"/>
        </w:rPr>
        <w:t> </w:t>
      </w:r>
      <w:r>
        <w:rPr/>
        <w:t>during the course of this programme.</w:t>
      </w:r>
    </w:p>
    <w:p>
      <w:pPr>
        <w:spacing w:after="0" w:line="364" w:lineRule="auto"/>
        <w:sectPr>
          <w:pgSz w:w="12240" w:h="15840"/>
          <w:pgMar w:header="0" w:footer="1012" w:top="1340" w:bottom="1200" w:left="1720" w:right="1300"/>
        </w:sectPr>
      </w:pPr>
    </w:p>
    <w:p>
      <w:pPr>
        <w:pStyle w:val="Heading2"/>
        <w:spacing w:before="68"/>
        <w:ind w:left="137" w:firstLine="0"/>
        <w:jc w:val="center"/>
      </w:pPr>
      <w:bookmarkStart w:name="_TOC_250052" w:id="4"/>
      <w:bookmarkEnd w:id="4"/>
      <w:r>
        <w:rPr>
          <w:spacing w:val="-2"/>
        </w:rPr>
        <w:t>Acknowledgement</w:t>
      </w:r>
    </w:p>
    <w:p>
      <w:pPr>
        <w:pStyle w:val="BodyText"/>
        <w:spacing w:before="134"/>
        <w:rPr>
          <w:b/>
        </w:rPr>
      </w:pPr>
    </w:p>
    <w:p>
      <w:pPr>
        <w:pStyle w:val="BodyText"/>
        <w:spacing w:line="360" w:lineRule="auto"/>
        <w:ind w:left="253" w:right="126"/>
        <w:jc w:val="both"/>
      </w:pPr>
      <w:r>
        <w:rPr/>
        <w:t>I wish to sincerely express my</w:t>
      </w:r>
      <w:r>
        <w:rPr>
          <w:spacing w:val="-1"/>
        </w:rPr>
        <w:t> </w:t>
      </w:r>
      <w:r>
        <w:rPr/>
        <w:t>profound gratitude to Almighty</w:t>
      </w:r>
      <w:r>
        <w:rPr>
          <w:spacing w:val="-6"/>
        </w:rPr>
        <w:t> </w:t>
      </w:r>
      <w:r>
        <w:rPr/>
        <w:t>God, for His infinite mercy, grace, favour, and divine provision through this programme.</w:t>
      </w:r>
    </w:p>
    <w:p>
      <w:pPr>
        <w:pStyle w:val="BodyText"/>
        <w:spacing w:line="360" w:lineRule="auto"/>
        <w:ind w:left="253" w:right="110"/>
        <w:jc w:val="both"/>
      </w:pPr>
      <w:r>
        <w:rPr/>
        <w:t>I am greatly indebted to my Supervisors, Prof. (Mrs.) H.O. Kwanashie, Prof. B.A. Chindo and Dr. J.I. Ejiofor for their parental guidance and determination to get this study done against all odds. I will always cherish your encouragement and support.</w:t>
      </w:r>
    </w:p>
    <w:p>
      <w:pPr>
        <w:pStyle w:val="BodyText"/>
        <w:spacing w:line="360" w:lineRule="auto"/>
        <w:ind w:left="253" w:right="109"/>
        <w:jc w:val="both"/>
      </w:pPr>
      <w:r>
        <w:rPr/>
        <w:t>I thank the Head of Pharmacology</w:t>
      </w:r>
      <w:r>
        <w:rPr>
          <w:spacing w:val="-5"/>
        </w:rPr>
        <w:t> </w:t>
      </w:r>
      <w:r>
        <w:rPr/>
        <w:t>and Therapeutics Department, Dr N.M. Danjuma for his </w:t>
      </w:r>
      <w:r>
        <w:rPr>
          <w:spacing w:val="-2"/>
        </w:rPr>
        <w:t>support.</w:t>
      </w:r>
    </w:p>
    <w:p>
      <w:pPr>
        <w:pStyle w:val="BodyText"/>
        <w:spacing w:line="362" w:lineRule="auto"/>
        <w:ind w:left="253" w:right="109"/>
        <w:jc w:val="both"/>
      </w:pPr>
      <w:r>
        <w:rPr/>
        <w:t>I wish to also thank all academic and non-academic staff of the department, all of whom have been of help to me in one way or the other.</w:t>
      </w:r>
    </w:p>
    <w:p>
      <w:pPr>
        <w:pStyle w:val="BodyText"/>
        <w:spacing w:line="360" w:lineRule="auto"/>
        <w:ind w:left="253" w:right="108"/>
        <w:jc w:val="both"/>
      </w:pPr>
      <w:r>
        <w:rPr/>
        <w:t>My appreciation also goes to the entire technologists of the department, especially Mallam Mohammed, Mr. John, Mallam Salihu, Mallam Aliyu, Mallam Hassan and Alhaji Yau as well as Mallam Kabir and Mallam Bala Riti of Department of Pharmacognosy and Pharmaceutical and Medicinal Chemistry respectively, for their immense assistance during the experimental stage of this work.</w:t>
      </w:r>
    </w:p>
    <w:p>
      <w:pPr>
        <w:pStyle w:val="BodyText"/>
        <w:spacing w:line="360" w:lineRule="auto"/>
        <w:ind w:left="253" w:right="114"/>
        <w:jc w:val="both"/>
      </w:pPr>
      <w:r>
        <w:rPr/>
        <w:t>I am thankful to my lovely parents Mr. and Mrs.</w:t>
      </w:r>
      <w:r>
        <w:rPr>
          <w:spacing w:val="38"/>
        </w:rPr>
        <w:t> </w:t>
      </w:r>
      <w:r>
        <w:rPr/>
        <w:t>S.A.</w:t>
      </w:r>
      <w:r>
        <w:rPr>
          <w:spacing w:val="80"/>
        </w:rPr>
        <w:t> </w:t>
      </w:r>
      <w:r>
        <w:rPr/>
        <w:t>Emiade, my siblings, Sanmi and Ruth for their prayers and encouragements.</w:t>
      </w:r>
    </w:p>
    <w:p>
      <w:pPr>
        <w:pStyle w:val="BodyText"/>
        <w:spacing w:line="360" w:lineRule="auto"/>
        <w:ind w:left="253" w:right="111" w:firstLine="57"/>
        <w:jc w:val="both"/>
      </w:pPr>
      <w:r>
        <w:rPr/>
        <w:t>I also appreciate my colleagues and friends, Isaac Agyigra, Mohammed Highab, Dr. Iwuozo, Ahmed Danbala, James Fatika, Oyeronke Oyeleke, Fatima Bello and Inekwe Victory. Thanks for being there.</w:t>
      </w:r>
    </w:p>
    <w:p>
      <w:pPr>
        <w:spacing w:after="0" w:line="360" w:lineRule="auto"/>
        <w:jc w:val="both"/>
        <w:sectPr>
          <w:pgSz w:w="12240" w:h="15840"/>
          <w:pgMar w:header="0" w:footer="1012" w:top="1340" w:bottom="1200" w:left="1720" w:right="1300"/>
        </w:sectPr>
      </w:pPr>
    </w:p>
    <w:p>
      <w:pPr>
        <w:pStyle w:val="Heading2"/>
        <w:spacing w:before="68"/>
        <w:ind w:left="134" w:firstLine="0"/>
        <w:jc w:val="center"/>
      </w:pPr>
      <w:bookmarkStart w:name="_TOC_250051" w:id="5"/>
      <w:bookmarkEnd w:id="5"/>
      <w:r>
        <w:rPr>
          <w:spacing w:val="-2"/>
        </w:rPr>
        <w:t>Abstract</w:t>
      </w:r>
    </w:p>
    <w:p>
      <w:pPr>
        <w:pStyle w:val="BodyText"/>
        <w:spacing w:line="360" w:lineRule="auto" w:before="132"/>
        <w:ind w:left="253" w:right="102"/>
        <w:jc w:val="both"/>
      </w:pPr>
      <w:r>
        <w:rPr>
          <w:i/>
        </w:rPr>
        <w:t>Jatropha curcas </w:t>
      </w:r>
      <w:r>
        <w:rPr/>
        <w:t>seed oil is a known energy source in biodiesel which but for its toxicity, also has potential of being used as food and in the pharmaceutical / cosmetic industries.</w:t>
      </w:r>
      <w:r>
        <w:rPr>
          <w:spacing w:val="40"/>
        </w:rPr>
        <w:t> </w:t>
      </w:r>
      <w:r>
        <w:rPr/>
        <w:t>This study was designed to detoxify solvent and mechanically extracted</w:t>
      </w:r>
      <w:r>
        <w:rPr>
          <w:spacing w:val="23"/>
        </w:rPr>
        <w:t> </w:t>
      </w:r>
      <w:r>
        <w:rPr>
          <w:i/>
        </w:rPr>
        <w:t>J. curcas </w:t>
      </w:r>
      <w:r>
        <w:rPr/>
        <w:t>oils and to ascertain the effects of detoxification on acute and sub-acute toxicities as well as on analgesic and laxative activities in laboratory animals. Following determination of the physicochemical</w:t>
      </w:r>
      <w:r>
        <w:rPr>
          <w:spacing w:val="-4"/>
        </w:rPr>
        <w:t> </w:t>
      </w:r>
      <w:r>
        <w:rPr/>
        <w:t>properties of</w:t>
      </w:r>
      <w:r>
        <w:rPr>
          <w:spacing w:val="-2"/>
        </w:rPr>
        <w:t> </w:t>
      </w:r>
      <w:r>
        <w:rPr/>
        <w:t>the extracted oils, detoxification</w:t>
      </w:r>
      <w:r>
        <w:rPr>
          <w:spacing w:val="-4"/>
        </w:rPr>
        <w:t> </w:t>
      </w:r>
      <w:r>
        <w:rPr/>
        <w:t>of</w:t>
      </w:r>
      <w:r>
        <w:rPr>
          <w:spacing w:val="-7"/>
        </w:rPr>
        <w:t> </w:t>
      </w:r>
      <w:r>
        <w:rPr/>
        <w:t>the oils was attempted by both the usual synthetic method of orthophosphoric acid degumming, sodium hydroxide deacidification, tonsil decolourisation and vacuum-heat deodorization; and by the use of natural materials in place of</w:t>
      </w:r>
      <w:r>
        <w:rPr>
          <w:spacing w:val="-3"/>
        </w:rPr>
        <w:t> </w:t>
      </w:r>
      <w:r>
        <w:rPr/>
        <w:t>the synthetic agents such as distilled water for orthophosphoric acid, plantain peel ash extract for sodium hydroxide and bentonite for tonsil. Phytoconstituents, elemental and phorbol esters compositions of the oils were also determined. Acute toxicity studies for LD</w:t>
      </w:r>
      <w:r>
        <w:rPr>
          <w:vertAlign w:val="subscript"/>
        </w:rPr>
        <w:t>50</w:t>
      </w:r>
      <w:r>
        <w:rPr>
          <w:vertAlign w:val="baseline"/>
        </w:rPr>
        <w:t> determination and sub-acute (14 days) studies for toxicity symptoms of the mechanically extracted oil in male rats were carried out. Weight changes, mortality, haematological liver / kidney assessment as well as histopathological</w:t>
      </w:r>
      <w:r>
        <w:rPr>
          <w:spacing w:val="40"/>
          <w:vertAlign w:val="baseline"/>
        </w:rPr>
        <w:t> </w:t>
      </w:r>
      <w:r>
        <w:rPr>
          <w:vertAlign w:val="baseline"/>
        </w:rPr>
        <w:t>analyses of liver, kidney and intestines were checked. Wherever appropriate olive oil was used as vehicular control. Statistical analyses were by ANOVA with appropriate post hoc tests. The extraction yields of the oils were 49.1% (petroleum ether solvent) and 14.9% (hand operated hydraulic screw press). The physicochemical properties of the extracted oils were similar. Alkaloids were the only phytoconstituent present in both the undetoxified and detoxified oils. Detoxification resulted in oil losses upward of 60%, but with reasonable amounts of formed soaps (fatty-acid precipitate). Elemental analyses showed higher toxic elements (lead, cadmium and copper) and nutritional elements (iron, calcium and zinc) in the undetoxified oils compared to</w:t>
      </w:r>
      <w:r>
        <w:rPr>
          <w:spacing w:val="40"/>
          <w:vertAlign w:val="baseline"/>
        </w:rPr>
        <w:t> </w:t>
      </w:r>
      <w:r>
        <w:rPr>
          <w:vertAlign w:val="baseline"/>
        </w:rPr>
        <w:t>detoxified.</w:t>
      </w:r>
      <w:r>
        <w:rPr>
          <w:spacing w:val="40"/>
          <w:vertAlign w:val="baseline"/>
        </w:rPr>
        <w:t> </w:t>
      </w:r>
      <w:r>
        <w:rPr>
          <w:vertAlign w:val="baseline"/>
        </w:rPr>
        <w:t>The level of phorbol ester rich fraction of solvent extracted oil detoxified with synthetic materials was significantly (p&lt;0.05) reduced, but such reduction was not significant (p&gt;0.05) for mechanically</w:t>
      </w:r>
      <w:r>
        <w:rPr>
          <w:spacing w:val="-6"/>
          <w:vertAlign w:val="baseline"/>
        </w:rPr>
        <w:t> </w:t>
      </w:r>
      <w:r>
        <w:rPr>
          <w:vertAlign w:val="baseline"/>
        </w:rPr>
        <w:t>extracted</w:t>
      </w:r>
      <w:r>
        <w:rPr>
          <w:spacing w:val="-1"/>
          <w:vertAlign w:val="baseline"/>
        </w:rPr>
        <w:t> </w:t>
      </w:r>
      <w:r>
        <w:rPr>
          <w:vertAlign w:val="baseline"/>
        </w:rPr>
        <w:t>oils detoxified either with</w:t>
      </w:r>
      <w:r>
        <w:rPr>
          <w:spacing w:val="-1"/>
          <w:vertAlign w:val="baseline"/>
        </w:rPr>
        <w:t> </w:t>
      </w:r>
      <w:r>
        <w:rPr>
          <w:vertAlign w:val="baseline"/>
        </w:rPr>
        <w:t>synthetic or more natural materials. The oral LD</w:t>
      </w:r>
      <w:r>
        <w:rPr>
          <w:vertAlign w:val="subscript"/>
        </w:rPr>
        <w:t>50</w:t>
      </w:r>
      <w:r>
        <w:rPr>
          <w:vertAlign w:val="baseline"/>
        </w:rPr>
        <w:t> of the detoxified oils of both extraction processes</w:t>
      </w:r>
      <w:r>
        <w:rPr>
          <w:spacing w:val="23"/>
          <w:vertAlign w:val="baseline"/>
        </w:rPr>
        <w:t> </w:t>
      </w:r>
      <w:r>
        <w:rPr>
          <w:vertAlign w:val="baseline"/>
        </w:rPr>
        <w:t>in both</w:t>
      </w:r>
      <w:r>
        <w:rPr>
          <w:spacing w:val="40"/>
          <w:vertAlign w:val="baseline"/>
        </w:rPr>
        <w:t> </w:t>
      </w:r>
      <w:r>
        <w:rPr>
          <w:vertAlign w:val="baseline"/>
        </w:rPr>
        <w:t>3-day</w:t>
      </w:r>
      <w:r>
        <w:rPr>
          <w:spacing w:val="-11"/>
          <w:vertAlign w:val="baseline"/>
        </w:rPr>
        <w:t> </w:t>
      </w:r>
      <w:r>
        <w:rPr>
          <w:vertAlign w:val="baseline"/>
        </w:rPr>
        <w:t>old</w:t>
      </w:r>
      <w:r>
        <w:rPr>
          <w:spacing w:val="-2"/>
          <w:vertAlign w:val="baseline"/>
        </w:rPr>
        <w:t> </w:t>
      </w:r>
      <w:r>
        <w:rPr>
          <w:vertAlign w:val="baseline"/>
        </w:rPr>
        <w:t>cockerels</w:t>
      </w:r>
      <w:r>
        <w:rPr>
          <w:spacing w:val="-4"/>
          <w:vertAlign w:val="baseline"/>
        </w:rPr>
        <w:t> </w:t>
      </w:r>
      <w:r>
        <w:rPr>
          <w:vertAlign w:val="baseline"/>
        </w:rPr>
        <w:t>and</w:t>
      </w:r>
      <w:r>
        <w:rPr>
          <w:spacing w:val="-2"/>
          <w:vertAlign w:val="baseline"/>
        </w:rPr>
        <w:t> </w:t>
      </w:r>
      <w:r>
        <w:rPr>
          <w:vertAlign w:val="baseline"/>
        </w:rPr>
        <w:t>adult male mice</w:t>
      </w:r>
      <w:r>
        <w:rPr>
          <w:spacing w:val="-3"/>
          <w:vertAlign w:val="baseline"/>
        </w:rPr>
        <w:t> </w:t>
      </w:r>
      <w:r>
        <w:rPr>
          <w:vertAlign w:val="baseline"/>
        </w:rPr>
        <w:t>were</w:t>
      </w:r>
      <w:r>
        <w:rPr>
          <w:spacing w:val="-3"/>
          <w:vertAlign w:val="baseline"/>
        </w:rPr>
        <w:t> </w:t>
      </w:r>
      <w:r>
        <w:rPr>
          <w:vertAlign w:val="baseline"/>
        </w:rPr>
        <w:t>above</w:t>
      </w:r>
      <w:r>
        <w:rPr>
          <w:spacing w:val="-3"/>
          <w:vertAlign w:val="baseline"/>
        </w:rPr>
        <w:t> </w:t>
      </w:r>
      <w:r>
        <w:rPr>
          <w:vertAlign w:val="baseline"/>
        </w:rPr>
        <w:t>5,000 mg/kg.</w:t>
      </w:r>
      <w:r>
        <w:rPr>
          <w:spacing w:val="40"/>
          <w:vertAlign w:val="baseline"/>
        </w:rPr>
        <w:t> </w:t>
      </w:r>
      <w:r>
        <w:rPr>
          <w:vertAlign w:val="baseline"/>
        </w:rPr>
        <w:t>Sub-acute</w:t>
      </w:r>
      <w:r>
        <w:rPr>
          <w:spacing w:val="-7"/>
          <w:vertAlign w:val="baseline"/>
        </w:rPr>
        <w:t> </w:t>
      </w:r>
      <w:r>
        <w:rPr>
          <w:vertAlign w:val="baseline"/>
        </w:rPr>
        <w:t>oral</w:t>
      </w:r>
      <w:r>
        <w:rPr>
          <w:spacing w:val="-10"/>
          <w:vertAlign w:val="baseline"/>
        </w:rPr>
        <w:t> </w:t>
      </w:r>
      <w:r>
        <w:rPr>
          <w:vertAlign w:val="baseline"/>
        </w:rPr>
        <w:t>treatment with</w:t>
      </w:r>
      <w:r>
        <w:rPr>
          <w:spacing w:val="-5"/>
          <w:vertAlign w:val="baseline"/>
        </w:rPr>
        <w:t> </w:t>
      </w:r>
      <w:r>
        <w:rPr>
          <w:vertAlign w:val="baseline"/>
        </w:rPr>
        <w:t>125, 250</w:t>
      </w:r>
      <w:r>
        <w:rPr>
          <w:spacing w:val="-1"/>
          <w:vertAlign w:val="baseline"/>
        </w:rPr>
        <w:t> </w:t>
      </w:r>
      <w:r>
        <w:rPr>
          <w:vertAlign w:val="baseline"/>
        </w:rPr>
        <w:t>and</w:t>
      </w:r>
      <w:r>
        <w:rPr>
          <w:spacing w:val="-1"/>
          <w:vertAlign w:val="baseline"/>
        </w:rPr>
        <w:t> </w:t>
      </w:r>
      <w:r>
        <w:rPr>
          <w:vertAlign w:val="baseline"/>
        </w:rPr>
        <w:t>500</w:t>
      </w:r>
      <w:r>
        <w:rPr>
          <w:spacing w:val="-1"/>
          <w:vertAlign w:val="baseline"/>
        </w:rPr>
        <w:t> </w:t>
      </w:r>
      <w:r>
        <w:rPr>
          <w:vertAlign w:val="baseline"/>
        </w:rPr>
        <w:t>mg/kg</w:t>
      </w:r>
      <w:r>
        <w:rPr>
          <w:spacing w:val="-1"/>
          <w:vertAlign w:val="baseline"/>
        </w:rPr>
        <w:t> </w:t>
      </w:r>
      <w:r>
        <w:rPr>
          <w:vertAlign w:val="baseline"/>
        </w:rPr>
        <w:t>of</w:t>
      </w:r>
      <w:r>
        <w:rPr>
          <w:spacing w:val="-3"/>
          <w:vertAlign w:val="baseline"/>
        </w:rPr>
        <w:t> </w:t>
      </w:r>
      <w:r>
        <w:rPr>
          <w:vertAlign w:val="baseline"/>
        </w:rPr>
        <w:t>mechanically</w:t>
      </w:r>
      <w:r>
        <w:rPr>
          <w:spacing w:val="-5"/>
          <w:vertAlign w:val="baseline"/>
        </w:rPr>
        <w:t> </w:t>
      </w:r>
      <w:r>
        <w:rPr>
          <w:vertAlign w:val="baseline"/>
        </w:rPr>
        <w:t>extracted</w:t>
      </w:r>
      <w:r>
        <w:rPr>
          <w:spacing w:val="-5"/>
          <w:vertAlign w:val="baseline"/>
        </w:rPr>
        <w:t> </w:t>
      </w:r>
      <w:r>
        <w:rPr>
          <w:vertAlign w:val="baseline"/>
        </w:rPr>
        <w:t>oil</w:t>
      </w:r>
      <w:r>
        <w:rPr>
          <w:spacing w:val="-9"/>
          <w:vertAlign w:val="baseline"/>
        </w:rPr>
        <w:t> </w:t>
      </w:r>
      <w:r>
        <w:rPr>
          <w:vertAlign w:val="baseline"/>
        </w:rPr>
        <w:t>resulted in</w:t>
      </w:r>
      <w:r>
        <w:rPr>
          <w:spacing w:val="-5"/>
          <w:vertAlign w:val="baseline"/>
        </w:rPr>
        <w:t> </w:t>
      </w:r>
      <w:r>
        <w:rPr>
          <w:vertAlign w:val="baseline"/>
        </w:rPr>
        <w:t>dose-dependent</w:t>
      </w:r>
      <w:r>
        <w:rPr>
          <w:spacing w:val="-1"/>
          <w:vertAlign w:val="baseline"/>
        </w:rPr>
        <w:t> </w:t>
      </w:r>
      <w:r>
        <w:rPr>
          <w:vertAlign w:val="baseline"/>
        </w:rPr>
        <w:t>toxic symptoms</w:t>
      </w:r>
      <w:r>
        <w:rPr>
          <w:spacing w:val="37"/>
          <w:vertAlign w:val="baseline"/>
        </w:rPr>
        <w:t> </w:t>
      </w:r>
      <w:r>
        <w:rPr>
          <w:vertAlign w:val="baseline"/>
        </w:rPr>
        <w:t>of</w:t>
      </w:r>
      <w:r>
        <w:rPr>
          <w:spacing w:val="31"/>
          <w:vertAlign w:val="baseline"/>
        </w:rPr>
        <w:t> </w:t>
      </w:r>
      <w:r>
        <w:rPr>
          <w:vertAlign w:val="baseline"/>
        </w:rPr>
        <w:t>ruffled</w:t>
      </w:r>
      <w:r>
        <w:rPr>
          <w:spacing w:val="40"/>
          <w:vertAlign w:val="baseline"/>
        </w:rPr>
        <w:t> </w:t>
      </w:r>
      <w:r>
        <w:rPr>
          <w:vertAlign w:val="baseline"/>
        </w:rPr>
        <w:t>fur,</w:t>
      </w:r>
      <w:r>
        <w:rPr>
          <w:spacing w:val="40"/>
          <w:vertAlign w:val="baseline"/>
        </w:rPr>
        <w:t> </w:t>
      </w:r>
      <w:r>
        <w:rPr>
          <w:vertAlign w:val="baseline"/>
        </w:rPr>
        <w:t>hyperpnoea,</w:t>
      </w:r>
      <w:r>
        <w:rPr>
          <w:spacing w:val="40"/>
          <w:vertAlign w:val="baseline"/>
        </w:rPr>
        <w:t> </w:t>
      </w:r>
      <w:r>
        <w:rPr>
          <w:vertAlign w:val="baseline"/>
        </w:rPr>
        <w:t>restlessness</w:t>
      </w:r>
      <w:r>
        <w:rPr>
          <w:spacing w:val="37"/>
          <w:vertAlign w:val="baseline"/>
        </w:rPr>
        <w:t> </w:t>
      </w:r>
      <w:r>
        <w:rPr>
          <w:vertAlign w:val="baseline"/>
        </w:rPr>
        <w:t>and</w:t>
      </w:r>
      <w:r>
        <w:rPr>
          <w:spacing w:val="39"/>
          <w:vertAlign w:val="baseline"/>
        </w:rPr>
        <w:t> </w:t>
      </w:r>
      <w:r>
        <w:rPr>
          <w:vertAlign w:val="baseline"/>
        </w:rPr>
        <w:t>decreased</w:t>
      </w:r>
      <w:r>
        <w:rPr>
          <w:spacing w:val="40"/>
          <w:vertAlign w:val="baseline"/>
        </w:rPr>
        <w:t> </w:t>
      </w:r>
      <w:r>
        <w:rPr>
          <w:vertAlign w:val="baseline"/>
        </w:rPr>
        <w:t>mobility</w:t>
      </w:r>
      <w:r>
        <w:rPr>
          <w:spacing w:val="39"/>
          <w:vertAlign w:val="baseline"/>
        </w:rPr>
        <w:t> </w:t>
      </w:r>
      <w:r>
        <w:rPr>
          <w:vertAlign w:val="baseline"/>
        </w:rPr>
        <w:t>mostly</w:t>
      </w:r>
      <w:r>
        <w:rPr>
          <w:spacing w:val="34"/>
          <w:vertAlign w:val="baseline"/>
        </w:rPr>
        <w:t> </w:t>
      </w:r>
      <w:r>
        <w:rPr>
          <w:vertAlign w:val="baseline"/>
        </w:rPr>
        <w:t>of</w:t>
      </w:r>
      <w:r>
        <w:rPr>
          <w:spacing w:val="36"/>
          <w:vertAlign w:val="baseline"/>
        </w:rPr>
        <w:t> </w:t>
      </w:r>
      <w:r>
        <w:rPr>
          <w:vertAlign w:val="baseline"/>
        </w:rPr>
        <w:t>the</w:t>
      </w:r>
    </w:p>
    <w:p>
      <w:pPr>
        <w:spacing w:after="0" w:line="360" w:lineRule="auto"/>
        <w:jc w:val="both"/>
        <w:sectPr>
          <w:pgSz w:w="12240" w:h="15840"/>
          <w:pgMar w:header="0" w:footer="1012" w:top="1340" w:bottom="1200" w:left="1720" w:right="1300"/>
        </w:sectPr>
      </w:pPr>
    </w:p>
    <w:p>
      <w:pPr>
        <w:pStyle w:val="BodyText"/>
        <w:spacing w:line="360" w:lineRule="auto" w:before="63"/>
        <w:ind w:left="253" w:right="110"/>
        <w:jc w:val="both"/>
      </w:pPr>
      <w:r>
        <w:rPr/>
        <w:t>undetoxified (moderate to severe) as opposed to the detoxified oil (mostly mild). The rats that received the undetoxified oil suffered weight loss and dose-dependent mortality, but there was neither weight loss nor mortality in rats treated with the detoxified oil. Administration of the undetoxified oil caused significant (p&lt;0.05) dose-dependent</w:t>
      </w:r>
      <w:r>
        <w:rPr>
          <w:spacing w:val="40"/>
        </w:rPr>
        <w:t> </w:t>
      </w:r>
      <w:r>
        <w:rPr/>
        <w:t>increased levels of WBC and platelets and also of serum Na</w:t>
      </w:r>
      <w:r>
        <w:rPr>
          <w:vertAlign w:val="superscript"/>
        </w:rPr>
        <w:t>+</w:t>
      </w:r>
      <w:r>
        <w:rPr>
          <w:vertAlign w:val="baseline"/>
        </w:rPr>
        <w:t>.</w:t>
      </w:r>
      <w:r>
        <w:rPr>
          <w:spacing w:val="40"/>
          <w:vertAlign w:val="baseline"/>
        </w:rPr>
        <w:t> </w:t>
      </w:r>
      <w:r>
        <w:rPr>
          <w:vertAlign w:val="baseline"/>
        </w:rPr>
        <w:t>Both the undetoxified and detoxified oils produced significantly (p&lt;0.05) increased levels of kidney function (urea</w:t>
      </w:r>
      <w:r>
        <w:rPr>
          <w:spacing w:val="40"/>
          <w:vertAlign w:val="baseline"/>
        </w:rPr>
        <w:t> </w:t>
      </w:r>
      <w:r>
        <w:rPr>
          <w:vertAlign w:val="baseline"/>
        </w:rPr>
        <w:t>and creatinine) as well as liver function indices (serum albumin and enzymes, ALT, ALP, AST),</w:t>
      </w:r>
      <w:r>
        <w:rPr>
          <w:spacing w:val="13"/>
          <w:vertAlign w:val="baseline"/>
        </w:rPr>
        <w:t> </w:t>
      </w:r>
      <w:r>
        <w:rPr>
          <w:vertAlign w:val="baseline"/>
        </w:rPr>
        <w:t>but</w:t>
      </w:r>
      <w:r>
        <w:rPr>
          <w:spacing w:val="19"/>
          <w:vertAlign w:val="baseline"/>
        </w:rPr>
        <w:t> </w:t>
      </w:r>
      <w:r>
        <w:rPr>
          <w:vertAlign w:val="baseline"/>
        </w:rPr>
        <w:t>the</w:t>
      </w:r>
      <w:r>
        <w:rPr>
          <w:spacing w:val="18"/>
          <w:vertAlign w:val="baseline"/>
        </w:rPr>
        <w:t> </w:t>
      </w:r>
      <w:r>
        <w:rPr>
          <w:vertAlign w:val="baseline"/>
        </w:rPr>
        <w:t>increase</w:t>
      </w:r>
      <w:r>
        <w:rPr>
          <w:spacing w:val="21"/>
          <w:vertAlign w:val="baseline"/>
        </w:rPr>
        <w:t> </w:t>
      </w:r>
      <w:r>
        <w:rPr>
          <w:vertAlign w:val="baseline"/>
        </w:rPr>
        <w:t>in</w:t>
      </w:r>
      <w:r>
        <w:rPr>
          <w:spacing w:val="19"/>
          <w:vertAlign w:val="baseline"/>
        </w:rPr>
        <w:t> </w:t>
      </w:r>
      <w:r>
        <w:rPr>
          <w:vertAlign w:val="baseline"/>
        </w:rPr>
        <w:t>AST</w:t>
      </w:r>
      <w:r>
        <w:rPr>
          <w:spacing w:val="16"/>
          <w:vertAlign w:val="baseline"/>
        </w:rPr>
        <w:t> </w:t>
      </w:r>
      <w:r>
        <w:rPr>
          <w:vertAlign w:val="baseline"/>
        </w:rPr>
        <w:t>was</w:t>
      </w:r>
      <w:r>
        <w:rPr>
          <w:spacing w:val="17"/>
          <w:vertAlign w:val="baseline"/>
        </w:rPr>
        <w:t> </w:t>
      </w:r>
      <w:r>
        <w:rPr>
          <w:vertAlign w:val="baseline"/>
        </w:rPr>
        <w:t>more</w:t>
      </w:r>
      <w:r>
        <w:rPr>
          <w:spacing w:val="17"/>
          <w:vertAlign w:val="baseline"/>
        </w:rPr>
        <w:t> </w:t>
      </w:r>
      <w:r>
        <w:rPr>
          <w:vertAlign w:val="baseline"/>
        </w:rPr>
        <w:t>for</w:t>
      </w:r>
      <w:r>
        <w:rPr>
          <w:spacing w:val="16"/>
          <w:vertAlign w:val="baseline"/>
        </w:rPr>
        <w:t> </w:t>
      </w:r>
      <w:r>
        <w:rPr>
          <w:vertAlign w:val="baseline"/>
        </w:rPr>
        <w:t>the</w:t>
      </w:r>
      <w:r>
        <w:rPr>
          <w:spacing w:val="18"/>
          <w:vertAlign w:val="baseline"/>
        </w:rPr>
        <w:t> </w:t>
      </w:r>
      <w:r>
        <w:rPr>
          <w:vertAlign w:val="baseline"/>
        </w:rPr>
        <w:t>undetoxified</w:t>
      </w:r>
      <w:r>
        <w:rPr>
          <w:spacing w:val="14"/>
          <w:vertAlign w:val="baseline"/>
        </w:rPr>
        <w:t> </w:t>
      </w:r>
      <w:r>
        <w:rPr>
          <w:vertAlign w:val="baseline"/>
        </w:rPr>
        <w:t>oil.</w:t>
      </w:r>
      <w:r>
        <w:rPr>
          <w:spacing w:val="65"/>
          <w:w w:val="150"/>
          <w:vertAlign w:val="baseline"/>
        </w:rPr>
        <w:t> </w:t>
      </w:r>
      <w:r>
        <w:rPr>
          <w:vertAlign w:val="baseline"/>
        </w:rPr>
        <w:t>The</w:t>
      </w:r>
      <w:r>
        <w:rPr>
          <w:spacing w:val="13"/>
          <w:vertAlign w:val="baseline"/>
        </w:rPr>
        <w:t> </w:t>
      </w:r>
      <w:r>
        <w:rPr>
          <w:vertAlign w:val="baseline"/>
        </w:rPr>
        <w:t>undetoxified</w:t>
      </w:r>
      <w:r>
        <w:rPr>
          <w:spacing w:val="14"/>
          <w:vertAlign w:val="baseline"/>
        </w:rPr>
        <w:t> </w:t>
      </w:r>
      <w:r>
        <w:rPr>
          <w:vertAlign w:val="baseline"/>
        </w:rPr>
        <w:t>oil</w:t>
      </w:r>
      <w:r>
        <w:rPr>
          <w:spacing w:val="15"/>
          <w:vertAlign w:val="baseline"/>
        </w:rPr>
        <w:t> </w:t>
      </w:r>
      <w:r>
        <w:rPr>
          <w:spacing w:val="-5"/>
          <w:vertAlign w:val="baseline"/>
        </w:rPr>
        <w:t>at</w:t>
      </w:r>
    </w:p>
    <w:p>
      <w:pPr>
        <w:pStyle w:val="BodyText"/>
        <w:spacing w:line="360" w:lineRule="auto" w:before="2"/>
        <w:ind w:left="253" w:right="107"/>
        <w:jc w:val="both"/>
      </w:pPr>
      <w:r>
        <w:rPr/>
        <w:t>500 mg/kg, resulted in reduced liver and kidney to body weight ratios. Both the undetoxified and detoxifed oils at 250 and 500 mg/kg showed significant (P&lt;0.05) central and peripheral analgesic activity, which was dose-dependent only for the undetoxified oil. The laxative activity in mice was not significant (p&gt;0.05) for any of the oils. Histopathological examinations of the liver, kidney and intestines indicated a dose- dependent moderate to severe necrosis and degeneration of tissues from the undetoxified</w:t>
      </w:r>
      <w:r>
        <w:rPr>
          <w:spacing w:val="40"/>
        </w:rPr>
        <w:t> </w:t>
      </w:r>
      <w:r>
        <w:rPr/>
        <w:t>oil</w:t>
      </w:r>
      <w:r>
        <w:rPr>
          <w:b/>
        </w:rPr>
        <w:t>, </w:t>
      </w:r>
      <w:r>
        <w:rPr/>
        <w:t>while detoxified oil</w:t>
      </w:r>
      <w:r>
        <w:rPr>
          <w:spacing w:val="-6"/>
        </w:rPr>
        <w:t> </w:t>
      </w:r>
      <w:r>
        <w:rPr/>
        <w:t>produced mild degeneration</w:t>
      </w:r>
      <w:r>
        <w:rPr>
          <w:spacing w:val="-6"/>
        </w:rPr>
        <w:t> </w:t>
      </w:r>
      <w:r>
        <w:rPr/>
        <w:t>of</w:t>
      </w:r>
      <w:r>
        <w:rPr>
          <w:spacing w:val="-9"/>
        </w:rPr>
        <w:t> </w:t>
      </w:r>
      <w:r>
        <w:rPr/>
        <w:t>tissues. But for the</w:t>
      </w:r>
      <w:r>
        <w:rPr>
          <w:spacing w:val="-2"/>
        </w:rPr>
        <w:t> </w:t>
      </w:r>
      <w:r>
        <w:rPr/>
        <w:t>high</w:t>
      </w:r>
      <w:r>
        <w:rPr>
          <w:spacing w:val="-6"/>
        </w:rPr>
        <w:t> </w:t>
      </w:r>
      <w:r>
        <w:rPr/>
        <w:t>oil</w:t>
      </w:r>
      <w:r>
        <w:rPr>
          <w:spacing w:val="-1"/>
        </w:rPr>
        <w:t> </w:t>
      </w:r>
      <w:r>
        <w:rPr/>
        <w:t>losses in the process of detoxification, the detoxified oil, based on the various indices studied, ameliorated the toxic effects of </w:t>
      </w:r>
      <w:r>
        <w:rPr>
          <w:i/>
        </w:rPr>
        <w:t>J. curcas </w:t>
      </w:r>
      <w:r>
        <w:rPr/>
        <w:t>oil and revealed its potential for use medicinally.</w:t>
      </w:r>
    </w:p>
    <w:p>
      <w:pPr>
        <w:spacing w:after="0" w:line="360" w:lineRule="auto"/>
        <w:jc w:val="both"/>
        <w:sectPr>
          <w:pgSz w:w="12240" w:h="15840"/>
          <w:pgMar w:header="0" w:footer="1012" w:top="1340" w:bottom="1200" w:left="1720" w:right="1300"/>
        </w:sectPr>
      </w:pPr>
    </w:p>
    <w:p>
      <w:pPr>
        <w:pStyle w:val="Heading1"/>
        <w:spacing w:before="68"/>
        <w:ind w:right="1830"/>
      </w:pPr>
      <w:r>
        <w:rPr/>
        <w:t>TABLE</w:t>
      </w:r>
      <w:r>
        <w:rPr>
          <w:spacing w:val="-1"/>
        </w:rPr>
        <w:t> </w:t>
      </w:r>
      <w:r>
        <w:rPr/>
        <w:t>OF</w:t>
      </w:r>
      <w:r>
        <w:rPr>
          <w:spacing w:val="-1"/>
        </w:rPr>
        <w:t> </w:t>
      </w:r>
      <w:r>
        <w:rPr>
          <w:spacing w:val="-2"/>
        </w:rPr>
        <w:t>CONTENT</w:t>
      </w:r>
    </w:p>
    <w:p>
      <w:pPr>
        <w:pStyle w:val="BodyText"/>
        <w:spacing w:before="269"/>
        <w:rPr>
          <w:b/>
        </w:rPr>
      </w:pPr>
    </w:p>
    <w:p>
      <w:pPr>
        <w:pStyle w:val="BodyText"/>
        <w:tabs>
          <w:tab w:pos="8176" w:val="left" w:leader="none"/>
        </w:tabs>
        <w:ind w:left="253"/>
      </w:pPr>
      <w:r>
        <w:rPr/>
        <mc:AlternateContent>
          <mc:Choice Requires="wps">
            <w:drawing>
              <wp:anchor distT="0" distB="0" distL="0" distR="0" allowOverlap="1" layoutInCell="1" locked="0" behindDoc="1" simplePos="0" relativeHeight="485011456">
                <wp:simplePos x="0" y="0"/>
                <wp:positionH relativeFrom="page">
                  <wp:posOffset>1872107</wp:posOffset>
                </wp:positionH>
                <wp:positionV relativeFrom="paragraph">
                  <wp:posOffset>108243</wp:posOffset>
                </wp:positionV>
                <wp:extent cx="4371975"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4371975" cy="1270"/>
                        </a:xfrm>
                        <a:custGeom>
                          <a:avLst/>
                          <a:gdLst/>
                          <a:ahLst/>
                          <a:cxnLst/>
                          <a:rect l="l" t="t" r="r" b="b"/>
                          <a:pathLst>
                            <a:path w="4371975" h="0">
                              <a:moveTo>
                                <a:pt x="0" y="0"/>
                              </a:moveTo>
                              <a:lnTo>
                                <a:pt x="4371544"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5024" from="147.410004pt,8.523098pt" to="491.626098pt,8.523098pt" stroked="true" strokeweight=".885563pt" strokecolor="#000000">
                <v:stroke dashstyle="shortdash"/>
                <w10:wrap type="none"/>
              </v:line>
            </w:pict>
          </mc:Fallback>
        </mc:AlternateContent>
      </w:r>
      <w:r>
        <w:rPr/>
        <w:t>Title</w:t>
      </w:r>
      <w:r>
        <w:rPr>
          <w:spacing w:val="-9"/>
        </w:rPr>
        <w:t> </w:t>
      </w:r>
      <w:r>
        <w:rPr>
          <w:spacing w:val="-4"/>
        </w:rPr>
        <w:t>Page</w:t>
      </w:r>
      <w:r>
        <w:rPr/>
        <w:tab/>
      </w:r>
      <w:r>
        <w:rPr>
          <w:spacing w:val="-10"/>
        </w:rPr>
        <w:t>i</w:t>
      </w:r>
    </w:p>
    <w:p>
      <w:pPr>
        <w:spacing w:after="0"/>
        <w:sectPr>
          <w:pgSz w:w="12240" w:h="15840"/>
          <w:pgMar w:header="0" w:footer="1012" w:top="1340" w:bottom="1440" w:left="1720" w:right="1300"/>
        </w:sectPr>
      </w:pPr>
    </w:p>
    <w:sdt>
      <w:sdtPr>
        <w:docPartObj>
          <w:docPartGallery w:val="Table of Contents"/>
          <w:docPartUnique/>
        </w:docPartObj>
      </w:sdtPr>
      <w:sdtEndPr/>
      <w:sdtContent>
        <w:p>
          <w:pPr>
            <w:pStyle w:val="TOC3"/>
            <w:tabs>
              <w:tab w:pos="8310" w:val="right" w:leader="none"/>
            </w:tabs>
            <w:spacing w:before="277"/>
            <w:ind w:left="253" w:firstLine="0"/>
          </w:pPr>
          <w:r>
            <w:rPr/>
            <mc:AlternateContent>
              <mc:Choice Requires="wps">
                <w:drawing>
                  <wp:anchor distT="0" distB="0" distL="0" distR="0" allowOverlap="1" layoutInCell="1" locked="0" behindDoc="1" simplePos="0" relativeHeight="485011968">
                    <wp:simplePos x="0" y="0"/>
                    <wp:positionH relativeFrom="page">
                      <wp:posOffset>1960498</wp:posOffset>
                    </wp:positionH>
                    <wp:positionV relativeFrom="paragraph">
                      <wp:posOffset>283899</wp:posOffset>
                    </wp:positionV>
                    <wp:extent cx="427228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4272280" cy="1270"/>
                            </a:xfrm>
                            <a:custGeom>
                              <a:avLst/>
                              <a:gdLst/>
                              <a:ahLst/>
                              <a:cxnLst/>
                              <a:rect l="l" t="t" r="r" b="b"/>
                              <a:pathLst>
                                <a:path w="4272280" h="0">
                                  <a:moveTo>
                                    <a:pt x="0" y="0"/>
                                  </a:moveTo>
                                  <a:lnTo>
                                    <a:pt x="4271774"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4512" from="154.369995pt,22.354275pt" to="490.730183pt,22.354275pt" stroked="true" strokeweight=".885563pt" strokecolor="#000000">
                    <v:stroke dashstyle="shortdash"/>
                    <w10:wrap type="none"/>
                  </v:line>
                </w:pict>
              </mc:Fallback>
            </mc:AlternateContent>
          </w:r>
          <w:hyperlink w:history="true" w:anchor="_TOC_250055">
            <w:r>
              <w:rPr>
                <w:spacing w:val="-2"/>
              </w:rPr>
              <w:t>Declaration</w:t>
            </w:r>
            <w:r>
              <w:rPr/>
              <w:tab/>
            </w:r>
            <w:r>
              <w:rPr>
                <w:spacing w:val="-5"/>
              </w:rPr>
              <w:t>ii</w:t>
            </w:r>
          </w:hyperlink>
        </w:p>
        <w:p>
          <w:pPr>
            <w:pStyle w:val="TOC3"/>
            <w:tabs>
              <w:tab w:pos="8377" w:val="right" w:leader="none"/>
            </w:tabs>
            <w:ind w:left="253" w:firstLine="0"/>
          </w:pPr>
          <w:r>
            <w:rPr/>
            <mc:AlternateContent>
              <mc:Choice Requires="wps">
                <w:drawing>
                  <wp:anchor distT="0" distB="0" distL="0" distR="0" allowOverlap="1" layoutInCell="1" locked="0" behindDoc="1" simplePos="0" relativeHeight="485012480">
                    <wp:simplePos x="0" y="0"/>
                    <wp:positionH relativeFrom="page">
                      <wp:posOffset>2021458</wp:posOffset>
                    </wp:positionH>
                    <wp:positionV relativeFrom="paragraph">
                      <wp:posOffset>283279</wp:posOffset>
                    </wp:positionV>
                    <wp:extent cx="4217035"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4217035" cy="1270"/>
                            </a:xfrm>
                            <a:custGeom>
                              <a:avLst/>
                              <a:gdLst/>
                              <a:ahLst/>
                              <a:cxnLst/>
                              <a:rect l="l" t="t" r="r" b="b"/>
                              <a:pathLst>
                                <a:path w="4217035" h="0">
                                  <a:moveTo>
                                    <a:pt x="0" y="0"/>
                                  </a:moveTo>
                                  <a:lnTo>
                                    <a:pt x="4216910"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4000" from="159.169998pt,22.305483pt" to="491.210186pt,22.305483pt" stroked="true" strokeweight=".885563pt" strokecolor="#000000">
                    <v:stroke dashstyle="shortdash"/>
                    <w10:wrap type="none"/>
                  </v:line>
                </w:pict>
              </mc:Fallback>
            </mc:AlternateContent>
          </w:r>
          <w:hyperlink w:history="true" w:anchor="_TOC_250054">
            <w:r>
              <w:rPr>
                <w:spacing w:val="-2"/>
              </w:rPr>
              <w:t>Certification</w:t>
            </w:r>
            <w:r>
              <w:rPr/>
              <w:tab/>
            </w:r>
            <w:r>
              <w:rPr>
                <w:spacing w:val="-5"/>
              </w:rPr>
              <w:t>iii</w:t>
            </w:r>
          </w:hyperlink>
        </w:p>
        <w:p>
          <w:pPr>
            <w:pStyle w:val="TOC3"/>
            <w:tabs>
              <w:tab w:pos="8354" w:val="right" w:leader="none"/>
            </w:tabs>
            <w:ind w:left="253" w:firstLine="0"/>
          </w:pPr>
          <w:r>
            <w:rPr/>
            <mc:AlternateContent>
              <mc:Choice Requires="wps">
                <w:drawing>
                  <wp:anchor distT="0" distB="0" distL="0" distR="0" allowOverlap="1" layoutInCell="1" locked="0" behindDoc="1" simplePos="0" relativeHeight="485012992">
                    <wp:simplePos x="0" y="0"/>
                    <wp:positionH relativeFrom="page">
                      <wp:posOffset>1917826</wp:posOffset>
                    </wp:positionH>
                    <wp:positionV relativeFrom="paragraph">
                      <wp:posOffset>283294</wp:posOffset>
                    </wp:positionV>
                    <wp:extent cx="431990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319905" cy="1270"/>
                            </a:xfrm>
                            <a:custGeom>
                              <a:avLst/>
                              <a:gdLst/>
                              <a:ahLst/>
                              <a:cxnLst/>
                              <a:rect l="l" t="t" r="r" b="b"/>
                              <a:pathLst>
                                <a:path w="4319905" h="0">
                                  <a:moveTo>
                                    <a:pt x="0" y="0"/>
                                  </a:moveTo>
                                  <a:lnTo>
                                    <a:pt x="431932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3488" from="151.009995pt,22.306631pt" to="491.114277pt,22.306631pt" stroked="true" strokeweight=".885563pt" strokecolor="#000000">
                    <v:stroke dashstyle="dash"/>
                    <w10:wrap type="none"/>
                  </v:line>
                </w:pict>
              </mc:Fallback>
            </mc:AlternateContent>
          </w:r>
          <w:hyperlink w:history="true" w:anchor="_TOC_250053">
            <w:r>
              <w:rPr>
                <w:spacing w:val="-2"/>
              </w:rPr>
              <w:t>Dedication</w:t>
            </w:r>
            <w:r>
              <w:rPr/>
              <w:tab/>
            </w:r>
            <w:r>
              <w:rPr>
                <w:spacing w:val="-5"/>
              </w:rPr>
              <w:t>iv</w:t>
            </w:r>
          </w:hyperlink>
        </w:p>
        <w:p>
          <w:pPr>
            <w:pStyle w:val="TOC3"/>
            <w:tabs>
              <w:tab w:pos="8296" w:val="right" w:leader="none"/>
            </w:tabs>
            <w:ind w:left="253" w:firstLine="0"/>
          </w:pPr>
          <w:r>
            <w:rPr/>
            <mc:AlternateContent>
              <mc:Choice Requires="wps">
                <w:drawing>
                  <wp:anchor distT="0" distB="0" distL="0" distR="0" allowOverlap="1" layoutInCell="1" locked="0" behindDoc="1" simplePos="0" relativeHeight="485013504">
                    <wp:simplePos x="0" y="0"/>
                    <wp:positionH relativeFrom="page">
                      <wp:posOffset>2405760</wp:posOffset>
                    </wp:positionH>
                    <wp:positionV relativeFrom="paragraph">
                      <wp:posOffset>283563</wp:posOffset>
                    </wp:positionV>
                    <wp:extent cx="380746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07460" cy="1270"/>
                            </a:xfrm>
                            <a:custGeom>
                              <a:avLst/>
                              <a:gdLst/>
                              <a:ahLst/>
                              <a:cxnLst/>
                              <a:rect l="l" t="t" r="r" b="b"/>
                              <a:pathLst>
                                <a:path w="3807460" h="0">
                                  <a:moveTo>
                                    <a:pt x="0" y="0"/>
                                  </a:moveTo>
                                  <a:lnTo>
                                    <a:pt x="3807006"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2976" from="189.429993pt,22.327797pt" to="489.194275pt,22.327797pt" stroked="true" strokeweight=".885563pt" strokecolor="#000000">
                    <v:stroke dashstyle="shortdash"/>
                    <w10:wrap type="none"/>
                  </v:line>
                </w:pict>
              </mc:Fallback>
            </mc:AlternateContent>
          </w:r>
          <w:hyperlink w:history="true" w:anchor="_TOC_250052">
            <w:r>
              <w:rPr>
                <w:spacing w:val="-2"/>
              </w:rPr>
              <w:t>Acknowledgement</w:t>
            </w:r>
            <w:r>
              <w:rPr/>
              <w:tab/>
            </w:r>
            <w:r>
              <w:rPr>
                <w:spacing w:val="-10"/>
              </w:rPr>
              <w:t>v</w:t>
            </w:r>
          </w:hyperlink>
        </w:p>
        <w:p>
          <w:pPr>
            <w:pStyle w:val="TOC3"/>
            <w:tabs>
              <w:tab w:pos="8363" w:val="right" w:leader="none"/>
            </w:tabs>
            <w:ind w:left="253" w:firstLine="0"/>
          </w:pPr>
          <w:r>
            <w:rPr/>
            <mc:AlternateContent>
              <mc:Choice Requires="wps">
                <w:drawing>
                  <wp:anchor distT="0" distB="0" distL="0" distR="0" allowOverlap="1" layoutInCell="1" locked="0" behindDoc="1" simplePos="0" relativeHeight="485014016">
                    <wp:simplePos x="0" y="0"/>
                    <wp:positionH relativeFrom="page">
                      <wp:posOffset>1771523</wp:posOffset>
                    </wp:positionH>
                    <wp:positionV relativeFrom="paragraph">
                      <wp:posOffset>283578</wp:posOffset>
                    </wp:positionV>
                    <wp:extent cx="4413885"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413885" cy="1270"/>
                            </a:xfrm>
                            <a:custGeom>
                              <a:avLst/>
                              <a:gdLst/>
                              <a:ahLst/>
                              <a:cxnLst/>
                              <a:rect l="l" t="t" r="r" b="b"/>
                              <a:pathLst>
                                <a:path w="4413885" h="0">
                                  <a:moveTo>
                                    <a:pt x="0" y="0"/>
                                  </a:moveTo>
                                  <a:lnTo>
                                    <a:pt x="441366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2464" from="139.490005pt,22.329006pt" to="487.022382pt,22.329006pt" stroked="true" strokeweight=".885563pt" strokecolor="#000000">
                    <v:stroke dashstyle="shortdash"/>
                    <w10:wrap type="none"/>
                  </v:line>
                </w:pict>
              </mc:Fallback>
            </mc:AlternateContent>
          </w:r>
          <w:hyperlink w:history="true" w:anchor="_TOC_250051">
            <w:r>
              <w:rPr>
                <w:spacing w:val="-2"/>
              </w:rPr>
              <w:t>Abstract</w:t>
            </w:r>
            <w:r>
              <w:rPr/>
              <w:tab/>
            </w:r>
            <w:r>
              <w:rPr>
                <w:spacing w:val="-5"/>
              </w:rPr>
              <w:t>vi</w:t>
            </w:r>
          </w:hyperlink>
        </w:p>
        <w:p>
          <w:pPr>
            <w:pStyle w:val="TOC3"/>
            <w:tabs>
              <w:tab w:pos="8497" w:val="right" w:leader="none"/>
            </w:tabs>
            <w:ind w:left="253" w:firstLine="0"/>
          </w:pPr>
          <w:r>
            <w:rPr/>
            <mc:AlternateContent>
              <mc:Choice Requires="wps">
                <w:drawing>
                  <wp:anchor distT="0" distB="0" distL="0" distR="0" allowOverlap="1" layoutInCell="1" locked="0" behindDoc="1" simplePos="0" relativeHeight="485014528">
                    <wp:simplePos x="0" y="0"/>
                    <wp:positionH relativeFrom="page">
                      <wp:posOffset>2344801</wp:posOffset>
                    </wp:positionH>
                    <wp:positionV relativeFrom="paragraph">
                      <wp:posOffset>283592</wp:posOffset>
                    </wp:positionV>
                    <wp:extent cx="3806190"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806190" cy="1270"/>
                            </a:xfrm>
                            <a:custGeom>
                              <a:avLst/>
                              <a:gdLst/>
                              <a:ahLst/>
                              <a:cxnLst/>
                              <a:rect l="l" t="t" r="r" b="b"/>
                              <a:pathLst>
                                <a:path w="3806190" h="0">
                                  <a:moveTo>
                                    <a:pt x="0" y="0"/>
                                  </a:moveTo>
                                  <a:lnTo>
                                    <a:pt x="380580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1952" from="184.630005pt,22.330154pt" to="484.299417pt,22.330154pt" stroked="true" strokeweight=".885563pt" strokecolor="#000000">
                    <v:stroke dashstyle="shortdash"/>
                    <w10:wrap type="none"/>
                  </v:line>
                </w:pict>
              </mc:Fallback>
            </mc:AlternateContent>
          </w:r>
          <w:r>
            <w:rPr/>
            <w:t>Table of</w:t>
          </w:r>
          <w:r>
            <w:rPr>
              <w:spacing w:val="-6"/>
            </w:rPr>
            <w:t> </w:t>
          </w:r>
          <w:r>
            <w:rPr>
              <w:spacing w:val="-2"/>
            </w:rPr>
            <w:t>Contents</w:t>
          </w:r>
          <w:r>
            <w:rPr/>
            <w:tab/>
          </w:r>
          <w:r>
            <w:rPr>
              <w:spacing w:val="-4"/>
            </w:rPr>
            <w:t>viii</w:t>
          </w:r>
        </w:p>
        <w:p>
          <w:pPr>
            <w:pStyle w:val="TOC3"/>
            <w:tabs>
              <w:tab w:pos="8497" w:val="right" w:leader="none"/>
            </w:tabs>
            <w:spacing w:before="277"/>
            <w:ind w:left="253" w:firstLine="0"/>
          </w:pPr>
          <w:r>
            <w:rPr/>
            <mc:AlternateContent>
              <mc:Choice Requires="wps">
                <w:drawing>
                  <wp:anchor distT="0" distB="0" distL="0" distR="0" allowOverlap="1" layoutInCell="1" locked="0" behindDoc="1" simplePos="0" relativeHeight="485015040">
                    <wp:simplePos x="0" y="0"/>
                    <wp:positionH relativeFrom="page">
                      <wp:posOffset>2146680</wp:posOffset>
                    </wp:positionH>
                    <wp:positionV relativeFrom="paragraph">
                      <wp:posOffset>283988</wp:posOffset>
                    </wp:positionV>
                    <wp:extent cx="40640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064000" cy="1270"/>
                            </a:xfrm>
                            <a:custGeom>
                              <a:avLst/>
                              <a:gdLst/>
                              <a:ahLst/>
                              <a:cxnLst/>
                              <a:rect l="l" t="t" r="r" b="b"/>
                              <a:pathLst>
                                <a:path w="4064000" h="0">
                                  <a:moveTo>
                                    <a:pt x="0" y="0"/>
                                  </a:moveTo>
                                  <a:lnTo>
                                    <a:pt x="406359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1440" from="169.029999pt,22.36133pt" to="488.998258pt,22.36133pt" stroked="true" strokeweight=".885563pt" strokecolor="#000000">
                    <v:stroke dashstyle="dash"/>
                    <w10:wrap type="none"/>
                  </v:line>
                </w:pict>
              </mc:Fallback>
            </mc:AlternateContent>
          </w:r>
          <w:hyperlink w:history="true" w:anchor="_TOC_250050">
            <w:r>
              <w:rPr/>
              <w:t>List of</w:t>
            </w:r>
            <w:r>
              <w:rPr>
                <w:spacing w:val="-7"/>
              </w:rPr>
              <w:t> </w:t>
            </w:r>
            <w:r>
              <w:rPr>
                <w:spacing w:val="-2"/>
              </w:rPr>
              <w:t>Figures</w:t>
            </w:r>
            <w:r>
              <w:rPr/>
              <w:tab/>
            </w:r>
            <w:r>
              <w:rPr>
                <w:spacing w:val="-4"/>
              </w:rPr>
              <w:t>xiii</w:t>
            </w:r>
          </w:hyperlink>
        </w:p>
        <w:p>
          <w:pPr>
            <w:pStyle w:val="TOC3"/>
            <w:tabs>
              <w:tab w:pos="8478" w:val="right" w:leader="none"/>
            </w:tabs>
            <w:ind w:left="253" w:firstLine="0"/>
          </w:pPr>
          <w:r>
            <w:rPr/>
            <mc:AlternateContent>
              <mc:Choice Requires="wps">
                <w:drawing>
                  <wp:anchor distT="0" distB="0" distL="0" distR="0" allowOverlap="1" layoutInCell="1" locked="0" behindDoc="1" simplePos="0" relativeHeight="485015552">
                    <wp:simplePos x="0" y="0"/>
                    <wp:positionH relativeFrom="page">
                      <wp:posOffset>2097913</wp:posOffset>
                    </wp:positionH>
                    <wp:positionV relativeFrom="paragraph">
                      <wp:posOffset>283368</wp:posOffset>
                    </wp:positionV>
                    <wp:extent cx="416687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166870" cy="1270"/>
                            </a:xfrm>
                            <a:custGeom>
                              <a:avLst/>
                              <a:gdLst/>
                              <a:ahLst/>
                              <a:cxnLst/>
                              <a:rect l="l" t="t" r="r" b="b"/>
                              <a:pathLst>
                                <a:path w="4166870" h="0">
                                  <a:moveTo>
                                    <a:pt x="0" y="0"/>
                                  </a:moveTo>
                                  <a:lnTo>
                                    <a:pt x="416636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0928" from="165.190002pt,22.312508pt" to="493.250473pt,22.312508pt" stroked="true" strokeweight=".885563pt" strokecolor="#000000">
                    <v:stroke dashstyle="shortdash"/>
                    <w10:wrap type="none"/>
                  </v:line>
                </w:pict>
              </mc:Fallback>
            </mc:AlternateContent>
          </w:r>
          <w:hyperlink w:history="true" w:anchor="_TOC_250049">
            <w:r>
              <w:rPr/>
              <w:t>List</w:t>
            </w:r>
            <w:r>
              <w:rPr>
                <w:spacing w:val="-2"/>
              </w:rPr>
              <w:t> </w:t>
            </w:r>
            <w:r>
              <w:rPr/>
              <w:t>of</w:t>
            </w:r>
            <w:r>
              <w:rPr>
                <w:spacing w:val="-7"/>
              </w:rPr>
              <w:t> </w:t>
            </w:r>
            <w:r>
              <w:rPr>
                <w:spacing w:val="-2"/>
              </w:rPr>
              <w:t>Tables</w:t>
            </w:r>
            <w:r>
              <w:rPr/>
              <w:tab/>
            </w:r>
            <w:r>
              <w:rPr>
                <w:spacing w:val="-5"/>
              </w:rPr>
              <w:t>xiv</w:t>
            </w:r>
          </w:hyperlink>
        </w:p>
        <w:p>
          <w:pPr>
            <w:pStyle w:val="TOC3"/>
            <w:tabs>
              <w:tab w:pos="8416" w:val="right" w:leader="none"/>
            </w:tabs>
            <w:ind w:left="253" w:firstLine="0"/>
          </w:pPr>
          <w:r>
            <w:rPr/>
            <mc:AlternateContent>
              <mc:Choice Requires="wps">
                <w:drawing>
                  <wp:anchor distT="0" distB="0" distL="0" distR="0" allowOverlap="1" layoutInCell="1" locked="0" behindDoc="1" simplePos="0" relativeHeight="485016064">
                    <wp:simplePos x="0" y="0"/>
                    <wp:positionH relativeFrom="page">
                      <wp:posOffset>2054986</wp:posOffset>
                    </wp:positionH>
                    <wp:positionV relativeFrom="paragraph">
                      <wp:posOffset>283383</wp:posOffset>
                    </wp:positionV>
                    <wp:extent cx="421894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218940" cy="1270"/>
                            </a:xfrm>
                            <a:custGeom>
                              <a:avLst/>
                              <a:gdLst/>
                              <a:ahLst/>
                              <a:cxnLst/>
                              <a:rect l="l" t="t" r="r" b="b"/>
                              <a:pathLst>
                                <a:path w="4218940" h="0">
                                  <a:moveTo>
                                    <a:pt x="0" y="0"/>
                                  </a:moveTo>
                                  <a:lnTo>
                                    <a:pt x="421843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0416" from="161.809998pt,22.313686pt" to="493.970468pt,22.313686pt" stroked="true" strokeweight=".885563pt" strokecolor="#000000">
                    <v:stroke dashstyle="shortdash"/>
                    <w10:wrap type="none"/>
                  </v:line>
                </w:pict>
              </mc:Fallback>
            </mc:AlternateContent>
          </w:r>
          <w:r>
            <w:rPr/>
            <w:t>List</w:t>
          </w:r>
          <w:r>
            <w:rPr>
              <w:spacing w:val="-2"/>
            </w:rPr>
            <w:t> </w:t>
          </w:r>
          <w:r>
            <w:rPr/>
            <w:t>of</w:t>
          </w:r>
          <w:r>
            <w:rPr>
              <w:spacing w:val="-7"/>
            </w:rPr>
            <w:t> </w:t>
          </w:r>
          <w:r>
            <w:rPr>
              <w:spacing w:val="-2"/>
            </w:rPr>
            <w:t>Plates</w:t>
          </w:r>
          <w:r>
            <w:rPr/>
            <w:tab/>
          </w:r>
          <w:r>
            <w:rPr>
              <w:spacing w:val="-5"/>
            </w:rPr>
            <w:t>xv</w:t>
          </w:r>
        </w:p>
        <w:p>
          <w:pPr>
            <w:pStyle w:val="TOC3"/>
            <w:tabs>
              <w:tab w:pos="8549" w:val="right" w:leader="none"/>
            </w:tabs>
            <w:ind w:left="253" w:firstLine="0"/>
          </w:pPr>
          <w:r>
            <w:rPr/>
            <mc:AlternateContent>
              <mc:Choice Requires="wps">
                <w:drawing>
                  <wp:anchor distT="0" distB="0" distL="0" distR="0" allowOverlap="1" layoutInCell="1" locked="0" behindDoc="1" simplePos="0" relativeHeight="485016576">
                    <wp:simplePos x="0" y="0"/>
                    <wp:positionH relativeFrom="page">
                      <wp:posOffset>2408808</wp:posOffset>
                    </wp:positionH>
                    <wp:positionV relativeFrom="paragraph">
                      <wp:posOffset>283652</wp:posOffset>
                    </wp:positionV>
                    <wp:extent cx="3862704"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862704" cy="1270"/>
                            </a:xfrm>
                            <a:custGeom>
                              <a:avLst/>
                              <a:gdLst/>
                              <a:ahLst/>
                              <a:cxnLst/>
                              <a:rect l="l" t="t" r="r" b="b"/>
                              <a:pathLst>
                                <a:path w="3862704" h="0">
                                  <a:moveTo>
                                    <a:pt x="0" y="0"/>
                                  </a:moveTo>
                                  <a:lnTo>
                                    <a:pt x="386212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9904" from="189.669998pt,22.334854pt" to="493.77454pt,22.334854pt" stroked="true" strokeweight=".885563pt" strokecolor="#000000">
                    <v:stroke dashstyle="dash"/>
                    <w10:wrap type="none"/>
                  </v:line>
                </w:pict>
              </mc:Fallback>
            </mc:AlternateContent>
          </w:r>
          <w:r>
            <w:rPr/>
            <w:t>List of</w:t>
          </w:r>
          <w:r>
            <w:rPr>
              <w:spacing w:val="-2"/>
            </w:rPr>
            <w:t> Appendices</w:t>
          </w:r>
          <w:r>
            <w:rPr/>
            <w:tab/>
          </w:r>
          <w:r>
            <w:rPr>
              <w:spacing w:val="-4"/>
            </w:rPr>
            <w:t>xvii</w:t>
          </w:r>
        </w:p>
        <w:p>
          <w:pPr>
            <w:pStyle w:val="TOC3"/>
            <w:tabs>
              <w:tab w:pos="8617" w:val="right" w:leader="none"/>
            </w:tabs>
            <w:ind w:left="253" w:firstLine="0"/>
          </w:pPr>
          <w:r>
            <w:rPr/>
            <mc:AlternateContent>
              <mc:Choice Requires="wps">
                <w:drawing>
                  <wp:anchor distT="0" distB="0" distL="0" distR="0" allowOverlap="1" layoutInCell="1" locked="0" behindDoc="1" simplePos="0" relativeHeight="485017088">
                    <wp:simplePos x="0" y="0"/>
                    <wp:positionH relativeFrom="page">
                      <wp:posOffset>2555113</wp:posOffset>
                    </wp:positionH>
                    <wp:positionV relativeFrom="paragraph">
                      <wp:posOffset>283667</wp:posOffset>
                    </wp:positionV>
                    <wp:extent cx="3707129"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707129" cy="1270"/>
                            </a:xfrm>
                            <a:custGeom>
                              <a:avLst/>
                              <a:gdLst/>
                              <a:ahLst/>
                              <a:cxnLst/>
                              <a:rect l="l" t="t" r="r" b="b"/>
                              <a:pathLst>
                                <a:path w="3707129" h="0">
                                  <a:moveTo>
                                    <a:pt x="0" y="0"/>
                                  </a:moveTo>
                                  <a:lnTo>
                                    <a:pt x="370667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9392" from="201.190002pt,22.336pt" to="493.054544pt,22.336pt" stroked="true" strokeweight=".885563pt" strokecolor="#000000">
                    <v:stroke dashstyle="shortdash"/>
                    <w10:wrap type="none"/>
                  </v:line>
                </w:pict>
              </mc:Fallback>
            </mc:AlternateContent>
          </w:r>
          <w:hyperlink w:history="true" w:anchor="_TOC_250048">
            <w:r>
              <w:rPr/>
              <w:t>List of</w:t>
            </w:r>
            <w:r>
              <w:rPr>
                <w:spacing w:val="-2"/>
              </w:rPr>
              <w:t> Abbreviations</w:t>
            </w:r>
            <w:r>
              <w:rPr/>
              <w:tab/>
            </w:r>
            <w:r>
              <w:rPr>
                <w:spacing w:val="-2"/>
              </w:rPr>
              <w:t>xviii</w:t>
            </w:r>
          </w:hyperlink>
        </w:p>
        <w:p>
          <w:pPr>
            <w:pStyle w:val="TOC1"/>
            <w:numPr>
              <w:ilvl w:val="1"/>
              <w:numId w:val="1"/>
            </w:numPr>
            <w:tabs>
              <w:tab w:pos="973" w:val="left" w:leader="none"/>
              <w:tab w:pos="8296" w:val="right" w:leader="hyphen"/>
            </w:tabs>
            <w:spacing w:line="240" w:lineRule="auto" w:before="833" w:after="0"/>
            <w:ind w:left="973" w:right="0" w:hanging="720"/>
            <w:jc w:val="left"/>
          </w:pPr>
          <w:r>
            <w:rPr>
              <w:spacing w:val="-2"/>
            </w:rPr>
            <w:t>INTRODUCTION</w:t>
          </w:r>
          <w:r>
            <w:rPr/>
            <w:tab/>
          </w:r>
          <w:r>
            <w:rPr>
              <w:spacing w:val="-10"/>
            </w:rPr>
            <w:t>1</w:t>
          </w:r>
        </w:p>
        <w:p>
          <w:pPr>
            <w:pStyle w:val="TOC2"/>
            <w:numPr>
              <w:ilvl w:val="1"/>
              <w:numId w:val="1"/>
            </w:numPr>
            <w:tabs>
              <w:tab w:pos="612" w:val="left" w:leader="none"/>
              <w:tab w:pos="8296" w:val="right" w:leader="hyphen"/>
            </w:tabs>
            <w:spacing w:line="240" w:lineRule="auto" w:before="276" w:after="0"/>
            <w:ind w:left="612" w:right="0" w:hanging="359"/>
            <w:jc w:val="left"/>
          </w:pPr>
          <w:hyperlink w:history="true" w:anchor="_TOC_250047">
            <w:r>
              <w:rPr/>
              <w:t>Background</w:t>
            </w:r>
            <w:r>
              <w:rPr>
                <w:spacing w:val="2"/>
              </w:rPr>
              <w:t> </w:t>
            </w:r>
            <w:r>
              <w:rPr/>
              <w:t>of</w:t>
            </w:r>
            <w:r>
              <w:rPr>
                <w:spacing w:val="-2"/>
              </w:rPr>
              <w:t> </w:t>
            </w:r>
            <w:r>
              <w:rPr/>
              <w:t>the</w:t>
            </w:r>
            <w:r>
              <w:rPr>
                <w:spacing w:val="-5"/>
              </w:rPr>
              <w:t> </w:t>
            </w:r>
            <w:r>
              <w:rPr>
                <w:spacing w:val="-4"/>
              </w:rPr>
              <w:t>Study</w:t>
            </w:r>
            <w:r>
              <w:rPr/>
              <w:tab/>
            </w:r>
            <w:r>
              <w:rPr>
                <w:spacing w:val="-10"/>
              </w:rPr>
              <w:t>1</w:t>
            </w:r>
          </w:hyperlink>
        </w:p>
        <w:p>
          <w:pPr>
            <w:pStyle w:val="TOC2"/>
            <w:numPr>
              <w:ilvl w:val="1"/>
              <w:numId w:val="1"/>
            </w:numPr>
            <w:tabs>
              <w:tab w:pos="617" w:val="left" w:leader="none"/>
              <w:tab w:pos="8296" w:val="right" w:leader="hyphen"/>
            </w:tabs>
            <w:spacing w:line="240" w:lineRule="auto" w:before="276" w:after="0"/>
            <w:ind w:left="617" w:right="0" w:hanging="364"/>
            <w:jc w:val="left"/>
          </w:pPr>
          <w:hyperlink w:history="true" w:anchor="_TOC_250046">
            <w:r>
              <w:rPr/>
              <w:t>Statement</w:t>
            </w:r>
            <w:r>
              <w:rPr>
                <w:spacing w:val="-1"/>
              </w:rPr>
              <w:t> </w:t>
            </w:r>
            <w:r>
              <w:rPr/>
              <w:t>of</w:t>
            </w:r>
            <w:r>
              <w:rPr>
                <w:spacing w:val="-6"/>
              </w:rPr>
              <w:t> </w:t>
            </w:r>
            <w:r>
              <w:rPr/>
              <w:t>Research</w:t>
            </w:r>
            <w:r>
              <w:rPr>
                <w:spacing w:val="-3"/>
              </w:rPr>
              <w:t> </w:t>
            </w:r>
            <w:r>
              <w:rPr>
                <w:spacing w:val="-2"/>
              </w:rPr>
              <w:t>Problem</w:t>
            </w:r>
            <w:r>
              <w:rPr/>
              <w:tab/>
            </w:r>
            <w:r>
              <w:rPr>
                <w:spacing w:val="-10"/>
              </w:rPr>
              <w:t>3</w:t>
            </w:r>
          </w:hyperlink>
        </w:p>
        <w:p>
          <w:pPr>
            <w:pStyle w:val="TOC2"/>
            <w:numPr>
              <w:ilvl w:val="1"/>
              <w:numId w:val="1"/>
            </w:numPr>
            <w:tabs>
              <w:tab w:pos="617" w:val="left" w:leader="none"/>
              <w:tab w:pos="8296" w:val="right" w:leader="hyphen"/>
            </w:tabs>
            <w:spacing w:line="240" w:lineRule="auto" w:before="277" w:after="0"/>
            <w:ind w:left="617" w:right="0" w:hanging="364"/>
            <w:jc w:val="left"/>
          </w:pPr>
          <w:hyperlink w:history="true" w:anchor="_TOC_250045">
            <w:r>
              <w:rPr/>
              <w:t>Justification</w:t>
            </w:r>
            <w:r>
              <w:rPr>
                <w:spacing w:val="-4"/>
              </w:rPr>
              <w:t> </w:t>
            </w:r>
            <w:r>
              <w:rPr/>
              <w:t>of</w:t>
            </w:r>
            <w:r>
              <w:rPr>
                <w:spacing w:val="-2"/>
              </w:rPr>
              <w:t> </w:t>
            </w:r>
            <w:r>
              <w:rPr/>
              <w:t>the</w:t>
            </w:r>
            <w:r>
              <w:rPr>
                <w:spacing w:val="-5"/>
              </w:rPr>
              <w:t> </w:t>
            </w:r>
            <w:r>
              <w:rPr>
                <w:spacing w:val="-4"/>
              </w:rPr>
              <w:t>Study</w:t>
            </w:r>
            <w:r>
              <w:rPr/>
              <w:tab/>
            </w:r>
            <w:r>
              <w:rPr>
                <w:spacing w:val="-10"/>
              </w:rPr>
              <w:t>5</w:t>
            </w:r>
          </w:hyperlink>
        </w:p>
        <w:p>
          <w:pPr>
            <w:pStyle w:val="TOC2"/>
            <w:numPr>
              <w:ilvl w:val="1"/>
              <w:numId w:val="1"/>
            </w:numPr>
            <w:tabs>
              <w:tab w:pos="617" w:val="left" w:leader="none"/>
              <w:tab w:pos="8296" w:val="right" w:leader="hyphen"/>
            </w:tabs>
            <w:spacing w:line="240" w:lineRule="auto" w:before="276" w:after="0"/>
            <w:ind w:left="617" w:right="0" w:hanging="364"/>
            <w:jc w:val="left"/>
          </w:pPr>
          <w:r>
            <w:rPr/>
            <w:t>Aim</w:t>
          </w:r>
          <w:r>
            <w:rPr>
              <w:spacing w:val="-2"/>
            </w:rPr>
            <w:t> </w:t>
          </w:r>
          <w:r>
            <w:rPr/>
            <w:t>and</w:t>
          </w:r>
          <w:r>
            <w:rPr>
              <w:spacing w:val="-2"/>
            </w:rPr>
            <w:t> </w:t>
          </w:r>
          <w:r>
            <w:rPr/>
            <w:t>Objectives of</w:t>
          </w:r>
          <w:r>
            <w:rPr>
              <w:spacing w:val="-2"/>
            </w:rPr>
            <w:t> </w:t>
          </w:r>
          <w:r>
            <w:rPr/>
            <w:t>the</w:t>
          </w:r>
          <w:r>
            <w:rPr>
              <w:spacing w:val="2"/>
            </w:rPr>
            <w:t> </w:t>
          </w:r>
          <w:r>
            <w:rPr>
              <w:spacing w:val="-2"/>
            </w:rPr>
            <w:t>Study</w:t>
          </w:r>
          <w:r>
            <w:rPr/>
            <w:tab/>
          </w:r>
          <w:r>
            <w:rPr>
              <w:spacing w:val="-10"/>
            </w:rPr>
            <w:t>5</w:t>
          </w:r>
        </w:p>
        <w:p>
          <w:pPr>
            <w:pStyle w:val="TOC7"/>
            <w:numPr>
              <w:ilvl w:val="2"/>
              <w:numId w:val="1"/>
            </w:numPr>
            <w:tabs>
              <w:tab w:pos="1514" w:val="left" w:leader="none"/>
              <w:tab w:pos="8296" w:val="right" w:leader="none"/>
            </w:tabs>
            <w:spacing w:line="240" w:lineRule="auto" w:before="271" w:after="0"/>
            <w:ind w:left="1514" w:right="0" w:hanging="541"/>
            <w:jc w:val="left"/>
          </w:pPr>
          <w:r>
            <w:rPr/>
            <mc:AlternateContent>
              <mc:Choice Requires="wps">
                <w:drawing>
                  <wp:anchor distT="0" distB="0" distL="0" distR="0" allowOverlap="1" layoutInCell="1" locked="0" behindDoc="1" simplePos="0" relativeHeight="485017600">
                    <wp:simplePos x="0" y="0"/>
                    <wp:positionH relativeFrom="page">
                      <wp:posOffset>2320417</wp:posOffset>
                    </wp:positionH>
                    <wp:positionV relativeFrom="paragraph">
                      <wp:posOffset>280581</wp:posOffset>
                    </wp:positionV>
                    <wp:extent cx="391287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912870" cy="1270"/>
                            </a:xfrm>
                            <a:custGeom>
                              <a:avLst/>
                              <a:gdLst/>
                              <a:ahLst/>
                              <a:cxnLst/>
                              <a:rect l="l" t="t" r="r" b="b"/>
                              <a:pathLst>
                                <a:path w="3912870" h="0">
                                  <a:moveTo>
                                    <a:pt x="0" y="0"/>
                                  </a:moveTo>
                                  <a:lnTo>
                                    <a:pt x="391278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8880" from="182.710007pt,22.093048pt" to="490.803136pt,22.093048pt" stroked="true" strokeweight=".885563pt" strokecolor="#000000">
                    <v:stroke dashstyle="dash"/>
                    <w10:wrap type="none"/>
                  </v:line>
                </w:pict>
              </mc:Fallback>
            </mc:AlternateContent>
          </w:r>
          <w:hyperlink w:history="true" w:anchor="_TOC_250044">
            <w:r>
              <w:rPr>
                <w:spacing w:val="-5"/>
              </w:rPr>
              <w:t>Aim</w:t>
            </w:r>
            <w:r>
              <w:rPr/>
              <w:tab/>
            </w:r>
            <w:r>
              <w:rPr>
                <w:spacing w:val="-10"/>
              </w:rPr>
              <w:t>5</w:t>
            </w:r>
          </w:hyperlink>
        </w:p>
        <w:p>
          <w:pPr>
            <w:pStyle w:val="TOC7"/>
            <w:numPr>
              <w:ilvl w:val="2"/>
              <w:numId w:val="1"/>
            </w:numPr>
            <w:tabs>
              <w:tab w:pos="1515" w:val="left" w:leader="none"/>
              <w:tab w:pos="8296" w:val="right" w:leader="none"/>
            </w:tabs>
            <w:spacing w:line="240" w:lineRule="auto" w:before="277" w:after="240"/>
            <w:ind w:left="1515" w:right="0" w:hanging="542"/>
            <w:jc w:val="left"/>
          </w:pPr>
          <w:r>
            <w:rPr/>
            <mc:AlternateContent>
              <mc:Choice Requires="wps">
                <w:drawing>
                  <wp:anchor distT="0" distB="0" distL="0" distR="0" allowOverlap="1" layoutInCell="1" locked="0" behindDoc="1" simplePos="0" relativeHeight="485018112">
                    <wp:simplePos x="0" y="0"/>
                    <wp:positionH relativeFrom="page">
                      <wp:posOffset>3204717</wp:posOffset>
                    </wp:positionH>
                    <wp:positionV relativeFrom="paragraph">
                      <wp:posOffset>284025</wp:posOffset>
                    </wp:positionV>
                    <wp:extent cx="3000375"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000375" cy="1270"/>
                            </a:xfrm>
                            <a:custGeom>
                              <a:avLst/>
                              <a:gdLst/>
                              <a:ahLst/>
                              <a:cxnLst/>
                              <a:rect l="l" t="t" r="r" b="b"/>
                              <a:pathLst>
                                <a:path w="3000375" h="0">
                                  <a:moveTo>
                                    <a:pt x="0" y="0"/>
                                  </a:moveTo>
                                  <a:lnTo>
                                    <a:pt x="3000217"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8368" from="252.339996pt,22.364214pt" to="488.577597pt,22.364214pt" stroked="true" strokeweight=".885563pt" strokecolor="#000000">
                    <v:stroke dashstyle="dash"/>
                    <w10:wrap type="none"/>
                  </v:line>
                </w:pict>
              </mc:Fallback>
            </mc:AlternateContent>
          </w:r>
          <w:hyperlink w:history="true" w:anchor="_TOC_250043">
            <w:r>
              <w:rPr/>
              <w:t>Specific</w:t>
            </w:r>
            <w:r>
              <w:rPr>
                <w:spacing w:val="-11"/>
              </w:rPr>
              <w:t> </w:t>
            </w:r>
            <w:r>
              <w:rPr>
                <w:spacing w:val="-2"/>
              </w:rPr>
              <w:t>objectives</w:t>
            </w:r>
            <w:r>
              <w:rPr/>
              <w:tab/>
            </w:r>
            <w:r>
              <w:rPr>
                <w:spacing w:val="-10"/>
              </w:rPr>
              <w:t>6</w:t>
            </w:r>
          </w:hyperlink>
        </w:p>
        <w:p>
          <w:pPr>
            <w:pStyle w:val="TOC1"/>
            <w:numPr>
              <w:ilvl w:val="1"/>
              <w:numId w:val="2"/>
            </w:numPr>
            <w:tabs>
              <w:tab w:pos="973" w:val="left" w:leader="none"/>
              <w:tab w:pos="8296" w:val="right" w:leader="hyphen"/>
            </w:tabs>
            <w:spacing w:line="240" w:lineRule="auto" w:before="68" w:after="0"/>
            <w:ind w:left="973" w:right="0" w:hanging="720"/>
            <w:jc w:val="left"/>
          </w:pPr>
          <w:r>
            <w:rPr/>
            <w:t>LITERATURE</w:t>
          </w:r>
          <w:r>
            <w:rPr>
              <w:spacing w:val="-5"/>
            </w:rPr>
            <w:t> </w:t>
          </w:r>
          <w:r>
            <w:rPr>
              <w:spacing w:val="-2"/>
            </w:rPr>
            <w:t>REVIEW</w:t>
          </w:r>
          <w:r>
            <w:rPr/>
            <w:tab/>
          </w:r>
          <w:r>
            <w:rPr>
              <w:spacing w:val="-10"/>
            </w:rPr>
            <w:t>7</w:t>
          </w:r>
        </w:p>
        <w:p>
          <w:pPr>
            <w:pStyle w:val="TOC2"/>
            <w:numPr>
              <w:ilvl w:val="1"/>
              <w:numId w:val="2"/>
            </w:numPr>
            <w:tabs>
              <w:tab w:pos="617" w:val="left" w:leader="none"/>
              <w:tab w:pos="8296" w:val="right" w:leader="hyphen"/>
            </w:tabs>
            <w:spacing w:line="240" w:lineRule="auto" w:before="276" w:after="0"/>
            <w:ind w:left="617" w:right="0" w:hanging="364"/>
            <w:jc w:val="left"/>
          </w:pPr>
          <w:hyperlink w:history="true" w:anchor="_TOC_250042">
            <w:r>
              <w:rPr/>
              <w:t>Overview</w:t>
            </w:r>
            <w:r>
              <w:rPr>
                <w:spacing w:val="-4"/>
              </w:rPr>
              <w:t> </w:t>
            </w:r>
            <w:r>
              <w:rPr/>
              <w:t>of</w:t>
            </w:r>
            <w:r>
              <w:rPr>
                <w:spacing w:val="-6"/>
              </w:rPr>
              <w:t> </w:t>
            </w:r>
            <w:r>
              <w:rPr/>
              <w:t>Plant</w:t>
            </w:r>
            <w:r>
              <w:rPr>
                <w:spacing w:val="-2"/>
              </w:rPr>
              <w:t> Toxicity</w:t>
            </w:r>
            <w:r>
              <w:rPr/>
              <w:tab/>
            </w:r>
            <w:r>
              <w:rPr>
                <w:spacing w:val="-10"/>
              </w:rPr>
              <w:t>7</w:t>
            </w:r>
          </w:hyperlink>
        </w:p>
        <w:p>
          <w:pPr>
            <w:pStyle w:val="TOC2"/>
            <w:numPr>
              <w:ilvl w:val="1"/>
              <w:numId w:val="2"/>
            </w:numPr>
            <w:tabs>
              <w:tab w:pos="617" w:val="left" w:leader="none"/>
              <w:tab w:pos="8296" w:val="right" w:leader="hyphen"/>
            </w:tabs>
            <w:spacing w:line="240" w:lineRule="auto" w:before="277" w:after="0"/>
            <w:ind w:left="617" w:right="0" w:hanging="364"/>
            <w:jc w:val="left"/>
          </w:pPr>
          <w:hyperlink w:history="true" w:anchor="_TOC_250041">
            <w:r>
              <w:rPr/>
              <w:t>Common</w:t>
            </w:r>
            <w:r>
              <w:rPr>
                <w:spacing w:val="-6"/>
              </w:rPr>
              <w:t> </w:t>
            </w:r>
            <w:r>
              <w:rPr/>
              <w:t>Plant</w:t>
            </w:r>
            <w:r>
              <w:rPr>
                <w:spacing w:val="-3"/>
              </w:rPr>
              <w:t> </w:t>
            </w:r>
            <w:r>
              <w:rPr>
                <w:spacing w:val="-2"/>
              </w:rPr>
              <w:t>Toxins</w:t>
            </w:r>
            <w:r>
              <w:rPr/>
              <w:tab/>
            </w:r>
            <w:r>
              <w:rPr>
                <w:spacing w:val="-10"/>
              </w:rPr>
              <w:t>8</w:t>
            </w:r>
          </w:hyperlink>
        </w:p>
        <w:p>
          <w:pPr>
            <w:pStyle w:val="TOC3"/>
            <w:numPr>
              <w:ilvl w:val="2"/>
              <w:numId w:val="2"/>
            </w:numPr>
            <w:tabs>
              <w:tab w:pos="795" w:val="left" w:leader="none"/>
              <w:tab w:pos="8296" w:val="right" w:leader="none"/>
            </w:tabs>
            <w:spacing w:line="240" w:lineRule="auto" w:before="271" w:after="0"/>
            <w:ind w:left="795" w:right="0" w:hanging="542"/>
            <w:jc w:val="left"/>
          </w:pPr>
          <w:r>
            <w:rPr/>
            <mc:AlternateContent>
              <mc:Choice Requires="wps">
                <w:drawing>
                  <wp:anchor distT="0" distB="0" distL="0" distR="0" allowOverlap="1" layoutInCell="1" locked="0" behindDoc="1" simplePos="0" relativeHeight="485018624">
                    <wp:simplePos x="0" y="0"/>
                    <wp:positionH relativeFrom="page">
                      <wp:posOffset>2186304</wp:posOffset>
                    </wp:positionH>
                    <wp:positionV relativeFrom="paragraph">
                      <wp:posOffset>280343</wp:posOffset>
                    </wp:positionV>
                    <wp:extent cx="3966845"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966845" cy="1270"/>
                            </a:xfrm>
                            <a:custGeom>
                              <a:avLst/>
                              <a:gdLst/>
                              <a:ahLst/>
                              <a:cxnLst/>
                              <a:rect l="l" t="t" r="r" b="b"/>
                              <a:pathLst>
                                <a:path w="3966845" h="0">
                                  <a:moveTo>
                                    <a:pt x="0" y="0"/>
                                  </a:moveTo>
                                  <a:lnTo>
                                    <a:pt x="396672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7856" from="172.149994pt,22.074318pt" to="484.490276pt,22.074318pt" stroked="true" strokeweight=".885563pt" strokecolor="#000000">
                    <v:stroke dashstyle="shortdash"/>
                    <w10:wrap type="none"/>
                  </v:line>
                </w:pict>
              </mc:Fallback>
            </mc:AlternateContent>
          </w:r>
          <w:hyperlink w:history="true" w:anchor="_TOC_250040">
            <w:r>
              <w:rPr>
                <w:spacing w:val="-2"/>
              </w:rPr>
              <w:t>Alkaloids</w:t>
            </w:r>
            <w:r>
              <w:rPr/>
              <w:tab/>
            </w:r>
            <w:r>
              <w:rPr>
                <w:spacing w:val="-10"/>
              </w:rPr>
              <w:t>9</w:t>
            </w:r>
          </w:hyperlink>
        </w:p>
        <w:p>
          <w:pPr>
            <w:pStyle w:val="TOC3"/>
            <w:numPr>
              <w:ilvl w:val="2"/>
              <w:numId w:val="2"/>
            </w:numPr>
            <w:tabs>
              <w:tab w:pos="794" w:val="left" w:leader="none"/>
              <w:tab w:pos="829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19136">
                    <wp:simplePos x="0" y="0"/>
                    <wp:positionH relativeFrom="page">
                      <wp:posOffset>3003550</wp:posOffset>
                    </wp:positionH>
                    <wp:positionV relativeFrom="paragraph">
                      <wp:posOffset>283533</wp:posOffset>
                    </wp:positionV>
                    <wp:extent cx="315150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151505" cy="1270"/>
                            </a:xfrm>
                            <a:custGeom>
                              <a:avLst/>
                              <a:gdLst/>
                              <a:ahLst/>
                              <a:cxnLst/>
                              <a:rect l="l" t="t" r="r" b="b"/>
                              <a:pathLst>
                                <a:path w="3151505" h="0">
                                  <a:moveTo>
                                    <a:pt x="0" y="0"/>
                                  </a:moveTo>
                                  <a:lnTo>
                                    <a:pt x="3151154"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7344" from="236.5pt,22.325466pt" to="484.622377pt,22.325466pt" stroked="true" strokeweight=".885563pt" strokecolor="#000000">
                    <v:stroke dashstyle="shortdash"/>
                    <w10:wrap type="none"/>
                  </v:line>
                </w:pict>
              </mc:Fallback>
            </mc:AlternateContent>
          </w:r>
          <w:hyperlink w:history="true" w:anchor="_TOC_250039">
            <w:r>
              <w:rPr/>
              <w:t>Cyanogenic</w:t>
            </w:r>
            <w:r>
              <w:rPr>
                <w:spacing w:val="-11"/>
              </w:rPr>
              <w:t> </w:t>
            </w:r>
            <w:r>
              <w:rPr>
                <w:spacing w:val="-2"/>
              </w:rPr>
              <w:t>glycosides</w:t>
            </w:r>
            <w:r>
              <w:rPr/>
              <w:tab/>
            </w:r>
            <w:r>
              <w:rPr>
                <w:spacing w:val="-10"/>
              </w:rPr>
              <w:t>9</w:t>
            </w:r>
          </w:hyperlink>
        </w:p>
        <w:p>
          <w:pPr>
            <w:pStyle w:val="TOC3"/>
            <w:numPr>
              <w:ilvl w:val="2"/>
              <w:numId w:val="3"/>
            </w:numPr>
            <w:tabs>
              <w:tab w:pos="856" w:val="left" w:leader="none"/>
              <w:tab w:pos="8416" w:val="right" w:leader="none"/>
            </w:tabs>
            <w:spacing w:line="240" w:lineRule="auto" w:before="276" w:after="0"/>
            <w:ind w:left="856" w:right="0" w:hanging="603"/>
            <w:jc w:val="left"/>
          </w:pPr>
          <w:r>
            <w:rPr/>
            <mc:AlternateContent>
              <mc:Choice Requires="wps">
                <w:drawing>
                  <wp:anchor distT="0" distB="0" distL="0" distR="0" allowOverlap="1" layoutInCell="1" locked="0" behindDoc="1" simplePos="0" relativeHeight="485019648">
                    <wp:simplePos x="0" y="0"/>
                    <wp:positionH relativeFrom="page">
                      <wp:posOffset>2079625</wp:posOffset>
                    </wp:positionH>
                    <wp:positionV relativeFrom="paragraph">
                      <wp:posOffset>283802</wp:posOffset>
                    </wp:positionV>
                    <wp:extent cx="4065904"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065904" cy="1270"/>
                            </a:xfrm>
                            <a:custGeom>
                              <a:avLst/>
                              <a:gdLst/>
                              <a:ahLst/>
                              <a:cxnLst/>
                              <a:rect l="l" t="t" r="r" b="b"/>
                              <a:pathLst>
                                <a:path w="4065904" h="0">
                                  <a:moveTo>
                                    <a:pt x="0" y="0"/>
                                  </a:moveTo>
                                  <a:lnTo>
                                    <a:pt x="406578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6832" from="163.75pt,22.346634pt" to="483.890471pt,22.346634pt" stroked="true" strokeweight=".885563pt" strokecolor="#000000">
                    <v:stroke dashstyle="shortdash"/>
                    <w10:wrap type="none"/>
                  </v:line>
                </w:pict>
              </mc:Fallback>
            </mc:AlternateContent>
          </w:r>
          <w:hyperlink w:history="true" w:anchor="_TOC_250038">
            <w:r>
              <w:rPr>
                <w:spacing w:val="-2"/>
              </w:rPr>
              <w:t>Lectins</w:t>
            </w:r>
            <w:r>
              <w:rPr/>
              <w:tab/>
            </w:r>
            <w:r>
              <w:rPr>
                <w:spacing w:val="-5"/>
              </w:rPr>
              <w:t>11</w:t>
            </w:r>
          </w:hyperlink>
        </w:p>
        <w:p>
          <w:pPr>
            <w:pStyle w:val="TOC3"/>
            <w:numPr>
              <w:ilvl w:val="2"/>
              <w:numId w:val="4"/>
            </w:numPr>
            <w:tabs>
              <w:tab w:pos="795" w:val="left" w:leader="none"/>
              <w:tab w:pos="8416" w:val="right" w:leader="none"/>
            </w:tabs>
            <w:spacing w:line="240" w:lineRule="auto" w:before="276" w:after="0"/>
            <w:ind w:left="795" w:right="0" w:hanging="542"/>
            <w:jc w:val="left"/>
          </w:pPr>
          <w:r>
            <w:rPr/>
            <mc:AlternateContent>
              <mc:Choice Requires="wps">
                <w:drawing>
                  <wp:anchor distT="0" distB="0" distL="0" distR="0" allowOverlap="1" layoutInCell="1" locked="0" behindDoc="1" simplePos="0" relativeHeight="485020160">
                    <wp:simplePos x="0" y="0"/>
                    <wp:positionH relativeFrom="page">
                      <wp:posOffset>2091817</wp:posOffset>
                    </wp:positionH>
                    <wp:positionV relativeFrom="paragraph">
                      <wp:posOffset>283817</wp:posOffset>
                    </wp:positionV>
                    <wp:extent cx="406654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066540" cy="1270"/>
                            </a:xfrm>
                            <a:custGeom>
                              <a:avLst/>
                              <a:gdLst/>
                              <a:ahLst/>
                              <a:cxnLst/>
                              <a:rect l="l" t="t" r="r" b="b"/>
                              <a:pathLst>
                                <a:path w="4066540" h="0">
                                  <a:moveTo>
                                    <a:pt x="0" y="0"/>
                                  </a:moveTo>
                                  <a:lnTo>
                                    <a:pt x="406593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6320" from="164.710007pt,22.347841pt" to="484.862383pt,22.347841pt" stroked="true" strokeweight=".885563pt" strokecolor="#000000">
                    <v:stroke dashstyle="dash"/>
                    <w10:wrap type="none"/>
                  </v:line>
                </w:pict>
              </mc:Fallback>
            </mc:AlternateContent>
          </w:r>
          <w:r>
            <w:rPr>
              <w:spacing w:val="-2"/>
            </w:rPr>
            <w:t>Saponin</w:t>
          </w:r>
          <w:r>
            <w:rPr/>
            <w:tab/>
          </w:r>
          <w:r>
            <w:rPr>
              <w:spacing w:val="-5"/>
            </w:rPr>
            <w:t>11</w:t>
          </w:r>
        </w:p>
        <w:p>
          <w:pPr>
            <w:pStyle w:val="TOC3"/>
            <w:numPr>
              <w:ilvl w:val="2"/>
              <w:numId w:val="4"/>
            </w:numPr>
            <w:tabs>
              <w:tab w:pos="795" w:val="left" w:leader="none"/>
              <w:tab w:pos="8416" w:val="right" w:leader="none"/>
            </w:tabs>
            <w:spacing w:line="240" w:lineRule="auto" w:before="276" w:after="0"/>
            <w:ind w:left="795" w:right="0" w:hanging="542"/>
            <w:jc w:val="left"/>
          </w:pPr>
          <w:r>
            <w:rPr/>
            <mc:AlternateContent>
              <mc:Choice Requires="wps">
                <w:drawing>
                  <wp:anchor distT="0" distB="0" distL="0" distR="0" allowOverlap="1" layoutInCell="1" locked="0" behindDoc="1" simplePos="0" relativeHeight="485020672">
                    <wp:simplePos x="0" y="0"/>
                    <wp:positionH relativeFrom="page">
                      <wp:posOffset>2082673</wp:posOffset>
                    </wp:positionH>
                    <wp:positionV relativeFrom="paragraph">
                      <wp:posOffset>283832</wp:posOffset>
                    </wp:positionV>
                    <wp:extent cx="4069079"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069079" cy="1270"/>
                            </a:xfrm>
                            <a:custGeom>
                              <a:avLst/>
                              <a:gdLst/>
                              <a:ahLst/>
                              <a:cxnLst/>
                              <a:rect l="l" t="t" r="r" b="b"/>
                              <a:pathLst>
                                <a:path w="4069079" h="0">
                                  <a:moveTo>
                                    <a:pt x="0" y="0"/>
                                  </a:moveTo>
                                  <a:lnTo>
                                    <a:pt x="406868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5808" from="163.990005pt,22.348989pt" to="484.358664pt,22.348989pt" stroked="true" strokeweight=".885563pt" strokecolor="#000000">
                    <v:stroke dashstyle="dash"/>
                    <w10:wrap type="none"/>
                  </v:line>
                </w:pict>
              </mc:Fallback>
            </mc:AlternateContent>
          </w:r>
          <w:hyperlink w:history="true" w:anchor="_TOC_250037">
            <w:r>
              <w:rPr>
                <w:spacing w:val="-2"/>
              </w:rPr>
              <w:t>Tannins</w:t>
            </w:r>
            <w:r>
              <w:rPr/>
              <w:tab/>
            </w:r>
            <w:r>
              <w:rPr>
                <w:spacing w:val="-5"/>
              </w:rPr>
              <w:t>11</w:t>
            </w:r>
          </w:hyperlink>
        </w:p>
        <w:p>
          <w:pPr>
            <w:pStyle w:val="TOC3"/>
            <w:numPr>
              <w:ilvl w:val="2"/>
              <w:numId w:val="4"/>
            </w:numPr>
            <w:tabs>
              <w:tab w:pos="794" w:val="left" w:leader="none"/>
              <w:tab w:pos="8416" w:val="right" w:leader="none"/>
            </w:tabs>
            <w:spacing w:line="240" w:lineRule="auto" w:before="277" w:after="0"/>
            <w:ind w:left="794" w:right="0" w:hanging="541"/>
            <w:jc w:val="left"/>
          </w:pPr>
          <w:r>
            <w:rPr/>
            <mc:AlternateContent>
              <mc:Choice Requires="wps">
                <w:drawing>
                  <wp:anchor distT="0" distB="0" distL="0" distR="0" allowOverlap="1" layoutInCell="1" locked="0" behindDoc="1" simplePos="0" relativeHeight="485021184">
                    <wp:simplePos x="0" y="0"/>
                    <wp:positionH relativeFrom="page">
                      <wp:posOffset>2113152</wp:posOffset>
                    </wp:positionH>
                    <wp:positionV relativeFrom="paragraph">
                      <wp:posOffset>284228</wp:posOffset>
                    </wp:positionV>
                    <wp:extent cx="4059554"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059554" cy="1270"/>
                            </a:xfrm>
                            <a:custGeom>
                              <a:avLst/>
                              <a:gdLst/>
                              <a:ahLst/>
                              <a:cxnLst/>
                              <a:rect l="l" t="t" r="r" b="b"/>
                              <a:pathLst>
                                <a:path w="4059554" h="0">
                                  <a:moveTo>
                                    <a:pt x="0" y="0"/>
                                  </a:moveTo>
                                  <a:lnTo>
                                    <a:pt x="405953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5296" from="166.389999pt,22.380165pt" to="486.038752pt,22.380165pt" stroked="true" strokeweight=".885563pt" strokecolor="#000000">
                    <v:stroke dashstyle="shortdash"/>
                    <w10:wrap type="none"/>
                  </v:line>
                </w:pict>
              </mc:Fallback>
            </mc:AlternateContent>
          </w:r>
          <w:hyperlink w:history="true" w:anchor="_TOC_250036">
            <w:r>
              <w:rPr>
                <w:spacing w:val="-2"/>
              </w:rPr>
              <w:t>Phytates</w:t>
            </w:r>
            <w:r>
              <w:rPr/>
              <w:tab/>
            </w:r>
            <w:r>
              <w:rPr>
                <w:spacing w:val="-5"/>
              </w:rPr>
              <w:t>11</w:t>
            </w:r>
          </w:hyperlink>
        </w:p>
        <w:p>
          <w:pPr>
            <w:pStyle w:val="TOC3"/>
            <w:numPr>
              <w:ilvl w:val="2"/>
              <w:numId w:val="4"/>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1696">
                    <wp:simplePos x="0" y="0"/>
                    <wp:positionH relativeFrom="page">
                      <wp:posOffset>2692273</wp:posOffset>
                    </wp:positionH>
                    <wp:positionV relativeFrom="paragraph">
                      <wp:posOffset>283607</wp:posOffset>
                    </wp:positionV>
                    <wp:extent cx="350520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3505200" cy="1270"/>
                            </a:xfrm>
                            <a:custGeom>
                              <a:avLst/>
                              <a:gdLst/>
                              <a:ahLst/>
                              <a:cxnLst/>
                              <a:rect l="l" t="t" r="r" b="b"/>
                              <a:pathLst>
                                <a:path w="3505200" h="0">
                                  <a:moveTo>
                                    <a:pt x="0" y="0"/>
                                  </a:moveTo>
                                  <a:lnTo>
                                    <a:pt x="350465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4784" from="211.990005pt,22.331314pt" to="487.946853pt,22.331314pt" stroked="true" strokeweight=".885563pt" strokecolor="#000000">
                    <v:stroke dashstyle="shortdash"/>
                    <w10:wrap type="none"/>
                  </v:line>
                </w:pict>
              </mc:Fallback>
            </mc:AlternateContent>
          </w:r>
          <w:hyperlink w:history="true" w:anchor="_TOC_250035">
            <w:r>
              <w:rPr/>
              <w:t>Trypsin</w:t>
            </w:r>
            <w:r>
              <w:rPr>
                <w:spacing w:val="-9"/>
              </w:rPr>
              <w:t> </w:t>
            </w:r>
            <w:r>
              <w:rPr>
                <w:spacing w:val="-2"/>
              </w:rPr>
              <w:t>inhibitors</w:t>
            </w:r>
            <w:r>
              <w:rPr/>
              <w:tab/>
            </w:r>
            <w:r>
              <w:rPr>
                <w:spacing w:val="-5"/>
              </w:rPr>
              <w:t>12</w:t>
            </w:r>
          </w:hyperlink>
        </w:p>
        <w:p>
          <w:pPr>
            <w:pStyle w:val="TOC3"/>
            <w:numPr>
              <w:ilvl w:val="2"/>
              <w:numId w:val="4"/>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2208">
                    <wp:simplePos x="0" y="0"/>
                    <wp:positionH relativeFrom="page">
                      <wp:posOffset>2463673</wp:posOffset>
                    </wp:positionH>
                    <wp:positionV relativeFrom="paragraph">
                      <wp:posOffset>283622</wp:posOffset>
                    </wp:positionV>
                    <wp:extent cx="375856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758565" cy="1270"/>
                            </a:xfrm>
                            <a:custGeom>
                              <a:avLst/>
                              <a:gdLst/>
                              <a:ahLst/>
                              <a:cxnLst/>
                              <a:rect l="l" t="t" r="r" b="b"/>
                              <a:pathLst>
                                <a:path w="3758565" h="0">
                                  <a:moveTo>
                                    <a:pt x="0" y="0"/>
                                  </a:moveTo>
                                  <a:lnTo>
                                    <a:pt x="375823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4272" from="193.990005pt,22.332491pt" to="489.914288pt,22.332491pt" stroked="true" strokeweight=".885563pt" strokecolor="#000000">
                    <v:stroke dashstyle="shortdash"/>
                    <w10:wrap type="none"/>
                  </v:line>
                </w:pict>
              </mc:Fallback>
            </mc:AlternateContent>
          </w:r>
          <w:r>
            <w:rPr/>
            <w:t>Phorbol</w:t>
          </w:r>
          <w:r>
            <w:rPr>
              <w:spacing w:val="-8"/>
            </w:rPr>
            <w:t> </w:t>
          </w:r>
          <w:r>
            <w:rPr>
              <w:spacing w:val="-2"/>
            </w:rPr>
            <w:t>esters</w:t>
          </w:r>
          <w:r>
            <w:rPr/>
            <w:tab/>
          </w:r>
          <w:r>
            <w:rPr>
              <w:spacing w:val="-5"/>
            </w:rPr>
            <w:t>12</w:t>
          </w:r>
        </w:p>
        <w:p>
          <w:pPr>
            <w:pStyle w:val="TOC3"/>
            <w:numPr>
              <w:ilvl w:val="2"/>
              <w:numId w:val="4"/>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2720">
                    <wp:simplePos x="0" y="0"/>
                    <wp:positionH relativeFrom="page">
                      <wp:posOffset>2009267</wp:posOffset>
                    </wp:positionH>
                    <wp:positionV relativeFrom="paragraph">
                      <wp:posOffset>283891</wp:posOffset>
                    </wp:positionV>
                    <wp:extent cx="421513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215130" cy="1270"/>
                            </a:xfrm>
                            <a:custGeom>
                              <a:avLst/>
                              <a:gdLst/>
                              <a:ahLst/>
                              <a:cxnLst/>
                              <a:rect l="l" t="t" r="r" b="b"/>
                              <a:pathLst>
                                <a:path w="4215130" h="0">
                                  <a:moveTo>
                                    <a:pt x="0" y="0"/>
                                  </a:moveTo>
                                  <a:lnTo>
                                    <a:pt x="421478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3760" from="158.210007pt,22.353659pt" to="490.083042pt,22.353659pt" stroked="true" strokeweight=".885563pt" strokecolor="#000000">
                    <v:stroke dashstyle="shortdash"/>
                    <w10:wrap type="none"/>
                  </v:line>
                </w:pict>
              </mc:Fallback>
            </mc:AlternateContent>
          </w:r>
          <w:r>
            <w:rPr>
              <w:spacing w:val="-2"/>
            </w:rPr>
            <w:t>Curcin</w:t>
          </w:r>
          <w:r>
            <w:rPr/>
            <w:tab/>
          </w:r>
          <w:r>
            <w:rPr>
              <w:spacing w:val="-5"/>
            </w:rPr>
            <w:t>13</w:t>
          </w:r>
        </w:p>
        <w:p>
          <w:pPr>
            <w:pStyle w:val="TOC2"/>
            <w:numPr>
              <w:ilvl w:val="1"/>
              <w:numId w:val="2"/>
            </w:numPr>
            <w:tabs>
              <w:tab w:pos="617" w:val="left" w:leader="none"/>
              <w:tab w:pos="8416" w:val="right" w:leader="hyphen"/>
            </w:tabs>
            <w:spacing w:line="240" w:lineRule="auto" w:before="281" w:after="0"/>
            <w:ind w:left="617" w:right="0" w:hanging="364"/>
            <w:jc w:val="left"/>
          </w:pPr>
          <w:hyperlink w:history="true" w:anchor="_TOC_250034">
            <w:r>
              <w:rPr/>
              <w:t>Factors</w:t>
            </w:r>
            <w:r>
              <w:rPr>
                <w:spacing w:val="-7"/>
              </w:rPr>
              <w:t> </w:t>
            </w:r>
            <w:r>
              <w:rPr/>
              <w:t>Influencing</w:t>
            </w:r>
            <w:r>
              <w:rPr>
                <w:spacing w:val="-5"/>
              </w:rPr>
              <w:t> </w:t>
            </w:r>
            <w:r>
              <w:rPr/>
              <w:t>Plant</w:t>
            </w:r>
            <w:r>
              <w:rPr>
                <w:spacing w:val="-4"/>
              </w:rPr>
              <w:t> </w:t>
            </w:r>
            <w:r>
              <w:rPr>
                <w:spacing w:val="-2"/>
              </w:rPr>
              <w:t>Toxicity</w:t>
            </w:r>
            <w:r>
              <w:rPr/>
              <w:tab/>
            </w:r>
            <w:r>
              <w:rPr>
                <w:spacing w:val="-5"/>
              </w:rPr>
              <w:t>13</w:t>
            </w:r>
          </w:hyperlink>
        </w:p>
        <w:p>
          <w:pPr>
            <w:pStyle w:val="TOC2"/>
            <w:numPr>
              <w:ilvl w:val="1"/>
              <w:numId w:val="2"/>
            </w:numPr>
            <w:tabs>
              <w:tab w:pos="617" w:val="left" w:leader="none"/>
              <w:tab w:pos="8416" w:val="right" w:leader="hyphen"/>
            </w:tabs>
            <w:spacing w:line="240" w:lineRule="auto" w:before="276" w:after="0"/>
            <w:ind w:left="617" w:right="0" w:hanging="364"/>
            <w:jc w:val="left"/>
          </w:pPr>
          <w:hyperlink w:history="true" w:anchor="_TOC_250033">
            <w:r>
              <w:rPr/>
              <w:t>Classification</w:t>
            </w:r>
            <w:r>
              <w:rPr>
                <w:spacing w:val="-2"/>
              </w:rPr>
              <w:t> </w:t>
            </w:r>
            <w:r>
              <w:rPr/>
              <w:t>of</w:t>
            </w:r>
            <w:r>
              <w:rPr>
                <w:spacing w:val="-6"/>
              </w:rPr>
              <w:t> </w:t>
            </w:r>
            <w:r>
              <w:rPr/>
              <w:t>Poisonous</w:t>
            </w:r>
            <w:r>
              <w:rPr>
                <w:spacing w:val="-4"/>
              </w:rPr>
              <w:t> </w:t>
            </w:r>
            <w:r>
              <w:rPr>
                <w:spacing w:val="-2"/>
              </w:rPr>
              <w:t>Plants</w:t>
            </w:r>
            <w:r>
              <w:rPr/>
              <w:tab/>
            </w:r>
            <w:r>
              <w:rPr>
                <w:spacing w:val="-5"/>
              </w:rPr>
              <w:t>13</w:t>
            </w:r>
          </w:hyperlink>
        </w:p>
        <w:p>
          <w:pPr>
            <w:pStyle w:val="TOC3"/>
            <w:numPr>
              <w:ilvl w:val="2"/>
              <w:numId w:val="2"/>
            </w:numPr>
            <w:tabs>
              <w:tab w:pos="794" w:val="left" w:leader="none"/>
              <w:tab w:pos="8416" w:val="right" w:leader="hyphen"/>
            </w:tabs>
            <w:spacing w:line="240" w:lineRule="auto" w:before="272" w:after="0"/>
            <w:ind w:left="794" w:right="0" w:hanging="541"/>
            <w:jc w:val="left"/>
          </w:pPr>
          <w:hyperlink w:history="true" w:anchor="_TOC_250032">
            <w:r>
              <w:rPr/>
              <w:t>Plants</w:t>
            </w:r>
            <w:r>
              <w:rPr>
                <w:spacing w:val="-6"/>
              </w:rPr>
              <w:t> </w:t>
            </w:r>
            <w:r>
              <w:rPr/>
              <w:t>that affect</w:t>
            </w:r>
            <w:r>
              <w:rPr>
                <w:spacing w:val="-4"/>
              </w:rPr>
              <w:t> </w:t>
            </w:r>
            <w:r>
              <w:rPr/>
              <w:t>the</w:t>
            </w:r>
            <w:r>
              <w:rPr>
                <w:spacing w:val="-5"/>
              </w:rPr>
              <w:t> </w:t>
            </w:r>
            <w:r>
              <w:rPr/>
              <w:t>digestive</w:t>
            </w:r>
            <w:r>
              <w:rPr>
                <w:spacing w:val="-4"/>
              </w:rPr>
              <w:t> </w:t>
            </w:r>
            <w:r>
              <w:rPr>
                <w:spacing w:val="-2"/>
              </w:rPr>
              <w:t>system</w:t>
            </w:r>
            <w:r>
              <w:rPr/>
              <w:tab/>
            </w:r>
            <w:r>
              <w:rPr>
                <w:spacing w:val="-5"/>
              </w:rPr>
              <w:t>13</w:t>
            </w:r>
          </w:hyperlink>
        </w:p>
        <w:p>
          <w:pPr>
            <w:pStyle w:val="TOC3"/>
            <w:numPr>
              <w:ilvl w:val="2"/>
              <w:numId w:val="2"/>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3232">
                    <wp:simplePos x="0" y="0"/>
                    <wp:positionH relativeFrom="page">
                      <wp:posOffset>3232150</wp:posOffset>
                    </wp:positionH>
                    <wp:positionV relativeFrom="paragraph">
                      <wp:posOffset>283570</wp:posOffset>
                    </wp:positionV>
                    <wp:extent cx="299529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995295" cy="1270"/>
                            </a:xfrm>
                            <a:custGeom>
                              <a:avLst/>
                              <a:gdLst/>
                              <a:ahLst/>
                              <a:cxnLst/>
                              <a:rect l="l" t="t" r="r" b="b"/>
                              <a:pathLst>
                                <a:path w="2995295" h="0">
                                  <a:moveTo>
                                    <a:pt x="0" y="0"/>
                                  </a:moveTo>
                                  <a:lnTo>
                                    <a:pt x="299480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3248" from="254.5pt,22.32836pt" to="490.311318pt,22.32836pt" stroked="true" strokeweight=".885563pt" strokecolor="#000000">
                    <v:stroke dashstyle="shortdash"/>
                    <w10:wrap type="none"/>
                  </v:line>
                </w:pict>
              </mc:Fallback>
            </mc:AlternateContent>
          </w:r>
          <w:hyperlink w:history="true" w:anchor="_TOC_250031">
            <w:r>
              <w:rPr/>
              <w:t>Plants</w:t>
            </w:r>
            <w:r>
              <w:rPr>
                <w:spacing w:val="-5"/>
              </w:rPr>
              <w:t> </w:t>
            </w:r>
            <w:r>
              <w:rPr/>
              <w:t>that</w:t>
            </w:r>
            <w:r>
              <w:rPr>
                <w:spacing w:val="2"/>
              </w:rPr>
              <w:t> </w:t>
            </w:r>
            <w:r>
              <w:rPr/>
              <w:t>affect</w:t>
            </w:r>
            <w:r>
              <w:rPr>
                <w:spacing w:val="-3"/>
              </w:rPr>
              <w:t> </w:t>
            </w:r>
            <w:r>
              <w:rPr/>
              <w:t>the</w:t>
            </w:r>
            <w:r>
              <w:rPr>
                <w:spacing w:val="-3"/>
              </w:rPr>
              <w:t> </w:t>
            </w:r>
            <w:r>
              <w:rPr>
                <w:spacing w:val="-2"/>
              </w:rPr>
              <w:t>blood</w:t>
            </w:r>
            <w:r>
              <w:rPr/>
              <w:tab/>
            </w:r>
            <w:r>
              <w:rPr>
                <w:spacing w:val="-5"/>
              </w:rPr>
              <w:t>14</w:t>
            </w:r>
          </w:hyperlink>
        </w:p>
        <w:p>
          <w:pPr>
            <w:pStyle w:val="TOC3"/>
            <w:numPr>
              <w:ilvl w:val="2"/>
              <w:numId w:val="2"/>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3744">
                    <wp:simplePos x="0" y="0"/>
                    <wp:positionH relativeFrom="page">
                      <wp:posOffset>2716657</wp:posOffset>
                    </wp:positionH>
                    <wp:positionV relativeFrom="paragraph">
                      <wp:posOffset>283585</wp:posOffset>
                    </wp:positionV>
                    <wp:extent cx="350456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504565" cy="1270"/>
                            </a:xfrm>
                            <a:custGeom>
                              <a:avLst/>
                              <a:gdLst/>
                              <a:ahLst/>
                              <a:cxnLst/>
                              <a:rect l="l" t="t" r="r" b="b"/>
                              <a:pathLst>
                                <a:path w="3504565" h="0">
                                  <a:moveTo>
                                    <a:pt x="0" y="0"/>
                                  </a:moveTo>
                                  <a:lnTo>
                                    <a:pt x="350404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2736" from="213.910004pt,22.329536pt" to="489.819416pt,22.329536pt" stroked="true" strokeweight=".885563pt" strokecolor="#000000">
                    <v:stroke dashstyle="shortdash"/>
                    <w10:wrap type="none"/>
                  </v:line>
                </w:pict>
              </mc:Fallback>
            </mc:AlternateContent>
          </w:r>
          <w:hyperlink w:history="true" w:anchor="_TOC_250030">
            <w:r>
              <w:rPr/>
              <w:t>Cardiotoxic</w:t>
            </w:r>
            <w:r>
              <w:rPr>
                <w:spacing w:val="-7"/>
              </w:rPr>
              <w:t> </w:t>
            </w:r>
            <w:r>
              <w:rPr>
                <w:spacing w:val="-2"/>
              </w:rPr>
              <w:t>plants</w:t>
            </w:r>
            <w:r>
              <w:rPr/>
              <w:tab/>
            </w:r>
            <w:r>
              <w:rPr>
                <w:spacing w:val="-5"/>
              </w:rPr>
              <w:t>15</w:t>
            </w:r>
          </w:hyperlink>
        </w:p>
        <w:p>
          <w:pPr>
            <w:pStyle w:val="TOC3"/>
            <w:numPr>
              <w:ilvl w:val="0"/>
              <w:numId w:val="5"/>
            </w:numPr>
            <w:tabs>
              <w:tab w:pos="497" w:val="left" w:leader="none"/>
              <w:tab w:pos="8416" w:val="right" w:leader="none"/>
            </w:tabs>
            <w:spacing w:line="240" w:lineRule="auto" w:before="277" w:after="0"/>
            <w:ind w:left="497" w:right="0" w:hanging="244"/>
            <w:jc w:val="left"/>
          </w:pPr>
          <w:r>
            <w:rPr/>
            <mc:AlternateContent>
              <mc:Choice Requires="wps">
                <w:drawing>
                  <wp:anchor distT="0" distB="0" distL="0" distR="0" allowOverlap="1" layoutInCell="1" locked="0" behindDoc="1" simplePos="0" relativeHeight="485024256">
                    <wp:simplePos x="0" y="0"/>
                    <wp:positionH relativeFrom="page">
                      <wp:posOffset>2780664</wp:posOffset>
                    </wp:positionH>
                    <wp:positionV relativeFrom="paragraph">
                      <wp:posOffset>283980</wp:posOffset>
                    </wp:positionV>
                    <wp:extent cx="3452495"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452495" cy="1270"/>
                            </a:xfrm>
                            <a:custGeom>
                              <a:avLst/>
                              <a:gdLst/>
                              <a:ahLst/>
                              <a:cxnLst/>
                              <a:rect l="l" t="t" r="r" b="b"/>
                              <a:pathLst>
                                <a:path w="3452495" h="0">
                                  <a:moveTo>
                                    <a:pt x="0" y="0"/>
                                  </a:moveTo>
                                  <a:lnTo>
                                    <a:pt x="345208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2224" from="218.949997pt,22.360699pt" to="490.767503pt,22.360699pt" stroked="true" strokeweight=".885563pt" strokecolor="#000000">
                    <v:stroke dashstyle="shortdash"/>
                    <w10:wrap type="none"/>
                  </v:line>
                </w:pict>
              </mc:Fallback>
            </mc:AlternateContent>
          </w:r>
          <w:hyperlink w:history="true" w:anchor="_TOC_250029">
            <w:r>
              <w:rPr/>
              <w:t>4.4</w:t>
            </w:r>
            <w:r>
              <w:rPr>
                <w:spacing w:val="-7"/>
              </w:rPr>
              <w:t> </w:t>
            </w:r>
            <w:r>
              <w:rPr/>
              <w:t>Hepatotoxic</w:t>
            </w:r>
            <w:r>
              <w:rPr>
                <w:spacing w:val="-7"/>
              </w:rPr>
              <w:t> </w:t>
            </w:r>
            <w:r>
              <w:rPr>
                <w:spacing w:val="-2"/>
              </w:rPr>
              <w:t>plants</w:t>
            </w:r>
            <w:r>
              <w:rPr/>
              <w:tab/>
            </w:r>
            <w:r>
              <w:rPr>
                <w:spacing w:val="-5"/>
              </w:rPr>
              <w:t>15</w:t>
            </w:r>
          </w:hyperlink>
        </w:p>
        <w:p>
          <w:pPr>
            <w:pStyle w:val="TOC3"/>
            <w:tabs>
              <w:tab w:pos="8416" w:val="right" w:leader="hyphen"/>
            </w:tabs>
            <w:ind w:left="253" w:firstLine="0"/>
          </w:pPr>
          <w:hyperlink w:history="true" w:anchor="_TOC_250028">
            <w:r>
              <w:rPr/>
              <w:t>2</w:t>
            </w:r>
            <w:r>
              <w:rPr>
                <w:spacing w:val="-2"/>
              </w:rPr>
              <w:t> </w:t>
            </w:r>
            <w:r>
              <w:rPr/>
              <w:t>4.5</w:t>
            </w:r>
            <w:r>
              <w:rPr>
                <w:spacing w:val="-5"/>
              </w:rPr>
              <w:t> </w:t>
            </w:r>
            <w:r>
              <w:rPr/>
              <w:t>Plants</w:t>
            </w:r>
            <w:r>
              <w:rPr>
                <w:spacing w:val="-3"/>
              </w:rPr>
              <w:t> </w:t>
            </w:r>
            <w:r>
              <w:rPr/>
              <w:t>that</w:t>
            </w:r>
            <w:r>
              <w:rPr>
                <w:spacing w:val="3"/>
              </w:rPr>
              <w:t> </w:t>
            </w:r>
            <w:r>
              <w:rPr/>
              <w:t>affect</w:t>
            </w:r>
            <w:r>
              <w:rPr>
                <w:spacing w:val="-1"/>
              </w:rPr>
              <w:t> </w:t>
            </w:r>
            <w:r>
              <w:rPr/>
              <w:t>the</w:t>
            </w:r>
            <w:r>
              <w:rPr>
                <w:spacing w:val="-2"/>
              </w:rPr>
              <w:t> </w:t>
            </w:r>
            <w:r>
              <w:rPr/>
              <w:t>urinary</w:t>
            </w:r>
            <w:r>
              <w:rPr>
                <w:spacing w:val="-5"/>
              </w:rPr>
              <w:t> </w:t>
            </w:r>
            <w:r>
              <w:rPr>
                <w:spacing w:val="-2"/>
              </w:rPr>
              <w:t>system</w:t>
            </w:r>
            <w:r>
              <w:rPr/>
              <w:tab/>
            </w:r>
            <w:r>
              <w:rPr>
                <w:spacing w:val="-5"/>
              </w:rPr>
              <w:t>16</w:t>
            </w:r>
          </w:hyperlink>
        </w:p>
        <w:p>
          <w:pPr>
            <w:pStyle w:val="TOC3"/>
            <w:numPr>
              <w:ilvl w:val="2"/>
              <w:numId w:val="6"/>
            </w:numPr>
            <w:tabs>
              <w:tab w:pos="794" w:val="left" w:leader="none"/>
              <w:tab w:pos="8416" w:val="right" w:leader="hyphen"/>
            </w:tabs>
            <w:spacing w:line="240" w:lineRule="auto" w:before="276" w:after="0"/>
            <w:ind w:left="794" w:right="0" w:hanging="541"/>
            <w:jc w:val="left"/>
          </w:pPr>
          <w:hyperlink w:history="true" w:anchor="_TOC_250027">
            <w:r>
              <w:rPr/>
              <w:t>Plants</w:t>
            </w:r>
            <w:r>
              <w:rPr>
                <w:spacing w:val="-5"/>
              </w:rPr>
              <w:t> </w:t>
            </w:r>
            <w:r>
              <w:rPr/>
              <w:t>that</w:t>
            </w:r>
            <w:r>
              <w:rPr>
                <w:spacing w:val="1"/>
              </w:rPr>
              <w:t> </w:t>
            </w:r>
            <w:r>
              <w:rPr/>
              <w:t>affect</w:t>
            </w:r>
            <w:r>
              <w:rPr>
                <w:spacing w:val="-3"/>
              </w:rPr>
              <w:t> </w:t>
            </w:r>
            <w:r>
              <w:rPr/>
              <w:t>the</w:t>
            </w:r>
            <w:r>
              <w:rPr>
                <w:spacing w:val="-4"/>
              </w:rPr>
              <w:t> </w:t>
            </w:r>
            <w:r>
              <w:rPr/>
              <w:t>nervous</w:t>
            </w:r>
            <w:r>
              <w:rPr>
                <w:spacing w:val="-4"/>
              </w:rPr>
              <w:t> </w:t>
            </w:r>
            <w:r>
              <w:rPr>
                <w:spacing w:val="-2"/>
              </w:rPr>
              <w:t>system</w:t>
            </w:r>
            <w:r>
              <w:rPr/>
              <w:tab/>
            </w:r>
            <w:r>
              <w:rPr>
                <w:spacing w:val="-5"/>
              </w:rPr>
              <w:t>16</w:t>
            </w:r>
          </w:hyperlink>
        </w:p>
        <w:p>
          <w:pPr>
            <w:pStyle w:val="TOC3"/>
            <w:numPr>
              <w:ilvl w:val="2"/>
              <w:numId w:val="6"/>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4768">
                    <wp:simplePos x="0" y="0"/>
                    <wp:positionH relativeFrom="page">
                      <wp:posOffset>3134614</wp:posOffset>
                    </wp:positionH>
                    <wp:positionV relativeFrom="paragraph">
                      <wp:posOffset>283644</wp:posOffset>
                    </wp:positionV>
                    <wp:extent cx="310007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100070" cy="1270"/>
                            </a:xfrm>
                            <a:custGeom>
                              <a:avLst/>
                              <a:gdLst/>
                              <a:ahLst/>
                              <a:cxnLst/>
                              <a:rect l="l" t="t" r="r" b="b"/>
                              <a:pathLst>
                                <a:path w="3100070" h="0">
                                  <a:moveTo>
                                    <a:pt x="0" y="0"/>
                                  </a:moveTo>
                                  <a:lnTo>
                                    <a:pt x="309989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1712" from="246.820007pt,22.334221pt" to="490.906101pt,22.334221pt" stroked="true" strokeweight=".885563pt" strokecolor="#000000">
                    <v:stroke dashstyle="shortdash"/>
                    <w10:wrap type="none"/>
                  </v:line>
                </w:pict>
              </mc:Fallback>
            </mc:AlternateContent>
          </w:r>
          <w:hyperlink w:history="true" w:anchor="_TOC_250026">
            <w:r>
              <w:rPr/>
              <w:t>Plants</w:t>
            </w:r>
            <w:r>
              <w:rPr>
                <w:spacing w:val="-5"/>
              </w:rPr>
              <w:t> </w:t>
            </w:r>
            <w:r>
              <w:rPr/>
              <w:t>that</w:t>
            </w:r>
            <w:r>
              <w:rPr>
                <w:spacing w:val="2"/>
              </w:rPr>
              <w:t> </w:t>
            </w:r>
            <w:r>
              <w:rPr/>
              <w:t>affect</w:t>
            </w:r>
            <w:r>
              <w:rPr>
                <w:spacing w:val="-3"/>
              </w:rPr>
              <w:t> </w:t>
            </w:r>
            <w:r>
              <w:rPr/>
              <w:t>the</w:t>
            </w:r>
            <w:r>
              <w:rPr>
                <w:spacing w:val="-3"/>
              </w:rPr>
              <w:t> </w:t>
            </w:r>
            <w:r>
              <w:rPr>
                <w:spacing w:val="-4"/>
              </w:rPr>
              <w:t>skin</w:t>
            </w:r>
            <w:r>
              <w:rPr/>
              <w:tab/>
            </w:r>
            <w:r>
              <w:rPr>
                <w:spacing w:val="-5"/>
              </w:rPr>
              <w:t>17</w:t>
            </w:r>
          </w:hyperlink>
        </w:p>
        <w:p>
          <w:pPr>
            <w:pStyle w:val="TOC2"/>
            <w:numPr>
              <w:ilvl w:val="1"/>
              <w:numId w:val="2"/>
            </w:numPr>
            <w:tabs>
              <w:tab w:pos="617" w:val="left" w:leader="none"/>
              <w:tab w:pos="8416" w:val="right" w:leader="hyphen"/>
            </w:tabs>
            <w:spacing w:line="240" w:lineRule="auto" w:before="281" w:after="0"/>
            <w:ind w:left="617" w:right="0" w:hanging="364"/>
            <w:jc w:val="left"/>
          </w:pPr>
          <w:hyperlink w:history="true" w:anchor="_TOC_250025">
            <w:r>
              <w:rPr/>
              <w:t>Prevention</w:t>
            </w:r>
            <w:r>
              <w:rPr>
                <w:spacing w:val="-4"/>
              </w:rPr>
              <w:t> </w:t>
            </w:r>
            <w:r>
              <w:rPr/>
              <w:t>and</w:t>
            </w:r>
            <w:r>
              <w:rPr>
                <w:spacing w:val="-4"/>
              </w:rPr>
              <w:t> </w:t>
            </w:r>
            <w:r>
              <w:rPr/>
              <w:t>Defenses</w:t>
            </w:r>
            <w:r>
              <w:rPr>
                <w:spacing w:val="-7"/>
              </w:rPr>
              <w:t> </w:t>
            </w:r>
            <w:r>
              <w:rPr/>
              <w:t>Against</w:t>
            </w:r>
            <w:r>
              <w:rPr>
                <w:spacing w:val="-3"/>
              </w:rPr>
              <w:t> </w:t>
            </w:r>
            <w:r>
              <w:rPr/>
              <w:t>Plant</w:t>
            </w:r>
            <w:r>
              <w:rPr>
                <w:spacing w:val="-3"/>
              </w:rPr>
              <w:t> </w:t>
            </w:r>
            <w:r>
              <w:rPr>
                <w:spacing w:val="-2"/>
              </w:rPr>
              <w:t>Poisoning</w:t>
            </w:r>
            <w:r>
              <w:rPr/>
              <w:tab/>
            </w:r>
            <w:r>
              <w:rPr>
                <w:spacing w:val="-5"/>
              </w:rPr>
              <w:t>17</w:t>
            </w:r>
          </w:hyperlink>
        </w:p>
        <w:p>
          <w:pPr>
            <w:pStyle w:val="TOC5"/>
            <w:numPr>
              <w:ilvl w:val="1"/>
              <w:numId w:val="2"/>
            </w:numPr>
            <w:tabs>
              <w:tab w:pos="617" w:val="left" w:leader="none"/>
              <w:tab w:pos="8416" w:val="right" w:leader="hyphen"/>
            </w:tabs>
            <w:spacing w:line="240" w:lineRule="auto" w:before="276" w:after="0"/>
            <w:ind w:left="617" w:right="0" w:hanging="364"/>
            <w:jc w:val="left"/>
            <w:rPr>
              <w:i w:val="0"/>
              <w:sz w:val="24"/>
            </w:rPr>
          </w:pPr>
          <w:r>
            <w:rPr>
              <w:i w:val="0"/>
              <w:sz w:val="24"/>
            </w:rPr>
            <w:t>The Genus</w:t>
          </w:r>
          <w:r>
            <w:rPr>
              <w:i w:val="0"/>
              <w:spacing w:val="-3"/>
              <w:sz w:val="24"/>
            </w:rPr>
            <w:t> </w:t>
          </w:r>
          <w:r>
            <w:rPr>
              <w:spacing w:val="-2"/>
              <w:sz w:val="24"/>
            </w:rPr>
            <w:t>Jatropha</w:t>
          </w:r>
          <w:r>
            <w:rPr>
              <w:sz w:val="24"/>
            </w:rPr>
            <w:tab/>
          </w:r>
          <w:r>
            <w:rPr>
              <w:i w:val="0"/>
              <w:spacing w:val="-7"/>
              <w:sz w:val="24"/>
            </w:rPr>
            <w:t>18</w:t>
          </w:r>
        </w:p>
        <w:p>
          <w:pPr>
            <w:pStyle w:val="TOC4"/>
            <w:numPr>
              <w:ilvl w:val="2"/>
              <w:numId w:val="2"/>
            </w:numPr>
            <w:tabs>
              <w:tab w:pos="795" w:val="left" w:leader="none"/>
              <w:tab w:pos="8416" w:val="right" w:leader="none"/>
            </w:tabs>
            <w:spacing w:line="240" w:lineRule="auto" w:before="272" w:after="20"/>
            <w:ind w:left="795" w:right="0" w:hanging="542"/>
            <w:jc w:val="left"/>
            <w:rPr>
              <w:i w:val="0"/>
            </w:rPr>
          </w:pPr>
          <w:r>
            <w:rPr/>
            <mc:AlternateContent>
              <mc:Choice Requires="wps">
                <w:drawing>
                  <wp:anchor distT="0" distB="0" distL="0" distR="0" allowOverlap="1" layoutInCell="1" locked="0" behindDoc="1" simplePos="0" relativeHeight="485025280">
                    <wp:simplePos x="0" y="0"/>
                    <wp:positionH relativeFrom="page">
                      <wp:posOffset>2588641</wp:posOffset>
                    </wp:positionH>
                    <wp:positionV relativeFrom="paragraph">
                      <wp:posOffset>280844</wp:posOffset>
                    </wp:positionV>
                    <wp:extent cx="365760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657600" cy="1270"/>
                            </a:xfrm>
                            <a:custGeom>
                              <a:avLst/>
                              <a:gdLst/>
                              <a:ahLst/>
                              <a:cxnLst/>
                              <a:rect l="l" t="t" r="r" b="b"/>
                              <a:pathLst>
                                <a:path w="3657600" h="0">
                                  <a:moveTo>
                                    <a:pt x="0" y="0"/>
                                  </a:moveTo>
                                  <a:lnTo>
                                    <a:pt x="365735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1200" from="203.830002pt,22.113733pt" to="491.810567pt,22.113733pt" stroked="true" strokeweight=".885563pt" strokecolor="#000000">
                    <v:stroke dashstyle="shortdash"/>
                    <w10:wrap type="none"/>
                  </v:line>
                </w:pict>
              </mc:Fallback>
            </mc:AlternateContent>
          </w:r>
          <w:hyperlink w:history="true" w:anchor="_TOC_250024">
            <w:r>
              <w:rPr/>
              <w:t>Jatropha</w:t>
            </w:r>
            <w:r>
              <w:rPr>
                <w:spacing w:val="-3"/>
              </w:rPr>
              <w:t> </w:t>
            </w:r>
            <w:r>
              <w:rPr>
                <w:spacing w:val="-2"/>
              </w:rPr>
              <w:t>curcas</w:t>
            </w:r>
            <w:r>
              <w:rPr/>
              <w:tab/>
            </w:r>
            <w:r>
              <w:rPr>
                <w:i w:val="0"/>
                <w:spacing w:val="-5"/>
              </w:rPr>
              <w:t>19</w:t>
            </w:r>
          </w:hyperlink>
        </w:p>
        <w:p>
          <w:pPr>
            <w:pStyle w:val="TOC5"/>
            <w:numPr>
              <w:ilvl w:val="2"/>
              <w:numId w:val="2"/>
            </w:numPr>
            <w:tabs>
              <w:tab w:pos="794" w:val="left" w:leader="none"/>
              <w:tab w:pos="8416" w:val="right" w:leader="hyphen"/>
            </w:tabs>
            <w:spacing w:line="240" w:lineRule="auto" w:before="63" w:after="0"/>
            <w:ind w:left="794" w:right="0" w:hanging="541"/>
            <w:jc w:val="left"/>
            <w:rPr>
              <w:b w:val="0"/>
              <w:i w:val="0"/>
              <w:sz w:val="24"/>
            </w:rPr>
          </w:pPr>
          <w:r>
            <w:rPr>
              <w:b w:val="0"/>
              <w:i w:val="0"/>
              <w:sz w:val="24"/>
            </w:rPr>
            <w:t>Origin</w:t>
          </w:r>
          <w:r>
            <w:rPr>
              <w:b w:val="0"/>
              <w:i w:val="0"/>
              <w:spacing w:val="-2"/>
              <w:sz w:val="24"/>
            </w:rPr>
            <w:t> </w:t>
          </w:r>
          <w:r>
            <w:rPr>
              <w:b w:val="0"/>
              <w:i w:val="0"/>
              <w:sz w:val="24"/>
            </w:rPr>
            <w:t>and</w:t>
          </w:r>
          <w:r>
            <w:rPr>
              <w:b w:val="0"/>
              <w:i w:val="0"/>
              <w:spacing w:val="-1"/>
              <w:sz w:val="24"/>
            </w:rPr>
            <w:t> </w:t>
          </w:r>
          <w:r>
            <w:rPr>
              <w:b w:val="0"/>
              <w:i w:val="0"/>
              <w:sz w:val="24"/>
            </w:rPr>
            <w:t>distribution</w:t>
          </w:r>
          <w:r>
            <w:rPr>
              <w:b w:val="0"/>
              <w:i w:val="0"/>
              <w:spacing w:val="-7"/>
              <w:sz w:val="24"/>
            </w:rPr>
            <w:t> </w:t>
          </w:r>
          <w:r>
            <w:rPr>
              <w:b w:val="0"/>
              <w:i w:val="0"/>
              <w:sz w:val="24"/>
            </w:rPr>
            <w:t>of</w:t>
          </w:r>
          <w:r>
            <w:rPr>
              <w:b w:val="0"/>
              <w:i w:val="0"/>
              <w:spacing w:val="-4"/>
              <w:sz w:val="24"/>
            </w:rPr>
            <w:t> </w:t>
          </w:r>
          <w:r>
            <w:rPr>
              <w:b w:val="0"/>
              <w:sz w:val="24"/>
            </w:rPr>
            <w:t>Jatropha</w:t>
          </w:r>
          <w:r>
            <w:rPr>
              <w:b w:val="0"/>
              <w:spacing w:val="-1"/>
              <w:sz w:val="24"/>
            </w:rPr>
            <w:t> </w:t>
          </w:r>
          <w:r>
            <w:rPr>
              <w:b w:val="0"/>
              <w:spacing w:val="-2"/>
              <w:sz w:val="24"/>
            </w:rPr>
            <w:t>curcas</w:t>
          </w:r>
          <w:r>
            <w:rPr>
              <w:b w:val="0"/>
              <w:sz w:val="24"/>
            </w:rPr>
            <w:tab/>
          </w:r>
          <w:r>
            <w:rPr>
              <w:b w:val="0"/>
              <w:i w:val="0"/>
              <w:spacing w:val="-5"/>
              <w:sz w:val="24"/>
            </w:rPr>
            <w:t>19</w:t>
          </w:r>
        </w:p>
        <w:p>
          <w:pPr>
            <w:pStyle w:val="TOC5"/>
            <w:numPr>
              <w:ilvl w:val="2"/>
              <w:numId w:val="2"/>
            </w:numPr>
            <w:tabs>
              <w:tab w:pos="794" w:val="left" w:leader="none"/>
              <w:tab w:pos="8416" w:val="right" w:leader="none"/>
            </w:tabs>
            <w:spacing w:line="240" w:lineRule="auto" w:before="276" w:after="0"/>
            <w:ind w:left="794" w:right="0" w:hanging="541"/>
            <w:jc w:val="left"/>
            <w:rPr>
              <w:b w:val="0"/>
              <w:i w:val="0"/>
              <w:sz w:val="24"/>
            </w:rPr>
          </w:pPr>
          <w:r>
            <w:rPr/>
            <mc:AlternateContent>
              <mc:Choice Requires="wps">
                <w:drawing>
                  <wp:anchor distT="0" distB="0" distL="0" distR="0" allowOverlap="1" layoutInCell="1" locked="0" behindDoc="1" simplePos="0" relativeHeight="485025792">
                    <wp:simplePos x="0" y="0"/>
                    <wp:positionH relativeFrom="page">
                      <wp:posOffset>3213861</wp:posOffset>
                    </wp:positionH>
                    <wp:positionV relativeFrom="paragraph">
                      <wp:posOffset>283742</wp:posOffset>
                    </wp:positionV>
                    <wp:extent cx="304800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048000" cy="1270"/>
                            </a:xfrm>
                            <a:custGeom>
                              <a:avLst/>
                              <a:gdLst/>
                              <a:ahLst/>
                              <a:cxnLst/>
                              <a:rect l="l" t="t" r="r" b="b"/>
                              <a:pathLst>
                                <a:path w="3048000" h="0">
                                  <a:moveTo>
                                    <a:pt x="0" y="0"/>
                                  </a:moveTo>
                                  <a:lnTo>
                                    <a:pt x="304777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0688" from="253.059998pt,22.341934pt" to="493.042633pt,22.341934pt" stroked="true" strokeweight=".885563pt" strokecolor="#000000">
                    <v:stroke dashstyle="shortdash"/>
                    <w10:wrap type="none"/>
                  </v:line>
                </w:pict>
              </mc:Fallback>
            </mc:AlternateContent>
          </w:r>
          <w:r>
            <w:rPr>
              <w:b w:val="0"/>
              <w:i w:val="0"/>
              <w:sz w:val="24"/>
            </w:rPr>
            <w:t>Names</w:t>
          </w:r>
          <w:r>
            <w:rPr>
              <w:b w:val="0"/>
              <w:i w:val="0"/>
              <w:spacing w:val="-3"/>
              <w:sz w:val="24"/>
            </w:rPr>
            <w:t> </w:t>
          </w:r>
          <w:r>
            <w:rPr>
              <w:b w:val="0"/>
              <w:i w:val="0"/>
              <w:sz w:val="24"/>
            </w:rPr>
            <w:t>of</w:t>
          </w:r>
          <w:r>
            <w:rPr>
              <w:b w:val="0"/>
              <w:i w:val="0"/>
              <w:spacing w:val="-6"/>
              <w:sz w:val="24"/>
            </w:rPr>
            <w:t> </w:t>
          </w:r>
          <w:r>
            <w:rPr>
              <w:b w:val="0"/>
              <w:sz w:val="24"/>
            </w:rPr>
            <w:t>Jatropha </w:t>
          </w:r>
          <w:r>
            <w:rPr>
              <w:b w:val="0"/>
              <w:spacing w:val="-2"/>
              <w:sz w:val="24"/>
            </w:rPr>
            <w:t>curcas</w:t>
          </w:r>
          <w:r>
            <w:rPr>
              <w:b w:val="0"/>
              <w:sz w:val="24"/>
            </w:rPr>
            <w:tab/>
          </w:r>
          <w:r>
            <w:rPr>
              <w:b w:val="0"/>
              <w:i w:val="0"/>
              <w:spacing w:val="-5"/>
              <w:sz w:val="24"/>
            </w:rPr>
            <w:t>19</w:t>
          </w:r>
        </w:p>
        <w:p>
          <w:pPr>
            <w:pStyle w:val="TOC3"/>
            <w:numPr>
              <w:ilvl w:val="2"/>
              <w:numId w:val="2"/>
            </w:numPr>
            <w:tabs>
              <w:tab w:pos="794" w:val="left" w:leader="none"/>
              <w:tab w:pos="8416" w:val="right" w:leader="none"/>
            </w:tabs>
            <w:spacing w:line="240" w:lineRule="auto" w:before="277" w:after="0"/>
            <w:ind w:left="794" w:right="0" w:hanging="541"/>
            <w:jc w:val="left"/>
          </w:pPr>
          <w:r>
            <w:rPr/>
            <mc:AlternateContent>
              <mc:Choice Requires="wps">
                <w:drawing>
                  <wp:anchor distT="0" distB="0" distL="0" distR="0" allowOverlap="1" layoutInCell="1" locked="0" behindDoc="1" simplePos="0" relativeHeight="485026304">
                    <wp:simplePos x="0" y="0"/>
                    <wp:positionH relativeFrom="page">
                      <wp:posOffset>2899917</wp:posOffset>
                    </wp:positionH>
                    <wp:positionV relativeFrom="paragraph">
                      <wp:posOffset>284138</wp:posOffset>
                    </wp:positionV>
                    <wp:extent cx="3358515"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358515" cy="1270"/>
                            </a:xfrm>
                            <a:custGeom>
                              <a:avLst/>
                              <a:gdLst/>
                              <a:ahLst/>
                              <a:cxnLst/>
                              <a:rect l="l" t="t" r="r" b="b"/>
                              <a:pathLst>
                                <a:path w="3358515" h="0">
                                  <a:moveTo>
                                    <a:pt x="0" y="0"/>
                                  </a:moveTo>
                                  <a:lnTo>
                                    <a:pt x="335811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90176" from="228.339996pt,22.37311pt" to="492.758655pt,22.37311pt" stroked="true" strokeweight=".885563pt" strokecolor="#000000">
                    <v:stroke dashstyle="dash"/>
                    <w10:wrap type="none"/>
                  </v:line>
                </w:pict>
              </mc:Fallback>
            </mc:AlternateContent>
          </w:r>
          <w:hyperlink w:history="true" w:anchor="_TOC_250023">
            <w:r>
              <w:rPr/>
              <w:t>Taxonomic</w:t>
            </w:r>
            <w:r>
              <w:rPr>
                <w:spacing w:val="-6"/>
              </w:rPr>
              <w:t> </w:t>
            </w:r>
            <w:r>
              <w:rPr>
                <w:spacing w:val="-2"/>
              </w:rPr>
              <w:t>hierarchy</w:t>
            </w:r>
            <w:r>
              <w:rPr/>
              <w:tab/>
            </w:r>
            <w:r>
              <w:rPr>
                <w:spacing w:val="-5"/>
              </w:rPr>
              <w:t>20</w:t>
            </w:r>
          </w:hyperlink>
        </w:p>
        <w:p>
          <w:pPr>
            <w:pStyle w:val="TOC3"/>
            <w:numPr>
              <w:ilvl w:val="2"/>
              <w:numId w:val="2"/>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26816">
                    <wp:simplePos x="0" y="0"/>
                    <wp:positionH relativeFrom="page">
                      <wp:posOffset>3040126</wp:posOffset>
                    </wp:positionH>
                    <wp:positionV relativeFrom="paragraph">
                      <wp:posOffset>283518</wp:posOffset>
                    </wp:positionV>
                    <wp:extent cx="319976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199765" cy="1270"/>
                            </a:xfrm>
                            <a:custGeom>
                              <a:avLst/>
                              <a:gdLst/>
                              <a:ahLst/>
                              <a:cxnLst/>
                              <a:rect l="l" t="t" r="r" b="b"/>
                              <a:pathLst>
                                <a:path w="3199765" h="0">
                                  <a:moveTo>
                                    <a:pt x="0" y="0"/>
                                  </a:moveTo>
                                  <a:lnTo>
                                    <a:pt x="319946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9664" from="239.380005pt,22.324318pt" to="491.306758pt,22.324318pt" stroked="true" strokeweight=".885563pt" strokecolor="#000000">
                    <v:stroke dashstyle="shortdash"/>
                    <w10:wrap type="none"/>
                  </v:line>
                </w:pict>
              </mc:Fallback>
            </mc:AlternateContent>
          </w:r>
          <w:hyperlink w:history="true" w:anchor="_TOC_250022">
            <w:r>
              <w:rPr/>
              <w:t>Description</w:t>
            </w:r>
            <w:r>
              <w:rPr>
                <w:spacing w:val="-6"/>
              </w:rPr>
              <w:t> </w:t>
            </w:r>
            <w:r>
              <w:rPr/>
              <w:t>of</w:t>
            </w:r>
            <w:r>
              <w:rPr>
                <w:spacing w:val="-7"/>
              </w:rPr>
              <w:t> </w:t>
            </w:r>
            <w:r>
              <w:rPr/>
              <w:t>the </w:t>
            </w:r>
            <w:r>
              <w:rPr>
                <w:spacing w:val="-4"/>
              </w:rPr>
              <w:t>plant</w:t>
            </w:r>
            <w:r>
              <w:rPr/>
              <w:tab/>
            </w:r>
            <w:r>
              <w:rPr>
                <w:spacing w:val="-5"/>
              </w:rPr>
              <w:t>20</w:t>
            </w:r>
          </w:hyperlink>
        </w:p>
        <w:p>
          <w:pPr>
            <w:pStyle w:val="TOC5"/>
            <w:numPr>
              <w:ilvl w:val="1"/>
              <w:numId w:val="2"/>
            </w:numPr>
            <w:tabs>
              <w:tab w:pos="617" w:val="left" w:leader="none"/>
              <w:tab w:pos="8416" w:val="right" w:leader="none"/>
            </w:tabs>
            <w:spacing w:line="240" w:lineRule="auto" w:before="276" w:after="0"/>
            <w:ind w:left="617" w:right="0" w:hanging="364"/>
            <w:jc w:val="left"/>
            <w:rPr>
              <w:b w:val="0"/>
              <w:i w:val="0"/>
              <w:sz w:val="24"/>
            </w:rPr>
          </w:pPr>
          <w:r>
            <w:rPr/>
            <mc:AlternateContent>
              <mc:Choice Requires="wps">
                <w:drawing>
                  <wp:anchor distT="0" distB="0" distL="0" distR="0" allowOverlap="1" layoutInCell="1" locked="0" behindDoc="1" simplePos="0" relativeHeight="485027328">
                    <wp:simplePos x="0" y="0"/>
                    <wp:positionH relativeFrom="page">
                      <wp:posOffset>3213861</wp:posOffset>
                    </wp:positionH>
                    <wp:positionV relativeFrom="paragraph">
                      <wp:posOffset>283533</wp:posOffset>
                    </wp:positionV>
                    <wp:extent cx="3044825"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3044825" cy="1270"/>
                            </a:xfrm>
                            <a:custGeom>
                              <a:avLst/>
                              <a:gdLst/>
                              <a:ahLst/>
                              <a:cxnLst/>
                              <a:rect l="l" t="t" r="r" b="b"/>
                              <a:pathLst>
                                <a:path w="3044825" h="0">
                                  <a:moveTo>
                                    <a:pt x="0" y="0"/>
                                  </a:moveTo>
                                  <a:lnTo>
                                    <a:pt x="304473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9152" from="253.059998pt,22.325466pt" to="492.802633pt,22.325466pt" stroked="true" strokeweight=".885563pt" strokecolor="#000000">
                    <v:stroke dashstyle="shortdash"/>
                    <w10:wrap type="none"/>
                  </v:line>
                </w:pict>
              </mc:Fallback>
            </mc:AlternateContent>
          </w:r>
          <w:r>
            <w:rPr>
              <w:b w:val="0"/>
              <w:i w:val="0"/>
              <w:sz w:val="24"/>
            </w:rPr>
            <w:t>Products</w:t>
          </w:r>
          <w:r>
            <w:rPr>
              <w:b w:val="0"/>
              <w:i w:val="0"/>
              <w:spacing w:val="-10"/>
              <w:sz w:val="24"/>
            </w:rPr>
            <w:t> </w:t>
          </w:r>
          <w:r>
            <w:rPr>
              <w:b w:val="0"/>
              <w:i w:val="0"/>
              <w:sz w:val="24"/>
            </w:rPr>
            <w:t>of</w:t>
          </w:r>
          <w:r>
            <w:rPr>
              <w:b w:val="0"/>
              <w:i w:val="0"/>
              <w:spacing w:val="-4"/>
              <w:sz w:val="24"/>
            </w:rPr>
            <w:t> </w:t>
          </w:r>
          <w:r>
            <w:rPr>
              <w:b w:val="0"/>
              <w:sz w:val="24"/>
            </w:rPr>
            <w:t>Jatropha</w:t>
          </w:r>
          <w:r>
            <w:rPr>
              <w:b w:val="0"/>
              <w:spacing w:val="3"/>
              <w:sz w:val="24"/>
            </w:rPr>
            <w:t> </w:t>
          </w:r>
          <w:r>
            <w:rPr>
              <w:b w:val="0"/>
              <w:spacing w:val="-2"/>
              <w:sz w:val="24"/>
            </w:rPr>
            <w:t>curcas</w:t>
          </w:r>
          <w:r>
            <w:rPr>
              <w:b w:val="0"/>
              <w:sz w:val="24"/>
            </w:rPr>
            <w:tab/>
          </w:r>
          <w:r>
            <w:rPr>
              <w:b w:val="0"/>
              <w:i w:val="0"/>
              <w:spacing w:val="-5"/>
              <w:sz w:val="24"/>
            </w:rPr>
            <w:t>21</w:t>
          </w:r>
        </w:p>
        <w:p>
          <w:pPr>
            <w:pStyle w:val="TOC5"/>
            <w:numPr>
              <w:ilvl w:val="2"/>
              <w:numId w:val="2"/>
            </w:numPr>
            <w:tabs>
              <w:tab w:pos="794" w:val="left" w:leader="none"/>
              <w:tab w:pos="8416" w:val="right" w:leader="none"/>
            </w:tabs>
            <w:spacing w:line="240" w:lineRule="auto" w:before="276" w:after="0"/>
            <w:ind w:left="794" w:right="0" w:hanging="541"/>
            <w:jc w:val="left"/>
            <w:rPr>
              <w:b w:val="0"/>
              <w:i w:val="0"/>
              <w:sz w:val="24"/>
            </w:rPr>
          </w:pPr>
          <w:r>
            <w:rPr/>
            <mc:AlternateContent>
              <mc:Choice Requires="wps">
                <w:drawing>
                  <wp:anchor distT="0" distB="0" distL="0" distR="0" allowOverlap="1" layoutInCell="1" locked="0" behindDoc="1" simplePos="0" relativeHeight="485027840">
                    <wp:simplePos x="0" y="0"/>
                    <wp:positionH relativeFrom="page">
                      <wp:posOffset>3213861</wp:posOffset>
                    </wp:positionH>
                    <wp:positionV relativeFrom="paragraph">
                      <wp:posOffset>283802</wp:posOffset>
                    </wp:positionV>
                    <wp:extent cx="305054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3050540" cy="1270"/>
                            </a:xfrm>
                            <a:custGeom>
                              <a:avLst/>
                              <a:gdLst/>
                              <a:ahLst/>
                              <a:cxnLst/>
                              <a:rect l="l" t="t" r="r" b="b"/>
                              <a:pathLst>
                                <a:path w="3050540" h="0">
                                  <a:moveTo>
                                    <a:pt x="0" y="0"/>
                                  </a:moveTo>
                                  <a:lnTo>
                                    <a:pt x="3049966"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8640" from="253.059998pt,22.346634pt" to="493.214845pt,22.346634pt" stroked="true" strokeweight=".885563pt" strokecolor="#000000">
                    <v:stroke dashstyle="shortdash"/>
                    <w10:wrap type="none"/>
                  </v:line>
                </w:pict>
              </mc:Fallback>
            </mc:AlternateContent>
          </w:r>
          <w:r>
            <w:rPr>
              <w:b w:val="0"/>
              <w:sz w:val="24"/>
            </w:rPr>
            <w:t>Jatropha</w:t>
          </w:r>
          <w:r>
            <w:rPr>
              <w:b w:val="0"/>
              <w:spacing w:val="-5"/>
              <w:sz w:val="24"/>
            </w:rPr>
            <w:t> </w:t>
          </w:r>
          <w:r>
            <w:rPr>
              <w:b w:val="0"/>
              <w:sz w:val="24"/>
            </w:rPr>
            <w:t>curcas</w:t>
          </w:r>
          <w:r>
            <w:rPr>
              <w:b w:val="0"/>
              <w:spacing w:val="-4"/>
              <w:sz w:val="24"/>
            </w:rPr>
            <w:t> </w:t>
          </w:r>
          <w:r>
            <w:rPr>
              <w:b w:val="0"/>
              <w:i w:val="0"/>
              <w:sz w:val="24"/>
            </w:rPr>
            <w:t>seed</w:t>
          </w:r>
          <w:r>
            <w:rPr>
              <w:b w:val="0"/>
              <w:i w:val="0"/>
              <w:spacing w:val="-2"/>
              <w:sz w:val="24"/>
            </w:rPr>
            <w:t> </w:t>
          </w:r>
          <w:r>
            <w:rPr>
              <w:b w:val="0"/>
              <w:i w:val="0"/>
              <w:spacing w:val="-4"/>
              <w:sz w:val="24"/>
            </w:rPr>
            <w:t>cake</w:t>
          </w:r>
          <w:r>
            <w:rPr>
              <w:b w:val="0"/>
              <w:i w:val="0"/>
              <w:sz w:val="24"/>
            </w:rPr>
            <w:tab/>
          </w:r>
          <w:r>
            <w:rPr>
              <w:b w:val="0"/>
              <w:i w:val="0"/>
              <w:spacing w:val="-5"/>
              <w:sz w:val="24"/>
            </w:rPr>
            <w:t>21</w:t>
          </w:r>
        </w:p>
        <w:p>
          <w:pPr>
            <w:pStyle w:val="TOC5"/>
            <w:numPr>
              <w:ilvl w:val="2"/>
              <w:numId w:val="2"/>
            </w:numPr>
            <w:tabs>
              <w:tab w:pos="795" w:val="left" w:leader="none"/>
              <w:tab w:pos="8416" w:val="right" w:leader="none"/>
            </w:tabs>
            <w:spacing w:line="240" w:lineRule="auto" w:before="276" w:after="0"/>
            <w:ind w:left="795" w:right="0" w:hanging="542"/>
            <w:jc w:val="left"/>
            <w:rPr>
              <w:b w:val="0"/>
              <w:i w:val="0"/>
              <w:sz w:val="24"/>
            </w:rPr>
          </w:pPr>
          <w:r>
            <w:rPr/>
            <mc:AlternateContent>
              <mc:Choice Requires="wps">
                <w:drawing>
                  <wp:anchor distT="0" distB="0" distL="0" distR="0" allowOverlap="1" layoutInCell="1" locked="0" behindDoc="1" simplePos="0" relativeHeight="485028352">
                    <wp:simplePos x="0" y="0"/>
                    <wp:positionH relativeFrom="page">
                      <wp:posOffset>3223005</wp:posOffset>
                    </wp:positionH>
                    <wp:positionV relativeFrom="paragraph">
                      <wp:posOffset>283817</wp:posOffset>
                    </wp:positionV>
                    <wp:extent cx="305054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050540" cy="1270"/>
                            </a:xfrm>
                            <a:custGeom>
                              <a:avLst/>
                              <a:gdLst/>
                              <a:ahLst/>
                              <a:cxnLst/>
                              <a:rect l="l" t="t" r="r" b="b"/>
                              <a:pathLst>
                                <a:path w="3050540" h="0">
                                  <a:moveTo>
                                    <a:pt x="0" y="0"/>
                                  </a:moveTo>
                                  <a:lnTo>
                                    <a:pt x="304996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8128" from="253.779999pt,22.347841pt" to="493.93494pt,22.347841pt" stroked="true" strokeweight=".885563pt" strokecolor="#000000">
                    <v:stroke dashstyle="shortdash"/>
                    <w10:wrap type="none"/>
                  </v:line>
                </w:pict>
              </mc:Fallback>
            </mc:AlternateContent>
          </w:r>
          <w:r>
            <w:rPr>
              <w:b w:val="0"/>
              <w:sz w:val="24"/>
            </w:rPr>
            <w:t>Jatropha</w:t>
          </w:r>
          <w:r>
            <w:rPr>
              <w:b w:val="0"/>
              <w:spacing w:val="-5"/>
              <w:sz w:val="24"/>
            </w:rPr>
            <w:t> </w:t>
          </w:r>
          <w:r>
            <w:rPr>
              <w:b w:val="0"/>
              <w:sz w:val="24"/>
            </w:rPr>
            <w:t>curcas</w:t>
          </w:r>
          <w:r>
            <w:rPr>
              <w:b w:val="0"/>
              <w:spacing w:val="-4"/>
              <w:sz w:val="24"/>
            </w:rPr>
            <w:t> </w:t>
          </w:r>
          <w:r>
            <w:rPr>
              <w:b w:val="0"/>
              <w:i w:val="0"/>
              <w:sz w:val="24"/>
            </w:rPr>
            <w:t>seed</w:t>
          </w:r>
          <w:r>
            <w:rPr>
              <w:b w:val="0"/>
              <w:i w:val="0"/>
              <w:spacing w:val="-2"/>
              <w:sz w:val="24"/>
            </w:rPr>
            <w:t> </w:t>
          </w:r>
          <w:r>
            <w:rPr>
              <w:b w:val="0"/>
              <w:i w:val="0"/>
              <w:spacing w:val="-4"/>
              <w:sz w:val="24"/>
            </w:rPr>
            <w:t>shell</w:t>
          </w:r>
          <w:r>
            <w:rPr>
              <w:b w:val="0"/>
              <w:i w:val="0"/>
              <w:sz w:val="24"/>
            </w:rPr>
            <w:tab/>
          </w:r>
          <w:r>
            <w:rPr>
              <w:b w:val="0"/>
              <w:i w:val="0"/>
              <w:spacing w:val="-5"/>
              <w:sz w:val="24"/>
            </w:rPr>
            <w:t>21</w:t>
          </w:r>
        </w:p>
        <w:p>
          <w:pPr>
            <w:pStyle w:val="TOC5"/>
            <w:numPr>
              <w:ilvl w:val="2"/>
              <w:numId w:val="2"/>
            </w:numPr>
            <w:tabs>
              <w:tab w:pos="794" w:val="left" w:leader="none"/>
              <w:tab w:pos="8416" w:val="right" w:leader="none"/>
            </w:tabs>
            <w:spacing w:line="240" w:lineRule="auto" w:before="276" w:after="0"/>
            <w:ind w:left="794" w:right="0" w:hanging="541"/>
            <w:jc w:val="left"/>
            <w:rPr>
              <w:b w:val="0"/>
              <w:i w:val="0"/>
              <w:sz w:val="24"/>
            </w:rPr>
          </w:pPr>
          <w:r>
            <w:rPr/>
            <mc:AlternateContent>
              <mc:Choice Requires="wps">
                <w:drawing>
                  <wp:anchor distT="0" distB="0" distL="0" distR="0" allowOverlap="1" layoutInCell="1" locked="0" behindDoc="1" simplePos="0" relativeHeight="485028864">
                    <wp:simplePos x="0" y="0"/>
                    <wp:positionH relativeFrom="page">
                      <wp:posOffset>3094989</wp:posOffset>
                    </wp:positionH>
                    <wp:positionV relativeFrom="paragraph">
                      <wp:posOffset>283832</wp:posOffset>
                    </wp:positionV>
                    <wp:extent cx="315468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3154680" cy="1270"/>
                            </a:xfrm>
                            <a:custGeom>
                              <a:avLst/>
                              <a:gdLst/>
                              <a:ahLst/>
                              <a:cxnLst/>
                              <a:rect l="l" t="t" r="r" b="b"/>
                              <a:pathLst>
                                <a:path w="3154680" h="0">
                                  <a:moveTo>
                                    <a:pt x="0" y="0"/>
                                  </a:moveTo>
                                  <a:lnTo>
                                    <a:pt x="315405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7616" from="243.699997pt,22.348989pt" to="492.050562pt,22.348989pt" stroked="true" strokeweight=".885563pt" strokecolor="#000000">
                    <v:stroke dashstyle="dash"/>
                    <w10:wrap type="none"/>
                  </v:line>
                </w:pict>
              </mc:Fallback>
            </mc:AlternateContent>
          </w:r>
          <w:r>
            <w:rPr>
              <w:b w:val="0"/>
              <w:sz w:val="24"/>
            </w:rPr>
            <w:t>Jatropha</w:t>
          </w:r>
          <w:r>
            <w:rPr>
              <w:b w:val="0"/>
              <w:spacing w:val="-3"/>
              <w:sz w:val="24"/>
            </w:rPr>
            <w:t> </w:t>
          </w:r>
          <w:r>
            <w:rPr>
              <w:b w:val="0"/>
              <w:sz w:val="24"/>
            </w:rPr>
            <w:t>curcas</w:t>
          </w:r>
          <w:r>
            <w:rPr>
              <w:b w:val="0"/>
              <w:spacing w:val="-4"/>
              <w:sz w:val="24"/>
            </w:rPr>
            <w:t> </w:t>
          </w:r>
          <w:r>
            <w:rPr>
              <w:b w:val="0"/>
              <w:i w:val="0"/>
              <w:sz w:val="24"/>
            </w:rPr>
            <w:t>seed</w:t>
          </w:r>
          <w:r>
            <w:rPr>
              <w:b w:val="0"/>
              <w:i w:val="0"/>
              <w:spacing w:val="-2"/>
              <w:sz w:val="24"/>
            </w:rPr>
            <w:t> </w:t>
          </w:r>
          <w:r>
            <w:rPr>
              <w:b w:val="0"/>
              <w:i w:val="0"/>
              <w:spacing w:val="-5"/>
              <w:sz w:val="24"/>
            </w:rPr>
            <w:t>oil</w:t>
          </w:r>
          <w:r>
            <w:rPr>
              <w:b w:val="0"/>
              <w:i w:val="0"/>
              <w:sz w:val="24"/>
            </w:rPr>
            <w:tab/>
          </w:r>
          <w:r>
            <w:rPr>
              <w:b w:val="0"/>
              <w:i w:val="0"/>
              <w:spacing w:val="-5"/>
              <w:sz w:val="24"/>
            </w:rPr>
            <w:t>23</w:t>
          </w:r>
        </w:p>
        <w:p>
          <w:pPr>
            <w:pStyle w:val="TOC5"/>
            <w:numPr>
              <w:ilvl w:val="1"/>
              <w:numId w:val="2"/>
            </w:numPr>
            <w:tabs>
              <w:tab w:pos="617" w:val="left" w:leader="none"/>
              <w:tab w:pos="8416" w:val="right" w:leader="hyphen"/>
            </w:tabs>
            <w:spacing w:line="240" w:lineRule="auto" w:before="282" w:after="0"/>
            <w:ind w:left="617" w:right="0" w:hanging="364"/>
            <w:jc w:val="left"/>
            <w:rPr>
              <w:i w:val="0"/>
              <w:sz w:val="24"/>
            </w:rPr>
          </w:pPr>
          <w:r>
            <w:rPr>
              <w:i w:val="0"/>
              <w:sz w:val="24"/>
            </w:rPr>
            <w:t>Uses</w:t>
          </w:r>
          <w:r>
            <w:rPr>
              <w:i w:val="0"/>
              <w:spacing w:val="-3"/>
              <w:sz w:val="24"/>
            </w:rPr>
            <w:t> </w:t>
          </w:r>
          <w:r>
            <w:rPr>
              <w:i w:val="0"/>
              <w:sz w:val="24"/>
            </w:rPr>
            <w:t>of</w:t>
          </w:r>
          <w:r>
            <w:rPr>
              <w:i w:val="0"/>
              <w:spacing w:val="-4"/>
              <w:sz w:val="24"/>
            </w:rPr>
            <w:t> </w:t>
          </w:r>
          <w:r>
            <w:rPr>
              <w:sz w:val="24"/>
            </w:rPr>
            <w:t>Jatropha curcas</w:t>
          </w:r>
          <w:r>
            <w:rPr>
              <w:spacing w:val="-1"/>
              <w:sz w:val="24"/>
            </w:rPr>
            <w:t> </w:t>
          </w:r>
          <w:r>
            <w:rPr>
              <w:i w:val="0"/>
              <w:spacing w:val="-5"/>
              <w:sz w:val="24"/>
            </w:rPr>
            <w:t>Oil</w:t>
          </w:r>
          <w:r>
            <w:rPr>
              <w:i w:val="0"/>
              <w:sz w:val="24"/>
            </w:rPr>
            <w:tab/>
          </w:r>
          <w:r>
            <w:rPr>
              <w:i w:val="0"/>
              <w:spacing w:val="-5"/>
              <w:sz w:val="24"/>
            </w:rPr>
            <w:t>23</w:t>
          </w:r>
        </w:p>
        <w:p>
          <w:pPr>
            <w:pStyle w:val="TOC5"/>
            <w:numPr>
              <w:ilvl w:val="1"/>
              <w:numId w:val="2"/>
            </w:numPr>
            <w:tabs>
              <w:tab w:pos="612" w:val="left" w:leader="none"/>
              <w:tab w:pos="8416" w:val="right" w:leader="hyphen"/>
            </w:tabs>
            <w:spacing w:line="240" w:lineRule="auto" w:before="276" w:after="0"/>
            <w:ind w:left="612" w:right="0" w:hanging="359"/>
            <w:jc w:val="left"/>
            <w:rPr>
              <w:i w:val="0"/>
              <w:sz w:val="24"/>
            </w:rPr>
          </w:pPr>
          <w:r>
            <w:rPr>
              <w:i w:val="0"/>
              <w:sz w:val="24"/>
            </w:rPr>
            <w:t>Methods</w:t>
          </w:r>
          <w:r>
            <w:rPr>
              <w:i w:val="0"/>
              <w:spacing w:val="-3"/>
              <w:sz w:val="24"/>
            </w:rPr>
            <w:t> </w:t>
          </w:r>
          <w:r>
            <w:rPr>
              <w:i w:val="0"/>
              <w:sz w:val="24"/>
            </w:rPr>
            <w:t>of</w:t>
          </w:r>
          <w:r>
            <w:rPr>
              <w:i w:val="0"/>
              <w:spacing w:val="-3"/>
              <w:sz w:val="24"/>
            </w:rPr>
            <w:t> </w:t>
          </w:r>
          <w:r>
            <w:rPr>
              <w:i w:val="0"/>
              <w:sz w:val="24"/>
            </w:rPr>
            <w:t>Extraction of </w:t>
          </w:r>
          <w:r>
            <w:rPr>
              <w:sz w:val="24"/>
            </w:rPr>
            <w:t>Jatropha</w:t>
          </w:r>
          <w:r>
            <w:rPr>
              <w:spacing w:val="1"/>
              <w:sz w:val="24"/>
            </w:rPr>
            <w:t> </w:t>
          </w:r>
          <w:r>
            <w:rPr>
              <w:sz w:val="24"/>
            </w:rPr>
            <w:t>curcas</w:t>
          </w:r>
          <w:r>
            <w:rPr>
              <w:spacing w:val="-3"/>
              <w:sz w:val="24"/>
            </w:rPr>
            <w:t> </w:t>
          </w:r>
          <w:r>
            <w:rPr>
              <w:i w:val="0"/>
              <w:sz w:val="24"/>
            </w:rPr>
            <w:t>Seed</w:t>
          </w:r>
          <w:r>
            <w:rPr>
              <w:i w:val="0"/>
              <w:spacing w:val="2"/>
              <w:sz w:val="24"/>
            </w:rPr>
            <w:t> </w:t>
          </w:r>
          <w:r>
            <w:rPr>
              <w:i w:val="0"/>
              <w:spacing w:val="-5"/>
              <w:sz w:val="24"/>
            </w:rPr>
            <w:t>Oil</w:t>
          </w:r>
          <w:r>
            <w:rPr>
              <w:i w:val="0"/>
              <w:sz w:val="24"/>
            </w:rPr>
            <w:tab/>
          </w:r>
          <w:r>
            <w:rPr>
              <w:i w:val="0"/>
              <w:spacing w:val="-5"/>
              <w:sz w:val="24"/>
            </w:rPr>
            <w:t>24</w:t>
          </w:r>
        </w:p>
        <w:p>
          <w:pPr>
            <w:pStyle w:val="TOC3"/>
            <w:numPr>
              <w:ilvl w:val="2"/>
              <w:numId w:val="2"/>
            </w:numPr>
            <w:tabs>
              <w:tab w:pos="794" w:val="left" w:leader="none"/>
              <w:tab w:pos="8416" w:val="right" w:leader="none"/>
            </w:tabs>
            <w:spacing w:line="240" w:lineRule="auto" w:before="271" w:after="0"/>
            <w:ind w:left="794" w:right="0" w:hanging="541"/>
            <w:jc w:val="left"/>
          </w:pPr>
          <w:r>
            <w:rPr/>
            <mc:AlternateContent>
              <mc:Choice Requires="wps">
                <w:drawing>
                  <wp:anchor distT="0" distB="0" distL="0" distR="0" allowOverlap="1" layoutInCell="1" locked="0" behindDoc="1" simplePos="0" relativeHeight="485029376">
                    <wp:simplePos x="0" y="0"/>
                    <wp:positionH relativeFrom="page">
                      <wp:posOffset>2707513</wp:posOffset>
                    </wp:positionH>
                    <wp:positionV relativeFrom="paragraph">
                      <wp:posOffset>280447</wp:posOffset>
                    </wp:positionV>
                    <wp:extent cx="3503929"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503929" cy="1270"/>
                            </a:xfrm>
                            <a:custGeom>
                              <a:avLst/>
                              <a:gdLst/>
                              <a:ahLst/>
                              <a:cxnLst/>
                              <a:rect l="l" t="t" r="r" b="b"/>
                              <a:pathLst>
                                <a:path w="3503929" h="0">
                                  <a:moveTo>
                                    <a:pt x="0" y="0"/>
                                  </a:moveTo>
                                  <a:lnTo>
                                    <a:pt x="350389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7104" from="213.190002pt,22.082491pt" to="489.087603pt,22.082491pt" stroked="true" strokeweight=".885563pt" strokecolor="#000000">
                    <v:stroke dashstyle="shortdash"/>
                    <w10:wrap type="none"/>
                  </v:line>
                </w:pict>
              </mc:Fallback>
            </mc:AlternateContent>
          </w:r>
          <w:hyperlink w:history="true" w:anchor="_TOC_250021">
            <w:r>
              <w:rPr/>
              <w:t>Solvent</w:t>
            </w:r>
            <w:r>
              <w:rPr>
                <w:spacing w:val="-5"/>
              </w:rPr>
              <w:t> </w:t>
            </w:r>
            <w:r>
              <w:rPr>
                <w:spacing w:val="-2"/>
              </w:rPr>
              <w:t>extraction</w:t>
            </w:r>
            <w:r>
              <w:rPr/>
              <w:tab/>
            </w:r>
            <w:r>
              <w:rPr>
                <w:spacing w:val="-5"/>
              </w:rPr>
              <w:t>24</w:t>
            </w:r>
          </w:hyperlink>
        </w:p>
        <w:p>
          <w:pPr>
            <w:pStyle w:val="TOC3"/>
            <w:numPr>
              <w:ilvl w:val="2"/>
              <w:numId w:val="2"/>
            </w:numPr>
            <w:tabs>
              <w:tab w:pos="794" w:val="left" w:leader="none"/>
              <w:tab w:pos="8416" w:val="right" w:leader="hyphen"/>
            </w:tabs>
            <w:spacing w:line="240" w:lineRule="auto" w:before="276" w:after="0"/>
            <w:ind w:left="794" w:right="0" w:hanging="541"/>
            <w:jc w:val="left"/>
          </w:pPr>
          <w:hyperlink w:history="true" w:anchor="_TOC_250020">
            <w:r>
              <w:rPr/>
              <w:t>Aqueous</w:t>
            </w:r>
            <w:r>
              <w:rPr>
                <w:spacing w:val="-4"/>
              </w:rPr>
              <w:t> </w:t>
            </w:r>
            <w:r>
              <w:rPr/>
              <w:t>enzymatic</w:t>
            </w:r>
            <w:r>
              <w:rPr>
                <w:spacing w:val="-2"/>
              </w:rPr>
              <w:t> </w:t>
            </w:r>
            <w:r>
              <w:rPr/>
              <w:t>oil</w:t>
            </w:r>
            <w:r>
              <w:rPr>
                <w:spacing w:val="-9"/>
              </w:rPr>
              <w:t> </w:t>
            </w:r>
            <w:r>
              <w:rPr>
                <w:spacing w:val="-2"/>
              </w:rPr>
              <w:t>extraction</w:t>
            </w:r>
            <w:r>
              <w:rPr/>
              <w:tab/>
            </w:r>
            <w:r>
              <w:rPr>
                <w:spacing w:val="-5"/>
              </w:rPr>
              <w:t>24</w:t>
            </w:r>
          </w:hyperlink>
        </w:p>
        <w:p>
          <w:pPr>
            <w:pStyle w:val="TOC3"/>
            <w:numPr>
              <w:ilvl w:val="2"/>
              <w:numId w:val="2"/>
            </w:numPr>
            <w:tabs>
              <w:tab w:pos="795" w:val="left" w:leader="none"/>
              <w:tab w:pos="8416" w:val="right" w:leader="none"/>
            </w:tabs>
            <w:spacing w:line="240" w:lineRule="auto" w:before="277" w:after="0"/>
            <w:ind w:left="795" w:right="0" w:hanging="542"/>
            <w:jc w:val="left"/>
          </w:pPr>
          <w:r>
            <w:rPr/>
            <mc:AlternateContent>
              <mc:Choice Requires="wps">
                <w:drawing>
                  <wp:anchor distT="0" distB="0" distL="0" distR="0" allowOverlap="1" layoutInCell="1" locked="0" behindDoc="1" simplePos="0" relativeHeight="485029888">
                    <wp:simplePos x="0" y="0"/>
                    <wp:positionH relativeFrom="page">
                      <wp:posOffset>2951733</wp:posOffset>
                    </wp:positionH>
                    <wp:positionV relativeFrom="paragraph">
                      <wp:posOffset>283906</wp:posOffset>
                    </wp:positionV>
                    <wp:extent cx="330581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305810" cy="1270"/>
                            </a:xfrm>
                            <a:custGeom>
                              <a:avLst/>
                              <a:gdLst/>
                              <a:ahLst/>
                              <a:cxnLst/>
                              <a:rect l="l" t="t" r="r" b="b"/>
                              <a:pathLst>
                                <a:path w="3305810" h="0">
                                  <a:moveTo>
                                    <a:pt x="0" y="0"/>
                                  </a:moveTo>
                                  <a:lnTo>
                                    <a:pt x="330569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6592" from="232.419998pt,22.354836pt" to="492.711222pt,22.354836pt" stroked="true" strokeweight=".885563pt" strokecolor="#000000">
                    <v:stroke dashstyle="shortdash"/>
                    <w10:wrap type="none"/>
                  </v:line>
                </w:pict>
              </mc:Fallback>
            </mc:AlternateContent>
          </w:r>
          <w:hyperlink w:history="true" w:anchor="_TOC_250019">
            <w:r>
              <w:rPr/>
              <w:t>Mechanical</w:t>
            </w:r>
            <w:r>
              <w:rPr>
                <w:spacing w:val="-13"/>
              </w:rPr>
              <w:t> </w:t>
            </w:r>
            <w:r>
              <w:rPr>
                <w:spacing w:val="-2"/>
              </w:rPr>
              <w:t>extraction</w:t>
            </w:r>
            <w:r>
              <w:rPr/>
              <w:tab/>
            </w:r>
            <w:r>
              <w:rPr>
                <w:spacing w:val="-7"/>
              </w:rPr>
              <w:t>25</w:t>
            </w:r>
          </w:hyperlink>
        </w:p>
        <w:p>
          <w:pPr>
            <w:pStyle w:val="TOC5"/>
            <w:numPr>
              <w:ilvl w:val="1"/>
              <w:numId w:val="2"/>
            </w:numPr>
            <w:tabs>
              <w:tab w:pos="737" w:val="left" w:leader="none"/>
              <w:tab w:pos="8416" w:val="right" w:leader="hyphen"/>
            </w:tabs>
            <w:spacing w:line="240" w:lineRule="auto" w:before="280" w:after="0"/>
            <w:ind w:left="737" w:right="0" w:hanging="484"/>
            <w:jc w:val="left"/>
            <w:rPr>
              <w:i w:val="0"/>
              <w:sz w:val="24"/>
            </w:rPr>
          </w:pPr>
          <w:r>
            <w:rPr>
              <w:i w:val="0"/>
              <w:sz w:val="24"/>
            </w:rPr>
            <w:t>Toxic</w:t>
          </w:r>
          <w:r>
            <w:rPr>
              <w:i w:val="0"/>
              <w:spacing w:val="-4"/>
              <w:sz w:val="24"/>
            </w:rPr>
            <w:t> </w:t>
          </w:r>
          <w:r>
            <w:rPr>
              <w:i w:val="0"/>
              <w:sz w:val="24"/>
            </w:rPr>
            <w:t>Components</w:t>
          </w:r>
          <w:r>
            <w:rPr>
              <w:i w:val="0"/>
              <w:spacing w:val="-2"/>
              <w:sz w:val="24"/>
            </w:rPr>
            <w:t> </w:t>
          </w:r>
          <w:r>
            <w:rPr>
              <w:i w:val="0"/>
              <w:sz w:val="24"/>
            </w:rPr>
            <w:t>in </w:t>
          </w:r>
          <w:r>
            <w:rPr>
              <w:sz w:val="24"/>
            </w:rPr>
            <w:t>Jatropha</w:t>
          </w:r>
          <w:r>
            <w:rPr>
              <w:spacing w:val="-1"/>
              <w:sz w:val="24"/>
            </w:rPr>
            <w:t> </w:t>
          </w:r>
          <w:r>
            <w:rPr>
              <w:sz w:val="24"/>
            </w:rPr>
            <w:t>curcas</w:t>
          </w:r>
          <w:r>
            <w:rPr>
              <w:spacing w:val="-3"/>
              <w:sz w:val="24"/>
            </w:rPr>
            <w:t> </w:t>
          </w:r>
          <w:r>
            <w:rPr>
              <w:i w:val="0"/>
              <w:sz w:val="24"/>
            </w:rPr>
            <w:t>Seed</w:t>
          </w:r>
          <w:r>
            <w:rPr>
              <w:i w:val="0"/>
              <w:spacing w:val="-5"/>
              <w:sz w:val="24"/>
            </w:rPr>
            <w:t> Oil</w:t>
          </w:r>
          <w:r>
            <w:rPr>
              <w:i w:val="0"/>
              <w:sz w:val="24"/>
            </w:rPr>
            <w:tab/>
          </w:r>
          <w:r>
            <w:rPr>
              <w:i w:val="0"/>
              <w:spacing w:val="-5"/>
              <w:sz w:val="24"/>
            </w:rPr>
            <w:t>25</w:t>
          </w:r>
        </w:p>
        <w:p>
          <w:pPr>
            <w:pStyle w:val="TOC3"/>
            <w:numPr>
              <w:ilvl w:val="2"/>
              <w:numId w:val="2"/>
            </w:numPr>
            <w:tabs>
              <w:tab w:pos="914" w:val="left" w:leader="none"/>
              <w:tab w:pos="8416" w:val="right" w:leader="none"/>
            </w:tabs>
            <w:spacing w:line="240" w:lineRule="auto" w:before="272" w:after="0"/>
            <w:ind w:left="914" w:right="0" w:hanging="661"/>
            <w:jc w:val="left"/>
          </w:pPr>
          <w:r>
            <w:rPr/>
            <mc:AlternateContent>
              <mc:Choice Requires="wps">
                <w:drawing>
                  <wp:anchor distT="0" distB="0" distL="0" distR="0" allowOverlap="1" layoutInCell="1" locked="0" behindDoc="1" simplePos="0" relativeHeight="485030400">
                    <wp:simplePos x="0" y="0"/>
                    <wp:positionH relativeFrom="page">
                      <wp:posOffset>2539873</wp:posOffset>
                    </wp:positionH>
                    <wp:positionV relativeFrom="paragraph">
                      <wp:posOffset>281015</wp:posOffset>
                    </wp:positionV>
                    <wp:extent cx="3703954"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703954" cy="1270"/>
                            </a:xfrm>
                            <a:custGeom>
                              <a:avLst/>
                              <a:gdLst/>
                              <a:ahLst/>
                              <a:cxnLst/>
                              <a:rect l="l" t="t" r="r" b="b"/>
                              <a:pathLst>
                                <a:path w="3703954" h="0">
                                  <a:moveTo>
                                    <a:pt x="0" y="0"/>
                                  </a:moveTo>
                                  <a:lnTo>
                                    <a:pt x="370378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6080" from="199.990005pt,22.127182pt" to="491.626453pt,22.127182pt" stroked="true" strokeweight=".885563pt" strokecolor="#000000">
                    <v:stroke dashstyle="shortdash"/>
                    <w10:wrap type="none"/>
                  </v:line>
                </w:pict>
              </mc:Fallback>
            </mc:AlternateContent>
          </w:r>
          <w:r>
            <w:rPr/>
            <w:t>Phorbol</w:t>
          </w:r>
          <w:r>
            <w:rPr>
              <w:spacing w:val="-8"/>
            </w:rPr>
            <w:t> </w:t>
          </w:r>
          <w:r>
            <w:rPr>
              <w:spacing w:val="-2"/>
            </w:rPr>
            <w:t>esters</w:t>
          </w:r>
          <w:r>
            <w:rPr/>
            <w:tab/>
          </w:r>
          <w:r>
            <w:rPr>
              <w:spacing w:val="-5"/>
            </w:rPr>
            <w:t>25</w:t>
          </w:r>
        </w:p>
        <w:p>
          <w:pPr>
            <w:pStyle w:val="TOC3"/>
            <w:numPr>
              <w:ilvl w:val="2"/>
              <w:numId w:val="2"/>
            </w:numPr>
            <w:tabs>
              <w:tab w:pos="914" w:val="left" w:leader="none"/>
              <w:tab w:pos="8416" w:val="right" w:leader="none"/>
            </w:tabs>
            <w:spacing w:line="240" w:lineRule="auto" w:before="276" w:after="0"/>
            <w:ind w:left="914" w:right="0" w:hanging="661"/>
            <w:jc w:val="left"/>
          </w:pPr>
          <w:r>
            <w:rPr/>
            <mc:AlternateContent>
              <mc:Choice Requires="wps">
                <w:drawing>
                  <wp:anchor distT="0" distB="0" distL="0" distR="0" allowOverlap="1" layoutInCell="1" locked="0" behindDoc="1" simplePos="0" relativeHeight="485030912">
                    <wp:simplePos x="0" y="0"/>
                    <wp:positionH relativeFrom="page">
                      <wp:posOffset>2085720</wp:posOffset>
                    </wp:positionH>
                    <wp:positionV relativeFrom="paragraph">
                      <wp:posOffset>283570</wp:posOffset>
                    </wp:positionV>
                    <wp:extent cx="4164329"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4164329" cy="1270"/>
                            </a:xfrm>
                            <a:custGeom>
                              <a:avLst/>
                              <a:gdLst/>
                              <a:ahLst/>
                              <a:cxnLst/>
                              <a:rect l="l" t="t" r="r" b="b"/>
                              <a:pathLst>
                                <a:path w="4164329" h="0">
                                  <a:moveTo>
                                    <a:pt x="0" y="0"/>
                                  </a:moveTo>
                                  <a:lnTo>
                                    <a:pt x="416372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5568" from="164.229996pt,22.32836pt" to="492.082631pt,22.32836pt" stroked="true" strokeweight=".885563pt" strokecolor="#000000">
                    <v:stroke dashstyle="shortdash"/>
                    <w10:wrap type="none"/>
                  </v:line>
                </w:pict>
              </mc:Fallback>
            </mc:AlternateContent>
          </w:r>
          <w:r>
            <w:rPr>
              <w:spacing w:val="-2"/>
            </w:rPr>
            <w:t>Curcin</w:t>
          </w:r>
          <w:r>
            <w:rPr/>
            <w:tab/>
          </w:r>
          <w:r>
            <w:rPr>
              <w:spacing w:val="-5"/>
            </w:rPr>
            <w:t>26</w:t>
          </w:r>
        </w:p>
        <w:p>
          <w:pPr>
            <w:pStyle w:val="TOC5"/>
            <w:numPr>
              <w:ilvl w:val="1"/>
              <w:numId w:val="2"/>
            </w:numPr>
            <w:tabs>
              <w:tab w:pos="732" w:val="left" w:leader="none"/>
              <w:tab w:pos="8416" w:val="right" w:leader="hyphen"/>
            </w:tabs>
            <w:spacing w:line="240" w:lineRule="auto" w:before="281" w:after="0"/>
            <w:ind w:left="732" w:right="0" w:hanging="479"/>
            <w:jc w:val="left"/>
            <w:rPr>
              <w:i w:val="0"/>
              <w:sz w:val="24"/>
            </w:rPr>
          </w:pPr>
          <w:r>
            <w:rPr>
              <w:i w:val="0"/>
              <w:sz w:val="24"/>
            </w:rPr>
            <w:t>Methods</w:t>
          </w:r>
          <w:r>
            <w:rPr>
              <w:i w:val="0"/>
              <w:spacing w:val="-5"/>
              <w:sz w:val="24"/>
            </w:rPr>
            <w:t> </w:t>
          </w:r>
          <w:r>
            <w:rPr>
              <w:i w:val="0"/>
              <w:sz w:val="24"/>
            </w:rPr>
            <w:t>of</w:t>
          </w:r>
          <w:r>
            <w:rPr>
              <w:i w:val="0"/>
              <w:spacing w:val="-2"/>
              <w:sz w:val="24"/>
            </w:rPr>
            <w:t> </w:t>
          </w:r>
          <w:r>
            <w:rPr>
              <w:i w:val="0"/>
              <w:sz w:val="24"/>
            </w:rPr>
            <w:t>Detoxification</w:t>
          </w:r>
          <w:r>
            <w:rPr>
              <w:i w:val="0"/>
              <w:spacing w:val="2"/>
              <w:sz w:val="24"/>
            </w:rPr>
            <w:t> </w:t>
          </w:r>
          <w:r>
            <w:rPr>
              <w:i w:val="0"/>
              <w:sz w:val="24"/>
            </w:rPr>
            <w:t>of</w:t>
          </w:r>
          <w:r>
            <w:rPr>
              <w:i w:val="0"/>
              <w:spacing w:val="-4"/>
              <w:sz w:val="24"/>
            </w:rPr>
            <w:t> </w:t>
          </w:r>
          <w:r>
            <w:rPr>
              <w:sz w:val="24"/>
            </w:rPr>
            <w:t>Jatropha curcas</w:t>
          </w:r>
          <w:r>
            <w:rPr>
              <w:spacing w:val="-3"/>
              <w:sz w:val="24"/>
            </w:rPr>
            <w:t> </w:t>
          </w:r>
          <w:r>
            <w:rPr>
              <w:i w:val="0"/>
              <w:sz w:val="24"/>
            </w:rPr>
            <w:t>Seed</w:t>
          </w:r>
          <w:r>
            <w:rPr>
              <w:i w:val="0"/>
              <w:spacing w:val="2"/>
              <w:sz w:val="24"/>
            </w:rPr>
            <w:t> </w:t>
          </w:r>
          <w:r>
            <w:rPr>
              <w:i w:val="0"/>
              <w:spacing w:val="-5"/>
              <w:sz w:val="24"/>
            </w:rPr>
            <w:t>Oil</w:t>
          </w:r>
          <w:r>
            <w:rPr>
              <w:i w:val="0"/>
              <w:sz w:val="24"/>
            </w:rPr>
            <w:tab/>
          </w:r>
          <w:r>
            <w:rPr>
              <w:i w:val="0"/>
              <w:spacing w:val="-5"/>
              <w:sz w:val="24"/>
            </w:rPr>
            <w:t>26</w:t>
          </w:r>
        </w:p>
        <w:p>
          <w:pPr>
            <w:pStyle w:val="TOC3"/>
            <w:numPr>
              <w:ilvl w:val="2"/>
              <w:numId w:val="2"/>
            </w:numPr>
            <w:tabs>
              <w:tab w:pos="914" w:val="left" w:leader="none"/>
              <w:tab w:pos="8416" w:val="right" w:leader="none"/>
            </w:tabs>
            <w:spacing w:line="240" w:lineRule="auto" w:before="272" w:after="0"/>
            <w:ind w:left="914" w:right="0" w:hanging="661"/>
            <w:jc w:val="left"/>
          </w:pPr>
          <w:r>
            <w:rPr/>
            <mc:AlternateContent>
              <mc:Choice Requires="wps">
                <w:drawing>
                  <wp:anchor distT="0" distB="0" distL="0" distR="0" allowOverlap="1" layoutInCell="1" locked="0" behindDoc="1" simplePos="0" relativeHeight="485031424">
                    <wp:simplePos x="0" y="0"/>
                    <wp:positionH relativeFrom="page">
                      <wp:posOffset>2683129</wp:posOffset>
                    </wp:positionH>
                    <wp:positionV relativeFrom="paragraph">
                      <wp:posOffset>280805</wp:posOffset>
                    </wp:positionV>
                    <wp:extent cx="3554729"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3554729" cy="1270"/>
                            </a:xfrm>
                            <a:custGeom>
                              <a:avLst/>
                              <a:gdLst/>
                              <a:ahLst/>
                              <a:cxnLst/>
                              <a:rect l="l" t="t" r="r" b="b"/>
                              <a:pathLst>
                                <a:path w="3554729" h="0">
                                  <a:moveTo>
                                    <a:pt x="0" y="0"/>
                                  </a:moveTo>
                                  <a:lnTo>
                                    <a:pt x="3554730"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5056" from="211.270004pt,22.110699pt" to="491.170075pt,22.110699pt" stroked="true" strokeweight=".885563pt" strokecolor="#000000">
                    <v:stroke dashstyle="shortdash"/>
                    <w10:wrap type="none"/>
                  </v:line>
                </w:pict>
              </mc:Fallback>
            </mc:AlternateContent>
          </w:r>
          <w:hyperlink w:history="true" w:anchor="_TOC_250018">
            <w:r>
              <w:rPr/>
              <w:t>Physical</w:t>
            </w:r>
            <w:r>
              <w:rPr>
                <w:spacing w:val="-9"/>
              </w:rPr>
              <w:t> </w:t>
            </w:r>
            <w:r>
              <w:rPr>
                <w:spacing w:val="-2"/>
              </w:rPr>
              <w:t>method</w:t>
            </w:r>
            <w:r>
              <w:rPr/>
              <w:tab/>
            </w:r>
            <w:r>
              <w:rPr>
                <w:spacing w:val="-5"/>
              </w:rPr>
              <w:t>26</w:t>
            </w:r>
          </w:hyperlink>
        </w:p>
        <w:p>
          <w:pPr>
            <w:pStyle w:val="TOC3"/>
            <w:numPr>
              <w:ilvl w:val="2"/>
              <w:numId w:val="2"/>
            </w:numPr>
            <w:tabs>
              <w:tab w:pos="914" w:val="left" w:leader="none"/>
              <w:tab w:pos="8416" w:val="right" w:leader="hyphen"/>
            </w:tabs>
            <w:spacing w:line="240" w:lineRule="auto" w:before="276" w:after="0"/>
            <w:ind w:left="914" w:right="0" w:hanging="661"/>
            <w:jc w:val="left"/>
          </w:pPr>
          <w:hyperlink w:history="true" w:anchor="_TOC_250017">
            <w:r>
              <w:rPr/>
              <w:t>Conventional</w:t>
            </w:r>
            <w:r>
              <w:rPr>
                <w:spacing w:val="-7"/>
              </w:rPr>
              <w:t> </w:t>
            </w:r>
            <w:r>
              <w:rPr/>
              <w:t>edible</w:t>
            </w:r>
            <w:r>
              <w:rPr>
                <w:spacing w:val="-2"/>
              </w:rPr>
              <w:t> </w:t>
            </w:r>
            <w:r>
              <w:rPr/>
              <w:t>oil</w:t>
            </w:r>
            <w:r>
              <w:rPr>
                <w:spacing w:val="-10"/>
              </w:rPr>
              <w:t> </w:t>
            </w:r>
            <w:r>
              <w:rPr/>
              <w:t>refining</w:t>
            </w:r>
            <w:r>
              <w:rPr>
                <w:spacing w:val="3"/>
              </w:rPr>
              <w:t> </w:t>
            </w:r>
            <w:r>
              <w:rPr>
                <w:spacing w:val="-2"/>
              </w:rPr>
              <w:t>methods</w:t>
            </w:r>
            <w:r>
              <w:rPr/>
              <w:tab/>
            </w:r>
            <w:r>
              <w:rPr>
                <w:spacing w:val="-5"/>
              </w:rPr>
              <w:t>27</w:t>
            </w:r>
          </w:hyperlink>
        </w:p>
        <w:p>
          <w:pPr>
            <w:pStyle w:val="TOC1"/>
            <w:numPr>
              <w:ilvl w:val="1"/>
              <w:numId w:val="7"/>
            </w:numPr>
            <w:tabs>
              <w:tab w:pos="973" w:val="left" w:leader="none"/>
              <w:tab w:pos="8416" w:val="right" w:leader="hyphen"/>
            </w:tabs>
            <w:spacing w:line="240" w:lineRule="auto" w:before="833" w:after="0"/>
            <w:ind w:left="973" w:right="0" w:hanging="720"/>
            <w:jc w:val="left"/>
          </w:pPr>
          <w:r>
            <w:rPr/>
            <w:t>MATERIALS</w:t>
          </w:r>
          <w:r>
            <w:rPr>
              <w:spacing w:val="-3"/>
            </w:rPr>
            <w:t> </w:t>
          </w:r>
          <w:r>
            <w:rPr/>
            <w:t>AND</w:t>
          </w:r>
          <w:r>
            <w:rPr>
              <w:spacing w:val="-3"/>
            </w:rPr>
            <w:t> </w:t>
          </w:r>
          <w:r>
            <w:rPr>
              <w:spacing w:val="-2"/>
            </w:rPr>
            <w:t>METHODS</w:t>
          </w:r>
          <w:r>
            <w:rPr/>
            <w:tab/>
          </w:r>
          <w:r>
            <w:rPr>
              <w:spacing w:val="-5"/>
            </w:rPr>
            <w:t>29</w:t>
          </w:r>
        </w:p>
        <w:p>
          <w:pPr>
            <w:pStyle w:val="TOC2"/>
            <w:numPr>
              <w:ilvl w:val="1"/>
              <w:numId w:val="7"/>
            </w:numPr>
            <w:tabs>
              <w:tab w:pos="612" w:val="left" w:leader="none"/>
              <w:tab w:pos="8416" w:val="right" w:leader="hyphen"/>
            </w:tabs>
            <w:spacing w:line="240" w:lineRule="auto" w:before="276" w:after="0"/>
            <w:ind w:left="612" w:right="0" w:hanging="359"/>
            <w:jc w:val="left"/>
          </w:pPr>
          <w:hyperlink w:history="true" w:anchor="_TOC_250016">
            <w:r>
              <w:rPr>
                <w:spacing w:val="-2"/>
              </w:rPr>
              <w:t>Materials</w:t>
            </w:r>
            <w:r>
              <w:rPr/>
              <w:tab/>
            </w:r>
            <w:r>
              <w:rPr>
                <w:spacing w:val="-5"/>
              </w:rPr>
              <w:t>29</w:t>
            </w:r>
          </w:hyperlink>
        </w:p>
        <w:p>
          <w:pPr>
            <w:pStyle w:val="TOC3"/>
            <w:numPr>
              <w:ilvl w:val="2"/>
              <w:numId w:val="7"/>
            </w:numPr>
            <w:tabs>
              <w:tab w:pos="794" w:val="left" w:leader="none"/>
              <w:tab w:pos="8416" w:val="right" w:leader="none"/>
            </w:tabs>
            <w:spacing w:line="240" w:lineRule="auto" w:before="271" w:after="0"/>
            <w:ind w:left="794" w:right="0" w:hanging="541"/>
            <w:jc w:val="left"/>
          </w:pPr>
          <w:r>
            <w:rPr/>
            <mc:AlternateContent>
              <mc:Choice Requires="wps">
                <w:drawing>
                  <wp:anchor distT="0" distB="0" distL="0" distR="0" allowOverlap="1" layoutInCell="1" locked="0" behindDoc="1" simplePos="0" relativeHeight="485031936">
                    <wp:simplePos x="0" y="0"/>
                    <wp:positionH relativeFrom="page">
                      <wp:posOffset>3332734</wp:posOffset>
                    </wp:positionH>
                    <wp:positionV relativeFrom="paragraph">
                      <wp:posOffset>280484</wp:posOffset>
                    </wp:positionV>
                    <wp:extent cx="289687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2896870" cy="1270"/>
                            </a:xfrm>
                            <a:custGeom>
                              <a:avLst/>
                              <a:gdLst/>
                              <a:ahLst/>
                              <a:cxnLst/>
                              <a:rect l="l" t="t" r="r" b="b"/>
                              <a:pathLst>
                                <a:path w="2896870" h="0">
                                  <a:moveTo>
                                    <a:pt x="0" y="0"/>
                                  </a:moveTo>
                                  <a:lnTo>
                                    <a:pt x="2896284"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4544" from="262.420013pt,22.08539pt" to="490.473896pt,22.08539pt" stroked="true" strokeweight=".885563pt" strokecolor="#000000">
                    <v:stroke dashstyle="shortdash"/>
                    <w10:wrap type="none"/>
                  </v:line>
                </w:pict>
              </mc:Fallback>
            </mc:AlternateContent>
          </w:r>
          <w:hyperlink w:history="true" w:anchor="_TOC_250015">
            <w:r>
              <w:rPr/>
              <w:t>Collection</w:t>
            </w:r>
            <w:r>
              <w:rPr>
                <w:spacing w:val="-7"/>
              </w:rPr>
              <w:t> </w:t>
            </w:r>
            <w:r>
              <w:rPr/>
              <w:t>of</w:t>
            </w:r>
            <w:r>
              <w:rPr>
                <w:spacing w:val="-9"/>
              </w:rPr>
              <w:t> </w:t>
            </w:r>
            <w:r>
              <w:rPr/>
              <w:t>plant</w:t>
            </w:r>
            <w:r>
              <w:rPr>
                <w:spacing w:val="8"/>
              </w:rPr>
              <w:t> </w:t>
            </w:r>
            <w:r>
              <w:rPr>
                <w:spacing w:val="-2"/>
              </w:rPr>
              <w:t>materials</w:t>
            </w:r>
            <w:r>
              <w:rPr/>
              <w:tab/>
            </w:r>
            <w:r>
              <w:rPr>
                <w:spacing w:val="-5"/>
              </w:rPr>
              <w:t>29</w:t>
            </w:r>
          </w:hyperlink>
        </w:p>
        <w:p>
          <w:pPr>
            <w:pStyle w:val="TOC3"/>
            <w:numPr>
              <w:ilvl w:val="2"/>
              <w:numId w:val="7"/>
            </w:numPr>
            <w:tabs>
              <w:tab w:pos="794" w:val="left" w:leader="none"/>
              <w:tab w:pos="8416" w:val="right" w:leader="none"/>
            </w:tabs>
            <w:spacing w:line="240" w:lineRule="auto" w:before="277" w:after="20"/>
            <w:ind w:left="794" w:right="0" w:hanging="541"/>
            <w:jc w:val="left"/>
          </w:pPr>
          <w:r>
            <w:rPr/>
            <mc:AlternateContent>
              <mc:Choice Requires="wps">
                <w:drawing>
                  <wp:anchor distT="0" distB="0" distL="0" distR="0" allowOverlap="1" layoutInCell="1" locked="0" behindDoc="1" simplePos="0" relativeHeight="485032448">
                    <wp:simplePos x="0" y="0"/>
                    <wp:positionH relativeFrom="page">
                      <wp:posOffset>2924301</wp:posOffset>
                    </wp:positionH>
                    <wp:positionV relativeFrom="paragraph">
                      <wp:posOffset>284004</wp:posOffset>
                    </wp:positionV>
                    <wp:extent cx="330454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304540" cy="1270"/>
                            </a:xfrm>
                            <a:custGeom>
                              <a:avLst/>
                              <a:gdLst/>
                              <a:ahLst/>
                              <a:cxnLst/>
                              <a:rect l="l" t="t" r="r" b="b"/>
                              <a:pathLst>
                                <a:path w="3304540" h="0">
                                  <a:moveTo>
                                    <a:pt x="0" y="0"/>
                                  </a:moveTo>
                                  <a:lnTo>
                                    <a:pt x="330441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4032" from="230.259995pt,22.362562pt" to="490.450159pt,22.362562pt" stroked="true" strokeweight=".885563pt" strokecolor="#000000">
                    <v:stroke dashstyle="dash"/>
                    <w10:wrap type="none"/>
                  </v:line>
                </w:pict>
              </mc:Fallback>
            </mc:AlternateContent>
          </w:r>
          <w:hyperlink w:history="true" w:anchor="_TOC_250014">
            <w:r>
              <w:rPr/>
              <w:t>Experimental</w:t>
            </w:r>
            <w:r>
              <w:rPr>
                <w:spacing w:val="-10"/>
              </w:rPr>
              <w:t> </w:t>
            </w:r>
            <w:r>
              <w:rPr>
                <w:spacing w:val="-2"/>
              </w:rPr>
              <w:t>animals</w:t>
            </w:r>
            <w:r>
              <w:rPr/>
              <w:tab/>
            </w:r>
            <w:r>
              <w:rPr>
                <w:spacing w:val="-5"/>
              </w:rPr>
              <w:t>29</w:t>
            </w:r>
          </w:hyperlink>
        </w:p>
        <w:p>
          <w:pPr>
            <w:pStyle w:val="TOC3"/>
            <w:numPr>
              <w:ilvl w:val="2"/>
              <w:numId w:val="7"/>
            </w:numPr>
            <w:tabs>
              <w:tab w:pos="794" w:val="left" w:leader="none"/>
              <w:tab w:pos="8416" w:val="right" w:leader="none"/>
            </w:tabs>
            <w:spacing w:line="240" w:lineRule="auto" w:before="63" w:after="0"/>
            <w:ind w:left="794" w:right="0" w:hanging="541"/>
            <w:jc w:val="left"/>
          </w:pPr>
          <w:r>
            <w:rPr/>
            <mc:AlternateContent>
              <mc:Choice Requires="wps">
                <w:drawing>
                  <wp:anchor distT="0" distB="0" distL="0" distR="0" allowOverlap="1" layoutInCell="1" locked="0" behindDoc="1" simplePos="0" relativeHeight="485032960">
                    <wp:simplePos x="0" y="0"/>
                    <wp:positionH relativeFrom="page">
                      <wp:posOffset>2600832</wp:posOffset>
                    </wp:positionH>
                    <wp:positionV relativeFrom="paragraph">
                      <wp:posOffset>148472</wp:posOffset>
                    </wp:positionV>
                    <wp:extent cx="365506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655060" cy="1270"/>
                            </a:xfrm>
                            <a:custGeom>
                              <a:avLst/>
                              <a:gdLst/>
                              <a:ahLst/>
                              <a:cxnLst/>
                              <a:rect l="l" t="t" r="r" b="b"/>
                              <a:pathLst>
                                <a:path w="3655060" h="0">
                                  <a:moveTo>
                                    <a:pt x="0" y="0"/>
                                  </a:moveTo>
                                  <a:lnTo>
                                    <a:pt x="365486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3520" from="204.789993pt,11.690786pt" to="492.574535pt,11.690786pt" stroked="true" strokeweight=".885563pt" strokecolor="#000000">
                    <v:stroke dashstyle="shortdash"/>
                    <w10:wrap type="none"/>
                  </v:line>
                </w:pict>
              </mc:Fallback>
            </mc:AlternateContent>
          </w:r>
          <w:hyperlink w:history="true" w:anchor="_TOC_250013">
            <w:r>
              <w:rPr/>
              <w:t>Ethics</w:t>
            </w:r>
            <w:r>
              <w:rPr>
                <w:spacing w:val="-9"/>
              </w:rPr>
              <w:t> </w:t>
            </w:r>
            <w:r>
              <w:rPr>
                <w:spacing w:val="-2"/>
              </w:rPr>
              <w:t>statement</w:t>
            </w:r>
            <w:r>
              <w:rPr/>
              <w:tab/>
            </w:r>
            <w:r>
              <w:rPr>
                <w:spacing w:val="-5"/>
              </w:rPr>
              <w:t>30</w:t>
            </w:r>
          </w:hyperlink>
        </w:p>
        <w:p>
          <w:pPr>
            <w:pStyle w:val="TOC3"/>
            <w:numPr>
              <w:ilvl w:val="2"/>
              <w:numId w:val="7"/>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33472">
                    <wp:simplePos x="0" y="0"/>
                    <wp:positionH relativeFrom="page">
                      <wp:posOffset>3448558</wp:posOffset>
                    </wp:positionH>
                    <wp:positionV relativeFrom="paragraph">
                      <wp:posOffset>283742</wp:posOffset>
                    </wp:positionV>
                    <wp:extent cx="2795270" cy="127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2795270" cy="1270"/>
                            </a:xfrm>
                            <a:custGeom>
                              <a:avLst/>
                              <a:gdLst/>
                              <a:ahLst/>
                              <a:cxnLst/>
                              <a:rect l="l" t="t" r="r" b="b"/>
                              <a:pathLst>
                                <a:path w="2795270" h="0">
                                  <a:moveTo>
                                    <a:pt x="0" y="0"/>
                                  </a:moveTo>
                                  <a:lnTo>
                                    <a:pt x="279468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3008" from="271.540009pt,22.341934pt" to="491.594291pt,22.341934pt" stroked="true" strokeweight=".885563pt" strokecolor="#000000">
                    <v:stroke dashstyle="shortdash"/>
                    <w10:wrap type="none"/>
                  </v:line>
                </w:pict>
              </mc:Fallback>
            </mc:AlternateContent>
          </w:r>
          <w:hyperlink w:history="true" w:anchor="_TOC_250012">
            <w:r>
              <w:rPr/>
              <w:t>Chemicals,</w:t>
            </w:r>
            <w:r>
              <w:rPr>
                <w:spacing w:val="-4"/>
              </w:rPr>
              <w:t> </w:t>
            </w:r>
            <w:r>
              <w:rPr/>
              <w:t>solvents</w:t>
            </w:r>
            <w:r>
              <w:rPr>
                <w:spacing w:val="-6"/>
              </w:rPr>
              <w:t> </w:t>
            </w:r>
            <w:r>
              <w:rPr/>
              <w:t>and</w:t>
            </w:r>
            <w:r>
              <w:rPr>
                <w:spacing w:val="-5"/>
              </w:rPr>
              <w:t> </w:t>
            </w:r>
            <w:r>
              <w:rPr>
                <w:spacing w:val="-2"/>
              </w:rPr>
              <w:t>drugs</w:t>
            </w:r>
            <w:r>
              <w:rPr/>
              <w:tab/>
            </w:r>
            <w:r>
              <w:rPr>
                <w:spacing w:val="-5"/>
              </w:rPr>
              <w:t>30</w:t>
            </w:r>
          </w:hyperlink>
        </w:p>
        <w:p>
          <w:pPr>
            <w:pStyle w:val="TOC2"/>
            <w:numPr>
              <w:ilvl w:val="1"/>
              <w:numId w:val="7"/>
            </w:numPr>
            <w:tabs>
              <w:tab w:pos="612" w:val="left" w:leader="none"/>
              <w:tab w:pos="8416" w:val="right" w:leader="hyphen"/>
            </w:tabs>
            <w:spacing w:line="240" w:lineRule="auto" w:before="282" w:after="0"/>
            <w:ind w:left="612" w:right="0" w:hanging="359"/>
            <w:jc w:val="left"/>
          </w:pPr>
          <w:hyperlink w:history="true" w:anchor="_TOC_250011">
            <w:r>
              <w:rPr>
                <w:spacing w:val="-2"/>
              </w:rPr>
              <w:t>Methods</w:t>
            </w:r>
            <w:r>
              <w:rPr/>
              <w:tab/>
            </w:r>
            <w:r>
              <w:rPr>
                <w:spacing w:val="-5"/>
              </w:rPr>
              <w:t>30</w:t>
            </w:r>
          </w:hyperlink>
        </w:p>
        <w:p>
          <w:pPr>
            <w:pStyle w:val="TOC3"/>
            <w:numPr>
              <w:ilvl w:val="2"/>
              <w:numId w:val="7"/>
            </w:numPr>
            <w:tabs>
              <w:tab w:pos="794" w:val="left" w:leader="none"/>
              <w:tab w:pos="8416" w:val="right" w:leader="hyphen"/>
            </w:tabs>
            <w:spacing w:line="240" w:lineRule="auto" w:before="271" w:after="0"/>
            <w:ind w:left="794" w:right="0" w:hanging="541"/>
            <w:jc w:val="left"/>
          </w:pPr>
          <w:hyperlink w:history="true" w:anchor="_TOC_250010">
            <w:r>
              <w:rPr/>
              <w:t>Extraction</w:t>
            </w:r>
            <w:r>
              <w:rPr>
                <w:spacing w:val="-7"/>
              </w:rPr>
              <w:t> </w:t>
            </w:r>
            <w:r>
              <w:rPr/>
              <w:t>of</w:t>
            </w:r>
            <w:r>
              <w:rPr>
                <w:spacing w:val="-7"/>
              </w:rPr>
              <w:t> </w:t>
            </w:r>
            <w:r>
              <w:rPr/>
              <w:t>seed oils</w:t>
            </w:r>
            <w:r>
              <w:rPr>
                <w:spacing w:val="-1"/>
              </w:rPr>
              <w:t> </w:t>
            </w:r>
            <w:r>
              <w:rPr/>
              <w:t>and determination</w:t>
            </w:r>
            <w:r>
              <w:rPr>
                <w:spacing w:val="-4"/>
              </w:rPr>
              <w:t> </w:t>
            </w:r>
            <w:r>
              <w:rPr/>
              <w:t>of</w:t>
            </w:r>
            <w:r>
              <w:rPr>
                <w:spacing w:val="-7"/>
              </w:rPr>
              <w:t> </w:t>
            </w:r>
            <w:r>
              <w:rPr>
                <w:spacing w:val="-2"/>
              </w:rPr>
              <w:t>yield</w:t>
            </w:r>
            <w:r>
              <w:rPr/>
              <w:tab/>
            </w:r>
            <w:r>
              <w:rPr>
                <w:spacing w:val="-5"/>
              </w:rPr>
              <w:t>31</w:t>
            </w:r>
          </w:hyperlink>
        </w:p>
        <w:p>
          <w:pPr>
            <w:pStyle w:val="TOC3"/>
            <w:numPr>
              <w:ilvl w:val="2"/>
              <w:numId w:val="7"/>
            </w:numPr>
            <w:tabs>
              <w:tab w:pos="794" w:val="left" w:leader="none"/>
              <w:tab w:pos="8416" w:val="right" w:leader="hyphen"/>
            </w:tabs>
            <w:spacing w:line="240" w:lineRule="auto" w:before="276" w:after="0"/>
            <w:ind w:left="794" w:right="0" w:hanging="541"/>
            <w:jc w:val="left"/>
          </w:pPr>
          <w:hyperlink w:history="true" w:anchor="_TOC_250009">
            <w:r>
              <w:rPr/>
              <w:t>Determination</w:t>
            </w:r>
            <w:r>
              <w:rPr>
                <w:spacing w:val="-6"/>
              </w:rPr>
              <w:t> </w:t>
            </w:r>
            <w:r>
              <w:rPr/>
              <w:t>of</w:t>
            </w:r>
            <w:r>
              <w:rPr>
                <w:spacing w:val="-9"/>
              </w:rPr>
              <w:t> </w:t>
            </w:r>
            <w:r>
              <w:rPr/>
              <w:t>physicochemical</w:t>
            </w:r>
            <w:r>
              <w:rPr>
                <w:spacing w:val="-9"/>
              </w:rPr>
              <w:t> </w:t>
            </w:r>
            <w:r>
              <w:rPr>
                <w:spacing w:val="-2"/>
              </w:rPr>
              <w:t>properties</w:t>
            </w:r>
            <w:r>
              <w:rPr/>
              <w:tab/>
            </w:r>
            <w:r>
              <w:rPr>
                <w:spacing w:val="-5"/>
              </w:rPr>
              <w:t>31</w:t>
            </w:r>
          </w:hyperlink>
        </w:p>
        <w:p>
          <w:pPr>
            <w:pStyle w:val="TOC5"/>
            <w:numPr>
              <w:ilvl w:val="2"/>
              <w:numId w:val="7"/>
            </w:numPr>
            <w:tabs>
              <w:tab w:pos="794" w:val="left" w:leader="none"/>
              <w:tab w:pos="8416" w:val="right" w:leader="hyphen"/>
            </w:tabs>
            <w:spacing w:line="240" w:lineRule="auto" w:before="276" w:after="0"/>
            <w:ind w:left="794" w:right="0" w:hanging="541"/>
            <w:jc w:val="left"/>
            <w:rPr>
              <w:b w:val="0"/>
              <w:i w:val="0"/>
              <w:sz w:val="24"/>
            </w:rPr>
          </w:pPr>
          <w:r>
            <w:rPr>
              <w:b w:val="0"/>
              <w:i w:val="0"/>
              <w:sz w:val="24"/>
            </w:rPr>
            <w:t>Detoxification</w:t>
          </w:r>
          <w:r>
            <w:rPr>
              <w:b w:val="0"/>
              <w:i w:val="0"/>
              <w:spacing w:val="-6"/>
              <w:sz w:val="24"/>
            </w:rPr>
            <w:t> </w:t>
          </w:r>
          <w:r>
            <w:rPr>
              <w:b w:val="0"/>
              <w:i w:val="0"/>
              <w:sz w:val="24"/>
            </w:rPr>
            <w:t>of</w:t>
          </w:r>
          <w:r>
            <w:rPr>
              <w:b w:val="0"/>
              <w:i w:val="0"/>
              <w:spacing w:val="-6"/>
              <w:sz w:val="24"/>
            </w:rPr>
            <w:t> </w:t>
          </w:r>
          <w:r>
            <w:rPr>
              <w:b w:val="0"/>
              <w:sz w:val="24"/>
            </w:rPr>
            <w:t>Jatropha</w:t>
          </w:r>
          <w:r>
            <w:rPr>
              <w:b w:val="0"/>
              <w:spacing w:val="-1"/>
              <w:sz w:val="24"/>
            </w:rPr>
            <w:t> </w:t>
          </w:r>
          <w:r>
            <w:rPr>
              <w:b w:val="0"/>
              <w:spacing w:val="-2"/>
              <w:sz w:val="24"/>
            </w:rPr>
            <w:t>curcas</w:t>
          </w:r>
          <w:r>
            <w:rPr>
              <w:b w:val="0"/>
              <w:sz w:val="24"/>
            </w:rPr>
            <w:tab/>
          </w:r>
          <w:r>
            <w:rPr>
              <w:b w:val="0"/>
              <w:i w:val="0"/>
              <w:spacing w:val="-5"/>
              <w:sz w:val="24"/>
            </w:rPr>
            <w:t>33</w:t>
          </w:r>
        </w:p>
        <w:p>
          <w:pPr>
            <w:pStyle w:val="TOC3"/>
            <w:numPr>
              <w:ilvl w:val="2"/>
              <w:numId w:val="7"/>
            </w:numPr>
            <w:tabs>
              <w:tab w:pos="794" w:val="left" w:leader="none"/>
              <w:tab w:pos="8416" w:val="right" w:leader="none"/>
            </w:tabs>
            <w:spacing w:line="240" w:lineRule="auto" w:before="276" w:after="0"/>
            <w:ind w:left="794" w:right="0" w:hanging="541"/>
            <w:jc w:val="left"/>
          </w:pPr>
          <w:r>
            <w:rPr/>
            <mc:AlternateContent>
              <mc:Choice Requires="wps">
                <w:drawing>
                  <wp:anchor distT="0" distB="0" distL="0" distR="0" allowOverlap="1" layoutInCell="1" locked="0" behindDoc="1" simplePos="0" relativeHeight="485033984">
                    <wp:simplePos x="0" y="0"/>
                    <wp:positionH relativeFrom="page">
                      <wp:posOffset>3122422</wp:posOffset>
                    </wp:positionH>
                    <wp:positionV relativeFrom="paragraph">
                      <wp:posOffset>283817</wp:posOffset>
                    </wp:positionV>
                    <wp:extent cx="309689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096895" cy="1270"/>
                            </a:xfrm>
                            <a:custGeom>
                              <a:avLst/>
                              <a:gdLst/>
                              <a:ahLst/>
                              <a:cxnLst/>
                              <a:rect l="l" t="t" r="r" b="b"/>
                              <a:pathLst>
                                <a:path w="3096895" h="0">
                                  <a:moveTo>
                                    <a:pt x="0" y="0"/>
                                  </a:moveTo>
                                  <a:lnTo>
                                    <a:pt x="309669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2496" from="245.860001pt,22.347841pt" to="489.694542pt,22.347841pt" stroked="true" strokeweight=".885563pt" strokecolor="#000000">
                    <v:stroke dashstyle="shortdash"/>
                    <w10:wrap type="none"/>
                  </v:line>
                </w:pict>
              </mc:Fallback>
            </mc:AlternateContent>
          </w:r>
          <w:hyperlink w:history="true" w:anchor="_TOC_250008">
            <w:r>
              <w:rPr/>
              <w:t>Phytochemical</w:t>
            </w:r>
            <w:r>
              <w:rPr>
                <w:spacing w:val="-11"/>
              </w:rPr>
              <w:t> </w:t>
            </w:r>
            <w:r>
              <w:rPr>
                <w:spacing w:val="-2"/>
              </w:rPr>
              <w:t>screening</w:t>
            </w:r>
            <w:r>
              <w:rPr/>
              <w:tab/>
            </w:r>
            <w:r>
              <w:rPr>
                <w:spacing w:val="-5"/>
              </w:rPr>
              <w:t>36</w:t>
            </w:r>
          </w:hyperlink>
        </w:p>
        <w:p>
          <w:pPr>
            <w:pStyle w:val="TOC3"/>
            <w:numPr>
              <w:ilvl w:val="2"/>
              <w:numId w:val="7"/>
            </w:numPr>
            <w:tabs>
              <w:tab w:pos="794" w:val="left" w:leader="none"/>
              <w:tab w:pos="8416" w:val="right" w:leader="hyphen"/>
            </w:tabs>
            <w:spacing w:line="240" w:lineRule="auto" w:before="276" w:after="0"/>
            <w:ind w:left="794" w:right="0" w:hanging="541"/>
            <w:jc w:val="left"/>
          </w:pPr>
          <w:hyperlink w:history="true" w:anchor="_TOC_250007">
            <w:r>
              <w:rPr/>
              <w:t>Acid</w:t>
            </w:r>
            <w:r>
              <w:rPr>
                <w:spacing w:val="-2"/>
              </w:rPr>
              <w:t> </w:t>
            </w:r>
            <w:r>
              <w:rPr/>
              <w:t>digestion</w:t>
            </w:r>
            <w:r>
              <w:rPr>
                <w:spacing w:val="-4"/>
              </w:rPr>
              <w:t> </w:t>
            </w:r>
            <w:r>
              <w:rPr/>
              <w:t>of</w:t>
            </w:r>
            <w:r>
              <w:rPr>
                <w:spacing w:val="-8"/>
              </w:rPr>
              <w:t> </w:t>
            </w:r>
            <w:r>
              <w:rPr/>
              <w:t>oil</w:t>
            </w:r>
            <w:r>
              <w:rPr>
                <w:spacing w:val="-4"/>
              </w:rPr>
              <w:t> </w:t>
            </w:r>
            <w:r>
              <w:rPr/>
              <w:t>samples</w:t>
            </w:r>
            <w:r>
              <w:rPr>
                <w:spacing w:val="-1"/>
              </w:rPr>
              <w:t> </w:t>
            </w:r>
            <w:r>
              <w:rPr/>
              <w:t>and</w:t>
            </w:r>
            <w:r>
              <w:rPr>
                <w:spacing w:val="6"/>
              </w:rPr>
              <w:t> </w:t>
            </w:r>
            <w:r>
              <w:rPr/>
              <w:t>determination</w:t>
            </w:r>
            <w:r>
              <w:rPr>
                <w:spacing w:val="-9"/>
              </w:rPr>
              <w:t> </w:t>
            </w:r>
            <w:r>
              <w:rPr/>
              <w:t>of</w:t>
            </w:r>
            <w:r>
              <w:rPr>
                <w:spacing w:val="-7"/>
              </w:rPr>
              <w:t> </w:t>
            </w:r>
            <w:r>
              <w:rPr>
                <w:spacing w:val="-2"/>
              </w:rPr>
              <w:t>elements</w:t>
            </w:r>
            <w:r>
              <w:rPr/>
              <w:tab/>
            </w:r>
            <w:r>
              <w:rPr>
                <w:spacing w:val="-5"/>
              </w:rPr>
              <w:t>38</w:t>
            </w:r>
          </w:hyperlink>
        </w:p>
        <w:p>
          <w:pPr>
            <w:pStyle w:val="TOC5"/>
            <w:numPr>
              <w:ilvl w:val="2"/>
              <w:numId w:val="7"/>
            </w:numPr>
            <w:tabs>
              <w:tab w:pos="794" w:val="left" w:leader="none"/>
              <w:tab w:pos="8416" w:val="right" w:leader="hyphen"/>
            </w:tabs>
            <w:spacing w:line="240" w:lineRule="auto" w:before="277" w:after="0"/>
            <w:ind w:left="794" w:right="0" w:hanging="541"/>
            <w:jc w:val="left"/>
            <w:rPr>
              <w:b w:val="0"/>
              <w:i w:val="0"/>
              <w:sz w:val="24"/>
            </w:rPr>
          </w:pPr>
          <w:r>
            <w:rPr>
              <w:b w:val="0"/>
              <w:i w:val="0"/>
              <w:sz w:val="24"/>
            </w:rPr>
            <w:t>Isolation</w:t>
          </w:r>
          <w:r>
            <w:rPr>
              <w:b w:val="0"/>
              <w:i w:val="0"/>
              <w:spacing w:val="-5"/>
              <w:sz w:val="24"/>
            </w:rPr>
            <w:t> </w:t>
          </w:r>
          <w:r>
            <w:rPr>
              <w:b w:val="0"/>
              <w:i w:val="0"/>
              <w:sz w:val="24"/>
            </w:rPr>
            <w:t>and estimation</w:t>
          </w:r>
          <w:r>
            <w:rPr>
              <w:b w:val="0"/>
              <w:i w:val="0"/>
              <w:spacing w:val="-5"/>
              <w:sz w:val="24"/>
            </w:rPr>
            <w:t> </w:t>
          </w:r>
          <w:r>
            <w:rPr>
              <w:b w:val="0"/>
              <w:i w:val="0"/>
              <w:sz w:val="24"/>
            </w:rPr>
            <w:t>of</w:t>
          </w:r>
          <w:r>
            <w:rPr>
              <w:b w:val="0"/>
              <w:i w:val="0"/>
              <w:spacing w:val="-8"/>
              <w:sz w:val="24"/>
            </w:rPr>
            <w:t> </w:t>
          </w:r>
          <w:r>
            <w:rPr>
              <w:b w:val="0"/>
              <w:i w:val="0"/>
              <w:sz w:val="24"/>
            </w:rPr>
            <w:t>phorbol</w:t>
          </w:r>
          <w:r>
            <w:rPr>
              <w:b w:val="0"/>
              <w:i w:val="0"/>
              <w:spacing w:val="-9"/>
              <w:sz w:val="24"/>
            </w:rPr>
            <w:t> </w:t>
          </w:r>
          <w:r>
            <w:rPr>
              <w:b w:val="0"/>
              <w:i w:val="0"/>
              <w:sz w:val="24"/>
            </w:rPr>
            <w:t>esters</w:t>
          </w:r>
          <w:r>
            <w:rPr>
              <w:b w:val="0"/>
              <w:i w:val="0"/>
              <w:spacing w:val="2"/>
              <w:sz w:val="24"/>
            </w:rPr>
            <w:t> </w:t>
          </w:r>
          <w:r>
            <w:rPr>
              <w:b w:val="0"/>
              <w:i w:val="0"/>
              <w:sz w:val="24"/>
            </w:rPr>
            <w:t>from</w:t>
          </w:r>
          <w:r>
            <w:rPr>
              <w:b w:val="0"/>
              <w:i w:val="0"/>
              <w:spacing w:val="4"/>
              <w:sz w:val="24"/>
            </w:rPr>
            <w:t> </w:t>
          </w:r>
          <w:r>
            <w:rPr>
              <w:b w:val="0"/>
              <w:sz w:val="24"/>
            </w:rPr>
            <w:t>Jatropha curcas</w:t>
          </w:r>
          <w:r>
            <w:rPr>
              <w:b w:val="0"/>
              <w:spacing w:val="-1"/>
              <w:sz w:val="24"/>
            </w:rPr>
            <w:t> </w:t>
          </w:r>
          <w:r>
            <w:rPr>
              <w:b w:val="0"/>
              <w:i w:val="0"/>
              <w:spacing w:val="-4"/>
              <w:sz w:val="24"/>
            </w:rPr>
            <w:t>oils</w:t>
          </w:r>
          <w:r>
            <w:rPr>
              <w:b w:val="0"/>
              <w:i w:val="0"/>
              <w:sz w:val="24"/>
            </w:rPr>
            <w:tab/>
          </w:r>
          <w:r>
            <w:rPr>
              <w:b w:val="0"/>
              <w:i w:val="0"/>
              <w:spacing w:val="-5"/>
              <w:sz w:val="24"/>
            </w:rPr>
            <w:t>38</w:t>
          </w:r>
        </w:p>
        <w:p>
          <w:pPr>
            <w:pStyle w:val="TOC5"/>
            <w:numPr>
              <w:ilvl w:val="2"/>
              <w:numId w:val="7"/>
            </w:numPr>
            <w:tabs>
              <w:tab w:pos="794" w:val="left" w:leader="none"/>
              <w:tab w:pos="8416" w:val="right" w:leader="hyphen"/>
            </w:tabs>
            <w:spacing w:line="240" w:lineRule="auto" w:before="276" w:after="0"/>
            <w:ind w:left="794" w:right="0" w:hanging="541"/>
            <w:jc w:val="left"/>
            <w:rPr>
              <w:b w:val="0"/>
              <w:i w:val="0"/>
              <w:sz w:val="24"/>
            </w:rPr>
          </w:pPr>
          <w:r>
            <w:rPr>
              <w:b w:val="0"/>
              <w:i w:val="0"/>
              <w:sz w:val="24"/>
            </w:rPr>
            <w:t>Acute</w:t>
          </w:r>
          <w:r>
            <w:rPr>
              <w:b w:val="0"/>
              <w:i w:val="0"/>
              <w:spacing w:val="-5"/>
              <w:sz w:val="24"/>
            </w:rPr>
            <w:t> </w:t>
          </w:r>
          <w:r>
            <w:rPr>
              <w:b w:val="0"/>
              <w:i w:val="0"/>
              <w:sz w:val="24"/>
            </w:rPr>
            <w:t>toxicity</w:t>
          </w:r>
          <w:r>
            <w:rPr>
              <w:b w:val="0"/>
              <w:i w:val="0"/>
              <w:spacing w:val="-4"/>
              <w:sz w:val="24"/>
            </w:rPr>
            <w:t> </w:t>
          </w:r>
          <w:r>
            <w:rPr>
              <w:b w:val="0"/>
              <w:i w:val="0"/>
              <w:sz w:val="24"/>
            </w:rPr>
            <w:t>studies</w:t>
          </w:r>
          <w:r>
            <w:rPr>
              <w:b w:val="0"/>
              <w:i w:val="0"/>
              <w:spacing w:val="-1"/>
              <w:sz w:val="24"/>
            </w:rPr>
            <w:t> </w:t>
          </w:r>
          <w:r>
            <w:rPr>
              <w:b w:val="0"/>
              <w:i w:val="0"/>
              <w:sz w:val="24"/>
            </w:rPr>
            <w:t>of</w:t>
          </w:r>
          <w:r>
            <w:rPr>
              <w:b w:val="0"/>
              <w:i w:val="0"/>
              <w:spacing w:val="-2"/>
              <w:sz w:val="24"/>
            </w:rPr>
            <w:t> </w:t>
          </w:r>
          <w:r>
            <w:rPr>
              <w:b w:val="0"/>
              <w:sz w:val="24"/>
            </w:rPr>
            <w:t>Jatropha</w:t>
          </w:r>
          <w:r>
            <w:rPr>
              <w:b w:val="0"/>
              <w:spacing w:val="1"/>
              <w:sz w:val="24"/>
            </w:rPr>
            <w:t> </w:t>
          </w:r>
          <w:r>
            <w:rPr>
              <w:b w:val="0"/>
              <w:sz w:val="24"/>
            </w:rPr>
            <w:t>curcas</w:t>
          </w:r>
          <w:r>
            <w:rPr>
              <w:b w:val="0"/>
              <w:spacing w:val="-1"/>
              <w:sz w:val="24"/>
            </w:rPr>
            <w:t> </w:t>
          </w:r>
          <w:r>
            <w:rPr>
              <w:b w:val="0"/>
              <w:i w:val="0"/>
              <w:sz w:val="24"/>
            </w:rPr>
            <w:t>seed</w:t>
          </w:r>
          <w:r>
            <w:rPr>
              <w:b w:val="0"/>
              <w:i w:val="0"/>
              <w:spacing w:val="-3"/>
              <w:sz w:val="24"/>
            </w:rPr>
            <w:t> </w:t>
          </w:r>
          <w:r>
            <w:rPr>
              <w:b w:val="0"/>
              <w:i w:val="0"/>
              <w:spacing w:val="-4"/>
              <w:sz w:val="24"/>
            </w:rPr>
            <w:t>oils</w:t>
          </w:r>
          <w:r>
            <w:rPr>
              <w:b w:val="0"/>
              <w:i w:val="0"/>
              <w:sz w:val="24"/>
            </w:rPr>
            <w:tab/>
          </w:r>
          <w:r>
            <w:rPr>
              <w:b w:val="0"/>
              <w:i w:val="0"/>
              <w:spacing w:val="-5"/>
              <w:sz w:val="24"/>
            </w:rPr>
            <w:t>39</w:t>
          </w:r>
        </w:p>
        <w:p>
          <w:pPr>
            <w:pStyle w:val="TOC5"/>
            <w:numPr>
              <w:ilvl w:val="2"/>
              <w:numId w:val="7"/>
            </w:numPr>
            <w:tabs>
              <w:tab w:pos="794" w:val="left" w:leader="none"/>
              <w:tab w:pos="8416" w:val="right" w:leader="hyphen"/>
            </w:tabs>
            <w:spacing w:line="240" w:lineRule="auto" w:before="276" w:after="0"/>
            <w:ind w:left="794" w:right="0" w:hanging="541"/>
            <w:jc w:val="left"/>
            <w:rPr>
              <w:b w:val="0"/>
              <w:i w:val="0"/>
              <w:sz w:val="24"/>
            </w:rPr>
          </w:pPr>
          <w:r>
            <w:rPr>
              <w:b w:val="0"/>
              <w:i w:val="0"/>
              <w:sz w:val="24"/>
            </w:rPr>
            <w:t>Sub-acute</w:t>
          </w:r>
          <w:r>
            <w:rPr>
              <w:b w:val="0"/>
              <w:i w:val="0"/>
              <w:spacing w:val="-6"/>
              <w:sz w:val="24"/>
            </w:rPr>
            <w:t> </w:t>
          </w:r>
          <w:r>
            <w:rPr>
              <w:b w:val="0"/>
              <w:i w:val="0"/>
              <w:sz w:val="24"/>
            </w:rPr>
            <w:t>toxicity</w:t>
          </w:r>
          <w:r>
            <w:rPr>
              <w:b w:val="0"/>
              <w:i w:val="0"/>
              <w:spacing w:val="-8"/>
              <w:sz w:val="24"/>
            </w:rPr>
            <w:t> </w:t>
          </w:r>
          <w:r>
            <w:rPr>
              <w:b w:val="0"/>
              <w:i w:val="0"/>
              <w:sz w:val="24"/>
            </w:rPr>
            <w:t>of</w:t>
          </w:r>
          <w:r>
            <w:rPr>
              <w:b w:val="0"/>
              <w:i w:val="0"/>
              <w:spacing w:val="-2"/>
              <w:sz w:val="24"/>
            </w:rPr>
            <w:t> </w:t>
          </w:r>
          <w:r>
            <w:rPr>
              <w:b w:val="0"/>
              <w:sz w:val="24"/>
            </w:rPr>
            <w:t>Jatropha</w:t>
          </w:r>
          <w:r>
            <w:rPr>
              <w:b w:val="0"/>
              <w:spacing w:val="2"/>
              <w:sz w:val="24"/>
            </w:rPr>
            <w:t> </w:t>
          </w:r>
          <w:r>
            <w:rPr>
              <w:b w:val="0"/>
              <w:sz w:val="24"/>
            </w:rPr>
            <w:t>curcas</w:t>
          </w:r>
          <w:r>
            <w:rPr>
              <w:b w:val="0"/>
              <w:spacing w:val="1"/>
              <w:sz w:val="24"/>
            </w:rPr>
            <w:t> </w:t>
          </w:r>
          <w:r>
            <w:rPr>
              <w:b w:val="0"/>
              <w:i w:val="0"/>
              <w:spacing w:val="-4"/>
              <w:sz w:val="24"/>
            </w:rPr>
            <w:t>oils</w:t>
          </w:r>
          <w:r>
            <w:rPr>
              <w:b w:val="0"/>
              <w:i w:val="0"/>
              <w:sz w:val="24"/>
            </w:rPr>
            <w:tab/>
          </w:r>
          <w:r>
            <w:rPr>
              <w:b w:val="0"/>
              <w:i w:val="0"/>
              <w:spacing w:val="-5"/>
              <w:sz w:val="24"/>
            </w:rPr>
            <w:t>40</w:t>
          </w:r>
        </w:p>
        <w:p>
          <w:pPr>
            <w:pStyle w:val="TOC3"/>
            <w:numPr>
              <w:ilvl w:val="2"/>
              <w:numId w:val="7"/>
            </w:numPr>
            <w:tabs>
              <w:tab w:pos="795" w:val="left" w:leader="none"/>
              <w:tab w:pos="8416" w:val="right" w:leader="none"/>
            </w:tabs>
            <w:spacing w:line="240" w:lineRule="auto" w:before="276" w:after="0"/>
            <w:ind w:left="795" w:right="0" w:hanging="542"/>
            <w:jc w:val="left"/>
          </w:pPr>
          <w:r>
            <w:rPr/>
            <mc:AlternateContent>
              <mc:Choice Requires="wps">
                <w:drawing>
                  <wp:anchor distT="0" distB="0" distL="0" distR="0" allowOverlap="1" layoutInCell="1" locked="0" behindDoc="1" simplePos="0" relativeHeight="485034496">
                    <wp:simplePos x="0" y="0"/>
                    <wp:positionH relativeFrom="page">
                      <wp:posOffset>3079750</wp:posOffset>
                    </wp:positionH>
                    <wp:positionV relativeFrom="paragraph">
                      <wp:posOffset>283891</wp:posOffset>
                    </wp:positionV>
                    <wp:extent cx="3148965"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148965" cy="1270"/>
                            </a:xfrm>
                            <a:custGeom>
                              <a:avLst/>
                              <a:gdLst/>
                              <a:ahLst/>
                              <a:cxnLst/>
                              <a:rect l="l" t="t" r="r" b="b"/>
                              <a:pathLst>
                                <a:path w="3148965" h="0">
                                  <a:moveTo>
                                    <a:pt x="0" y="0"/>
                                  </a:moveTo>
                                  <a:lnTo>
                                    <a:pt x="3148514"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1984" from="242.5pt,22.353659pt" to="490.414541pt,22.353659pt" stroked="true" strokeweight=".885563pt" strokecolor="#000000">
                    <v:stroke dashstyle="shortdash"/>
                    <w10:wrap type="none"/>
                  </v:line>
                </w:pict>
              </mc:Fallback>
            </mc:AlternateContent>
          </w:r>
          <w:hyperlink w:history="true" w:anchor="_TOC_250006">
            <w:r>
              <w:rPr>
                <w:spacing w:val="-2"/>
              </w:rPr>
              <w:t>Pharmacological</w:t>
            </w:r>
            <w:r>
              <w:rPr>
                <w:spacing w:val="14"/>
              </w:rPr>
              <w:t> </w:t>
            </w:r>
            <w:r>
              <w:rPr>
                <w:spacing w:val="-2"/>
              </w:rPr>
              <w:t>studies</w:t>
            </w:r>
            <w:r>
              <w:rPr/>
              <w:tab/>
            </w:r>
            <w:r>
              <w:rPr>
                <w:spacing w:val="-5"/>
              </w:rPr>
              <w:t>42</w:t>
            </w:r>
          </w:hyperlink>
        </w:p>
        <w:p>
          <w:pPr>
            <w:pStyle w:val="TOC3"/>
            <w:numPr>
              <w:ilvl w:val="2"/>
              <w:numId w:val="7"/>
            </w:numPr>
            <w:tabs>
              <w:tab w:pos="914" w:val="left" w:leader="none"/>
              <w:tab w:pos="8416" w:val="right" w:leader="none"/>
            </w:tabs>
            <w:spacing w:line="240" w:lineRule="auto" w:before="277" w:after="0"/>
            <w:ind w:left="914" w:right="0" w:hanging="661"/>
            <w:jc w:val="left"/>
          </w:pPr>
          <w:r>
            <w:rPr/>
            <mc:AlternateContent>
              <mc:Choice Requires="wps">
                <w:drawing>
                  <wp:anchor distT="0" distB="0" distL="0" distR="0" allowOverlap="1" layoutInCell="1" locked="0" behindDoc="1" simplePos="0" relativeHeight="485035008">
                    <wp:simplePos x="0" y="0"/>
                    <wp:positionH relativeFrom="page">
                      <wp:posOffset>2798952</wp:posOffset>
                    </wp:positionH>
                    <wp:positionV relativeFrom="paragraph">
                      <wp:posOffset>283906</wp:posOffset>
                    </wp:positionV>
                    <wp:extent cx="345694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3456940" cy="1270"/>
                            </a:xfrm>
                            <a:custGeom>
                              <a:avLst/>
                              <a:gdLst/>
                              <a:ahLst/>
                              <a:cxnLst/>
                              <a:rect l="l" t="t" r="r" b="b"/>
                              <a:pathLst>
                                <a:path w="3456940" h="0">
                                  <a:moveTo>
                                    <a:pt x="0" y="0"/>
                                  </a:moveTo>
                                  <a:lnTo>
                                    <a:pt x="345659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1472" from="220.389999pt,22.354836pt" to="492.562635pt,22.354836pt" stroked="true" strokeweight=".885563pt" strokecolor="#000000">
                    <v:stroke dashstyle="shortdash"/>
                    <w10:wrap type="none"/>
                  </v:line>
                </w:pict>
              </mc:Fallback>
            </mc:AlternateContent>
          </w:r>
          <w:r>
            <w:rPr/>
            <w:t>Statistical</w:t>
          </w:r>
          <w:r>
            <w:rPr>
              <w:spacing w:val="-13"/>
            </w:rPr>
            <w:t> </w:t>
          </w:r>
          <w:r>
            <w:rPr>
              <w:spacing w:val="-2"/>
            </w:rPr>
            <w:t>analysis</w:t>
          </w:r>
          <w:r>
            <w:rPr/>
            <w:tab/>
          </w:r>
          <w:r>
            <w:rPr>
              <w:spacing w:val="-5"/>
            </w:rPr>
            <w:t>43</w:t>
          </w:r>
        </w:p>
        <w:p>
          <w:pPr>
            <w:pStyle w:val="TOC1"/>
            <w:numPr>
              <w:ilvl w:val="1"/>
              <w:numId w:val="8"/>
            </w:numPr>
            <w:tabs>
              <w:tab w:pos="973" w:val="left" w:leader="none"/>
            </w:tabs>
            <w:spacing w:line="240" w:lineRule="auto" w:before="833" w:after="0"/>
            <w:ind w:left="973" w:right="0" w:hanging="720"/>
            <w:jc w:val="left"/>
          </w:pPr>
          <w:r>
            <w:rPr>
              <w:spacing w:val="-2"/>
            </w:rPr>
            <w:t>RESULTS</w:t>
          </w:r>
        </w:p>
        <w:p>
          <w:pPr>
            <w:pStyle w:val="TOC2"/>
            <w:numPr>
              <w:ilvl w:val="1"/>
              <w:numId w:val="8"/>
            </w:numPr>
            <w:tabs>
              <w:tab w:pos="617" w:val="left" w:leader="none"/>
              <w:tab w:pos="8416" w:val="right" w:leader="hyphen"/>
            </w:tabs>
            <w:spacing w:line="240" w:lineRule="auto" w:before="276" w:after="0"/>
            <w:ind w:left="617" w:right="0" w:hanging="364"/>
            <w:jc w:val="left"/>
          </w:pPr>
          <w:r>
            <w:rPr/>
            <w:t>Oil</w:t>
          </w:r>
          <w:r>
            <w:rPr>
              <w:spacing w:val="-7"/>
            </w:rPr>
            <w:t> </w:t>
          </w:r>
          <w:r>
            <w:rPr/>
            <w:t>Yields</w:t>
          </w:r>
          <w:r>
            <w:rPr>
              <w:spacing w:val="-3"/>
            </w:rPr>
            <w:t> </w:t>
          </w:r>
          <w:r>
            <w:rPr/>
            <w:t>from</w:t>
          </w:r>
          <w:r>
            <w:rPr>
              <w:spacing w:val="-4"/>
            </w:rPr>
            <w:t> </w:t>
          </w:r>
          <w:r>
            <w:rPr/>
            <w:t>Both</w:t>
          </w:r>
          <w:r>
            <w:rPr>
              <w:spacing w:val="-1"/>
            </w:rPr>
            <w:t> </w:t>
          </w:r>
          <w:r>
            <w:rPr/>
            <w:t>Extraction </w:t>
          </w:r>
          <w:r>
            <w:rPr>
              <w:spacing w:val="-2"/>
            </w:rPr>
            <w:t>Methods</w:t>
          </w:r>
          <w:r>
            <w:rPr/>
            <w:tab/>
          </w:r>
          <w:r>
            <w:rPr>
              <w:spacing w:val="-5"/>
            </w:rPr>
            <w:t>44</w:t>
          </w:r>
        </w:p>
        <w:p>
          <w:pPr>
            <w:pStyle w:val="TOC5"/>
            <w:numPr>
              <w:ilvl w:val="1"/>
              <w:numId w:val="8"/>
            </w:numPr>
            <w:tabs>
              <w:tab w:pos="617" w:val="left" w:leader="none"/>
              <w:tab w:pos="8416" w:val="right" w:leader="hyphen"/>
            </w:tabs>
            <w:spacing w:line="240" w:lineRule="auto" w:before="276" w:after="0"/>
            <w:ind w:left="617" w:right="0" w:hanging="364"/>
            <w:jc w:val="left"/>
            <w:rPr>
              <w:i w:val="0"/>
              <w:sz w:val="24"/>
            </w:rPr>
          </w:pPr>
          <w:r>
            <w:rPr>
              <w:i w:val="0"/>
              <w:sz w:val="24"/>
            </w:rPr>
            <w:t>Physicochemical</w:t>
          </w:r>
          <w:r>
            <w:rPr>
              <w:i w:val="0"/>
              <w:spacing w:val="-7"/>
              <w:sz w:val="24"/>
            </w:rPr>
            <w:t> </w:t>
          </w:r>
          <w:r>
            <w:rPr>
              <w:i w:val="0"/>
              <w:sz w:val="24"/>
            </w:rPr>
            <w:t>Properties</w:t>
          </w:r>
          <w:r>
            <w:rPr>
              <w:i w:val="0"/>
              <w:spacing w:val="-5"/>
              <w:sz w:val="24"/>
            </w:rPr>
            <w:t> </w:t>
          </w:r>
          <w:r>
            <w:rPr>
              <w:i w:val="0"/>
              <w:sz w:val="24"/>
            </w:rPr>
            <w:t>of</w:t>
          </w:r>
          <w:r>
            <w:rPr>
              <w:i w:val="0"/>
              <w:spacing w:val="-1"/>
              <w:sz w:val="24"/>
            </w:rPr>
            <w:t> </w:t>
          </w:r>
          <w:r>
            <w:rPr>
              <w:sz w:val="24"/>
            </w:rPr>
            <w:t>Jatropha</w:t>
          </w:r>
          <w:r>
            <w:rPr>
              <w:spacing w:val="-1"/>
              <w:sz w:val="24"/>
            </w:rPr>
            <w:t> </w:t>
          </w:r>
          <w:r>
            <w:rPr>
              <w:sz w:val="24"/>
            </w:rPr>
            <w:t>curcas</w:t>
          </w:r>
          <w:r>
            <w:rPr>
              <w:spacing w:val="-2"/>
              <w:sz w:val="24"/>
            </w:rPr>
            <w:t> </w:t>
          </w:r>
          <w:r>
            <w:rPr>
              <w:i w:val="0"/>
              <w:spacing w:val="-4"/>
              <w:sz w:val="24"/>
            </w:rPr>
            <w:t>Oils</w:t>
          </w:r>
          <w:r>
            <w:rPr>
              <w:i w:val="0"/>
              <w:sz w:val="24"/>
            </w:rPr>
            <w:tab/>
          </w:r>
          <w:r>
            <w:rPr>
              <w:i w:val="0"/>
              <w:spacing w:val="-5"/>
              <w:sz w:val="24"/>
            </w:rPr>
            <w:t>45</w:t>
          </w:r>
        </w:p>
        <w:p>
          <w:pPr>
            <w:pStyle w:val="TOC5"/>
            <w:numPr>
              <w:ilvl w:val="1"/>
              <w:numId w:val="8"/>
            </w:numPr>
            <w:tabs>
              <w:tab w:pos="617" w:val="left" w:leader="none"/>
              <w:tab w:pos="8416" w:val="right" w:leader="hyphen"/>
            </w:tabs>
            <w:spacing w:line="240" w:lineRule="auto" w:before="276" w:after="0"/>
            <w:ind w:left="617" w:right="0" w:hanging="364"/>
            <w:jc w:val="left"/>
            <w:rPr>
              <w:i w:val="0"/>
              <w:sz w:val="24"/>
            </w:rPr>
          </w:pPr>
          <w:r>
            <w:rPr>
              <w:i w:val="0"/>
              <w:sz w:val="24"/>
            </w:rPr>
            <w:t>Detoxification</w:t>
          </w:r>
          <w:r>
            <w:rPr>
              <w:i w:val="0"/>
              <w:spacing w:val="-2"/>
              <w:sz w:val="24"/>
            </w:rPr>
            <w:t> </w:t>
          </w:r>
          <w:r>
            <w:rPr>
              <w:i w:val="0"/>
              <w:sz w:val="24"/>
            </w:rPr>
            <w:t>of</w:t>
          </w:r>
          <w:r>
            <w:rPr>
              <w:i w:val="0"/>
              <w:spacing w:val="-3"/>
              <w:sz w:val="24"/>
            </w:rPr>
            <w:t> </w:t>
          </w:r>
          <w:r>
            <w:rPr>
              <w:sz w:val="24"/>
            </w:rPr>
            <w:t>Jatropha</w:t>
          </w:r>
          <w:r>
            <w:rPr>
              <w:spacing w:val="-1"/>
              <w:sz w:val="24"/>
            </w:rPr>
            <w:t> </w:t>
          </w:r>
          <w:r>
            <w:rPr>
              <w:sz w:val="24"/>
            </w:rPr>
            <w:t>curcas</w:t>
          </w:r>
          <w:r>
            <w:rPr>
              <w:spacing w:val="-3"/>
              <w:sz w:val="24"/>
            </w:rPr>
            <w:t> </w:t>
          </w:r>
          <w:r>
            <w:rPr>
              <w:i w:val="0"/>
              <w:spacing w:val="-4"/>
              <w:sz w:val="24"/>
            </w:rPr>
            <w:t>Oils</w:t>
          </w:r>
          <w:r>
            <w:rPr>
              <w:i w:val="0"/>
              <w:sz w:val="24"/>
            </w:rPr>
            <w:tab/>
          </w:r>
          <w:r>
            <w:rPr>
              <w:i w:val="0"/>
              <w:spacing w:val="-5"/>
              <w:sz w:val="24"/>
            </w:rPr>
            <w:t>46</w:t>
          </w:r>
        </w:p>
        <w:p>
          <w:pPr>
            <w:pStyle w:val="TOC2"/>
            <w:numPr>
              <w:ilvl w:val="1"/>
              <w:numId w:val="8"/>
            </w:numPr>
            <w:tabs>
              <w:tab w:pos="617" w:val="left" w:leader="none"/>
              <w:tab w:pos="8416" w:val="right" w:leader="hyphen"/>
            </w:tabs>
            <w:spacing w:line="240" w:lineRule="auto" w:before="276" w:after="0"/>
            <w:ind w:left="617" w:right="0" w:hanging="364"/>
            <w:jc w:val="left"/>
          </w:pPr>
          <w:hyperlink w:history="true" w:anchor="_TOC_250005">
            <w:r>
              <w:rPr/>
              <w:t>Qualitative</w:t>
            </w:r>
            <w:r>
              <w:rPr>
                <w:spacing w:val="-9"/>
              </w:rPr>
              <w:t> </w:t>
            </w:r>
            <w:r>
              <w:rPr/>
              <w:t>Phytochemical</w:t>
            </w:r>
            <w:r>
              <w:rPr>
                <w:spacing w:val="-8"/>
              </w:rPr>
              <w:t> </w:t>
            </w:r>
            <w:r>
              <w:rPr>
                <w:spacing w:val="-2"/>
              </w:rPr>
              <w:t>Analysis</w:t>
            </w:r>
            <w:r>
              <w:rPr/>
              <w:tab/>
            </w:r>
            <w:r>
              <w:rPr>
                <w:spacing w:val="-5"/>
              </w:rPr>
              <w:t>47</w:t>
            </w:r>
          </w:hyperlink>
        </w:p>
        <w:p>
          <w:pPr>
            <w:pStyle w:val="TOC5"/>
            <w:numPr>
              <w:ilvl w:val="1"/>
              <w:numId w:val="8"/>
            </w:numPr>
            <w:tabs>
              <w:tab w:pos="612" w:val="left" w:leader="none"/>
              <w:tab w:pos="8416" w:val="right" w:leader="hyphen"/>
            </w:tabs>
            <w:spacing w:line="240" w:lineRule="auto" w:before="276" w:after="0"/>
            <w:ind w:left="612" w:right="0" w:hanging="359"/>
            <w:jc w:val="left"/>
            <w:rPr>
              <w:i w:val="0"/>
              <w:sz w:val="24"/>
            </w:rPr>
          </w:pPr>
          <w:r>
            <w:rPr>
              <w:i w:val="0"/>
              <w:sz w:val="24"/>
            </w:rPr>
            <w:t>Mineral</w:t>
          </w:r>
          <w:r>
            <w:rPr>
              <w:i w:val="0"/>
              <w:spacing w:val="-7"/>
              <w:sz w:val="24"/>
            </w:rPr>
            <w:t> </w:t>
          </w:r>
          <w:r>
            <w:rPr>
              <w:i w:val="0"/>
              <w:sz w:val="24"/>
            </w:rPr>
            <w:t>Element</w:t>
          </w:r>
          <w:r>
            <w:rPr>
              <w:i w:val="0"/>
              <w:spacing w:val="2"/>
              <w:sz w:val="24"/>
            </w:rPr>
            <w:t> </w:t>
          </w:r>
          <w:r>
            <w:rPr>
              <w:i w:val="0"/>
              <w:sz w:val="24"/>
            </w:rPr>
            <w:t>Concentration</w:t>
          </w:r>
          <w:r>
            <w:rPr>
              <w:i w:val="0"/>
              <w:spacing w:val="2"/>
              <w:sz w:val="24"/>
            </w:rPr>
            <w:t> </w:t>
          </w:r>
          <w:r>
            <w:rPr>
              <w:i w:val="0"/>
              <w:sz w:val="24"/>
            </w:rPr>
            <w:t>of</w:t>
          </w:r>
          <w:r>
            <w:rPr>
              <w:i w:val="0"/>
              <w:spacing w:val="-5"/>
              <w:sz w:val="24"/>
            </w:rPr>
            <w:t> </w:t>
          </w:r>
          <w:r>
            <w:rPr>
              <w:sz w:val="24"/>
            </w:rPr>
            <w:t>Jatropha</w:t>
          </w:r>
          <w:r>
            <w:rPr>
              <w:spacing w:val="-6"/>
              <w:sz w:val="24"/>
            </w:rPr>
            <w:t> </w:t>
          </w:r>
          <w:r>
            <w:rPr>
              <w:sz w:val="24"/>
            </w:rPr>
            <w:t>curcas</w:t>
          </w:r>
          <w:r>
            <w:rPr>
              <w:spacing w:val="-3"/>
              <w:sz w:val="24"/>
            </w:rPr>
            <w:t> </w:t>
          </w:r>
          <w:r>
            <w:rPr>
              <w:i w:val="0"/>
              <w:spacing w:val="-4"/>
              <w:sz w:val="24"/>
            </w:rPr>
            <w:t>Oils</w:t>
          </w:r>
          <w:r>
            <w:rPr>
              <w:i w:val="0"/>
              <w:sz w:val="24"/>
            </w:rPr>
            <w:tab/>
          </w:r>
          <w:r>
            <w:rPr>
              <w:i w:val="0"/>
              <w:spacing w:val="-5"/>
              <w:sz w:val="24"/>
            </w:rPr>
            <w:t>48</w:t>
          </w:r>
        </w:p>
        <w:p>
          <w:pPr>
            <w:pStyle w:val="TOC5"/>
            <w:numPr>
              <w:ilvl w:val="1"/>
              <w:numId w:val="8"/>
            </w:numPr>
            <w:tabs>
              <w:tab w:pos="617" w:val="left" w:leader="none"/>
              <w:tab w:pos="8416" w:val="right" w:leader="hyphen"/>
            </w:tabs>
            <w:spacing w:line="240" w:lineRule="auto" w:before="277" w:after="0"/>
            <w:ind w:left="617" w:right="0" w:hanging="364"/>
            <w:jc w:val="left"/>
            <w:rPr>
              <w:i w:val="0"/>
              <w:sz w:val="24"/>
            </w:rPr>
          </w:pPr>
          <w:r>
            <w:rPr>
              <w:i w:val="0"/>
              <w:sz w:val="24"/>
            </w:rPr>
            <w:t>Phorbol</w:t>
          </w:r>
          <w:r>
            <w:rPr>
              <w:i w:val="0"/>
              <w:spacing w:val="-7"/>
              <w:sz w:val="24"/>
            </w:rPr>
            <w:t> </w:t>
          </w:r>
          <w:r>
            <w:rPr>
              <w:i w:val="0"/>
              <w:sz w:val="24"/>
            </w:rPr>
            <w:t>Ester</w:t>
          </w:r>
          <w:r>
            <w:rPr>
              <w:i w:val="0"/>
              <w:spacing w:val="-7"/>
              <w:sz w:val="24"/>
            </w:rPr>
            <w:t> </w:t>
          </w:r>
          <w:r>
            <w:rPr>
              <w:i w:val="0"/>
              <w:sz w:val="24"/>
            </w:rPr>
            <w:t>Rich</w:t>
          </w:r>
          <w:r>
            <w:rPr>
              <w:i w:val="0"/>
              <w:spacing w:val="-1"/>
              <w:sz w:val="24"/>
            </w:rPr>
            <w:t> </w:t>
          </w:r>
          <w:r>
            <w:rPr>
              <w:i w:val="0"/>
              <w:sz w:val="24"/>
            </w:rPr>
            <w:t>Fraction of</w:t>
          </w:r>
          <w:r>
            <w:rPr>
              <w:i w:val="0"/>
              <w:spacing w:val="-1"/>
              <w:sz w:val="24"/>
            </w:rPr>
            <w:t> </w:t>
          </w:r>
          <w:r>
            <w:rPr>
              <w:sz w:val="24"/>
            </w:rPr>
            <w:t>Jatropha curcas</w:t>
          </w:r>
          <w:r>
            <w:rPr>
              <w:spacing w:val="-3"/>
              <w:sz w:val="24"/>
            </w:rPr>
            <w:t> </w:t>
          </w:r>
          <w:r>
            <w:rPr>
              <w:i w:val="0"/>
              <w:spacing w:val="-4"/>
              <w:sz w:val="24"/>
            </w:rPr>
            <w:t>Oils</w:t>
          </w:r>
          <w:r>
            <w:rPr>
              <w:i w:val="0"/>
              <w:sz w:val="24"/>
            </w:rPr>
            <w:tab/>
          </w:r>
          <w:r>
            <w:rPr>
              <w:i w:val="0"/>
              <w:spacing w:val="-5"/>
              <w:sz w:val="24"/>
            </w:rPr>
            <w:t>49</w:t>
          </w:r>
        </w:p>
        <w:p>
          <w:pPr>
            <w:pStyle w:val="TOC2"/>
            <w:numPr>
              <w:ilvl w:val="1"/>
              <w:numId w:val="8"/>
            </w:numPr>
            <w:tabs>
              <w:tab w:pos="612" w:val="left" w:leader="none"/>
              <w:tab w:pos="8416" w:val="right" w:leader="hyphen"/>
            </w:tabs>
            <w:spacing w:line="240" w:lineRule="auto" w:before="276" w:after="0"/>
            <w:ind w:left="612" w:right="0" w:hanging="359"/>
            <w:jc w:val="left"/>
          </w:pPr>
          <w:r>
            <w:rPr/>
            <w:t>Median</w:t>
          </w:r>
          <w:r>
            <w:rPr>
              <w:spacing w:val="-5"/>
            </w:rPr>
            <w:t> </w:t>
          </w:r>
          <w:r>
            <w:rPr/>
            <w:t>Lethal</w:t>
          </w:r>
          <w:r>
            <w:rPr>
              <w:spacing w:val="-5"/>
            </w:rPr>
            <w:t> </w:t>
          </w:r>
          <w:r>
            <w:rPr/>
            <w:t>Dose</w:t>
          </w:r>
          <w:r>
            <w:rPr>
              <w:spacing w:val="-1"/>
            </w:rPr>
            <w:t> </w:t>
          </w:r>
          <w:r>
            <w:rPr/>
            <w:t>(LD</w:t>
          </w:r>
          <w:r>
            <w:rPr>
              <w:vertAlign w:val="subscript"/>
            </w:rPr>
            <w:t>50</w:t>
          </w:r>
          <w:r>
            <w:rPr>
              <w:vertAlign w:val="baseline"/>
            </w:rPr>
            <w:t>)</w:t>
          </w:r>
          <w:r>
            <w:rPr>
              <w:spacing w:val="2"/>
              <w:vertAlign w:val="baseline"/>
            </w:rPr>
            <w:t> </w:t>
          </w:r>
          <w:r>
            <w:rPr>
              <w:vertAlign w:val="baseline"/>
            </w:rPr>
            <w:t>Values</w:t>
          </w:r>
          <w:r>
            <w:rPr>
              <w:spacing w:val="-2"/>
              <w:vertAlign w:val="baseline"/>
            </w:rPr>
            <w:t> </w:t>
          </w:r>
          <w:r>
            <w:rPr>
              <w:vertAlign w:val="baseline"/>
            </w:rPr>
            <w:t>of</w:t>
          </w:r>
          <w:r>
            <w:rPr>
              <w:spacing w:val="-24"/>
              <w:vertAlign w:val="baseline"/>
            </w:rPr>
            <w:t> </w:t>
          </w:r>
          <w:r>
            <w:rPr>
              <w:vertAlign w:val="baseline"/>
            </w:rPr>
            <w:t>Acute</w:t>
          </w:r>
          <w:r>
            <w:rPr>
              <w:spacing w:val="-1"/>
              <w:vertAlign w:val="baseline"/>
            </w:rPr>
            <w:t> </w:t>
          </w:r>
          <w:r>
            <w:rPr>
              <w:vertAlign w:val="baseline"/>
            </w:rPr>
            <w:t>Toxicity </w:t>
          </w:r>
          <w:r>
            <w:rPr>
              <w:spacing w:val="-2"/>
              <w:vertAlign w:val="baseline"/>
            </w:rPr>
            <w:t>Studies</w:t>
          </w:r>
          <w:r>
            <w:rPr>
              <w:vertAlign w:val="baseline"/>
            </w:rPr>
            <w:tab/>
          </w:r>
          <w:r>
            <w:rPr>
              <w:spacing w:val="-5"/>
              <w:vertAlign w:val="baseline"/>
            </w:rPr>
            <w:t>50</w:t>
          </w:r>
        </w:p>
        <w:p>
          <w:pPr>
            <w:pStyle w:val="TOC2"/>
            <w:numPr>
              <w:ilvl w:val="1"/>
              <w:numId w:val="8"/>
            </w:numPr>
            <w:tabs>
              <w:tab w:pos="617" w:val="left" w:leader="none"/>
            </w:tabs>
            <w:spacing w:line="275" w:lineRule="exact" w:before="276" w:after="0"/>
            <w:ind w:left="617" w:right="0" w:hanging="364"/>
            <w:jc w:val="left"/>
            <w:rPr>
              <w:i/>
            </w:rPr>
          </w:pPr>
          <w:r>
            <w:rPr/>
            <w:t>Physical</w:t>
          </w:r>
          <w:r>
            <w:rPr>
              <w:spacing w:val="-8"/>
            </w:rPr>
            <w:t> </w:t>
          </w:r>
          <w:r>
            <w:rPr/>
            <w:t>Toxicity</w:t>
          </w:r>
          <w:r>
            <w:rPr>
              <w:spacing w:val="-2"/>
            </w:rPr>
            <w:t> </w:t>
          </w:r>
          <w:r>
            <w:rPr/>
            <w:t>Symptoms</w:t>
          </w:r>
          <w:r>
            <w:rPr>
              <w:spacing w:val="-5"/>
            </w:rPr>
            <w:t> </w:t>
          </w:r>
          <w:r>
            <w:rPr/>
            <w:t>of</w:t>
          </w:r>
          <w:r>
            <w:rPr>
              <w:spacing w:val="-5"/>
            </w:rPr>
            <w:t> </w:t>
          </w:r>
          <w:r>
            <w:rPr/>
            <w:t>Undetoxified</w:t>
          </w:r>
          <w:r>
            <w:rPr>
              <w:spacing w:val="6"/>
            </w:rPr>
            <w:t> </w:t>
          </w:r>
          <w:r>
            <w:rPr/>
            <w:t>and</w:t>
          </w:r>
          <w:r>
            <w:rPr>
              <w:spacing w:val="-3"/>
            </w:rPr>
            <w:t> </w:t>
          </w:r>
          <w:r>
            <w:rPr/>
            <w:t>Detoxified </w:t>
          </w:r>
          <w:r>
            <w:rPr>
              <w:i/>
              <w:spacing w:val="-2"/>
            </w:rPr>
            <w:t>Jatropha</w:t>
          </w:r>
        </w:p>
        <w:p>
          <w:pPr>
            <w:pStyle w:val="TOC6"/>
            <w:tabs>
              <w:tab w:pos="8416" w:val="right" w:leader="hyphen"/>
            </w:tabs>
            <w:rPr>
              <w:i w:val="0"/>
              <w:sz w:val="24"/>
            </w:rPr>
          </w:pPr>
          <w:r>
            <w:rPr>
              <w:sz w:val="24"/>
            </w:rPr>
            <w:t>curcas</w:t>
          </w:r>
          <w:r>
            <w:rPr>
              <w:spacing w:val="-3"/>
              <w:sz w:val="24"/>
            </w:rPr>
            <w:t> </w:t>
          </w:r>
          <w:r>
            <w:rPr>
              <w:i w:val="0"/>
              <w:sz w:val="24"/>
            </w:rPr>
            <w:t>Oils</w:t>
          </w:r>
          <w:r>
            <w:rPr>
              <w:i w:val="0"/>
              <w:spacing w:val="-3"/>
              <w:sz w:val="24"/>
            </w:rPr>
            <w:t> </w:t>
          </w:r>
          <w:r>
            <w:rPr>
              <w:i w:val="0"/>
              <w:sz w:val="24"/>
            </w:rPr>
            <w:t>in</w:t>
          </w:r>
          <w:r>
            <w:rPr>
              <w:i w:val="0"/>
              <w:spacing w:val="1"/>
              <w:sz w:val="24"/>
            </w:rPr>
            <w:t> </w:t>
          </w:r>
          <w:r>
            <w:rPr>
              <w:i w:val="0"/>
              <w:sz w:val="24"/>
            </w:rPr>
            <w:t>Male Wistar</w:t>
          </w:r>
          <w:r>
            <w:rPr>
              <w:i w:val="0"/>
              <w:spacing w:val="-6"/>
              <w:sz w:val="24"/>
            </w:rPr>
            <w:t> </w:t>
          </w:r>
          <w:r>
            <w:rPr>
              <w:i w:val="0"/>
              <w:spacing w:val="-4"/>
              <w:sz w:val="24"/>
            </w:rPr>
            <w:t>Rats</w:t>
          </w:r>
          <w:r>
            <w:rPr>
              <w:i w:val="0"/>
              <w:sz w:val="24"/>
            </w:rPr>
            <w:tab/>
          </w:r>
          <w:r>
            <w:rPr>
              <w:i w:val="0"/>
              <w:spacing w:val="-5"/>
              <w:sz w:val="24"/>
            </w:rPr>
            <w:t>51</w:t>
          </w:r>
        </w:p>
        <w:p>
          <w:pPr>
            <w:pStyle w:val="TOC2"/>
            <w:numPr>
              <w:ilvl w:val="1"/>
              <w:numId w:val="8"/>
            </w:numPr>
            <w:tabs>
              <w:tab w:pos="612" w:val="left" w:leader="none"/>
              <w:tab w:pos="8176" w:val="left" w:leader="hyphen"/>
            </w:tabs>
            <w:spacing w:line="237" w:lineRule="auto" w:before="70" w:after="0"/>
            <w:ind w:left="253" w:right="801" w:firstLine="0"/>
            <w:jc w:val="left"/>
          </w:pPr>
          <w:hyperlink w:history="true" w:anchor="_TOC_250004">
            <w:r>
              <w:rPr/>
              <w:t>Body Weight Changes and Mortality in Male Wistar Rats that Received Undetoxified</w:t>
            </w:r>
            <w:r>
              <w:rPr>
                <w:spacing w:val="-3"/>
              </w:rPr>
              <w:t> </w:t>
            </w:r>
            <w:r>
              <w:rPr/>
              <w:t>and</w:t>
            </w:r>
            <w:r>
              <w:rPr>
                <w:spacing w:val="-3"/>
              </w:rPr>
              <w:t> </w:t>
            </w:r>
            <w:r>
              <w:rPr/>
              <w:t>Detoxified</w:t>
            </w:r>
            <w:r>
              <w:rPr>
                <w:spacing w:val="1"/>
              </w:rPr>
              <w:t> </w:t>
            </w:r>
            <w:r>
              <w:rPr>
                <w:i/>
              </w:rPr>
              <w:t>J</w:t>
            </w:r>
            <w:r>
              <w:rPr/>
              <w:t>.</w:t>
            </w:r>
            <w:r>
              <w:rPr>
                <w:spacing w:val="-1"/>
              </w:rPr>
              <w:t> </w:t>
            </w:r>
            <w:r>
              <w:rPr>
                <w:i/>
              </w:rPr>
              <w:t>curcas</w:t>
            </w:r>
            <w:r>
              <w:rPr>
                <w:i/>
                <w:spacing w:val="-4"/>
              </w:rPr>
              <w:t> </w:t>
            </w:r>
            <w:r>
              <w:rPr>
                <w:spacing w:val="-4"/>
              </w:rPr>
              <w:t>Oils</w:t>
            </w:r>
            <w:r>
              <w:rPr/>
              <w:tab/>
            </w:r>
            <w:r>
              <w:rPr>
                <w:spacing w:val="-5"/>
              </w:rPr>
              <w:t>52</w:t>
            </w:r>
          </w:hyperlink>
        </w:p>
        <w:p>
          <w:pPr>
            <w:pStyle w:val="TOC2"/>
            <w:numPr>
              <w:ilvl w:val="1"/>
              <w:numId w:val="8"/>
            </w:numPr>
            <w:tabs>
              <w:tab w:pos="737" w:val="left" w:leader="none"/>
              <w:tab w:pos="8176" w:val="left" w:leader="hyphen"/>
            </w:tabs>
            <w:spacing w:line="242" w:lineRule="auto" w:before="277" w:after="0"/>
            <w:ind w:left="253" w:right="801" w:firstLine="0"/>
            <w:jc w:val="left"/>
          </w:pPr>
          <w:hyperlink w:history="true" w:anchor="_TOC_250003">
            <w:r>
              <w:rPr/>
              <w:t>Haematological Parameters in Male Wistar Rats That Received Undetoxified</w:t>
            </w:r>
            <w:r>
              <w:rPr>
                <w:spacing w:val="-5"/>
              </w:rPr>
              <w:t> </w:t>
            </w:r>
            <w:r>
              <w:rPr/>
              <w:t>and</w:t>
            </w:r>
            <w:r>
              <w:rPr>
                <w:spacing w:val="-2"/>
              </w:rPr>
              <w:t> </w:t>
            </w:r>
            <w:r>
              <w:rPr/>
              <w:t>Detoxified</w:t>
            </w:r>
            <w:r>
              <w:rPr>
                <w:spacing w:val="1"/>
              </w:rPr>
              <w:t> </w:t>
            </w:r>
            <w:r>
              <w:rPr>
                <w:i/>
              </w:rPr>
              <w:t>J. curcas</w:t>
            </w:r>
            <w:r>
              <w:rPr>
                <w:i/>
                <w:spacing w:val="-3"/>
              </w:rPr>
              <w:t> </w:t>
            </w:r>
            <w:r>
              <w:rPr>
                <w:spacing w:val="-4"/>
              </w:rPr>
              <w:t>Oils</w:t>
            </w:r>
            <w:r>
              <w:rPr/>
              <w:tab/>
            </w:r>
            <w:r>
              <w:rPr>
                <w:spacing w:val="-5"/>
              </w:rPr>
              <w:t>53</w:t>
            </w:r>
          </w:hyperlink>
        </w:p>
        <w:p>
          <w:pPr>
            <w:pStyle w:val="TOC2"/>
            <w:numPr>
              <w:ilvl w:val="1"/>
              <w:numId w:val="8"/>
            </w:numPr>
            <w:tabs>
              <w:tab w:pos="737" w:val="left" w:leader="none"/>
            </w:tabs>
            <w:spacing w:line="272" w:lineRule="exact" w:before="274" w:after="0"/>
            <w:ind w:left="737" w:right="0" w:hanging="484"/>
            <w:jc w:val="left"/>
          </w:pPr>
          <w:r>
            <w:rPr/>
            <w:t>Serum</w:t>
          </w:r>
          <w:r>
            <w:rPr>
              <w:spacing w:val="-6"/>
            </w:rPr>
            <w:t> </w:t>
          </w:r>
          <w:r>
            <w:rPr/>
            <w:t>Electrolytes</w:t>
          </w:r>
          <w:r>
            <w:rPr>
              <w:spacing w:val="-2"/>
            </w:rPr>
            <w:t> </w:t>
          </w:r>
          <w:r>
            <w:rPr/>
            <w:t>and</w:t>
          </w:r>
          <w:r>
            <w:rPr>
              <w:spacing w:val="-5"/>
            </w:rPr>
            <w:t> </w:t>
          </w:r>
          <w:r>
            <w:rPr/>
            <w:t>Kidney</w:t>
          </w:r>
          <w:r>
            <w:rPr>
              <w:spacing w:val="-5"/>
            </w:rPr>
            <w:t> </w:t>
          </w:r>
          <w:r>
            <w:rPr/>
            <w:t>Function Indices</w:t>
          </w:r>
          <w:r>
            <w:rPr>
              <w:spacing w:val="-2"/>
            </w:rPr>
            <w:t> </w:t>
          </w:r>
          <w:r>
            <w:rPr/>
            <w:t>in</w:t>
          </w:r>
          <w:r>
            <w:rPr>
              <w:spacing w:val="-5"/>
            </w:rPr>
            <w:t> </w:t>
          </w:r>
          <w:r>
            <w:rPr/>
            <w:t>Male</w:t>
          </w:r>
          <w:r>
            <w:rPr>
              <w:spacing w:val="-1"/>
            </w:rPr>
            <w:t> </w:t>
          </w:r>
          <w:r>
            <w:rPr/>
            <w:t>Wistar</w:t>
          </w:r>
          <w:r>
            <w:rPr>
              <w:spacing w:val="-6"/>
            </w:rPr>
            <w:t> </w:t>
          </w:r>
          <w:r>
            <w:rPr>
              <w:spacing w:val="-4"/>
            </w:rPr>
            <w:t>Rats</w:t>
          </w:r>
        </w:p>
        <w:p>
          <w:pPr>
            <w:pStyle w:val="TOC5"/>
            <w:tabs>
              <w:tab w:pos="8176" w:val="left" w:leader="hyphen"/>
            </w:tabs>
            <w:spacing w:line="272" w:lineRule="exact" w:before="0"/>
            <w:ind w:left="253" w:firstLine="0"/>
            <w:rPr>
              <w:i w:val="0"/>
              <w:sz w:val="24"/>
            </w:rPr>
          </w:pPr>
          <w:r>
            <w:rPr>
              <w:i w:val="0"/>
              <w:sz w:val="24"/>
            </w:rPr>
            <w:t>that</w:t>
          </w:r>
          <w:r>
            <w:rPr>
              <w:i w:val="0"/>
              <w:spacing w:val="-4"/>
              <w:sz w:val="24"/>
            </w:rPr>
            <w:t> </w:t>
          </w:r>
          <w:r>
            <w:rPr>
              <w:i w:val="0"/>
              <w:sz w:val="24"/>
            </w:rPr>
            <w:t>Received</w:t>
          </w:r>
          <w:r>
            <w:rPr>
              <w:i w:val="0"/>
              <w:spacing w:val="-1"/>
              <w:sz w:val="24"/>
            </w:rPr>
            <w:t> </w:t>
          </w:r>
          <w:r>
            <w:rPr>
              <w:i w:val="0"/>
              <w:sz w:val="24"/>
            </w:rPr>
            <w:t>Undetoxified </w:t>
          </w:r>
          <w:r>
            <w:rPr>
              <w:b w:val="0"/>
              <w:i w:val="0"/>
              <w:sz w:val="24"/>
            </w:rPr>
            <w:t>and</w:t>
          </w:r>
          <w:r>
            <w:rPr>
              <w:b w:val="0"/>
              <w:i w:val="0"/>
              <w:spacing w:val="-3"/>
              <w:sz w:val="24"/>
            </w:rPr>
            <w:t> </w:t>
          </w:r>
          <w:r>
            <w:rPr>
              <w:i w:val="0"/>
              <w:sz w:val="24"/>
            </w:rPr>
            <w:t>Detoxified</w:t>
          </w:r>
          <w:r>
            <w:rPr>
              <w:i w:val="0"/>
              <w:spacing w:val="-1"/>
              <w:sz w:val="24"/>
            </w:rPr>
            <w:t> </w:t>
          </w:r>
          <w:r>
            <w:rPr>
              <w:sz w:val="24"/>
            </w:rPr>
            <w:t>J.</w:t>
          </w:r>
          <w:r>
            <w:rPr>
              <w:spacing w:val="-1"/>
              <w:sz w:val="24"/>
            </w:rPr>
            <w:t> </w:t>
          </w:r>
          <w:r>
            <w:rPr>
              <w:sz w:val="24"/>
            </w:rPr>
            <w:t>curcas</w:t>
          </w:r>
          <w:r>
            <w:rPr>
              <w:spacing w:val="-4"/>
              <w:sz w:val="24"/>
            </w:rPr>
            <w:t> </w:t>
          </w:r>
          <w:r>
            <w:rPr>
              <w:i w:val="0"/>
              <w:spacing w:val="-4"/>
              <w:sz w:val="24"/>
            </w:rPr>
            <w:t>Oils</w:t>
          </w:r>
          <w:r>
            <w:rPr>
              <w:i w:val="0"/>
              <w:sz w:val="24"/>
            </w:rPr>
            <w:tab/>
          </w:r>
          <w:r>
            <w:rPr>
              <w:i w:val="0"/>
              <w:spacing w:val="-5"/>
              <w:sz w:val="24"/>
            </w:rPr>
            <w:t>55</w:t>
          </w:r>
        </w:p>
        <w:p>
          <w:pPr>
            <w:pStyle w:val="TOC2"/>
            <w:numPr>
              <w:ilvl w:val="1"/>
              <w:numId w:val="8"/>
            </w:numPr>
            <w:tabs>
              <w:tab w:pos="737" w:val="left" w:leader="none"/>
            </w:tabs>
            <w:spacing w:line="240" w:lineRule="auto" w:before="281" w:after="0"/>
            <w:ind w:left="737" w:right="0" w:hanging="484"/>
            <w:jc w:val="left"/>
          </w:pPr>
          <w:r>
            <w:rPr/>
            <w:t>Liver</w:t>
          </w:r>
          <w:r>
            <w:rPr>
              <w:spacing w:val="-8"/>
            </w:rPr>
            <w:t> </w:t>
          </w:r>
          <w:r>
            <w:rPr/>
            <w:t>Function</w:t>
          </w:r>
          <w:r>
            <w:rPr>
              <w:spacing w:val="-1"/>
            </w:rPr>
            <w:t> </w:t>
          </w:r>
          <w:r>
            <w:rPr/>
            <w:t>Enzymes</w:t>
          </w:r>
          <w:r>
            <w:rPr>
              <w:spacing w:val="-3"/>
            </w:rPr>
            <w:t> </w:t>
          </w:r>
          <w:r>
            <w:rPr/>
            <w:t>and</w:t>
          </w:r>
          <w:r>
            <w:rPr>
              <w:spacing w:val="-1"/>
            </w:rPr>
            <w:t> </w:t>
          </w:r>
          <w:r>
            <w:rPr/>
            <w:t>Serum</w:t>
          </w:r>
          <w:r>
            <w:rPr>
              <w:spacing w:val="-4"/>
            </w:rPr>
            <w:t> </w:t>
          </w:r>
          <w:r>
            <w:rPr/>
            <w:t>Albumin</w:t>
          </w:r>
          <w:r>
            <w:rPr>
              <w:spacing w:val="-1"/>
            </w:rPr>
            <w:t> </w:t>
          </w:r>
          <w:r>
            <w:rPr/>
            <w:t>in</w:t>
          </w:r>
          <w:r>
            <w:rPr>
              <w:spacing w:val="2"/>
            </w:rPr>
            <w:t> </w:t>
          </w:r>
          <w:r>
            <w:rPr/>
            <w:t>Male</w:t>
          </w:r>
          <w:r>
            <w:rPr>
              <w:spacing w:val="-3"/>
            </w:rPr>
            <w:t> </w:t>
          </w:r>
          <w:r>
            <w:rPr/>
            <w:t>Wistar</w:t>
          </w:r>
          <w:r>
            <w:rPr>
              <w:spacing w:val="-6"/>
            </w:rPr>
            <w:t> </w:t>
          </w:r>
          <w:r>
            <w:rPr>
              <w:spacing w:val="-4"/>
            </w:rPr>
            <w:t>Rats</w:t>
          </w:r>
        </w:p>
        <w:p>
          <w:pPr>
            <w:pStyle w:val="TOC2"/>
            <w:tabs>
              <w:tab w:pos="8176" w:val="left" w:leader="hyphen"/>
            </w:tabs>
            <w:spacing w:before="2"/>
            <w:ind w:left="253" w:firstLine="0"/>
          </w:pPr>
          <w:r>
            <w:rPr/>
            <w:t>that</w:t>
          </w:r>
          <w:r>
            <w:rPr>
              <w:spacing w:val="-4"/>
            </w:rPr>
            <w:t> </w:t>
          </w:r>
          <w:r>
            <w:rPr/>
            <w:t>Received</w:t>
          </w:r>
          <w:r>
            <w:rPr>
              <w:spacing w:val="-3"/>
            </w:rPr>
            <w:t> </w:t>
          </w:r>
          <w:r>
            <w:rPr/>
            <w:t>Undetoxified</w:t>
          </w:r>
          <w:r>
            <w:rPr>
              <w:spacing w:val="-3"/>
            </w:rPr>
            <w:t> </w:t>
          </w:r>
          <w:r>
            <w:rPr/>
            <w:t>and</w:t>
          </w:r>
          <w:r>
            <w:rPr>
              <w:spacing w:val="-3"/>
            </w:rPr>
            <w:t> </w:t>
          </w:r>
          <w:r>
            <w:rPr/>
            <w:t>Detoxified</w:t>
          </w:r>
          <w:r>
            <w:rPr>
              <w:spacing w:val="2"/>
            </w:rPr>
            <w:t> </w:t>
          </w:r>
          <w:r>
            <w:rPr>
              <w:i/>
            </w:rPr>
            <w:t>J.</w:t>
          </w:r>
          <w:r>
            <w:rPr>
              <w:i/>
              <w:spacing w:val="-1"/>
            </w:rPr>
            <w:t> </w:t>
          </w:r>
          <w:r>
            <w:rPr>
              <w:i/>
            </w:rPr>
            <w:t>curcas</w:t>
          </w:r>
          <w:r>
            <w:rPr>
              <w:i/>
              <w:spacing w:val="-3"/>
            </w:rPr>
            <w:t> </w:t>
          </w:r>
          <w:r>
            <w:rPr>
              <w:spacing w:val="-4"/>
            </w:rPr>
            <w:t>Oils</w:t>
          </w:r>
          <w:r>
            <w:rPr/>
            <w:tab/>
          </w:r>
          <w:r>
            <w:rPr>
              <w:spacing w:val="-5"/>
            </w:rPr>
            <w:t>56</w:t>
          </w:r>
        </w:p>
        <w:p>
          <w:pPr>
            <w:pStyle w:val="TOC2"/>
            <w:numPr>
              <w:ilvl w:val="1"/>
              <w:numId w:val="8"/>
            </w:numPr>
            <w:tabs>
              <w:tab w:pos="737" w:val="left" w:leader="none"/>
              <w:tab w:pos="8176" w:val="left" w:leader="hyphen"/>
            </w:tabs>
            <w:spacing w:line="237" w:lineRule="auto" w:before="279" w:after="0"/>
            <w:ind w:left="253" w:right="801" w:firstLine="0"/>
            <w:jc w:val="left"/>
          </w:pPr>
          <w:hyperlink w:history="true" w:anchor="_TOC_250002">
            <w:r>
              <w:rPr/>
              <w:t>Liver and Kidney to Body Weight Ratios in Male Wistar Rats that Received Undetoxified and Detoxified </w:t>
            </w:r>
            <w:r>
              <w:rPr>
                <w:i/>
              </w:rPr>
              <w:t>J. curcas </w:t>
            </w:r>
            <w:r>
              <w:rPr/>
              <w:t>Oils</w:t>
              <w:tab/>
            </w:r>
            <w:r>
              <w:rPr>
                <w:spacing w:val="-6"/>
              </w:rPr>
              <w:t>57</w:t>
            </w:r>
          </w:hyperlink>
        </w:p>
        <w:p>
          <w:pPr>
            <w:pStyle w:val="TOC2"/>
            <w:numPr>
              <w:ilvl w:val="1"/>
              <w:numId w:val="8"/>
            </w:numPr>
            <w:tabs>
              <w:tab w:pos="737" w:val="left" w:leader="none"/>
            </w:tabs>
            <w:spacing w:line="240" w:lineRule="auto" w:before="277" w:after="0"/>
            <w:ind w:left="737" w:right="0" w:hanging="484"/>
            <w:jc w:val="left"/>
          </w:pPr>
          <w:r>
            <w:rPr/>
            <w:t>Effects</w:t>
          </w:r>
          <w:r>
            <w:rPr>
              <w:spacing w:val="-7"/>
            </w:rPr>
            <w:t> </w:t>
          </w:r>
          <w:r>
            <w:rPr/>
            <w:t>of</w:t>
          </w:r>
          <w:r>
            <w:rPr>
              <w:spacing w:val="-4"/>
            </w:rPr>
            <w:t> </w:t>
          </w:r>
          <w:r>
            <w:rPr/>
            <w:t>Undetoxified</w:t>
          </w:r>
          <w:r>
            <w:rPr>
              <w:spacing w:val="-3"/>
            </w:rPr>
            <w:t> </w:t>
          </w:r>
          <w:r>
            <w:rPr/>
            <w:t>and</w:t>
          </w:r>
          <w:r>
            <w:rPr>
              <w:spacing w:val="-2"/>
            </w:rPr>
            <w:t> </w:t>
          </w:r>
          <w:r>
            <w:rPr/>
            <w:t>Detoxified</w:t>
          </w:r>
          <w:r>
            <w:rPr>
              <w:spacing w:val="1"/>
            </w:rPr>
            <w:t> </w:t>
          </w:r>
          <w:r>
            <w:rPr>
              <w:i/>
            </w:rPr>
            <w:t>J</w:t>
          </w:r>
          <w:r>
            <w:rPr/>
            <w:t>. </w:t>
          </w:r>
          <w:r>
            <w:rPr>
              <w:i/>
            </w:rPr>
            <w:t>curcas</w:t>
          </w:r>
          <w:r>
            <w:rPr>
              <w:i/>
              <w:spacing w:val="-4"/>
            </w:rPr>
            <w:t> </w:t>
          </w:r>
          <w:r>
            <w:rPr/>
            <w:t>Oils</w:t>
          </w:r>
          <w:r>
            <w:rPr>
              <w:spacing w:val="-4"/>
            </w:rPr>
            <w:t> </w:t>
          </w:r>
          <w:r>
            <w:rPr>
              <w:spacing w:val="-5"/>
            </w:rPr>
            <w:t>on</w:t>
          </w:r>
        </w:p>
        <w:p>
          <w:pPr>
            <w:pStyle w:val="TOC2"/>
            <w:tabs>
              <w:tab w:pos="8176" w:val="left" w:leader="hyphen"/>
            </w:tabs>
            <w:spacing w:before="3"/>
            <w:ind w:left="253" w:firstLine="0"/>
          </w:pPr>
          <w:r>
            <w:rPr/>
            <w:t>Formalin-Induced</w:t>
          </w:r>
          <w:r>
            <w:rPr>
              <w:spacing w:val="-2"/>
            </w:rPr>
            <w:t> </w:t>
          </w:r>
          <w:r>
            <w:rPr/>
            <w:t>Paw</w:t>
          </w:r>
          <w:r>
            <w:rPr>
              <w:spacing w:val="-4"/>
            </w:rPr>
            <w:t> </w:t>
          </w:r>
          <w:r>
            <w:rPr/>
            <w:t>Licking</w:t>
          </w:r>
          <w:r>
            <w:rPr>
              <w:spacing w:val="-3"/>
            </w:rPr>
            <w:t> </w:t>
          </w:r>
          <w:r>
            <w:rPr/>
            <w:t>in</w:t>
          </w:r>
          <w:r>
            <w:rPr>
              <w:spacing w:val="-2"/>
            </w:rPr>
            <w:t> </w:t>
          </w:r>
          <w:r>
            <w:rPr>
              <w:spacing w:val="-4"/>
            </w:rPr>
            <w:t>Mice</w:t>
          </w:r>
          <w:r>
            <w:rPr/>
            <w:tab/>
          </w:r>
          <w:r>
            <w:rPr>
              <w:spacing w:val="-5"/>
            </w:rPr>
            <w:t>59</w:t>
          </w:r>
        </w:p>
        <w:p>
          <w:pPr>
            <w:pStyle w:val="TOC2"/>
            <w:numPr>
              <w:ilvl w:val="1"/>
              <w:numId w:val="8"/>
            </w:numPr>
            <w:tabs>
              <w:tab w:pos="737" w:val="left" w:leader="none"/>
            </w:tabs>
            <w:spacing w:line="275" w:lineRule="exact" w:before="276" w:after="0"/>
            <w:ind w:left="737" w:right="0" w:hanging="484"/>
            <w:jc w:val="left"/>
          </w:pPr>
          <w:r>
            <w:rPr/>
            <w:t>Effects</w:t>
          </w:r>
          <w:r>
            <w:rPr>
              <w:spacing w:val="-6"/>
            </w:rPr>
            <w:t> </w:t>
          </w:r>
          <w:r>
            <w:rPr/>
            <w:t>of</w:t>
          </w:r>
          <w:r>
            <w:rPr>
              <w:spacing w:val="-4"/>
            </w:rPr>
            <w:t> </w:t>
          </w:r>
          <w:r>
            <w:rPr/>
            <w:t>Undetoxified</w:t>
          </w:r>
          <w:r>
            <w:rPr>
              <w:spacing w:val="-1"/>
            </w:rPr>
            <w:t> </w:t>
          </w:r>
          <w:r>
            <w:rPr/>
            <w:t>and</w:t>
          </w:r>
          <w:r>
            <w:rPr>
              <w:spacing w:val="1"/>
            </w:rPr>
            <w:t> </w:t>
          </w:r>
          <w:r>
            <w:rPr/>
            <w:t>Detoxified </w:t>
          </w:r>
          <w:r>
            <w:rPr>
              <w:i/>
            </w:rPr>
            <w:t>J. curcas</w:t>
          </w:r>
          <w:r>
            <w:rPr>
              <w:i/>
              <w:spacing w:val="-2"/>
            </w:rPr>
            <w:t> </w:t>
          </w:r>
          <w:r>
            <w:rPr/>
            <w:t>Oils</w:t>
          </w:r>
          <w:r>
            <w:rPr>
              <w:spacing w:val="-3"/>
            </w:rPr>
            <w:t> </w:t>
          </w:r>
          <w:r>
            <w:rPr/>
            <w:t>on</w:t>
          </w:r>
          <w:r>
            <w:rPr>
              <w:spacing w:val="-1"/>
            </w:rPr>
            <w:t> </w:t>
          </w:r>
          <w:r>
            <w:rPr/>
            <w:t>Hot</w:t>
          </w:r>
          <w:r>
            <w:rPr>
              <w:spacing w:val="-4"/>
            </w:rPr>
            <w:t> </w:t>
          </w:r>
          <w:r>
            <w:rPr>
              <w:spacing w:val="-2"/>
            </w:rPr>
            <w:t>Plate</w:t>
          </w:r>
        </w:p>
        <w:p>
          <w:pPr>
            <w:pStyle w:val="TOC2"/>
            <w:tabs>
              <w:tab w:pos="8176" w:val="left" w:leader="hyphen"/>
            </w:tabs>
            <w:spacing w:line="275" w:lineRule="exact" w:before="0"/>
            <w:ind w:left="253" w:firstLine="0"/>
          </w:pPr>
          <w:r>
            <w:rPr/>
            <w:t>Latency</w:t>
          </w:r>
          <w:r>
            <w:rPr>
              <w:spacing w:val="-2"/>
            </w:rPr>
            <w:t> </w:t>
          </w:r>
          <w:r>
            <w:rPr/>
            <w:t>in</w:t>
          </w:r>
          <w:r>
            <w:rPr>
              <w:spacing w:val="-3"/>
            </w:rPr>
            <w:t> </w:t>
          </w:r>
          <w:r>
            <w:rPr>
              <w:spacing w:val="-4"/>
            </w:rPr>
            <w:t>Mice</w:t>
          </w:r>
          <w:r>
            <w:rPr/>
            <w:tab/>
          </w:r>
          <w:r>
            <w:rPr>
              <w:spacing w:val="-5"/>
            </w:rPr>
            <w:t>60</w:t>
          </w:r>
        </w:p>
        <w:p>
          <w:pPr>
            <w:pStyle w:val="TOC2"/>
            <w:numPr>
              <w:ilvl w:val="1"/>
              <w:numId w:val="8"/>
            </w:numPr>
            <w:tabs>
              <w:tab w:pos="737" w:val="left" w:leader="none"/>
            </w:tabs>
            <w:spacing w:line="240" w:lineRule="auto" w:before="276" w:after="0"/>
            <w:ind w:left="737" w:right="0" w:hanging="484"/>
            <w:jc w:val="left"/>
          </w:pPr>
          <w:r>
            <w:rPr/>
            <w:t>Effects</w:t>
          </w:r>
          <w:r>
            <w:rPr>
              <w:spacing w:val="-6"/>
            </w:rPr>
            <w:t> </w:t>
          </w:r>
          <w:r>
            <w:rPr/>
            <w:t>of</w:t>
          </w:r>
          <w:r>
            <w:rPr>
              <w:spacing w:val="-4"/>
            </w:rPr>
            <w:t> </w:t>
          </w:r>
          <w:r>
            <w:rPr/>
            <w:t>Undetoxified and Detoxified</w:t>
          </w:r>
          <w:r>
            <w:rPr>
              <w:spacing w:val="-1"/>
            </w:rPr>
            <w:t> </w:t>
          </w:r>
          <w:r>
            <w:rPr>
              <w:i/>
            </w:rPr>
            <w:t>J. curcas</w:t>
          </w:r>
          <w:r>
            <w:rPr>
              <w:i/>
              <w:spacing w:val="-2"/>
            </w:rPr>
            <w:t> </w:t>
          </w:r>
          <w:r>
            <w:rPr/>
            <w:t>Oils</w:t>
          </w:r>
          <w:r>
            <w:rPr>
              <w:spacing w:val="-4"/>
            </w:rPr>
            <w:t> </w:t>
          </w:r>
          <w:r>
            <w:rPr/>
            <w:t>on Hot</w:t>
          </w:r>
          <w:r>
            <w:rPr>
              <w:spacing w:val="-4"/>
            </w:rPr>
            <w:t> </w:t>
          </w:r>
          <w:r>
            <w:rPr>
              <w:spacing w:val="-2"/>
            </w:rPr>
            <w:t>Plate</w:t>
          </w:r>
        </w:p>
        <w:p>
          <w:pPr>
            <w:pStyle w:val="TOC2"/>
            <w:tabs>
              <w:tab w:pos="8176" w:val="left" w:leader="hyphen"/>
            </w:tabs>
            <w:spacing w:before="2"/>
            <w:ind w:left="253" w:firstLine="0"/>
          </w:pPr>
          <w:r>
            <w:rPr/>
            <w:t>Induced</w:t>
          </w:r>
          <w:r>
            <w:rPr>
              <w:spacing w:val="-2"/>
            </w:rPr>
            <w:t> </w:t>
          </w:r>
          <w:r>
            <w:rPr/>
            <w:t>Pain</w:t>
          </w:r>
          <w:r>
            <w:rPr>
              <w:spacing w:val="1"/>
            </w:rPr>
            <w:t> </w:t>
          </w:r>
          <w:r>
            <w:rPr>
              <w:spacing w:val="-2"/>
            </w:rPr>
            <w:t>Inhibition</w:t>
          </w:r>
          <w:r>
            <w:rPr/>
            <w:tab/>
          </w:r>
          <w:r>
            <w:rPr>
              <w:spacing w:val="-5"/>
            </w:rPr>
            <w:t>61</w:t>
          </w:r>
        </w:p>
        <w:p>
          <w:pPr>
            <w:pStyle w:val="TOC2"/>
            <w:numPr>
              <w:ilvl w:val="1"/>
              <w:numId w:val="8"/>
            </w:numPr>
            <w:tabs>
              <w:tab w:pos="737" w:val="left" w:leader="none"/>
              <w:tab w:pos="8176" w:val="left" w:leader="hyphen"/>
            </w:tabs>
            <w:spacing w:line="240" w:lineRule="auto" w:before="276" w:after="0"/>
            <w:ind w:left="737" w:right="0" w:hanging="484"/>
            <w:jc w:val="left"/>
          </w:pPr>
          <w:hyperlink w:history="true" w:anchor="_TOC_250001">
            <w:r>
              <w:rPr/>
              <w:t>Laxative</w:t>
            </w:r>
            <w:r>
              <w:rPr>
                <w:spacing w:val="-3"/>
              </w:rPr>
              <w:t> </w:t>
            </w:r>
            <w:r>
              <w:rPr/>
              <w:t>Effects</w:t>
            </w:r>
            <w:r>
              <w:rPr>
                <w:spacing w:val="-4"/>
              </w:rPr>
              <w:t> </w:t>
            </w:r>
            <w:r>
              <w:rPr/>
              <w:t>of</w:t>
            </w:r>
            <w:r>
              <w:rPr>
                <w:spacing w:val="-4"/>
              </w:rPr>
              <w:t> </w:t>
            </w:r>
            <w:r>
              <w:rPr/>
              <w:t>Undetoxified</w:t>
            </w:r>
            <w:r>
              <w:rPr>
                <w:spacing w:val="-2"/>
              </w:rPr>
              <w:t> </w:t>
            </w:r>
            <w:r>
              <w:rPr/>
              <w:t>and</w:t>
            </w:r>
            <w:r>
              <w:rPr>
                <w:spacing w:val="-1"/>
              </w:rPr>
              <w:t> </w:t>
            </w:r>
            <w:r>
              <w:rPr/>
              <w:t>Detoxified</w:t>
            </w:r>
            <w:r>
              <w:rPr>
                <w:spacing w:val="3"/>
              </w:rPr>
              <w:t> </w:t>
            </w:r>
            <w:r>
              <w:rPr>
                <w:i/>
              </w:rPr>
              <w:t>J</w:t>
            </w:r>
            <w:r>
              <w:rPr/>
              <w:t>. </w:t>
            </w:r>
            <w:r>
              <w:rPr>
                <w:i/>
              </w:rPr>
              <w:t>curcas</w:t>
            </w:r>
            <w:r>
              <w:rPr>
                <w:i/>
                <w:spacing w:val="-3"/>
              </w:rPr>
              <w:t> </w:t>
            </w:r>
            <w:r>
              <w:rPr>
                <w:spacing w:val="-4"/>
              </w:rPr>
              <w:t>Oils</w:t>
            </w:r>
            <w:r>
              <w:rPr/>
              <w:tab/>
            </w:r>
            <w:r>
              <w:rPr>
                <w:spacing w:val="-5"/>
              </w:rPr>
              <w:t>62</w:t>
            </w:r>
          </w:hyperlink>
        </w:p>
        <w:p>
          <w:pPr>
            <w:pStyle w:val="TOC2"/>
            <w:numPr>
              <w:ilvl w:val="1"/>
              <w:numId w:val="8"/>
            </w:numPr>
            <w:tabs>
              <w:tab w:pos="737" w:val="left" w:leader="none"/>
              <w:tab w:pos="8176" w:val="left" w:leader="hyphen"/>
            </w:tabs>
            <w:spacing w:line="242" w:lineRule="auto" w:before="137" w:after="0"/>
            <w:ind w:left="253" w:right="801" w:firstLine="0"/>
            <w:jc w:val="left"/>
          </w:pPr>
          <w:r>
            <w:rPr/>
            <w:t>Effects of Undetoxified and Detoxified </w:t>
          </w:r>
          <w:r>
            <w:rPr>
              <w:i/>
            </w:rPr>
            <w:t>Jatropha curcas </w:t>
          </w:r>
          <w:r>
            <w:rPr/>
            <w:t>Oils on Liver, Kidney and</w:t>
          </w:r>
          <w:r>
            <w:rPr>
              <w:spacing w:val="-2"/>
            </w:rPr>
            <w:t> </w:t>
          </w:r>
          <w:r>
            <w:rPr/>
            <w:t>Intestinal</w:t>
          </w:r>
          <w:r>
            <w:rPr>
              <w:spacing w:val="-4"/>
            </w:rPr>
            <w:t> </w:t>
          </w:r>
          <w:r>
            <w:rPr>
              <w:spacing w:val="-2"/>
            </w:rPr>
            <w:t>Tissues</w:t>
          </w:r>
          <w:r>
            <w:rPr/>
            <w:tab/>
          </w:r>
          <w:r>
            <w:rPr>
              <w:spacing w:val="-5"/>
            </w:rPr>
            <w:t>64</w:t>
          </w:r>
        </w:p>
        <w:p>
          <w:pPr>
            <w:pStyle w:val="TOC5"/>
            <w:numPr>
              <w:ilvl w:val="2"/>
              <w:numId w:val="8"/>
            </w:numPr>
            <w:tabs>
              <w:tab w:pos="914" w:val="left" w:leader="none"/>
            </w:tabs>
            <w:spacing w:line="275" w:lineRule="exact" w:before="269" w:after="0"/>
            <w:ind w:left="914" w:right="0" w:hanging="661"/>
            <w:jc w:val="left"/>
            <w:rPr>
              <w:b w:val="0"/>
              <w:i w:val="0"/>
              <w:sz w:val="24"/>
            </w:rPr>
          </w:pPr>
          <w:r>
            <w:rPr>
              <w:b w:val="0"/>
              <w:i w:val="0"/>
              <w:sz w:val="24"/>
            </w:rPr>
            <w:t>Effects</w:t>
          </w:r>
          <w:r>
            <w:rPr>
              <w:b w:val="0"/>
              <w:i w:val="0"/>
              <w:spacing w:val="-6"/>
              <w:sz w:val="24"/>
            </w:rPr>
            <w:t> </w:t>
          </w:r>
          <w:r>
            <w:rPr>
              <w:b w:val="0"/>
              <w:i w:val="0"/>
              <w:sz w:val="24"/>
            </w:rPr>
            <w:t>of</w:t>
          </w:r>
          <w:r>
            <w:rPr>
              <w:b w:val="0"/>
              <w:i w:val="0"/>
              <w:spacing w:val="-10"/>
              <w:sz w:val="24"/>
            </w:rPr>
            <w:t> </w:t>
          </w:r>
          <w:r>
            <w:rPr>
              <w:b w:val="0"/>
              <w:i w:val="0"/>
              <w:sz w:val="24"/>
            </w:rPr>
            <w:t>undetoxified</w:t>
          </w:r>
          <w:r>
            <w:rPr>
              <w:b w:val="0"/>
              <w:i w:val="0"/>
              <w:spacing w:val="1"/>
              <w:sz w:val="24"/>
            </w:rPr>
            <w:t> </w:t>
          </w:r>
          <w:r>
            <w:rPr>
              <w:b w:val="0"/>
              <w:i w:val="0"/>
              <w:sz w:val="24"/>
            </w:rPr>
            <w:t>and</w:t>
          </w:r>
          <w:r>
            <w:rPr>
              <w:b w:val="0"/>
              <w:i w:val="0"/>
              <w:spacing w:val="-2"/>
              <w:sz w:val="24"/>
            </w:rPr>
            <w:t> </w:t>
          </w:r>
          <w:r>
            <w:rPr>
              <w:b w:val="0"/>
              <w:i w:val="0"/>
              <w:sz w:val="24"/>
            </w:rPr>
            <w:t>detoxified</w:t>
          </w:r>
          <w:r>
            <w:rPr>
              <w:b w:val="0"/>
              <w:i w:val="0"/>
              <w:spacing w:val="-1"/>
              <w:sz w:val="24"/>
            </w:rPr>
            <w:t> </w:t>
          </w:r>
          <w:r>
            <w:rPr>
              <w:b w:val="0"/>
              <w:sz w:val="24"/>
            </w:rPr>
            <w:t>Jatropha</w:t>
          </w:r>
          <w:r>
            <w:rPr>
              <w:b w:val="0"/>
              <w:spacing w:val="-1"/>
              <w:sz w:val="24"/>
            </w:rPr>
            <w:t> </w:t>
          </w:r>
          <w:r>
            <w:rPr>
              <w:b w:val="0"/>
              <w:sz w:val="24"/>
            </w:rPr>
            <w:t>curcas</w:t>
          </w:r>
          <w:r>
            <w:rPr>
              <w:b w:val="0"/>
              <w:spacing w:val="-4"/>
              <w:sz w:val="24"/>
            </w:rPr>
            <w:t> </w:t>
          </w:r>
          <w:r>
            <w:rPr>
              <w:b w:val="0"/>
              <w:i w:val="0"/>
              <w:sz w:val="24"/>
            </w:rPr>
            <w:t>oils</w:t>
          </w:r>
          <w:r>
            <w:rPr>
              <w:b w:val="0"/>
              <w:i w:val="0"/>
              <w:spacing w:val="-3"/>
              <w:sz w:val="24"/>
            </w:rPr>
            <w:t> </w:t>
          </w:r>
          <w:r>
            <w:rPr>
              <w:b w:val="0"/>
              <w:i w:val="0"/>
              <w:spacing w:val="-5"/>
              <w:sz w:val="24"/>
            </w:rPr>
            <w:t>on</w:t>
          </w:r>
        </w:p>
        <w:p>
          <w:pPr>
            <w:pStyle w:val="TOC3"/>
            <w:tabs>
              <w:tab w:pos="8176" w:val="left" w:leader="none"/>
            </w:tabs>
            <w:spacing w:line="275" w:lineRule="exact" w:before="0"/>
            <w:ind w:left="253" w:firstLine="0"/>
          </w:pPr>
          <w:r>
            <w:rPr/>
            <mc:AlternateContent>
              <mc:Choice Requires="wps">
                <w:drawing>
                  <wp:anchor distT="0" distB="0" distL="0" distR="0" allowOverlap="1" layoutInCell="1" locked="0" behindDoc="1" simplePos="0" relativeHeight="485035520">
                    <wp:simplePos x="0" y="0"/>
                    <wp:positionH relativeFrom="page">
                      <wp:posOffset>1972691</wp:posOffset>
                    </wp:positionH>
                    <wp:positionV relativeFrom="paragraph">
                      <wp:posOffset>107458</wp:posOffset>
                    </wp:positionV>
                    <wp:extent cx="421894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4218940" cy="1270"/>
                            </a:xfrm>
                            <a:custGeom>
                              <a:avLst/>
                              <a:gdLst/>
                              <a:ahLst/>
                              <a:cxnLst/>
                              <a:rect l="l" t="t" r="r" b="b"/>
                              <a:pathLst>
                                <a:path w="4218940" h="0">
                                  <a:moveTo>
                                    <a:pt x="0" y="0"/>
                                  </a:moveTo>
                                  <a:lnTo>
                                    <a:pt x="421889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0960" from="155.330002pt,8.46129pt" to="487.526096pt,8.46129pt" stroked="true" strokeweight=".885563pt" strokecolor="#000000">
                    <v:stroke dashstyle="dash"/>
                    <w10:wrap type="none"/>
                  </v:line>
                </w:pict>
              </mc:Fallback>
            </mc:AlternateContent>
          </w:r>
          <w:r>
            <w:rPr/>
            <w:t>liver</w:t>
          </w:r>
          <w:r>
            <w:rPr>
              <w:spacing w:val="-4"/>
            </w:rPr>
            <w:t> </w:t>
          </w:r>
          <w:r>
            <w:rPr>
              <w:spacing w:val="-2"/>
            </w:rPr>
            <w:t>tissues</w:t>
          </w:r>
          <w:r>
            <w:rPr/>
            <w:tab/>
          </w:r>
          <w:r>
            <w:rPr>
              <w:spacing w:val="-5"/>
            </w:rPr>
            <w:t>63</w:t>
          </w:r>
        </w:p>
        <w:p>
          <w:pPr>
            <w:pStyle w:val="TOC5"/>
            <w:numPr>
              <w:ilvl w:val="2"/>
              <w:numId w:val="9"/>
            </w:numPr>
            <w:tabs>
              <w:tab w:pos="915" w:val="left" w:leader="none"/>
            </w:tabs>
            <w:spacing w:line="240" w:lineRule="auto" w:before="276" w:after="0"/>
            <w:ind w:left="915" w:right="0" w:hanging="662"/>
            <w:jc w:val="left"/>
            <w:rPr>
              <w:b w:val="0"/>
              <w:i w:val="0"/>
              <w:sz w:val="24"/>
            </w:rPr>
          </w:pPr>
          <w:r>
            <w:rPr>
              <w:b w:val="0"/>
              <w:i w:val="0"/>
              <w:sz w:val="24"/>
            </w:rPr>
            <w:t>Effects</w:t>
          </w:r>
          <w:r>
            <w:rPr>
              <w:b w:val="0"/>
              <w:i w:val="0"/>
              <w:spacing w:val="-6"/>
              <w:sz w:val="24"/>
            </w:rPr>
            <w:t> </w:t>
          </w:r>
          <w:r>
            <w:rPr>
              <w:b w:val="0"/>
              <w:i w:val="0"/>
              <w:sz w:val="24"/>
            </w:rPr>
            <w:t>of</w:t>
          </w:r>
          <w:r>
            <w:rPr>
              <w:b w:val="0"/>
              <w:i w:val="0"/>
              <w:spacing w:val="-9"/>
              <w:sz w:val="24"/>
            </w:rPr>
            <w:t> </w:t>
          </w:r>
          <w:r>
            <w:rPr>
              <w:b w:val="0"/>
              <w:i w:val="0"/>
              <w:sz w:val="24"/>
            </w:rPr>
            <w:t>undetoxified</w:t>
          </w:r>
          <w:r>
            <w:rPr>
              <w:b w:val="0"/>
              <w:i w:val="0"/>
              <w:spacing w:val="-1"/>
              <w:sz w:val="24"/>
            </w:rPr>
            <w:t> </w:t>
          </w:r>
          <w:r>
            <w:rPr>
              <w:b w:val="0"/>
              <w:i w:val="0"/>
              <w:sz w:val="24"/>
            </w:rPr>
            <w:t>and</w:t>
          </w:r>
          <w:r>
            <w:rPr>
              <w:b w:val="0"/>
              <w:i w:val="0"/>
              <w:spacing w:val="-2"/>
              <w:sz w:val="24"/>
            </w:rPr>
            <w:t> </w:t>
          </w:r>
          <w:r>
            <w:rPr>
              <w:b w:val="0"/>
              <w:i w:val="0"/>
              <w:sz w:val="24"/>
            </w:rPr>
            <w:t>detoxified </w:t>
          </w:r>
          <w:r>
            <w:rPr>
              <w:b w:val="0"/>
              <w:sz w:val="24"/>
            </w:rPr>
            <w:t>Jatropha</w:t>
          </w:r>
          <w:r>
            <w:rPr>
              <w:b w:val="0"/>
              <w:spacing w:val="-1"/>
              <w:sz w:val="24"/>
            </w:rPr>
            <w:t> </w:t>
          </w:r>
          <w:r>
            <w:rPr>
              <w:b w:val="0"/>
              <w:sz w:val="24"/>
            </w:rPr>
            <w:t>curcas</w:t>
          </w:r>
          <w:r>
            <w:rPr>
              <w:b w:val="0"/>
              <w:spacing w:val="-4"/>
              <w:sz w:val="24"/>
            </w:rPr>
            <w:t> </w:t>
          </w:r>
          <w:r>
            <w:rPr>
              <w:b w:val="0"/>
              <w:i w:val="0"/>
              <w:sz w:val="24"/>
            </w:rPr>
            <w:t>oils</w:t>
          </w:r>
          <w:r>
            <w:rPr>
              <w:b w:val="0"/>
              <w:i w:val="0"/>
              <w:spacing w:val="-3"/>
              <w:sz w:val="24"/>
            </w:rPr>
            <w:t> </w:t>
          </w:r>
          <w:r>
            <w:rPr>
              <w:b w:val="0"/>
              <w:i w:val="0"/>
              <w:spacing w:val="-5"/>
              <w:sz w:val="24"/>
            </w:rPr>
            <w:t>on</w:t>
          </w:r>
        </w:p>
        <w:p>
          <w:pPr>
            <w:pStyle w:val="TOC3"/>
            <w:tabs>
              <w:tab w:pos="8176" w:val="left" w:leader="none"/>
            </w:tabs>
            <w:spacing w:before="2"/>
            <w:ind w:left="253" w:firstLine="0"/>
          </w:pPr>
          <w:r>
            <w:rPr/>
            <mc:AlternateContent>
              <mc:Choice Requires="wps">
                <w:drawing>
                  <wp:anchor distT="0" distB="0" distL="0" distR="0" allowOverlap="1" layoutInCell="1" locked="0" behindDoc="1" simplePos="0" relativeHeight="485036032">
                    <wp:simplePos x="0" y="0"/>
                    <wp:positionH relativeFrom="page">
                      <wp:posOffset>2110104</wp:posOffset>
                    </wp:positionH>
                    <wp:positionV relativeFrom="paragraph">
                      <wp:posOffset>109766</wp:posOffset>
                    </wp:positionV>
                    <wp:extent cx="410591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4105910" cy="1270"/>
                            </a:xfrm>
                            <a:custGeom>
                              <a:avLst/>
                              <a:gdLst/>
                              <a:ahLst/>
                              <a:cxnLst/>
                              <a:rect l="l" t="t" r="r" b="b"/>
                              <a:pathLst>
                                <a:path w="4105910" h="0">
                                  <a:moveTo>
                                    <a:pt x="0" y="0"/>
                                  </a:moveTo>
                                  <a:lnTo>
                                    <a:pt x="410575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80448" from="166.149994pt,8.643026pt" to="489.437618pt,8.643026pt" stroked="true" strokeweight=".885563pt" strokecolor="#000000">
                    <v:stroke dashstyle="shortdash"/>
                    <w10:wrap type="none"/>
                  </v:line>
                </w:pict>
              </mc:Fallback>
            </mc:AlternateContent>
          </w:r>
          <w:r>
            <w:rPr/>
            <w:t>kidney</w:t>
          </w:r>
          <w:r>
            <w:rPr>
              <w:spacing w:val="-7"/>
            </w:rPr>
            <w:t> </w:t>
          </w:r>
          <w:r>
            <w:rPr>
              <w:spacing w:val="-2"/>
            </w:rPr>
            <w:t>tissues</w:t>
          </w:r>
          <w:r>
            <w:rPr/>
            <w:tab/>
          </w:r>
          <w:r>
            <w:rPr>
              <w:spacing w:val="-7"/>
            </w:rPr>
            <w:t>66</w:t>
          </w:r>
        </w:p>
        <w:p>
          <w:pPr>
            <w:pStyle w:val="TOC5"/>
            <w:numPr>
              <w:ilvl w:val="2"/>
              <w:numId w:val="10"/>
            </w:numPr>
            <w:tabs>
              <w:tab w:pos="914" w:val="left" w:leader="none"/>
            </w:tabs>
            <w:spacing w:line="275" w:lineRule="exact" w:before="277" w:after="0"/>
            <w:ind w:left="914" w:right="0" w:hanging="661"/>
            <w:jc w:val="left"/>
            <w:rPr>
              <w:b w:val="0"/>
              <w:i w:val="0"/>
              <w:sz w:val="24"/>
            </w:rPr>
          </w:pPr>
          <w:r>
            <w:rPr>
              <w:b w:val="0"/>
              <w:i w:val="0"/>
              <w:sz w:val="24"/>
            </w:rPr>
            <w:t>Effects</w:t>
          </w:r>
          <w:r>
            <w:rPr>
              <w:b w:val="0"/>
              <w:i w:val="0"/>
              <w:spacing w:val="-6"/>
              <w:sz w:val="24"/>
            </w:rPr>
            <w:t> </w:t>
          </w:r>
          <w:r>
            <w:rPr>
              <w:b w:val="0"/>
              <w:i w:val="0"/>
              <w:sz w:val="24"/>
            </w:rPr>
            <w:t>of</w:t>
          </w:r>
          <w:r>
            <w:rPr>
              <w:b w:val="0"/>
              <w:i w:val="0"/>
              <w:spacing w:val="-10"/>
              <w:sz w:val="24"/>
            </w:rPr>
            <w:t> </w:t>
          </w:r>
          <w:r>
            <w:rPr>
              <w:b w:val="0"/>
              <w:i w:val="0"/>
              <w:sz w:val="24"/>
            </w:rPr>
            <w:t>undetoxified</w:t>
          </w:r>
          <w:r>
            <w:rPr>
              <w:b w:val="0"/>
              <w:i w:val="0"/>
              <w:spacing w:val="1"/>
              <w:sz w:val="24"/>
            </w:rPr>
            <w:t> </w:t>
          </w:r>
          <w:r>
            <w:rPr>
              <w:b w:val="0"/>
              <w:i w:val="0"/>
              <w:sz w:val="24"/>
            </w:rPr>
            <w:t>and</w:t>
          </w:r>
          <w:r>
            <w:rPr>
              <w:b w:val="0"/>
              <w:i w:val="0"/>
              <w:spacing w:val="-2"/>
              <w:sz w:val="24"/>
            </w:rPr>
            <w:t> </w:t>
          </w:r>
          <w:r>
            <w:rPr>
              <w:b w:val="0"/>
              <w:i w:val="0"/>
              <w:sz w:val="24"/>
            </w:rPr>
            <w:t>detoxified </w:t>
          </w:r>
          <w:r>
            <w:rPr>
              <w:b w:val="0"/>
              <w:sz w:val="24"/>
            </w:rPr>
            <w:t>Jatropha</w:t>
          </w:r>
          <w:r>
            <w:rPr>
              <w:b w:val="0"/>
              <w:spacing w:val="-1"/>
              <w:sz w:val="24"/>
            </w:rPr>
            <w:t> </w:t>
          </w:r>
          <w:r>
            <w:rPr>
              <w:b w:val="0"/>
              <w:sz w:val="24"/>
            </w:rPr>
            <w:t>curcas</w:t>
          </w:r>
          <w:r>
            <w:rPr>
              <w:b w:val="0"/>
              <w:spacing w:val="-4"/>
              <w:sz w:val="24"/>
            </w:rPr>
            <w:t> </w:t>
          </w:r>
          <w:r>
            <w:rPr>
              <w:b w:val="0"/>
              <w:i w:val="0"/>
              <w:sz w:val="24"/>
            </w:rPr>
            <w:t>oils</w:t>
          </w:r>
          <w:r>
            <w:rPr>
              <w:b w:val="0"/>
              <w:i w:val="0"/>
              <w:spacing w:val="-3"/>
              <w:sz w:val="24"/>
            </w:rPr>
            <w:t> </w:t>
          </w:r>
          <w:r>
            <w:rPr>
              <w:b w:val="0"/>
              <w:i w:val="0"/>
              <w:spacing w:val="-5"/>
              <w:sz w:val="24"/>
            </w:rPr>
            <w:t>on</w:t>
          </w:r>
        </w:p>
        <w:p>
          <w:pPr>
            <w:pStyle w:val="TOC3"/>
            <w:tabs>
              <w:tab w:pos="8176" w:val="left" w:leader="none"/>
            </w:tabs>
            <w:spacing w:line="275" w:lineRule="exact" w:before="0"/>
            <w:ind w:left="253" w:firstLine="0"/>
          </w:pPr>
          <w:r>
            <w:rPr/>
            <mc:AlternateContent>
              <mc:Choice Requires="wps">
                <w:drawing>
                  <wp:anchor distT="0" distB="0" distL="0" distR="0" allowOverlap="1" layoutInCell="1" locked="0" behindDoc="1" simplePos="0" relativeHeight="485036544">
                    <wp:simplePos x="0" y="0"/>
                    <wp:positionH relativeFrom="page">
                      <wp:posOffset>1948307</wp:posOffset>
                    </wp:positionH>
                    <wp:positionV relativeFrom="paragraph">
                      <wp:posOffset>107502</wp:posOffset>
                    </wp:positionV>
                    <wp:extent cx="4260850"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260850" cy="1270"/>
                            </a:xfrm>
                            <a:custGeom>
                              <a:avLst/>
                              <a:gdLst/>
                              <a:ahLst/>
                              <a:cxnLst/>
                              <a:rect l="l" t="t" r="r" b="b"/>
                              <a:pathLst>
                                <a:path w="4260850" h="0">
                                  <a:moveTo>
                                    <a:pt x="0" y="0"/>
                                  </a:moveTo>
                                  <a:lnTo>
                                    <a:pt x="426074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9936" from="153.410004pt,8.464785pt" to="488.901911pt,8.464785pt" stroked="true" strokeweight=".885563pt" strokecolor="#000000">
                    <v:stroke dashstyle="shortdash"/>
                    <w10:wrap type="none"/>
                  </v:line>
                </w:pict>
              </mc:Fallback>
            </mc:AlternateContent>
          </w:r>
          <w:r>
            <w:rPr/>
            <w:t>GIT</w:t>
          </w:r>
          <w:r>
            <w:rPr>
              <w:spacing w:val="-2"/>
            </w:rPr>
            <w:t> tissues</w:t>
          </w:r>
          <w:r>
            <w:rPr/>
            <w:tab/>
          </w:r>
          <w:r>
            <w:rPr>
              <w:spacing w:val="-5"/>
            </w:rPr>
            <w:t>69</w:t>
          </w:r>
        </w:p>
        <w:p>
          <w:pPr>
            <w:pStyle w:val="TOC1"/>
            <w:numPr>
              <w:ilvl w:val="0"/>
              <w:numId w:val="11"/>
            </w:numPr>
            <w:tabs>
              <w:tab w:pos="973" w:val="left" w:leader="none"/>
              <w:tab w:pos="8176" w:val="left" w:leader="hyphen"/>
            </w:tabs>
            <w:spacing w:line="240" w:lineRule="auto" w:before="559" w:after="0"/>
            <w:ind w:left="973" w:right="0" w:hanging="720"/>
            <w:jc w:val="left"/>
          </w:pPr>
          <w:r>
            <w:rPr>
              <w:spacing w:val="-2"/>
            </w:rPr>
            <w:t>DISCUSSION</w:t>
          </w:r>
          <w:r>
            <w:rPr/>
            <w:tab/>
          </w:r>
          <w:r>
            <w:rPr>
              <w:spacing w:val="-5"/>
            </w:rPr>
            <w:t>72</w:t>
          </w:r>
        </w:p>
        <w:p>
          <w:pPr>
            <w:pStyle w:val="TOC1"/>
            <w:numPr>
              <w:ilvl w:val="0"/>
              <w:numId w:val="11"/>
            </w:numPr>
            <w:tabs>
              <w:tab w:pos="973" w:val="left" w:leader="none"/>
              <w:tab w:pos="8176" w:val="left" w:leader="hyphen"/>
            </w:tabs>
            <w:spacing w:line="240" w:lineRule="auto" w:before="550" w:after="0"/>
            <w:ind w:left="973" w:right="0" w:hanging="720"/>
            <w:jc w:val="left"/>
          </w:pPr>
          <w:r>
            <w:rPr/>
            <w:t>SUMMARY, CONCLUSION AND </w:t>
          </w:r>
          <w:r>
            <w:rPr>
              <w:spacing w:val="-2"/>
            </w:rPr>
            <w:t>RECOMMENDATIONS</w:t>
          </w:r>
          <w:r>
            <w:rPr/>
            <w:tab/>
          </w:r>
          <w:r>
            <w:rPr>
              <w:spacing w:val="-5"/>
            </w:rPr>
            <w:t>83</w:t>
          </w:r>
        </w:p>
        <w:p>
          <w:pPr>
            <w:pStyle w:val="TOC1"/>
            <w:tabs>
              <w:tab w:pos="8176" w:val="left" w:leader="hyphen"/>
            </w:tabs>
            <w:spacing w:before="276"/>
            <w:ind w:left="253" w:firstLine="0"/>
          </w:pPr>
          <w:hyperlink w:history="true" w:anchor="_TOC_250000">
            <w:r>
              <w:rPr>
                <w:spacing w:val="-2"/>
              </w:rPr>
              <w:t>REFERENCES</w:t>
            </w:r>
            <w:r>
              <w:rPr/>
              <w:tab/>
            </w:r>
            <w:r>
              <w:rPr>
                <w:spacing w:val="-5"/>
              </w:rPr>
              <w:t>86</w:t>
            </w:r>
          </w:hyperlink>
        </w:p>
        <w:p>
          <w:pPr>
            <w:pStyle w:val="TOC1"/>
            <w:tabs>
              <w:tab w:pos="8176" w:val="left" w:leader="hyphen"/>
            </w:tabs>
            <w:spacing w:before="276"/>
            <w:ind w:left="253" w:firstLine="0"/>
          </w:pPr>
          <w:r>
            <w:rPr>
              <w:spacing w:val="-2"/>
            </w:rPr>
            <w:t>APPENDICES</w:t>
          </w:r>
          <w:r>
            <w:rPr/>
            <w:tab/>
          </w:r>
          <w:r>
            <w:rPr>
              <w:spacing w:val="-5"/>
            </w:rPr>
            <w:t>101</w:t>
          </w:r>
        </w:p>
      </w:sdtContent>
    </w:sdt>
    <w:p>
      <w:pPr>
        <w:spacing w:after="0"/>
        <w:sectPr>
          <w:type w:val="continuous"/>
          <w:pgSz w:w="12240" w:h="15840"/>
          <w:pgMar w:header="0" w:footer="1012" w:top="1340" w:bottom="1440" w:left="1720" w:right="1300"/>
        </w:sectPr>
      </w:pPr>
    </w:p>
    <w:p>
      <w:pPr>
        <w:pStyle w:val="Heading2"/>
        <w:spacing w:before="61"/>
        <w:ind w:left="1972" w:right="1830" w:firstLine="0"/>
        <w:jc w:val="center"/>
      </w:pPr>
      <w:bookmarkStart w:name="_TOC_250050" w:id="6"/>
      <w:r>
        <w:rPr/>
        <w:t>List of</w:t>
      </w:r>
      <w:bookmarkEnd w:id="6"/>
      <w:r>
        <w:rPr>
          <w:spacing w:val="-2"/>
        </w:rPr>
        <w:t> Figures</w:t>
      </w:r>
    </w:p>
    <w:p>
      <w:pPr>
        <w:pStyle w:val="BodyText"/>
        <w:spacing w:before="274"/>
        <w:rPr>
          <w:b/>
        </w:rPr>
      </w:pPr>
    </w:p>
    <w:p>
      <w:pPr>
        <w:pStyle w:val="BodyText"/>
        <w:tabs>
          <w:tab w:pos="8238" w:val="left" w:leader="none"/>
        </w:tabs>
        <w:ind w:left="253"/>
      </w:pPr>
      <w:r>
        <w:rPr>
          <w:spacing w:val="-2"/>
        </w:rPr>
        <w:t>Figure</w:t>
      </w:r>
      <w:r>
        <w:rPr/>
        <w:tab/>
      </w:r>
      <w:r>
        <w:rPr>
          <w:spacing w:val="-4"/>
        </w:rPr>
        <w:t>Page</w:t>
      </w:r>
    </w:p>
    <w:p>
      <w:pPr>
        <w:pStyle w:val="BodyText"/>
      </w:pPr>
    </w:p>
    <w:p>
      <w:pPr>
        <w:pStyle w:val="ListParagraph"/>
        <w:numPr>
          <w:ilvl w:val="1"/>
          <w:numId w:val="12"/>
        </w:numPr>
        <w:tabs>
          <w:tab w:pos="555" w:val="left" w:leader="none"/>
          <w:tab w:pos="8176" w:val="left" w:leader="hyphen"/>
        </w:tabs>
        <w:spacing w:line="240" w:lineRule="auto" w:before="0" w:after="0"/>
        <w:ind w:left="555" w:right="0" w:hanging="302"/>
        <w:jc w:val="left"/>
        <w:rPr>
          <w:sz w:val="24"/>
        </w:rPr>
      </w:pPr>
      <w:r>
        <w:rPr>
          <w:sz w:val="24"/>
        </w:rPr>
        <w:t>:</w:t>
      </w:r>
      <w:r>
        <w:rPr>
          <w:spacing w:val="-7"/>
          <w:sz w:val="24"/>
        </w:rPr>
        <w:t> </w:t>
      </w:r>
      <w:r>
        <w:rPr>
          <w:sz w:val="24"/>
        </w:rPr>
        <w:t>The</w:t>
      </w:r>
      <w:r>
        <w:rPr>
          <w:spacing w:val="4"/>
          <w:sz w:val="24"/>
        </w:rPr>
        <w:t> </w:t>
      </w:r>
      <w:r>
        <w:rPr>
          <w:sz w:val="24"/>
        </w:rPr>
        <w:t>fruit,</w:t>
      </w:r>
      <w:r>
        <w:rPr>
          <w:spacing w:val="1"/>
          <w:sz w:val="24"/>
        </w:rPr>
        <w:t> </w:t>
      </w:r>
      <w:r>
        <w:rPr>
          <w:sz w:val="24"/>
        </w:rPr>
        <w:t>seeds,</w:t>
      </w:r>
      <w:r>
        <w:rPr>
          <w:spacing w:val="-3"/>
          <w:sz w:val="24"/>
        </w:rPr>
        <w:t> </w:t>
      </w:r>
      <w:r>
        <w:rPr>
          <w:sz w:val="24"/>
        </w:rPr>
        <w:t>oil</w:t>
      </w:r>
      <w:r>
        <w:rPr>
          <w:spacing w:val="-5"/>
          <w:sz w:val="24"/>
        </w:rPr>
        <w:t> </w:t>
      </w:r>
      <w:r>
        <w:rPr>
          <w:sz w:val="24"/>
        </w:rPr>
        <w:t>and</w:t>
      </w:r>
      <w:r>
        <w:rPr>
          <w:spacing w:val="-1"/>
          <w:sz w:val="24"/>
        </w:rPr>
        <w:t> </w:t>
      </w:r>
      <w:r>
        <w:rPr>
          <w:sz w:val="24"/>
        </w:rPr>
        <w:t>defatted seed</w:t>
      </w:r>
      <w:r>
        <w:rPr>
          <w:spacing w:val="-1"/>
          <w:sz w:val="24"/>
        </w:rPr>
        <w:t> </w:t>
      </w:r>
      <w:r>
        <w:rPr>
          <w:sz w:val="24"/>
        </w:rPr>
        <w:t>cake</w:t>
      </w:r>
      <w:r>
        <w:rPr>
          <w:spacing w:val="-6"/>
          <w:sz w:val="24"/>
        </w:rPr>
        <w:t> </w:t>
      </w:r>
      <w:r>
        <w:rPr>
          <w:sz w:val="24"/>
        </w:rPr>
        <w:t>of</w:t>
      </w:r>
      <w:r>
        <w:rPr>
          <w:spacing w:val="-2"/>
          <w:sz w:val="24"/>
        </w:rPr>
        <w:t> </w:t>
      </w:r>
      <w:r>
        <w:rPr>
          <w:i/>
          <w:sz w:val="24"/>
        </w:rPr>
        <w:t>Jatropha </w:t>
      </w:r>
      <w:r>
        <w:rPr>
          <w:i/>
          <w:spacing w:val="-2"/>
          <w:sz w:val="24"/>
        </w:rPr>
        <w:t>curcas</w:t>
      </w:r>
      <w:r>
        <w:rPr>
          <w:i/>
          <w:sz w:val="24"/>
        </w:rPr>
        <w:tab/>
      </w:r>
      <w:r>
        <w:rPr>
          <w:spacing w:val="-5"/>
          <w:sz w:val="24"/>
        </w:rPr>
        <w:t>22</w:t>
      </w:r>
    </w:p>
    <w:p>
      <w:pPr>
        <w:pStyle w:val="BodyText"/>
      </w:pPr>
    </w:p>
    <w:p>
      <w:pPr>
        <w:pStyle w:val="ListParagraph"/>
        <w:numPr>
          <w:ilvl w:val="1"/>
          <w:numId w:val="13"/>
        </w:numPr>
        <w:tabs>
          <w:tab w:pos="555" w:val="left" w:leader="none"/>
          <w:tab w:pos="8176" w:val="left" w:leader="hyphen"/>
        </w:tabs>
        <w:spacing w:line="240" w:lineRule="auto" w:before="0" w:after="0"/>
        <w:ind w:left="253" w:right="801" w:firstLine="0"/>
        <w:jc w:val="left"/>
        <w:rPr>
          <w:sz w:val="24"/>
        </w:rPr>
      </w:pPr>
      <w:r>
        <w:rPr>
          <w:sz w:val="24"/>
        </w:rPr>
        <w:t>: Effects of synthetic and natural detoxification processes on levels of phorbol ester rich fractions in solvent and mechanically extracted </w:t>
      </w:r>
      <w:r>
        <w:rPr>
          <w:i/>
          <w:sz w:val="24"/>
        </w:rPr>
        <w:t>Jatropha curcas </w:t>
      </w:r>
      <w:r>
        <w:rPr>
          <w:sz w:val="24"/>
        </w:rPr>
        <w:t>oils</w:t>
        <w:tab/>
      </w:r>
      <w:r>
        <w:rPr>
          <w:spacing w:val="-6"/>
          <w:sz w:val="24"/>
        </w:rPr>
        <w:t>49</w:t>
      </w:r>
    </w:p>
    <w:p>
      <w:pPr>
        <w:pStyle w:val="ListParagraph"/>
        <w:numPr>
          <w:ilvl w:val="1"/>
          <w:numId w:val="13"/>
        </w:numPr>
        <w:tabs>
          <w:tab w:pos="555" w:val="left" w:leader="none"/>
        </w:tabs>
        <w:spacing w:line="240" w:lineRule="auto" w:before="274" w:after="0"/>
        <w:ind w:left="555" w:right="0" w:hanging="302"/>
        <w:jc w:val="left"/>
        <w:rPr>
          <w:sz w:val="24"/>
        </w:rPr>
      </w:pPr>
      <w:r>
        <w:rPr>
          <w:sz w:val="24"/>
        </w:rPr>
        <w:t>:</w:t>
      </w:r>
      <w:r>
        <w:rPr>
          <w:spacing w:val="-4"/>
          <w:sz w:val="24"/>
        </w:rPr>
        <w:t> </w:t>
      </w:r>
      <w:r>
        <w:rPr>
          <w:sz w:val="24"/>
        </w:rPr>
        <w:t>Liver to</w:t>
      </w:r>
      <w:r>
        <w:rPr>
          <w:spacing w:val="-1"/>
          <w:sz w:val="24"/>
        </w:rPr>
        <w:t> </w:t>
      </w:r>
      <w:r>
        <w:rPr>
          <w:sz w:val="24"/>
        </w:rPr>
        <w:t>body</w:t>
      </w:r>
      <w:r>
        <w:rPr>
          <w:spacing w:val="-11"/>
          <w:sz w:val="24"/>
        </w:rPr>
        <w:t> </w:t>
      </w:r>
      <w:r>
        <w:rPr>
          <w:sz w:val="24"/>
        </w:rPr>
        <w:t>weight</w:t>
      </w:r>
      <w:r>
        <w:rPr>
          <w:spacing w:val="3"/>
          <w:sz w:val="24"/>
        </w:rPr>
        <w:t> </w:t>
      </w:r>
      <w:r>
        <w:rPr>
          <w:sz w:val="24"/>
        </w:rPr>
        <w:t>ratio</w:t>
      </w:r>
      <w:r>
        <w:rPr>
          <w:spacing w:val="3"/>
          <w:sz w:val="24"/>
        </w:rPr>
        <w:t> </w:t>
      </w:r>
      <w:r>
        <w:rPr>
          <w:sz w:val="24"/>
        </w:rPr>
        <w:t>in</w:t>
      </w:r>
      <w:r>
        <w:rPr>
          <w:spacing w:val="-1"/>
          <w:sz w:val="24"/>
        </w:rPr>
        <w:t> </w:t>
      </w:r>
      <w:r>
        <w:rPr>
          <w:sz w:val="24"/>
        </w:rPr>
        <w:t>male</w:t>
      </w:r>
      <w:r>
        <w:rPr>
          <w:spacing w:val="2"/>
          <w:sz w:val="24"/>
        </w:rPr>
        <w:t> </w:t>
      </w:r>
      <w:r>
        <w:rPr>
          <w:sz w:val="24"/>
        </w:rPr>
        <w:t>Wistar</w:t>
      </w:r>
      <w:r>
        <w:rPr>
          <w:spacing w:val="1"/>
          <w:sz w:val="24"/>
        </w:rPr>
        <w:t> </w:t>
      </w:r>
      <w:r>
        <w:rPr>
          <w:sz w:val="24"/>
        </w:rPr>
        <w:t>rats</w:t>
      </w:r>
      <w:r>
        <w:rPr>
          <w:spacing w:val="-8"/>
          <w:sz w:val="24"/>
        </w:rPr>
        <w:t> </w:t>
      </w:r>
      <w:r>
        <w:rPr>
          <w:sz w:val="24"/>
        </w:rPr>
        <w:t>that</w:t>
      </w:r>
      <w:r>
        <w:rPr>
          <w:spacing w:val="-1"/>
          <w:sz w:val="24"/>
        </w:rPr>
        <w:t> </w:t>
      </w:r>
      <w:r>
        <w:rPr>
          <w:spacing w:val="-2"/>
          <w:sz w:val="24"/>
        </w:rPr>
        <w:t>received</w:t>
      </w:r>
    </w:p>
    <w:p>
      <w:pPr>
        <w:tabs>
          <w:tab w:pos="8176" w:val="left" w:leader="hyphen"/>
        </w:tabs>
        <w:spacing w:before="3"/>
        <w:ind w:left="253" w:right="0" w:firstLine="0"/>
        <w:jc w:val="left"/>
        <w:rPr>
          <w:sz w:val="24"/>
        </w:rPr>
      </w:pPr>
      <w:r>
        <w:rPr>
          <w:sz w:val="24"/>
        </w:rPr>
        <w:t>undetoxified</w:t>
      </w:r>
      <w:r>
        <w:rPr>
          <w:spacing w:val="-3"/>
          <w:sz w:val="24"/>
        </w:rPr>
        <w:t> </w:t>
      </w:r>
      <w:r>
        <w:rPr>
          <w:sz w:val="24"/>
        </w:rPr>
        <w:t>and</w:t>
      </w:r>
      <w:r>
        <w:rPr>
          <w:spacing w:val="-3"/>
          <w:sz w:val="24"/>
        </w:rPr>
        <w:t> </w:t>
      </w:r>
      <w:r>
        <w:rPr>
          <w:sz w:val="24"/>
        </w:rPr>
        <w:t>detoxified</w:t>
      </w:r>
      <w:r>
        <w:rPr>
          <w:spacing w:val="-1"/>
          <w:sz w:val="24"/>
        </w:rPr>
        <w:t> </w:t>
      </w:r>
      <w:r>
        <w:rPr>
          <w:i/>
          <w:sz w:val="24"/>
        </w:rPr>
        <w:t>Jatropha</w:t>
      </w:r>
      <w:r>
        <w:rPr>
          <w:i/>
          <w:spacing w:val="-3"/>
          <w:sz w:val="24"/>
        </w:rPr>
        <w:t> </w:t>
      </w:r>
      <w:r>
        <w:rPr>
          <w:i/>
          <w:sz w:val="24"/>
        </w:rPr>
        <w:t>curcas</w:t>
      </w:r>
      <w:r>
        <w:rPr>
          <w:i/>
          <w:spacing w:val="-4"/>
          <w:sz w:val="24"/>
        </w:rPr>
        <w:t> </w:t>
      </w:r>
      <w:r>
        <w:rPr>
          <w:spacing w:val="-4"/>
          <w:sz w:val="24"/>
        </w:rPr>
        <w:t>oils</w:t>
      </w:r>
      <w:r>
        <w:rPr>
          <w:sz w:val="24"/>
        </w:rPr>
        <w:tab/>
      </w:r>
      <w:r>
        <w:rPr>
          <w:spacing w:val="-5"/>
          <w:sz w:val="24"/>
        </w:rPr>
        <w:t>57</w:t>
      </w:r>
    </w:p>
    <w:p>
      <w:pPr>
        <w:pStyle w:val="ListParagraph"/>
        <w:numPr>
          <w:ilvl w:val="1"/>
          <w:numId w:val="13"/>
        </w:numPr>
        <w:tabs>
          <w:tab w:pos="555" w:val="left" w:leader="none"/>
        </w:tabs>
        <w:spacing w:line="275" w:lineRule="exact" w:before="276" w:after="0"/>
        <w:ind w:left="555" w:right="0" w:hanging="302"/>
        <w:jc w:val="left"/>
        <w:rPr>
          <w:sz w:val="24"/>
        </w:rPr>
      </w:pPr>
      <w:r>
        <w:rPr>
          <w:sz w:val="24"/>
        </w:rPr>
        <w:t>:</w:t>
      </w:r>
      <w:r>
        <w:rPr>
          <w:spacing w:val="-4"/>
          <w:sz w:val="24"/>
        </w:rPr>
        <w:t> </w:t>
      </w:r>
      <w:r>
        <w:rPr>
          <w:sz w:val="24"/>
        </w:rPr>
        <w:t>Kidney</w:t>
      </w:r>
      <w:r>
        <w:rPr>
          <w:spacing w:val="-6"/>
          <w:sz w:val="24"/>
        </w:rPr>
        <w:t> </w:t>
      </w:r>
      <w:r>
        <w:rPr>
          <w:sz w:val="24"/>
        </w:rPr>
        <w:t>to</w:t>
      </w:r>
      <w:r>
        <w:rPr>
          <w:spacing w:val="4"/>
          <w:sz w:val="24"/>
        </w:rPr>
        <w:t> </w:t>
      </w:r>
      <w:r>
        <w:rPr>
          <w:sz w:val="24"/>
        </w:rPr>
        <w:t>body</w:t>
      </w:r>
      <w:r>
        <w:rPr>
          <w:spacing w:val="-11"/>
          <w:sz w:val="24"/>
        </w:rPr>
        <w:t> </w:t>
      </w:r>
      <w:r>
        <w:rPr>
          <w:sz w:val="24"/>
        </w:rPr>
        <w:t>weight</w:t>
      </w:r>
      <w:r>
        <w:rPr>
          <w:spacing w:val="4"/>
          <w:sz w:val="24"/>
        </w:rPr>
        <w:t> </w:t>
      </w:r>
      <w:r>
        <w:rPr>
          <w:sz w:val="24"/>
        </w:rPr>
        <w:t>ratio</w:t>
      </w:r>
      <w:r>
        <w:rPr>
          <w:spacing w:val="2"/>
          <w:sz w:val="24"/>
        </w:rPr>
        <w:t> </w:t>
      </w:r>
      <w:r>
        <w:rPr>
          <w:sz w:val="24"/>
        </w:rPr>
        <w:t>in</w:t>
      </w:r>
      <w:r>
        <w:rPr>
          <w:spacing w:val="-1"/>
          <w:sz w:val="24"/>
        </w:rPr>
        <w:t> </w:t>
      </w:r>
      <w:r>
        <w:rPr>
          <w:sz w:val="24"/>
        </w:rPr>
        <w:t>male</w:t>
      </w:r>
      <w:r>
        <w:rPr>
          <w:spacing w:val="4"/>
          <w:sz w:val="24"/>
        </w:rPr>
        <w:t> </w:t>
      </w:r>
      <w:r>
        <w:rPr>
          <w:sz w:val="24"/>
        </w:rPr>
        <w:t>Wistar</w:t>
      </w:r>
      <w:r>
        <w:rPr>
          <w:spacing w:val="1"/>
          <w:sz w:val="24"/>
        </w:rPr>
        <w:t> </w:t>
      </w:r>
      <w:r>
        <w:rPr>
          <w:sz w:val="24"/>
        </w:rPr>
        <w:t>rats</w:t>
      </w:r>
      <w:r>
        <w:rPr>
          <w:spacing w:val="-8"/>
          <w:sz w:val="24"/>
        </w:rPr>
        <w:t> </w:t>
      </w:r>
      <w:r>
        <w:rPr>
          <w:sz w:val="24"/>
        </w:rPr>
        <w:t>that</w:t>
      </w:r>
      <w:r>
        <w:rPr>
          <w:spacing w:val="-1"/>
          <w:sz w:val="24"/>
        </w:rPr>
        <w:t> </w:t>
      </w:r>
      <w:r>
        <w:rPr>
          <w:spacing w:val="-2"/>
          <w:sz w:val="24"/>
        </w:rPr>
        <w:t>received</w:t>
      </w:r>
    </w:p>
    <w:p>
      <w:pPr>
        <w:tabs>
          <w:tab w:pos="8176" w:val="left" w:leader="hyphen"/>
        </w:tabs>
        <w:spacing w:line="275" w:lineRule="exact" w:before="0"/>
        <w:ind w:left="253" w:right="0" w:firstLine="0"/>
        <w:jc w:val="left"/>
        <w:rPr>
          <w:sz w:val="24"/>
        </w:rPr>
      </w:pPr>
      <w:r>
        <w:rPr>
          <w:sz w:val="24"/>
        </w:rPr>
        <w:t>undetoxified</w:t>
      </w:r>
      <w:r>
        <w:rPr>
          <w:spacing w:val="-3"/>
          <w:sz w:val="24"/>
        </w:rPr>
        <w:t> </w:t>
      </w:r>
      <w:r>
        <w:rPr>
          <w:sz w:val="24"/>
        </w:rPr>
        <w:t>and</w:t>
      </w:r>
      <w:r>
        <w:rPr>
          <w:spacing w:val="-3"/>
          <w:sz w:val="24"/>
        </w:rPr>
        <w:t> </w:t>
      </w:r>
      <w:r>
        <w:rPr>
          <w:sz w:val="24"/>
        </w:rPr>
        <w:t>detoxified</w:t>
      </w:r>
      <w:r>
        <w:rPr>
          <w:spacing w:val="-1"/>
          <w:sz w:val="24"/>
        </w:rPr>
        <w:t> </w:t>
      </w:r>
      <w:r>
        <w:rPr>
          <w:i/>
          <w:sz w:val="24"/>
        </w:rPr>
        <w:t>Jatropha</w:t>
      </w:r>
      <w:r>
        <w:rPr>
          <w:i/>
          <w:spacing w:val="-3"/>
          <w:sz w:val="24"/>
        </w:rPr>
        <w:t> </w:t>
      </w:r>
      <w:r>
        <w:rPr>
          <w:i/>
          <w:sz w:val="24"/>
        </w:rPr>
        <w:t>curcas</w:t>
      </w:r>
      <w:r>
        <w:rPr>
          <w:i/>
          <w:spacing w:val="-4"/>
          <w:sz w:val="24"/>
        </w:rPr>
        <w:t> </w:t>
      </w:r>
      <w:r>
        <w:rPr>
          <w:spacing w:val="-4"/>
          <w:sz w:val="24"/>
        </w:rPr>
        <w:t>oils</w:t>
      </w:r>
      <w:r>
        <w:rPr>
          <w:sz w:val="24"/>
        </w:rPr>
        <w:tab/>
      </w:r>
      <w:r>
        <w:rPr>
          <w:spacing w:val="-5"/>
          <w:sz w:val="24"/>
        </w:rPr>
        <w:t>58</w:t>
      </w:r>
    </w:p>
    <w:p>
      <w:pPr>
        <w:pStyle w:val="BodyText"/>
      </w:pPr>
    </w:p>
    <w:p>
      <w:pPr>
        <w:pStyle w:val="ListParagraph"/>
        <w:numPr>
          <w:ilvl w:val="1"/>
          <w:numId w:val="13"/>
        </w:numPr>
        <w:tabs>
          <w:tab w:pos="555" w:val="left" w:leader="none"/>
        </w:tabs>
        <w:spacing w:line="240" w:lineRule="auto" w:before="0" w:after="0"/>
        <w:ind w:left="555" w:right="0" w:hanging="302"/>
        <w:jc w:val="left"/>
        <w:rPr>
          <w:sz w:val="24"/>
        </w:rPr>
      </w:pPr>
      <w:r>
        <w:rPr>
          <w:sz w:val="24"/>
        </w:rPr>
        <w:t>:</w:t>
      </w:r>
      <w:r>
        <w:rPr>
          <w:spacing w:val="-7"/>
          <w:sz w:val="24"/>
        </w:rPr>
        <w:t> </w:t>
      </w:r>
      <w:r>
        <w:rPr>
          <w:sz w:val="24"/>
        </w:rPr>
        <w:t>Effects</w:t>
      </w:r>
      <w:r>
        <w:rPr>
          <w:spacing w:val="-3"/>
          <w:sz w:val="24"/>
        </w:rPr>
        <w:t> </w:t>
      </w:r>
      <w:r>
        <w:rPr>
          <w:sz w:val="24"/>
        </w:rPr>
        <w:t>of</w:t>
      </w:r>
      <w:r>
        <w:rPr>
          <w:spacing w:val="-9"/>
          <w:sz w:val="24"/>
        </w:rPr>
        <w:t> </w:t>
      </w:r>
      <w:r>
        <w:rPr>
          <w:sz w:val="24"/>
        </w:rPr>
        <w:t>undetoxified</w:t>
      </w:r>
      <w:r>
        <w:rPr>
          <w:spacing w:val="-1"/>
          <w:sz w:val="24"/>
        </w:rPr>
        <w:t> </w:t>
      </w:r>
      <w:r>
        <w:rPr>
          <w:sz w:val="24"/>
        </w:rPr>
        <w:t>and</w:t>
      </w:r>
      <w:r>
        <w:rPr>
          <w:spacing w:val="-1"/>
          <w:sz w:val="24"/>
        </w:rPr>
        <w:t> </w:t>
      </w:r>
      <w:r>
        <w:rPr>
          <w:sz w:val="24"/>
        </w:rPr>
        <w:t>detoxified</w:t>
      </w:r>
      <w:r>
        <w:rPr>
          <w:spacing w:val="4"/>
          <w:sz w:val="24"/>
        </w:rPr>
        <w:t> </w:t>
      </w:r>
      <w:r>
        <w:rPr>
          <w:i/>
          <w:sz w:val="24"/>
        </w:rPr>
        <w:t>Jatropha</w:t>
      </w:r>
      <w:r>
        <w:rPr>
          <w:i/>
          <w:spacing w:val="-1"/>
          <w:sz w:val="24"/>
        </w:rPr>
        <w:t> </w:t>
      </w:r>
      <w:r>
        <w:rPr>
          <w:i/>
          <w:sz w:val="24"/>
        </w:rPr>
        <w:t>curcas</w:t>
      </w:r>
      <w:r>
        <w:rPr>
          <w:i/>
          <w:spacing w:val="-3"/>
          <w:sz w:val="24"/>
        </w:rPr>
        <w:t> </w:t>
      </w:r>
      <w:r>
        <w:rPr>
          <w:sz w:val="24"/>
        </w:rPr>
        <w:t>oils</w:t>
      </w:r>
      <w:r>
        <w:rPr>
          <w:spacing w:val="-2"/>
          <w:sz w:val="24"/>
        </w:rPr>
        <w:t> </w:t>
      </w:r>
      <w:r>
        <w:rPr>
          <w:spacing w:val="-5"/>
          <w:sz w:val="24"/>
        </w:rPr>
        <w:t>on</w:t>
      </w:r>
    </w:p>
    <w:p>
      <w:pPr>
        <w:pStyle w:val="BodyText"/>
        <w:tabs>
          <w:tab w:pos="8176" w:val="left" w:leader="none"/>
        </w:tabs>
        <w:spacing w:before="2"/>
        <w:ind w:left="253"/>
      </w:pPr>
      <w:r>
        <w:rPr/>
        <mc:AlternateContent>
          <mc:Choice Requires="wps">
            <w:drawing>
              <wp:anchor distT="0" distB="0" distL="0" distR="0" allowOverlap="1" layoutInCell="1" locked="0" behindDoc="1" simplePos="0" relativeHeight="485037056">
                <wp:simplePos x="0" y="0"/>
                <wp:positionH relativeFrom="page">
                  <wp:posOffset>3579621</wp:posOffset>
                </wp:positionH>
                <wp:positionV relativeFrom="paragraph">
                  <wp:posOffset>109677</wp:posOffset>
                </wp:positionV>
                <wp:extent cx="2691765"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2691765" cy="1270"/>
                        </a:xfrm>
                        <a:custGeom>
                          <a:avLst/>
                          <a:gdLst/>
                          <a:ahLst/>
                          <a:cxnLst/>
                          <a:rect l="l" t="t" r="r" b="b"/>
                          <a:pathLst>
                            <a:path w="2691765" h="0">
                              <a:moveTo>
                                <a:pt x="0" y="0"/>
                              </a:moveTo>
                              <a:lnTo>
                                <a:pt x="2691313"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9424" from="281.859985pt,8.636031pt" to="493.774433pt,8.636031pt" stroked="true" strokeweight=".885563pt" strokecolor="#000000">
                <v:stroke dashstyle="shortdash"/>
                <w10:wrap type="none"/>
              </v:line>
            </w:pict>
          </mc:Fallback>
        </mc:AlternateContent>
      </w:r>
      <w:r>
        <w:rPr/>
        <w:t>formalin</w:t>
      </w:r>
      <w:r>
        <w:rPr>
          <w:spacing w:val="-1"/>
        </w:rPr>
        <w:t> </w:t>
      </w:r>
      <w:r>
        <w:rPr/>
        <w:t>induced</w:t>
      </w:r>
      <w:r>
        <w:rPr>
          <w:spacing w:val="-5"/>
        </w:rPr>
        <w:t> </w:t>
      </w:r>
      <w:r>
        <w:rPr/>
        <w:t>paw</w:t>
      </w:r>
      <w:r>
        <w:rPr>
          <w:spacing w:val="-1"/>
        </w:rPr>
        <w:t> </w:t>
      </w:r>
      <w:r>
        <w:rPr/>
        <w:t>licking</w:t>
      </w:r>
      <w:r>
        <w:rPr>
          <w:spacing w:val="-1"/>
        </w:rPr>
        <w:t> </w:t>
      </w:r>
      <w:r>
        <w:rPr/>
        <w:t>in</w:t>
      </w:r>
      <w:r>
        <w:rPr>
          <w:spacing w:val="-4"/>
        </w:rPr>
        <w:t> mice.</w:t>
      </w:r>
      <w:r>
        <w:rPr/>
        <w:tab/>
      </w:r>
      <w:r>
        <w:rPr>
          <w:spacing w:val="-5"/>
        </w:rPr>
        <w:t>59</w:t>
      </w:r>
    </w:p>
    <w:p>
      <w:pPr>
        <w:pStyle w:val="BodyText"/>
      </w:pPr>
    </w:p>
    <w:p>
      <w:pPr>
        <w:pStyle w:val="ListParagraph"/>
        <w:numPr>
          <w:ilvl w:val="1"/>
          <w:numId w:val="13"/>
        </w:numPr>
        <w:tabs>
          <w:tab w:pos="464" w:val="left" w:leader="none"/>
        </w:tabs>
        <w:spacing w:line="275" w:lineRule="exact" w:before="0" w:after="0"/>
        <w:ind w:left="464" w:right="0" w:hanging="302"/>
        <w:jc w:val="left"/>
        <w:rPr>
          <w:sz w:val="24"/>
        </w:rPr>
      </w:pPr>
      <w:r>
        <w:rPr>
          <w:sz w:val="24"/>
        </w:rPr>
        <w:t>:</w:t>
      </w:r>
      <w:r>
        <w:rPr>
          <w:spacing w:val="-5"/>
          <w:sz w:val="24"/>
        </w:rPr>
        <w:t> </w:t>
      </w:r>
      <w:r>
        <w:rPr>
          <w:sz w:val="24"/>
        </w:rPr>
        <w:t>Effects</w:t>
      </w:r>
      <w:r>
        <w:rPr>
          <w:spacing w:val="-3"/>
          <w:sz w:val="24"/>
        </w:rPr>
        <w:t> </w:t>
      </w:r>
      <w:r>
        <w:rPr>
          <w:sz w:val="24"/>
        </w:rPr>
        <w:t>of</w:t>
      </w:r>
      <w:r>
        <w:rPr>
          <w:spacing w:val="-9"/>
          <w:sz w:val="24"/>
        </w:rPr>
        <w:t> </w:t>
      </w:r>
      <w:r>
        <w:rPr>
          <w:sz w:val="24"/>
        </w:rPr>
        <w:t>undetoxified</w:t>
      </w:r>
      <w:r>
        <w:rPr>
          <w:spacing w:val="-1"/>
          <w:sz w:val="24"/>
        </w:rPr>
        <w:t> </w:t>
      </w:r>
      <w:r>
        <w:rPr>
          <w:sz w:val="24"/>
        </w:rPr>
        <w:t>and</w:t>
      </w:r>
      <w:r>
        <w:rPr>
          <w:spacing w:val="-1"/>
          <w:sz w:val="24"/>
        </w:rPr>
        <w:t> </w:t>
      </w:r>
      <w:r>
        <w:rPr>
          <w:sz w:val="24"/>
        </w:rPr>
        <w:t>detoxified</w:t>
      </w:r>
      <w:r>
        <w:rPr>
          <w:spacing w:val="4"/>
          <w:sz w:val="24"/>
        </w:rPr>
        <w:t> </w:t>
      </w:r>
      <w:r>
        <w:rPr>
          <w:i/>
          <w:sz w:val="24"/>
        </w:rPr>
        <w:t>Jatropha</w:t>
      </w:r>
      <w:r>
        <w:rPr>
          <w:i/>
          <w:spacing w:val="-1"/>
          <w:sz w:val="24"/>
        </w:rPr>
        <w:t> </w:t>
      </w:r>
      <w:r>
        <w:rPr>
          <w:i/>
          <w:sz w:val="24"/>
        </w:rPr>
        <w:t>curcas</w:t>
      </w:r>
      <w:r>
        <w:rPr>
          <w:i/>
          <w:spacing w:val="-2"/>
          <w:sz w:val="24"/>
        </w:rPr>
        <w:t> </w:t>
      </w:r>
      <w:r>
        <w:rPr>
          <w:sz w:val="24"/>
        </w:rPr>
        <w:t>oils</w:t>
      </w:r>
      <w:r>
        <w:rPr>
          <w:spacing w:val="-2"/>
          <w:sz w:val="24"/>
        </w:rPr>
        <w:t> </w:t>
      </w:r>
      <w:r>
        <w:rPr>
          <w:spacing w:val="-5"/>
          <w:sz w:val="24"/>
        </w:rPr>
        <w:t>on</w:t>
      </w:r>
    </w:p>
    <w:p>
      <w:pPr>
        <w:pStyle w:val="BodyText"/>
        <w:tabs>
          <w:tab w:pos="8176" w:val="left" w:leader="none"/>
        </w:tabs>
        <w:spacing w:line="275" w:lineRule="exact"/>
        <w:ind w:left="162"/>
      </w:pPr>
      <w:r>
        <w:rPr/>
        <mc:AlternateContent>
          <mc:Choice Requires="wps">
            <w:drawing>
              <wp:anchor distT="0" distB="0" distL="0" distR="0" allowOverlap="1" layoutInCell="1" locked="0" behindDoc="1" simplePos="0" relativeHeight="485037568">
                <wp:simplePos x="0" y="0"/>
                <wp:positionH relativeFrom="page">
                  <wp:posOffset>3174238</wp:posOffset>
                </wp:positionH>
                <wp:positionV relativeFrom="paragraph">
                  <wp:posOffset>107809</wp:posOffset>
                </wp:positionV>
                <wp:extent cx="309753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3097530" cy="1270"/>
                        </a:xfrm>
                        <a:custGeom>
                          <a:avLst/>
                          <a:gdLst/>
                          <a:ahLst/>
                          <a:cxnLst/>
                          <a:rect l="l" t="t" r="r" b="b"/>
                          <a:pathLst>
                            <a:path w="3097530" h="0">
                              <a:moveTo>
                                <a:pt x="0" y="0"/>
                              </a:moveTo>
                              <a:lnTo>
                                <a:pt x="3097151"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8912" from="249.940002pt,8.488958pt" to="493.810167pt,8.488958pt" stroked="true" strokeweight=".885563pt" strokecolor="#000000">
                <v:stroke dashstyle="shortdash"/>
                <w10:wrap type="none"/>
              </v:line>
            </w:pict>
          </mc:Fallback>
        </mc:AlternateContent>
      </w:r>
      <w:r>
        <w:rPr/>
        <w:t>hot</w:t>
      </w:r>
      <w:r>
        <w:rPr>
          <w:spacing w:val="-4"/>
        </w:rPr>
        <w:t> </w:t>
      </w:r>
      <w:r>
        <w:rPr/>
        <w:t>plate</w:t>
      </w:r>
      <w:r>
        <w:rPr>
          <w:spacing w:val="1"/>
        </w:rPr>
        <w:t> </w:t>
      </w:r>
      <w:r>
        <w:rPr/>
        <w:t>induced</w:t>
      </w:r>
      <w:r>
        <w:rPr>
          <w:spacing w:val="-3"/>
        </w:rPr>
        <w:t> </w:t>
      </w:r>
      <w:r>
        <w:rPr/>
        <w:t>pain</w:t>
      </w:r>
      <w:r>
        <w:rPr>
          <w:spacing w:val="-3"/>
        </w:rPr>
        <w:t> </w:t>
      </w:r>
      <w:r>
        <w:rPr>
          <w:spacing w:val="-2"/>
        </w:rPr>
        <w:t>inhibition</w:t>
      </w:r>
      <w:r>
        <w:rPr/>
        <w:tab/>
      </w:r>
      <w:r>
        <w:rPr>
          <w:spacing w:val="-5"/>
        </w:rPr>
        <w:t>61</w:t>
      </w:r>
    </w:p>
    <w:p>
      <w:pPr>
        <w:spacing w:after="0" w:line="275" w:lineRule="exact"/>
        <w:sectPr>
          <w:pgSz w:w="12240" w:h="15840"/>
          <w:pgMar w:header="0" w:footer="1012" w:top="1760" w:bottom="1200" w:left="1720" w:right="1300"/>
        </w:sectPr>
      </w:pPr>
    </w:p>
    <w:p>
      <w:pPr>
        <w:pStyle w:val="Heading2"/>
        <w:spacing w:before="68"/>
        <w:ind w:left="138" w:firstLine="0"/>
        <w:jc w:val="center"/>
      </w:pPr>
      <w:bookmarkStart w:name="_TOC_250049" w:id="7"/>
      <w:r>
        <w:rPr/>
        <w:t>List</w:t>
      </w:r>
      <w:r>
        <w:rPr>
          <w:spacing w:val="1"/>
        </w:rPr>
        <w:t> </w:t>
      </w:r>
      <w:r>
        <w:rPr/>
        <w:t>of</w:t>
      </w:r>
      <w:bookmarkEnd w:id="7"/>
      <w:r>
        <w:rPr>
          <w:spacing w:val="-2"/>
        </w:rPr>
        <w:t> Tables</w:t>
      </w:r>
    </w:p>
    <w:p>
      <w:pPr>
        <w:pStyle w:val="BodyText"/>
        <w:spacing w:before="269"/>
        <w:rPr>
          <w:b/>
        </w:rPr>
      </w:pPr>
    </w:p>
    <w:p>
      <w:pPr>
        <w:pStyle w:val="BodyText"/>
        <w:tabs>
          <w:tab w:pos="8176" w:val="left" w:leader="none"/>
        </w:tabs>
        <w:ind w:left="253"/>
      </w:pPr>
      <w:r>
        <w:rPr>
          <w:spacing w:val="-2"/>
        </w:rPr>
        <w:t>Table</w:t>
      </w:r>
      <w:r>
        <w:rPr/>
        <w:tab/>
      </w:r>
      <w:r>
        <w:rPr>
          <w:spacing w:val="-4"/>
        </w:rPr>
        <w:t>Page</w:t>
      </w:r>
    </w:p>
    <w:p>
      <w:pPr>
        <w:pStyle w:val="BodyText"/>
      </w:pPr>
    </w:p>
    <w:p>
      <w:pPr>
        <w:pStyle w:val="ListParagraph"/>
        <w:numPr>
          <w:ilvl w:val="1"/>
          <w:numId w:val="14"/>
        </w:numPr>
        <w:tabs>
          <w:tab w:pos="617" w:val="left" w:leader="none"/>
        </w:tabs>
        <w:spacing w:line="240" w:lineRule="auto" w:before="1" w:after="0"/>
        <w:ind w:left="617" w:right="0" w:hanging="364"/>
        <w:jc w:val="left"/>
        <w:rPr>
          <w:sz w:val="24"/>
        </w:rPr>
      </w:pPr>
      <w:r>
        <w:rPr>
          <w:sz w:val="24"/>
        </w:rPr>
        <w:t>Percentage</w:t>
      </w:r>
      <w:r>
        <w:rPr>
          <w:spacing w:val="-2"/>
          <w:sz w:val="24"/>
        </w:rPr>
        <w:t> </w:t>
      </w:r>
      <w:r>
        <w:rPr>
          <w:sz w:val="24"/>
        </w:rPr>
        <w:t>yield</w:t>
      </w:r>
      <w:r>
        <w:rPr>
          <w:spacing w:val="-1"/>
          <w:sz w:val="24"/>
        </w:rPr>
        <w:t> </w:t>
      </w:r>
      <w:r>
        <w:rPr>
          <w:sz w:val="24"/>
        </w:rPr>
        <w:t>of</w:t>
      </w:r>
      <w:r>
        <w:rPr>
          <w:spacing w:val="-6"/>
          <w:sz w:val="24"/>
        </w:rPr>
        <w:t> </w:t>
      </w:r>
      <w:r>
        <w:rPr>
          <w:i/>
          <w:sz w:val="24"/>
        </w:rPr>
        <w:t>Jatropha</w:t>
      </w:r>
      <w:r>
        <w:rPr>
          <w:i/>
          <w:spacing w:val="-1"/>
          <w:sz w:val="24"/>
        </w:rPr>
        <w:t> </w:t>
      </w:r>
      <w:r>
        <w:rPr>
          <w:i/>
          <w:sz w:val="24"/>
        </w:rPr>
        <w:t>curcas</w:t>
      </w:r>
      <w:r>
        <w:rPr>
          <w:i/>
          <w:spacing w:val="-1"/>
          <w:sz w:val="24"/>
        </w:rPr>
        <w:t> </w:t>
      </w:r>
      <w:r>
        <w:rPr>
          <w:sz w:val="24"/>
        </w:rPr>
        <w:t>seed</w:t>
      </w:r>
      <w:r>
        <w:rPr>
          <w:spacing w:val="-1"/>
          <w:sz w:val="24"/>
        </w:rPr>
        <w:t> </w:t>
      </w:r>
      <w:r>
        <w:rPr>
          <w:sz w:val="24"/>
        </w:rPr>
        <w:t>oils</w:t>
      </w:r>
      <w:r>
        <w:rPr>
          <w:spacing w:val="-2"/>
          <w:sz w:val="24"/>
        </w:rPr>
        <w:t> </w:t>
      </w:r>
      <w:r>
        <w:rPr>
          <w:sz w:val="24"/>
        </w:rPr>
        <w:t>extracted</w:t>
      </w:r>
      <w:r>
        <w:rPr>
          <w:spacing w:val="-5"/>
          <w:sz w:val="24"/>
        </w:rPr>
        <w:t> </w:t>
      </w:r>
      <w:r>
        <w:rPr>
          <w:spacing w:val="-4"/>
          <w:sz w:val="24"/>
        </w:rPr>
        <w:t>with</w:t>
      </w:r>
    </w:p>
    <w:p>
      <w:pPr>
        <w:pStyle w:val="BodyText"/>
        <w:tabs>
          <w:tab w:pos="8176" w:val="left" w:leader="none"/>
        </w:tabs>
        <w:spacing w:before="2"/>
        <w:ind w:left="253"/>
      </w:pPr>
      <w:r>
        <w:rPr/>
        <mc:AlternateContent>
          <mc:Choice Requires="wps">
            <w:drawing>
              <wp:anchor distT="0" distB="0" distL="0" distR="0" allowOverlap="1" layoutInCell="1" locked="0" behindDoc="1" simplePos="0" relativeHeight="485038080">
                <wp:simplePos x="0" y="0"/>
                <wp:positionH relativeFrom="page">
                  <wp:posOffset>2798952</wp:posOffset>
                </wp:positionH>
                <wp:positionV relativeFrom="paragraph">
                  <wp:posOffset>109558</wp:posOffset>
                </wp:positionV>
                <wp:extent cx="346075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460750" cy="1270"/>
                        </a:xfrm>
                        <a:custGeom>
                          <a:avLst/>
                          <a:gdLst/>
                          <a:ahLst/>
                          <a:cxnLst/>
                          <a:rect l="l" t="t" r="r" b="b"/>
                          <a:pathLst>
                            <a:path w="3460750" h="0">
                              <a:moveTo>
                                <a:pt x="0" y="0"/>
                              </a:moveTo>
                              <a:lnTo>
                                <a:pt x="346075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8400" from="220.389999pt,8.626662pt" to="492.890188pt,8.626662pt" stroked="true" strokeweight=".885563pt" strokecolor="#000000">
                <v:stroke dashstyle="shortdash"/>
                <w10:wrap type="none"/>
              </v:line>
            </w:pict>
          </mc:Fallback>
        </mc:AlternateContent>
      </w:r>
      <w:r>
        <w:rPr/>
        <w:t>solvent and</w:t>
      </w:r>
      <w:r>
        <w:rPr>
          <w:spacing w:val="-3"/>
        </w:rPr>
        <w:t> </w:t>
      </w:r>
      <w:r>
        <w:rPr>
          <w:spacing w:val="-2"/>
        </w:rPr>
        <w:t>mechanically</w:t>
      </w:r>
      <w:r>
        <w:rPr/>
        <w:tab/>
      </w:r>
      <w:r>
        <w:rPr>
          <w:spacing w:val="-5"/>
        </w:rPr>
        <w:t>44</w:t>
      </w:r>
    </w:p>
    <w:p>
      <w:pPr>
        <w:pStyle w:val="ListParagraph"/>
        <w:numPr>
          <w:ilvl w:val="1"/>
          <w:numId w:val="14"/>
        </w:numPr>
        <w:tabs>
          <w:tab w:pos="555" w:val="left" w:leader="none"/>
        </w:tabs>
        <w:spacing w:line="275" w:lineRule="exact" w:before="276" w:after="0"/>
        <w:ind w:left="555" w:right="0" w:hanging="302"/>
        <w:jc w:val="left"/>
        <w:rPr>
          <w:sz w:val="24"/>
        </w:rPr>
      </w:pPr>
      <w:r>
        <w:rPr>
          <w:sz w:val="24"/>
        </w:rPr>
        <w:t>:</w:t>
      </w:r>
      <w:r>
        <w:rPr>
          <w:spacing w:val="-5"/>
          <w:sz w:val="24"/>
        </w:rPr>
        <w:t> </w:t>
      </w:r>
      <w:r>
        <w:rPr>
          <w:sz w:val="24"/>
        </w:rPr>
        <w:t>Physicochemical</w:t>
      </w:r>
      <w:r>
        <w:rPr>
          <w:spacing w:val="-11"/>
          <w:sz w:val="24"/>
        </w:rPr>
        <w:t> </w:t>
      </w:r>
      <w:r>
        <w:rPr>
          <w:sz w:val="24"/>
        </w:rPr>
        <w:t>properties</w:t>
      </w:r>
      <w:r>
        <w:rPr>
          <w:spacing w:val="-5"/>
          <w:sz w:val="24"/>
        </w:rPr>
        <w:t> </w:t>
      </w:r>
      <w:r>
        <w:rPr>
          <w:sz w:val="24"/>
        </w:rPr>
        <w:t>of</w:t>
      </w:r>
      <w:r>
        <w:rPr>
          <w:spacing w:val="-11"/>
          <w:sz w:val="24"/>
        </w:rPr>
        <w:t> </w:t>
      </w:r>
      <w:r>
        <w:rPr>
          <w:sz w:val="24"/>
        </w:rPr>
        <w:t>solvent</w:t>
      </w:r>
      <w:r>
        <w:rPr>
          <w:spacing w:val="2"/>
          <w:sz w:val="24"/>
        </w:rPr>
        <w:t> </w:t>
      </w:r>
      <w:r>
        <w:rPr>
          <w:sz w:val="24"/>
        </w:rPr>
        <w:t>and mechanically</w:t>
      </w:r>
      <w:r>
        <w:rPr>
          <w:spacing w:val="-7"/>
          <w:sz w:val="24"/>
        </w:rPr>
        <w:t> </w:t>
      </w:r>
      <w:r>
        <w:rPr>
          <w:spacing w:val="-2"/>
          <w:sz w:val="24"/>
        </w:rPr>
        <w:t>extracted</w:t>
      </w:r>
    </w:p>
    <w:p>
      <w:pPr>
        <w:tabs>
          <w:tab w:pos="8176" w:val="left" w:leader="none"/>
        </w:tabs>
        <w:spacing w:line="275" w:lineRule="exact" w:before="0"/>
        <w:ind w:left="253" w:right="0" w:firstLine="0"/>
        <w:jc w:val="left"/>
        <w:rPr>
          <w:sz w:val="24"/>
        </w:rPr>
      </w:pPr>
      <w:r>
        <w:rPr/>
        <mc:AlternateContent>
          <mc:Choice Requires="wps">
            <w:drawing>
              <wp:anchor distT="0" distB="0" distL="0" distR="0" allowOverlap="1" layoutInCell="1" locked="0" behindDoc="1" simplePos="0" relativeHeight="485038592">
                <wp:simplePos x="0" y="0"/>
                <wp:positionH relativeFrom="page">
                  <wp:posOffset>2503297</wp:posOffset>
                </wp:positionH>
                <wp:positionV relativeFrom="paragraph">
                  <wp:posOffset>107548</wp:posOffset>
                </wp:positionV>
                <wp:extent cx="3707129"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707129" cy="1270"/>
                        </a:xfrm>
                        <a:custGeom>
                          <a:avLst/>
                          <a:gdLst/>
                          <a:ahLst/>
                          <a:cxnLst/>
                          <a:rect l="l" t="t" r="r" b="b"/>
                          <a:pathLst>
                            <a:path w="3707129" h="0">
                              <a:moveTo>
                                <a:pt x="0" y="0"/>
                              </a:moveTo>
                              <a:lnTo>
                                <a:pt x="3706980"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7888" from="197.110001pt,8.468392pt" to="488.99826pt,8.468392pt" stroked="true" strokeweight=".885563pt" strokecolor="#000000">
                <v:stroke dashstyle="shortdash"/>
                <w10:wrap type="none"/>
              </v:line>
            </w:pict>
          </mc:Fallback>
        </mc:AlternateContent>
      </w:r>
      <w:r>
        <w:rPr>
          <w:i/>
          <w:sz w:val="24"/>
        </w:rPr>
        <w:t>Jatropha</w:t>
      </w:r>
      <w:r>
        <w:rPr>
          <w:i/>
          <w:spacing w:val="-3"/>
          <w:sz w:val="24"/>
        </w:rPr>
        <w:t> </w:t>
      </w:r>
      <w:r>
        <w:rPr>
          <w:i/>
          <w:sz w:val="24"/>
        </w:rPr>
        <w:t>curcas</w:t>
      </w:r>
      <w:r>
        <w:rPr>
          <w:i/>
          <w:spacing w:val="-3"/>
          <w:sz w:val="24"/>
        </w:rPr>
        <w:t> </w:t>
      </w:r>
      <w:r>
        <w:rPr>
          <w:spacing w:val="-4"/>
          <w:sz w:val="24"/>
        </w:rPr>
        <w:t>oils</w:t>
      </w:r>
      <w:r>
        <w:rPr>
          <w:sz w:val="24"/>
        </w:rPr>
        <w:tab/>
      </w:r>
      <w:r>
        <w:rPr>
          <w:spacing w:val="-5"/>
          <w:sz w:val="24"/>
        </w:rPr>
        <w:t>45</w:t>
      </w:r>
    </w:p>
    <w:p>
      <w:pPr>
        <w:pStyle w:val="ListParagraph"/>
        <w:numPr>
          <w:ilvl w:val="1"/>
          <w:numId w:val="14"/>
        </w:numPr>
        <w:tabs>
          <w:tab w:pos="555" w:val="left" w:leader="none"/>
          <w:tab w:pos="8176" w:val="left" w:leader="none"/>
        </w:tabs>
        <w:spacing w:line="242" w:lineRule="auto" w:before="276" w:after="0"/>
        <w:ind w:left="253" w:right="801" w:firstLine="0"/>
        <w:jc w:val="left"/>
        <w:rPr>
          <w:sz w:val="24"/>
        </w:rPr>
      </w:pPr>
      <w:r>
        <w:rPr/>
        <mc:AlternateContent>
          <mc:Choice Requires="wps">
            <w:drawing>
              <wp:anchor distT="0" distB="0" distL="0" distR="0" allowOverlap="1" layoutInCell="1" locked="0" behindDoc="1" simplePos="0" relativeHeight="485039104">
                <wp:simplePos x="0" y="0"/>
                <wp:positionH relativeFrom="page">
                  <wp:posOffset>3552190</wp:posOffset>
                </wp:positionH>
                <wp:positionV relativeFrom="paragraph">
                  <wp:posOffset>460616</wp:posOffset>
                </wp:positionV>
                <wp:extent cx="264541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2645410" cy="1270"/>
                        </a:xfrm>
                        <a:custGeom>
                          <a:avLst/>
                          <a:gdLst/>
                          <a:ahLst/>
                          <a:cxnLst/>
                          <a:rect l="l" t="t" r="r" b="b"/>
                          <a:pathLst>
                            <a:path w="2645410" h="0">
                              <a:moveTo>
                                <a:pt x="0" y="0"/>
                              </a:moveTo>
                              <a:lnTo>
                                <a:pt x="2645187"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7376" from="279.700012pt,36.269020pt" to="487.982483pt,36.269020pt" stroked="true" strokeweight=".885563pt" strokecolor="#000000">
                <v:stroke dashstyle="shortdash"/>
                <w10:wrap type="none"/>
              </v:line>
            </w:pict>
          </mc:Fallback>
        </mc:AlternateContent>
      </w:r>
      <w:r>
        <w:rPr>
          <w:sz w:val="24"/>
        </w:rPr>
        <w:t>: Oil recoveries, losses and soaps formed during the various stages of detoxification of </w:t>
      </w:r>
      <w:r>
        <w:rPr>
          <w:i/>
          <w:sz w:val="24"/>
        </w:rPr>
        <w:t>Jatropha curcas </w:t>
      </w:r>
      <w:r>
        <w:rPr>
          <w:sz w:val="24"/>
        </w:rPr>
        <w:t>oils</w:t>
        <w:tab/>
      </w:r>
      <w:r>
        <w:rPr>
          <w:spacing w:val="-6"/>
          <w:sz w:val="24"/>
        </w:rPr>
        <w:t>46</w:t>
      </w:r>
    </w:p>
    <w:p>
      <w:pPr>
        <w:pStyle w:val="ListParagraph"/>
        <w:numPr>
          <w:ilvl w:val="1"/>
          <w:numId w:val="14"/>
        </w:numPr>
        <w:tabs>
          <w:tab w:pos="555" w:val="left" w:leader="none"/>
          <w:tab w:pos="8176" w:val="left" w:leader="hyphen"/>
        </w:tabs>
        <w:spacing w:line="237" w:lineRule="auto" w:before="276" w:after="0"/>
        <w:ind w:left="253" w:right="801" w:firstLine="0"/>
        <w:jc w:val="left"/>
        <w:rPr>
          <w:sz w:val="24"/>
        </w:rPr>
      </w:pPr>
      <w:r>
        <w:rPr>
          <w:sz w:val="24"/>
        </w:rPr>
        <w:t>: Phytochemical constituents of undetoxified and detoxified solvent and mechanically extracted </w:t>
      </w:r>
      <w:r>
        <w:rPr>
          <w:i/>
          <w:sz w:val="24"/>
        </w:rPr>
        <w:t>Jatropha curcas </w:t>
      </w:r>
      <w:r>
        <w:rPr>
          <w:sz w:val="24"/>
        </w:rPr>
        <w:t>oils</w:t>
        <w:tab/>
      </w:r>
      <w:r>
        <w:rPr>
          <w:spacing w:val="-6"/>
          <w:sz w:val="24"/>
        </w:rPr>
        <w:t>47</w:t>
      </w:r>
    </w:p>
    <w:p>
      <w:pPr>
        <w:pStyle w:val="ListParagraph"/>
        <w:numPr>
          <w:ilvl w:val="1"/>
          <w:numId w:val="14"/>
        </w:numPr>
        <w:tabs>
          <w:tab w:pos="555" w:val="left" w:leader="none"/>
        </w:tabs>
        <w:spacing w:line="240" w:lineRule="auto" w:before="277" w:after="0"/>
        <w:ind w:left="555" w:right="0" w:hanging="302"/>
        <w:jc w:val="left"/>
        <w:rPr>
          <w:i/>
          <w:sz w:val="24"/>
        </w:rPr>
      </w:pPr>
      <w:r>
        <w:rPr>
          <w:sz w:val="24"/>
        </w:rPr>
        <w:t>:</w:t>
      </w:r>
      <w:r>
        <w:rPr>
          <w:spacing w:val="51"/>
          <w:sz w:val="24"/>
        </w:rPr>
        <w:t> </w:t>
      </w:r>
      <w:r>
        <w:rPr>
          <w:sz w:val="24"/>
        </w:rPr>
        <w:t>Mineral</w:t>
      </w:r>
      <w:r>
        <w:rPr>
          <w:spacing w:val="-10"/>
          <w:sz w:val="24"/>
        </w:rPr>
        <w:t> </w:t>
      </w:r>
      <w:r>
        <w:rPr>
          <w:sz w:val="24"/>
        </w:rPr>
        <w:t>element</w:t>
      </w:r>
      <w:r>
        <w:rPr>
          <w:spacing w:val="3"/>
          <w:sz w:val="24"/>
        </w:rPr>
        <w:t> </w:t>
      </w:r>
      <w:r>
        <w:rPr>
          <w:sz w:val="24"/>
        </w:rPr>
        <w:t>concentrations</w:t>
      </w:r>
      <w:r>
        <w:rPr>
          <w:spacing w:val="-3"/>
          <w:sz w:val="24"/>
        </w:rPr>
        <w:t> </w:t>
      </w:r>
      <w:r>
        <w:rPr>
          <w:sz w:val="24"/>
        </w:rPr>
        <w:t>of</w:t>
      </w:r>
      <w:r>
        <w:rPr>
          <w:spacing w:val="-10"/>
          <w:sz w:val="24"/>
        </w:rPr>
        <w:t> </w:t>
      </w:r>
      <w:r>
        <w:rPr>
          <w:sz w:val="24"/>
        </w:rPr>
        <w:t>undetoxified</w:t>
      </w:r>
      <w:r>
        <w:rPr>
          <w:spacing w:val="-2"/>
          <w:sz w:val="24"/>
        </w:rPr>
        <w:t> </w:t>
      </w:r>
      <w:r>
        <w:rPr>
          <w:sz w:val="24"/>
        </w:rPr>
        <w:t>and</w:t>
      </w:r>
      <w:r>
        <w:rPr>
          <w:spacing w:val="-1"/>
          <w:sz w:val="24"/>
        </w:rPr>
        <w:t> </w:t>
      </w:r>
      <w:r>
        <w:rPr>
          <w:sz w:val="24"/>
        </w:rPr>
        <w:t>detoxified</w:t>
      </w:r>
      <w:r>
        <w:rPr>
          <w:spacing w:val="7"/>
          <w:sz w:val="24"/>
        </w:rPr>
        <w:t> </w:t>
      </w:r>
      <w:r>
        <w:rPr>
          <w:i/>
          <w:spacing w:val="-2"/>
          <w:sz w:val="24"/>
        </w:rPr>
        <w:t>Jatropha</w:t>
      </w:r>
    </w:p>
    <w:p>
      <w:pPr>
        <w:tabs>
          <w:tab w:pos="8176" w:val="left" w:leader="none"/>
        </w:tabs>
        <w:spacing w:before="3"/>
        <w:ind w:left="253" w:right="0" w:firstLine="0"/>
        <w:jc w:val="left"/>
        <w:rPr>
          <w:sz w:val="24"/>
        </w:rPr>
      </w:pPr>
      <w:r>
        <w:rPr/>
        <mc:AlternateContent>
          <mc:Choice Requires="wps">
            <w:drawing>
              <wp:anchor distT="0" distB="0" distL="0" distR="0" allowOverlap="1" layoutInCell="1" locked="0" behindDoc="1" simplePos="0" relativeHeight="485039616">
                <wp:simplePos x="0" y="0"/>
                <wp:positionH relativeFrom="page">
                  <wp:posOffset>1914779</wp:posOffset>
                </wp:positionH>
                <wp:positionV relativeFrom="paragraph">
                  <wp:posOffset>109916</wp:posOffset>
                </wp:positionV>
                <wp:extent cx="426529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265295" cy="1270"/>
                        </a:xfrm>
                        <a:custGeom>
                          <a:avLst/>
                          <a:gdLst/>
                          <a:ahLst/>
                          <a:cxnLst/>
                          <a:rect l="l" t="t" r="r" b="b"/>
                          <a:pathLst>
                            <a:path w="4265295" h="0">
                              <a:moveTo>
                                <a:pt x="0" y="0"/>
                              </a:moveTo>
                              <a:lnTo>
                                <a:pt x="4265170"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6864" from="150.770004pt,8.654837pt" to="486.610169pt,8.654837pt" stroked="true" strokeweight=".885563pt" strokecolor="#000000">
                <v:stroke dashstyle="shortdash"/>
                <w10:wrap type="none"/>
              </v:line>
            </w:pict>
          </mc:Fallback>
        </mc:AlternateContent>
      </w:r>
      <w:r>
        <w:rPr>
          <w:i/>
          <w:sz w:val="24"/>
        </w:rPr>
        <w:t>curcas</w:t>
      </w:r>
      <w:r>
        <w:rPr>
          <w:i/>
          <w:spacing w:val="-7"/>
          <w:sz w:val="24"/>
        </w:rPr>
        <w:t> </w:t>
      </w:r>
      <w:r>
        <w:rPr>
          <w:spacing w:val="-4"/>
          <w:sz w:val="24"/>
        </w:rPr>
        <w:t>oils</w:t>
      </w:r>
      <w:r>
        <w:rPr>
          <w:sz w:val="24"/>
        </w:rPr>
        <w:tab/>
      </w:r>
      <w:r>
        <w:rPr>
          <w:spacing w:val="-5"/>
          <w:sz w:val="24"/>
        </w:rPr>
        <w:t>48</w:t>
      </w:r>
    </w:p>
    <w:p>
      <w:pPr>
        <w:pStyle w:val="ListParagraph"/>
        <w:numPr>
          <w:ilvl w:val="1"/>
          <w:numId w:val="14"/>
        </w:numPr>
        <w:tabs>
          <w:tab w:pos="555" w:val="left" w:leader="none"/>
        </w:tabs>
        <w:spacing w:line="275" w:lineRule="exact" w:before="276" w:after="0"/>
        <w:ind w:left="555" w:right="0" w:hanging="302"/>
        <w:jc w:val="left"/>
        <w:rPr>
          <w:sz w:val="24"/>
        </w:rPr>
      </w:pPr>
      <w:r>
        <w:rPr>
          <w:sz w:val="24"/>
        </w:rPr>
        <w:t>:</w:t>
      </w:r>
      <w:r>
        <w:rPr>
          <w:spacing w:val="-3"/>
          <w:sz w:val="24"/>
        </w:rPr>
        <w:t> </w:t>
      </w:r>
      <w:r>
        <w:rPr>
          <w:sz w:val="24"/>
        </w:rPr>
        <w:t>LD</w:t>
      </w:r>
      <w:r>
        <w:rPr>
          <w:sz w:val="24"/>
          <w:vertAlign w:val="subscript"/>
        </w:rPr>
        <w:t>50</w:t>
      </w:r>
      <w:r>
        <w:rPr>
          <w:spacing w:val="-24"/>
          <w:sz w:val="24"/>
          <w:vertAlign w:val="baseline"/>
        </w:rPr>
        <w:t> </w:t>
      </w:r>
      <w:r>
        <w:rPr>
          <w:sz w:val="24"/>
          <w:vertAlign w:val="baseline"/>
        </w:rPr>
        <w:t>of</w:t>
      </w:r>
      <w:r>
        <w:rPr>
          <w:spacing w:val="-10"/>
          <w:sz w:val="24"/>
          <w:vertAlign w:val="baseline"/>
        </w:rPr>
        <w:t> </w:t>
      </w:r>
      <w:r>
        <w:rPr>
          <w:sz w:val="24"/>
          <w:vertAlign w:val="baseline"/>
        </w:rPr>
        <w:t>undetoxified</w:t>
      </w:r>
      <w:r>
        <w:rPr>
          <w:spacing w:val="-1"/>
          <w:sz w:val="24"/>
          <w:vertAlign w:val="baseline"/>
        </w:rPr>
        <w:t> </w:t>
      </w:r>
      <w:r>
        <w:rPr>
          <w:sz w:val="24"/>
          <w:vertAlign w:val="baseline"/>
        </w:rPr>
        <w:t>and</w:t>
      </w:r>
      <w:r>
        <w:rPr>
          <w:spacing w:val="-2"/>
          <w:sz w:val="24"/>
          <w:vertAlign w:val="baseline"/>
        </w:rPr>
        <w:t> </w:t>
      </w:r>
      <w:r>
        <w:rPr>
          <w:sz w:val="24"/>
          <w:vertAlign w:val="baseline"/>
        </w:rPr>
        <w:t>detoxified</w:t>
      </w:r>
      <w:r>
        <w:rPr>
          <w:spacing w:val="-2"/>
          <w:sz w:val="24"/>
          <w:vertAlign w:val="baseline"/>
        </w:rPr>
        <w:t> </w:t>
      </w:r>
      <w:r>
        <w:rPr>
          <w:sz w:val="24"/>
          <w:vertAlign w:val="baseline"/>
        </w:rPr>
        <w:t>solvent</w:t>
      </w:r>
      <w:r>
        <w:rPr>
          <w:spacing w:val="3"/>
          <w:sz w:val="24"/>
          <w:vertAlign w:val="baseline"/>
        </w:rPr>
        <w:t> </w:t>
      </w:r>
      <w:r>
        <w:rPr>
          <w:sz w:val="24"/>
          <w:vertAlign w:val="baseline"/>
        </w:rPr>
        <w:t>and</w:t>
      </w:r>
      <w:r>
        <w:rPr>
          <w:spacing w:val="-2"/>
          <w:sz w:val="24"/>
          <w:vertAlign w:val="baseline"/>
        </w:rPr>
        <w:t> mechanically</w:t>
      </w:r>
    </w:p>
    <w:p>
      <w:pPr>
        <w:tabs>
          <w:tab w:pos="8176" w:val="left" w:leader="none"/>
        </w:tabs>
        <w:spacing w:line="275" w:lineRule="exact" w:before="0"/>
        <w:ind w:left="253" w:right="0" w:firstLine="0"/>
        <w:jc w:val="left"/>
        <w:rPr>
          <w:sz w:val="24"/>
        </w:rPr>
      </w:pPr>
      <w:r>
        <w:rPr/>
        <mc:AlternateContent>
          <mc:Choice Requires="wps">
            <w:drawing>
              <wp:anchor distT="0" distB="0" distL="0" distR="0" allowOverlap="1" layoutInCell="1" locked="0" behindDoc="1" simplePos="0" relativeHeight="485040128">
                <wp:simplePos x="0" y="0"/>
                <wp:positionH relativeFrom="page">
                  <wp:posOffset>3098038</wp:posOffset>
                </wp:positionH>
                <wp:positionV relativeFrom="paragraph">
                  <wp:posOffset>107271</wp:posOffset>
                </wp:positionV>
                <wp:extent cx="3100705"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3100705" cy="1270"/>
                        </a:xfrm>
                        <a:custGeom>
                          <a:avLst/>
                          <a:gdLst/>
                          <a:ahLst/>
                          <a:cxnLst/>
                          <a:rect l="l" t="t" r="r" b="b"/>
                          <a:pathLst>
                            <a:path w="3100705" h="0">
                              <a:moveTo>
                                <a:pt x="0" y="0"/>
                              </a:moveTo>
                              <a:lnTo>
                                <a:pt x="310019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6352" from="243.940002pt,8.446611pt" to="488.050167pt,8.446611pt" stroked="true" strokeweight=".885563pt" strokecolor="#000000">
                <v:stroke dashstyle="dash"/>
                <w10:wrap type="none"/>
              </v:line>
            </w:pict>
          </mc:Fallback>
        </mc:AlternateContent>
      </w:r>
      <w:r>
        <w:rPr>
          <w:sz w:val="24"/>
        </w:rPr>
        <w:t>extracted </w:t>
      </w:r>
      <w:r>
        <w:rPr>
          <w:i/>
          <w:sz w:val="24"/>
        </w:rPr>
        <w:t>Jatropha curcas</w:t>
      </w:r>
      <w:r>
        <w:rPr>
          <w:i/>
          <w:spacing w:val="-5"/>
          <w:sz w:val="24"/>
        </w:rPr>
        <w:t> </w:t>
      </w:r>
      <w:r>
        <w:rPr>
          <w:spacing w:val="-4"/>
          <w:sz w:val="24"/>
        </w:rPr>
        <w:t>oils</w:t>
      </w:r>
      <w:r>
        <w:rPr>
          <w:sz w:val="24"/>
        </w:rPr>
        <w:tab/>
      </w:r>
      <w:r>
        <w:rPr>
          <w:spacing w:val="-5"/>
          <w:sz w:val="24"/>
        </w:rPr>
        <w:t>50</w:t>
      </w:r>
    </w:p>
    <w:p>
      <w:pPr>
        <w:pStyle w:val="ListParagraph"/>
        <w:numPr>
          <w:ilvl w:val="1"/>
          <w:numId w:val="14"/>
        </w:numPr>
        <w:tabs>
          <w:tab w:pos="555" w:val="left" w:leader="none"/>
        </w:tabs>
        <w:spacing w:line="240" w:lineRule="auto" w:before="276" w:after="0"/>
        <w:ind w:left="555" w:right="0" w:hanging="302"/>
        <w:jc w:val="left"/>
        <w:rPr>
          <w:sz w:val="24"/>
        </w:rPr>
      </w:pPr>
      <w:r>
        <w:rPr>
          <w:sz w:val="24"/>
        </w:rPr>
        <w:t>:</w:t>
      </w:r>
      <w:r>
        <w:rPr>
          <w:spacing w:val="-2"/>
          <w:sz w:val="24"/>
        </w:rPr>
        <w:t> </w:t>
      </w:r>
      <w:r>
        <w:rPr>
          <w:sz w:val="24"/>
        </w:rPr>
        <w:t>Physical</w:t>
      </w:r>
      <w:r>
        <w:rPr>
          <w:spacing w:val="-4"/>
          <w:sz w:val="24"/>
        </w:rPr>
        <w:t> </w:t>
      </w:r>
      <w:r>
        <w:rPr>
          <w:sz w:val="24"/>
        </w:rPr>
        <w:t>toxicity</w:t>
      </w:r>
      <w:r>
        <w:rPr>
          <w:spacing w:val="-9"/>
          <w:sz w:val="24"/>
        </w:rPr>
        <w:t> </w:t>
      </w:r>
      <w:r>
        <w:rPr>
          <w:sz w:val="24"/>
        </w:rPr>
        <w:t>symptoms</w:t>
      </w:r>
      <w:r>
        <w:rPr>
          <w:spacing w:val="-2"/>
          <w:sz w:val="24"/>
        </w:rPr>
        <w:t> </w:t>
      </w:r>
      <w:r>
        <w:rPr>
          <w:sz w:val="24"/>
        </w:rPr>
        <w:t>of</w:t>
      </w:r>
      <w:r>
        <w:rPr>
          <w:spacing w:val="-7"/>
          <w:sz w:val="24"/>
        </w:rPr>
        <w:t> </w:t>
      </w:r>
      <w:r>
        <w:rPr>
          <w:sz w:val="24"/>
        </w:rPr>
        <w:t>undetoxified</w:t>
      </w:r>
      <w:r>
        <w:rPr>
          <w:spacing w:val="1"/>
          <w:sz w:val="24"/>
        </w:rPr>
        <w:t> </w:t>
      </w:r>
      <w:r>
        <w:rPr>
          <w:sz w:val="24"/>
        </w:rPr>
        <w:t>and</w:t>
      </w:r>
      <w:r>
        <w:rPr>
          <w:spacing w:val="1"/>
          <w:sz w:val="24"/>
        </w:rPr>
        <w:t> </w:t>
      </w:r>
      <w:r>
        <w:rPr>
          <w:spacing w:val="-2"/>
          <w:sz w:val="24"/>
        </w:rPr>
        <w:t>detoxified</w:t>
      </w:r>
    </w:p>
    <w:p>
      <w:pPr>
        <w:tabs>
          <w:tab w:pos="8176" w:val="left" w:leader="hyphen"/>
        </w:tabs>
        <w:spacing w:before="2"/>
        <w:ind w:left="253" w:right="0" w:firstLine="0"/>
        <w:jc w:val="left"/>
        <w:rPr>
          <w:sz w:val="24"/>
        </w:rPr>
      </w:pPr>
      <w:r>
        <w:rPr>
          <w:i/>
          <w:sz w:val="24"/>
        </w:rPr>
        <w:t>Jatropha</w:t>
      </w:r>
      <w:r>
        <w:rPr>
          <w:i/>
          <w:spacing w:val="-3"/>
          <w:sz w:val="24"/>
        </w:rPr>
        <w:t> </w:t>
      </w:r>
      <w:r>
        <w:rPr>
          <w:i/>
          <w:sz w:val="24"/>
        </w:rPr>
        <w:t>curcas</w:t>
      </w:r>
      <w:r>
        <w:rPr>
          <w:i/>
          <w:spacing w:val="-4"/>
          <w:sz w:val="24"/>
        </w:rPr>
        <w:t> </w:t>
      </w:r>
      <w:r>
        <w:rPr>
          <w:sz w:val="24"/>
        </w:rPr>
        <w:t>oils in</w:t>
      </w:r>
      <w:r>
        <w:rPr>
          <w:spacing w:val="-2"/>
          <w:sz w:val="24"/>
        </w:rPr>
        <w:t> </w:t>
      </w:r>
      <w:r>
        <w:rPr>
          <w:sz w:val="24"/>
        </w:rPr>
        <w:t>male</w:t>
      </w:r>
      <w:r>
        <w:rPr>
          <w:spacing w:val="3"/>
          <w:sz w:val="24"/>
        </w:rPr>
        <w:t> </w:t>
      </w:r>
      <w:r>
        <w:rPr>
          <w:sz w:val="24"/>
        </w:rPr>
        <w:t>Wistar </w:t>
      </w:r>
      <w:r>
        <w:rPr>
          <w:spacing w:val="-4"/>
          <w:sz w:val="24"/>
        </w:rPr>
        <w:t>rats</w:t>
      </w:r>
      <w:r>
        <w:rPr>
          <w:sz w:val="24"/>
        </w:rPr>
        <w:tab/>
      </w:r>
      <w:r>
        <w:rPr>
          <w:spacing w:val="-5"/>
          <w:sz w:val="24"/>
        </w:rPr>
        <w:t>51</w:t>
      </w:r>
    </w:p>
    <w:p>
      <w:pPr>
        <w:pStyle w:val="ListParagraph"/>
        <w:numPr>
          <w:ilvl w:val="1"/>
          <w:numId w:val="14"/>
        </w:numPr>
        <w:tabs>
          <w:tab w:pos="555" w:val="left" w:leader="none"/>
          <w:tab w:pos="8176" w:val="left" w:leader="hyphen"/>
        </w:tabs>
        <w:spacing w:line="237" w:lineRule="auto" w:before="279" w:after="0"/>
        <w:ind w:left="253" w:right="801" w:firstLine="0"/>
        <w:jc w:val="left"/>
        <w:rPr>
          <w:sz w:val="24"/>
        </w:rPr>
      </w:pPr>
      <w:r>
        <w:rPr>
          <w:sz w:val="24"/>
        </w:rPr>
        <w:t>:</w:t>
      </w:r>
      <w:r>
        <w:rPr>
          <w:spacing w:val="40"/>
          <w:sz w:val="24"/>
        </w:rPr>
        <w:t> </w:t>
      </w:r>
      <w:r>
        <w:rPr>
          <w:sz w:val="24"/>
        </w:rPr>
        <w:t>Body</w:t>
      </w:r>
      <w:r>
        <w:rPr>
          <w:spacing w:val="-1"/>
          <w:sz w:val="24"/>
        </w:rPr>
        <w:t> </w:t>
      </w:r>
      <w:r>
        <w:rPr>
          <w:sz w:val="24"/>
        </w:rPr>
        <w:t>weight changes and mortality in male Wistar rats that received undetoxified and detoxified </w:t>
      </w:r>
      <w:r>
        <w:rPr>
          <w:i/>
          <w:sz w:val="24"/>
        </w:rPr>
        <w:t>Jatropha curcas </w:t>
      </w:r>
      <w:r>
        <w:rPr>
          <w:sz w:val="24"/>
        </w:rPr>
        <w:t>oils</w:t>
        <w:tab/>
      </w:r>
      <w:r>
        <w:rPr>
          <w:spacing w:val="-6"/>
          <w:sz w:val="24"/>
        </w:rPr>
        <w:t>52</w:t>
      </w:r>
    </w:p>
    <w:p>
      <w:pPr>
        <w:pStyle w:val="ListParagraph"/>
        <w:numPr>
          <w:ilvl w:val="1"/>
          <w:numId w:val="14"/>
        </w:numPr>
        <w:tabs>
          <w:tab w:pos="555" w:val="left" w:leader="none"/>
        </w:tabs>
        <w:spacing w:line="240" w:lineRule="auto" w:before="277" w:after="0"/>
        <w:ind w:left="555" w:right="0" w:hanging="302"/>
        <w:jc w:val="left"/>
        <w:rPr>
          <w:sz w:val="24"/>
        </w:rPr>
      </w:pPr>
      <w:r>
        <w:rPr>
          <w:sz w:val="24"/>
        </w:rPr>
        <w:t>:</w:t>
      </w:r>
      <w:r>
        <w:rPr>
          <w:spacing w:val="-5"/>
          <w:sz w:val="24"/>
        </w:rPr>
        <w:t> </w:t>
      </w:r>
      <w:r>
        <w:rPr>
          <w:sz w:val="24"/>
        </w:rPr>
        <w:t>Haematological</w:t>
      </w:r>
      <w:r>
        <w:rPr>
          <w:spacing w:val="-7"/>
          <w:sz w:val="24"/>
        </w:rPr>
        <w:t> </w:t>
      </w:r>
      <w:r>
        <w:rPr>
          <w:sz w:val="24"/>
        </w:rPr>
        <w:t>parameters</w:t>
      </w:r>
      <w:r>
        <w:rPr>
          <w:spacing w:val="-1"/>
          <w:sz w:val="24"/>
        </w:rPr>
        <w:t> </w:t>
      </w:r>
      <w:r>
        <w:rPr>
          <w:sz w:val="24"/>
        </w:rPr>
        <w:t>in</w:t>
      </w:r>
      <w:r>
        <w:rPr>
          <w:spacing w:val="-4"/>
          <w:sz w:val="24"/>
        </w:rPr>
        <w:t> </w:t>
      </w:r>
      <w:r>
        <w:rPr>
          <w:sz w:val="24"/>
        </w:rPr>
        <w:t>male</w:t>
      </w:r>
      <w:r>
        <w:rPr>
          <w:spacing w:val="6"/>
          <w:sz w:val="24"/>
        </w:rPr>
        <w:t> </w:t>
      </w:r>
      <w:r>
        <w:rPr>
          <w:sz w:val="24"/>
        </w:rPr>
        <w:t>Wistar</w:t>
      </w:r>
      <w:r>
        <w:rPr>
          <w:spacing w:val="-2"/>
          <w:sz w:val="24"/>
        </w:rPr>
        <w:t> </w:t>
      </w:r>
      <w:r>
        <w:rPr>
          <w:sz w:val="24"/>
        </w:rPr>
        <w:t>rats</w:t>
      </w:r>
      <w:r>
        <w:rPr>
          <w:spacing w:val="-4"/>
          <w:sz w:val="24"/>
        </w:rPr>
        <w:t> </w:t>
      </w:r>
      <w:r>
        <w:rPr>
          <w:sz w:val="24"/>
        </w:rPr>
        <w:t>that</w:t>
      </w:r>
      <w:r>
        <w:rPr>
          <w:spacing w:val="-3"/>
          <w:sz w:val="24"/>
        </w:rPr>
        <w:t> </w:t>
      </w:r>
      <w:r>
        <w:rPr>
          <w:spacing w:val="-2"/>
          <w:sz w:val="24"/>
        </w:rPr>
        <w:t>received</w:t>
      </w:r>
    </w:p>
    <w:p>
      <w:pPr>
        <w:tabs>
          <w:tab w:pos="8176" w:val="left" w:leader="hyphen"/>
        </w:tabs>
        <w:spacing w:before="2"/>
        <w:ind w:left="253" w:right="0" w:firstLine="0"/>
        <w:jc w:val="left"/>
        <w:rPr>
          <w:sz w:val="24"/>
        </w:rPr>
      </w:pPr>
      <w:r>
        <w:rPr>
          <w:sz w:val="24"/>
        </w:rPr>
        <w:t>undetoxified</w:t>
      </w:r>
      <w:r>
        <w:rPr>
          <w:spacing w:val="-3"/>
          <w:sz w:val="24"/>
        </w:rPr>
        <w:t> </w:t>
      </w:r>
      <w:r>
        <w:rPr>
          <w:sz w:val="24"/>
        </w:rPr>
        <w:t>and</w:t>
      </w:r>
      <w:r>
        <w:rPr>
          <w:spacing w:val="-3"/>
          <w:sz w:val="24"/>
        </w:rPr>
        <w:t> </w:t>
      </w:r>
      <w:r>
        <w:rPr>
          <w:sz w:val="24"/>
        </w:rPr>
        <w:t>detoxified</w:t>
      </w:r>
      <w:r>
        <w:rPr>
          <w:spacing w:val="-1"/>
          <w:sz w:val="24"/>
        </w:rPr>
        <w:t> </w:t>
      </w:r>
      <w:r>
        <w:rPr>
          <w:i/>
          <w:sz w:val="24"/>
        </w:rPr>
        <w:t>Jatropha</w:t>
      </w:r>
      <w:r>
        <w:rPr>
          <w:i/>
          <w:spacing w:val="-3"/>
          <w:sz w:val="24"/>
        </w:rPr>
        <w:t> </w:t>
      </w:r>
      <w:r>
        <w:rPr>
          <w:i/>
          <w:sz w:val="24"/>
        </w:rPr>
        <w:t>curcas</w:t>
      </w:r>
      <w:r>
        <w:rPr>
          <w:i/>
          <w:spacing w:val="-4"/>
          <w:sz w:val="24"/>
        </w:rPr>
        <w:t> </w:t>
      </w:r>
      <w:r>
        <w:rPr>
          <w:spacing w:val="-4"/>
          <w:sz w:val="24"/>
        </w:rPr>
        <w:t>oils</w:t>
      </w:r>
      <w:r>
        <w:rPr>
          <w:sz w:val="24"/>
        </w:rPr>
        <w:tab/>
      </w:r>
      <w:r>
        <w:rPr>
          <w:spacing w:val="-5"/>
          <w:sz w:val="24"/>
        </w:rPr>
        <w:t>54</w:t>
      </w:r>
    </w:p>
    <w:p>
      <w:pPr>
        <w:pStyle w:val="ListParagraph"/>
        <w:numPr>
          <w:ilvl w:val="1"/>
          <w:numId w:val="14"/>
        </w:numPr>
        <w:tabs>
          <w:tab w:pos="675" w:val="left" w:leader="none"/>
        </w:tabs>
        <w:spacing w:line="275" w:lineRule="exact" w:before="276" w:after="0"/>
        <w:ind w:left="675" w:right="0" w:hanging="422"/>
        <w:jc w:val="left"/>
        <w:rPr>
          <w:sz w:val="24"/>
        </w:rPr>
      </w:pPr>
      <w:r>
        <w:rPr>
          <w:sz w:val="24"/>
        </w:rPr>
        <w:t>:</w:t>
      </w:r>
      <w:r>
        <w:rPr>
          <w:spacing w:val="-4"/>
          <w:sz w:val="24"/>
        </w:rPr>
        <w:t> </w:t>
      </w:r>
      <w:r>
        <w:rPr>
          <w:sz w:val="24"/>
        </w:rPr>
        <w:t>Serum</w:t>
      </w:r>
      <w:r>
        <w:rPr>
          <w:spacing w:val="-11"/>
          <w:sz w:val="24"/>
        </w:rPr>
        <w:t> </w:t>
      </w:r>
      <w:r>
        <w:rPr>
          <w:sz w:val="24"/>
        </w:rPr>
        <w:t>electrolyte</w:t>
      </w:r>
      <w:r>
        <w:rPr>
          <w:spacing w:val="-4"/>
          <w:sz w:val="24"/>
        </w:rPr>
        <w:t> </w:t>
      </w:r>
      <w:r>
        <w:rPr>
          <w:sz w:val="24"/>
        </w:rPr>
        <w:t>and</w:t>
      </w:r>
      <w:r>
        <w:rPr>
          <w:spacing w:val="-3"/>
          <w:sz w:val="24"/>
        </w:rPr>
        <w:t> </w:t>
      </w:r>
      <w:r>
        <w:rPr>
          <w:sz w:val="24"/>
        </w:rPr>
        <w:t>kidney</w:t>
      </w:r>
      <w:r>
        <w:rPr>
          <w:spacing w:val="-2"/>
          <w:sz w:val="24"/>
        </w:rPr>
        <w:t> </w:t>
      </w:r>
      <w:r>
        <w:rPr>
          <w:sz w:val="24"/>
        </w:rPr>
        <w:t>function</w:t>
      </w:r>
      <w:r>
        <w:rPr>
          <w:spacing w:val="-3"/>
          <w:sz w:val="24"/>
        </w:rPr>
        <w:t> </w:t>
      </w:r>
      <w:r>
        <w:rPr>
          <w:sz w:val="24"/>
        </w:rPr>
        <w:t>indices</w:t>
      </w:r>
      <w:r>
        <w:rPr>
          <w:spacing w:val="-1"/>
          <w:sz w:val="24"/>
        </w:rPr>
        <w:t> </w:t>
      </w:r>
      <w:r>
        <w:rPr>
          <w:sz w:val="24"/>
        </w:rPr>
        <w:t>in</w:t>
      </w:r>
      <w:r>
        <w:rPr>
          <w:spacing w:val="-3"/>
          <w:sz w:val="24"/>
        </w:rPr>
        <w:t> </w:t>
      </w:r>
      <w:r>
        <w:rPr>
          <w:sz w:val="24"/>
        </w:rPr>
        <w:t>male</w:t>
      </w:r>
      <w:r>
        <w:rPr>
          <w:spacing w:val="9"/>
          <w:sz w:val="24"/>
        </w:rPr>
        <w:t> </w:t>
      </w:r>
      <w:r>
        <w:rPr>
          <w:spacing w:val="-2"/>
          <w:sz w:val="24"/>
        </w:rPr>
        <w:t>Wistar</w:t>
      </w:r>
    </w:p>
    <w:p>
      <w:pPr>
        <w:tabs>
          <w:tab w:pos="8176" w:val="left" w:leader="hyphen"/>
        </w:tabs>
        <w:spacing w:line="275" w:lineRule="exact" w:before="0"/>
        <w:ind w:left="253" w:right="0" w:firstLine="0"/>
        <w:jc w:val="left"/>
        <w:rPr>
          <w:sz w:val="24"/>
        </w:rPr>
      </w:pPr>
      <w:r>
        <w:rPr>
          <w:sz w:val="24"/>
        </w:rPr>
        <w:t>rats</w:t>
      </w:r>
      <w:r>
        <w:rPr>
          <w:spacing w:val="-9"/>
          <w:sz w:val="24"/>
        </w:rPr>
        <w:t> </w:t>
      </w:r>
      <w:r>
        <w:rPr>
          <w:sz w:val="24"/>
        </w:rPr>
        <w:t>that</w:t>
      </w:r>
      <w:r>
        <w:rPr>
          <w:spacing w:val="-2"/>
          <w:sz w:val="24"/>
        </w:rPr>
        <w:t> </w:t>
      </w:r>
      <w:r>
        <w:rPr>
          <w:sz w:val="24"/>
        </w:rPr>
        <w:t>received</w:t>
      </w:r>
      <w:r>
        <w:rPr>
          <w:spacing w:val="-1"/>
          <w:sz w:val="24"/>
        </w:rPr>
        <w:t> </w:t>
      </w:r>
      <w:r>
        <w:rPr>
          <w:sz w:val="24"/>
        </w:rPr>
        <w:t>undetoxified</w:t>
      </w:r>
      <w:r>
        <w:rPr>
          <w:spacing w:val="-2"/>
          <w:sz w:val="24"/>
        </w:rPr>
        <w:t> </w:t>
      </w:r>
      <w:r>
        <w:rPr>
          <w:sz w:val="24"/>
        </w:rPr>
        <w:t>and</w:t>
      </w:r>
      <w:r>
        <w:rPr>
          <w:spacing w:val="-2"/>
          <w:sz w:val="24"/>
        </w:rPr>
        <w:t> </w:t>
      </w:r>
      <w:r>
        <w:rPr>
          <w:sz w:val="24"/>
        </w:rPr>
        <w:t>detoxified</w:t>
      </w:r>
      <w:r>
        <w:rPr>
          <w:spacing w:val="3"/>
          <w:sz w:val="24"/>
        </w:rPr>
        <w:t> </w:t>
      </w:r>
      <w:r>
        <w:rPr>
          <w:i/>
          <w:sz w:val="24"/>
        </w:rPr>
        <w:t>Jatropha</w:t>
      </w:r>
      <w:r>
        <w:rPr>
          <w:i/>
          <w:spacing w:val="-2"/>
          <w:sz w:val="24"/>
        </w:rPr>
        <w:t> </w:t>
      </w:r>
      <w:r>
        <w:rPr>
          <w:i/>
          <w:sz w:val="24"/>
        </w:rPr>
        <w:t>curcas</w:t>
      </w:r>
      <w:r>
        <w:rPr>
          <w:i/>
          <w:spacing w:val="-2"/>
          <w:sz w:val="24"/>
        </w:rPr>
        <w:t> </w:t>
      </w:r>
      <w:r>
        <w:rPr>
          <w:spacing w:val="-4"/>
          <w:sz w:val="24"/>
        </w:rPr>
        <w:t>oils</w:t>
      </w:r>
      <w:r>
        <w:rPr>
          <w:sz w:val="24"/>
        </w:rPr>
        <w:tab/>
      </w:r>
      <w:r>
        <w:rPr>
          <w:spacing w:val="-5"/>
          <w:sz w:val="24"/>
        </w:rPr>
        <w:t>55</w:t>
      </w:r>
    </w:p>
    <w:p>
      <w:pPr>
        <w:pStyle w:val="ListParagraph"/>
        <w:numPr>
          <w:ilvl w:val="1"/>
          <w:numId w:val="14"/>
        </w:numPr>
        <w:tabs>
          <w:tab w:pos="675" w:val="left" w:leader="none"/>
        </w:tabs>
        <w:spacing w:line="240" w:lineRule="auto" w:before="277" w:after="0"/>
        <w:ind w:left="675" w:right="0" w:hanging="422"/>
        <w:jc w:val="left"/>
        <w:rPr>
          <w:sz w:val="24"/>
        </w:rPr>
      </w:pPr>
      <w:r>
        <w:rPr>
          <w:sz w:val="24"/>
        </w:rPr>
        <w:t>:</w:t>
      </w:r>
      <w:r>
        <w:rPr>
          <w:spacing w:val="-4"/>
          <w:sz w:val="24"/>
        </w:rPr>
        <w:t> </w:t>
      </w:r>
      <w:r>
        <w:rPr>
          <w:sz w:val="24"/>
        </w:rPr>
        <w:t>Liver</w:t>
      </w:r>
      <w:r>
        <w:rPr>
          <w:spacing w:val="3"/>
          <w:sz w:val="24"/>
        </w:rPr>
        <w:t> </w:t>
      </w:r>
      <w:r>
        <w:rPr>
          <w:sz w:val="24"/>
        </w:rPr>
        <w:t>function</w:t>
      </w:r>
      <w:r>
        <w:rPr>
          <w:spacing w:val="-8"/>
          <w:sz w:val="24"/>
        </w:rPr>
        <w:t> </w:t>
      </w:r>
      <w:r>
        <w:rPr>
          <w:sz w:val="24"/>
        </w:rPr>
        <w:t>enzymes</w:t>
      </w:r>
      <w:r>
        <w:rPr>
          <w:spacing w:val="-4"/>
          <w:sz w:val="24"/>
        </w:rPr>
        <w:t> </w:t>
      </w:r>
      <w:r>
        <w:rPr>
          <w:sz w:val="24"/>
        </w:rPr>
        <w:t>and</w:t>
      </w:r>
      <w:r>
        <w:rPr>
          <w:spacing w:val="-3"/>
          <w:sz w:val="24"/>
        </w:rPr>
        <w:t> </w:t>
      </w:r>
      <w:r>
        <w:rPr>
          <w:sz w:val="24"/>
        </w:rPr>
        <w:t>serum</w:t>
      </w:r>
      <w:r>
        <w:rPr>
          <w:spacing w:val="-7"/>
          <w:sz w:val="24"/>
        </w:rPr>
        <w:t> </w:t>
      </w:r>
      <w:r>
        <w:rPr>
          <w:sz w:val="24"/>
        </w:rPr>
        <w:t>albumin</w:t>
      </w:r>
      <w:r>
        <w:rPr>
          <w:spacing w:val="1"/>
          <w:sz w:val="24"/>
        </w:rPr>
        <w:t> </w:t>
      </w:r>
      <w:r>
        <w:rPr>
          <w:sz w:val="24"/>
        </w:rPr>
        <w:t>in</w:t>
      </w:r>
      <w:r>
        <w:rPr>
          <w:spacing w:val="-2"/>
          <w:sz w:val="24"/>
        </w:rPr>
        <w:t> </w:t>
      </w:r>
      <w:r>
        <w:rPr>
          <w:sz w:val="24"/>
        </w:rPr>
        <w:t>male</w:t>
      </w:r>
      <w:r>
        <w:rPr>
          <w:spacing w:val="3"/>
          <w:sz w:val="24"/>
        </w:rPr>
        <w:t> </w:t>
      </w:r>
      <w:r>
        <w:rPr>
          <w:spacing w:val="-2"/>
          <w:sz w:val="24"/>
        </w:rPr>
        <w:t>Wistar</w:t>
      </w:r>
    </w:p>
    <w:p>
      <w:pPr>
        <w:tabs>
          <w:tab w:pos="8176" w:val="left" w:leader="hyphen"/>
        </w:tabs>
        <w:spacing w:before="2"/>
        <w:ind w:left="253" w:right="0" w:firstLine="0"/>
        <w:jc w:val="left"/>
        <w:rPr>
          <w:sz w:val="24"/>
        </w:rPr>
      </w:pPr>
      <w:r>
        <w:rPr>
          <w:sz w:val="24"/>
        </w:rPr>
        <w:t>rats</w:t>
      </w:r>
      <w:r>
        <w:rPr>
          <w:spacing w:val="-8"/>
          <w:sz w:val="24"/>
        </w:rPr>
        <w:t> </w:t>
      </w:r>
      <w:r>
        <w:rPr>
          <w:sz w:val="24"/>
        </w:rPr>
        <w:t>that</w:t>
      </w:r>
      <w:r>
        <w:rPr>
          <w:spacing w:val="-1"/>
          <w:sz w:val="24"/>
        </w:rPr>
        <w:t> </w:t>
      </w:r>
      <w:r>
        <w:rPr>
          <w:sz w:val="24"/>
        </w:rPr>
        <w:t>received</w:t>
      </w:r>
      <w:r>
        <w:rPr>
          <w:spacing w:val="-1"/>
          <w:sz w:val="24"/>
        </w:rPr>
        <w:t> </w:t>
      </w:r>
      <w:r>
        <w:rPr>
          <w:sz w:val="24"/>
        </w:rPr>
        <w:t>undetoxified</w:t>
      </w:r>
      <w:r>
        <w:rPr>
          <w:spacing w:val="-1"/>
          <w:sz w:val="24"/>
        </w:rPr>
        <w:t> </w:t>
      </w:r>
      <w:r>
        <w:rPr>
          <w:sz w:val="24"/>
        </w:rPr>
        <w:t>and</w:t>
      </w:r>
      <w:r>
        <w:rPr>
          <w:spacing w:val="-1"/>
          <w:sz w:val="24"/>
        </w:rPr>
        <w:t> </w:t>
      </w:r>
      <w:r>
        <w:rPr>
          <w:sz w:val="24"/>
        </w:rPr>
        <w:t>detoxified</w:t>
      </w:r>
      <w:r>
        <w:rPr>
          <w:spacing w:val="-1"/>
          <w:sz w:val="24"/>
        </w:rPr>
        <w:t> </w:t>
      </w:r>
      <w:r>
        <w:rPr>
          <w:i/>
          <w:sz w:val="24"/>
        </w:rPr>
        <w:t>Jatropha</w:t>
      </w:r>
      <w:r>
        <w:rPr>
          <w:i/>
          <w:spacing w:val="-1"/>
          <w:sz w:val="24"/>
        </w:rPr>
        <w:t> </w:t>
      </w:r>
      <w:r>
        <w:rPr>
          <w:i/>
          <w:sz w:val="24"/>
        </w:rPr>
        <w:t>curcas</w:t>
      </w:r>
      <w:r>
        <w:rPr>
          <w:i/>
          <w:spacing w:val="-2"/>
          <w:sz w:val="24"/>
        </w:rPr>
        <w:t> </w:t>
      </w:r>
      <w:r>
        <w:rPr>
          <w:spacing w:val="-4"/>
          <w:sz w:val="24"/>
        </w:rPr>
        <w:t>oils</w:t>
      </w:r>
      <w:r>
        <w:rPr>
          <w:sz w:val="24"/>
        </w:rPr>
        <w:tab/>
      </w:r>
      <w:r>
        <w:rPr>
          <w:spacing w:val="-5"/>
          <w:sz w:val="24"/>
        </w:rPr>
        <w:t>56</w:t>
      </w:r>
    </w:p>
    <w:p>
      <w:pPr>
        <w:pStyle w:val="ListParagraph"/>
        <w:numPr>
          <w:ilvl w:val="1"/>
          <w:numId w:val="14"/>
        </w:numPr>
        <w:tabs>
          <w:tab w:pos="675" w:val="left" w:leader="none"/>
        </w:tabs>
        <w:spacing w:line="275" w:lineRule="exact" w:before="276" w:after="0"/>
        <w:ind w:left="675" w:right="0" w:hanging="422"/>
        <w:jc w:val="left"/>
        <w:rPr>
          <w:sz w:val="24"/>
        </w:rPr>
      </w:pPr>
      <w:r>
        <w:rPr>
          <w:sz w:val="24"/>
        </w:rPr>
        <w:t>:</w:t>
      </w:r>
      <w:r>
        <w:rPr>
          <w:spacing w:val="-5"/>
          <w:sz w:val="24"/>
        </w:rPr>
        <w:t> </w:t>
      </w:r>
      <w:r>
        <w:rPr>
          <w:sz w:val="24"/>
        </w:rPr>
        <w:t>Effects</w:t>
      </w:r>
      <w:r>
        <w:rPr>
          <w:spacing w:val="-2"/>
          <w:sz w:val="24"/>
        </w:rPr>
        <w:t> </w:t>
      </w:r>
      <w:r>
        <w:rPr>
          <w:sz w:val="24"/>
        </w:rPr>
        <w:t>of</w:t>
      </w:r>
      <w:r>
        <w:rPr>
          <w:spacing w:val="-9"/>
          <w:sz w:val="24"/>
        </w:rPr>
        <w:t> </w:t>
      </w:r>
      <w:r>
        <w:rPr>
          <w:sz w:val="24"/>
        </w:rPr>
        <w:t>undetoxified and</w:t>
      </w:r>
      <w:r>
        <w:rPr>
          <w:spacing w:val="-1"/>
          <w:sz w:val="24"/>
        </w:rPr>
        <w:t> </w:t>
      </w:r>
      <w:r>
        <w:rPr>
          <w:sz w:val="24"/>
        </w:rPr>
        <w:t>detoxified</w:t>
      </w:r>
      <w:r>
        <w:rPr>
          <w:spacing w:val="5"/>
          <w:sz w:val="24"/>
        </w:rPr>
        <w:t> </w:t>
      </w:r>
      <w:r>
        <w:rPr>
          <w:i/>
          <w:sz w:val="24"/>
        </w:rPr>
        <w:t>Jatropha</w:t>
      </w:r>
      <w:r>
        <w:rPr>
          <w:i/>
          <w:spacing w:val="-1"/>
          <w:sz w:val="24"/>
        </w:rPr>
        <w:t> </w:t>
      </w:r>
      <w:r>
        <w:rPr>
          <w:i/>
          <w:sz w:val="24"/>
        </w:rPr>
        <w:t>curcas</w:t>
      </w:r>
      <w:r>
        <w:rPr>
          <w:i/>
          <w:spacing w:val="-1"/>
          <w:sz w:val="24"/>
        </w:rPr>
        <w:t> </w:t>
      </w:r>
      <w:r>
        <w:rPr>
          <w:spacing w:val="-4"/>
          <w:sz w:val="24"/>
        </w:rPr>
        <w:t>oils</w:t>
      </w:r>
    </w:p>
    <w:p>
      <w:pPr>
        <w:pStyle w:val="BodyText"/>
        <w:tabs>
          <w:tab w:pos="8176" w:val="left" w:leader="none"/>
        </w:tabs>
        <w:spacing w:line="275" w:lineRule="exact"/>
        <w:ind w:left="253"/>
      </w:pPr>
      <w:r>
        <w:rPr/>
        <mc:AlternateContent>
          <mc:Choice Requires="wps">
            <w:drawing>
              <wp:anchor distT="0" distB="0" distL="0" distR="0" allowOverlap="1" layoutInCell="1" locked="0" behindDoc="1" simplePos="0" relativeHeight="485040640">
                <wp:simplePos x="0" y="0"/>
                <wp:positionH relativeFrom="page">
                  <wp:posOffset>2939542</wp:posOffset>
                </wp:positionH>
                <wp:positionV relativeFrom="paragraph">
                  <wp:posOffset>107877</wp:posOffset>
                </wp:positionV>
                <wp:extent cx="3250565"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3250565" cy="1270"/>
                        </a:xfrm>
                        <a:custGeom>
                          <a:avLst/>
                          <a:gdLst/>
                          <a:ahLst/>
                          <a:cxnLst/>
                          <a:rect l="l" t="t" r="r" b="b"/>
                          <a:pathLst>
                            <a:path w="3250565" h="0">
                              <a:moveTo>
                                <a:pt x="0" y="0"/>
                              </a:moveTo>
                              <a:lnTo>
                                <a:pt x="3250002"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5840" from="231.460007pt,8.494285pt" to="487.365701pt,8.494285pt" stroked="true" strokeweight=".885563pt" strokecolor="#000000">
                <v:stroke dashstyle="shortdash"/>
                <w10:wrap type="none"/>
              </v:line>
            </w:pict>
          </mc:Fallback>
        </mc:AlternateContent>
      </w:r>
      <w:r>
        <w:rPr/>
        <w:t>on</w:t>
      </w:r>
      <w:r>
        <w:rPr>
          <w:spacing w:val="-8"/>
        </w:rPr>
        <w:t> </w:t>
      </w:r>
      <w:r>
        <w:rPr/>
        <w:t>hot</w:t>
      </w:r>
      <w:r>
        <w:rPr>
          <w:spacing w:val="3"/>
        </w:rPr>
        <w:t> </w:t>
      </w:r>
      <w:r>
        <w:rPr/>
        <w:t>plate</w:t>
      </w:r>
      <w:r>
        <w:rPr>
          <w:spacing w:val="-2"/>
        </w:rPr>
        <w:t> </w:t>
      </w:r>
      <w:r>
        <w:rPr/>
        <w:t>latency</w:t>
      </w:r>
      <w:r>
        <w:rPr>
          <w:spacing w:val="-6"/>
        </w:rPr>
        <w:t> </w:t>
      </w:r>
      <w:r>
        <w:rPr/>
        <w:t>in</w:t>
      </w:r>
      <w:r>
        <w:rPr>
          <w:spacing w:val="3"/>
        </w:rPr>
        <w:t> </w:t>
      </w:r>
      <w:r>
        <w:rPr>
          <w:spacing w:val="-4"/>
        </w:rPr>
        <w:t>mice</w:t>
      </w:r>
      <w:r>
        <w:rPr/>
        <w:tab/>
      </w:r>
      <w:r>
        <w:rPr>
          <w:spacing w:val="-5"/>
        </w:rPr>
        <w:t>60</w:t>
      </w:r>
    </w:p>
    <w:p>
      <w:pPr>
        <w:pStyle w:val="ListParagraph"/>
        <w:numPr>
          <w:ilvl w:val="1"/>
          <w:numId w:val="14"/>
        </w:numPr>
        <w:tabs>
          <w:tab w:pos="675" w:val="left" w:leader="none"/>
          <w:tab w:pos="8176" w:val="left" w:leader="hyphen"/>
        </w:tabs>
        <w:spacing w:line="240" w:lineRule="auto" w:before="277" w:after="0"/>
        <w:ind w:left="675" w:right="0" w:hanging="422"/>
        <w:jc w:val="left"/>
        <w:rPr>
          <w:sz w:val="24"/>
        </w:rPr>
      </w:pPr>
      <w:r>
        <w:rPr>
          <w:sz w:val="24"/>
        </w:rPr>
        <w:t>:</w:t>
      </w:r>
      <w:r>
        <w:rPr>
          <w:spacing w:val="-2"/>
          <w:sz w:val="24"/>
        </w:rPr>
        <w:t> </w:t>
      </w:r>
      <w:r>
        <w:rPr>
          <w:sz w:val="24"/>
        </w:rPr>
        <w:t>Laxative</w:t>
      </w:r>
      <w:r>
        <w:rPr>
          <w:spacing w:val="-2"/>
          <w:sz w:val="24"/>
        </w:rPr>
        <w:t> </w:t>
      </w:r>
      <w:r>
        <w:rPr>
          <w:sz w:val="24"/>
        </w:rPr>
        <w:t>effects</w:t>
      </w:r>
      <w:r>
        <w:rPr>
          <w:spacing w:val="-4"/>
          <w:sz w:val="24"/>
        </w:rPr>
        <w:t> </w:t>
      </w:r>
      <w:r>
        <w:rPr>
          <w:sz w:val="24"/>
        </w:rPr>
        <w:t>of</w:t>
      </w:r>
      <w:r>
        <w:rPr>
          <w:spacing w:val="-9"/>
          <w:sz w:val="24"/>
        </w:rPr>
        <w:t> </w:t>
      </w:r>
      <w:r>
        <w:rPr>
          <w:sz w:val="24"/>
        </w:rPr>
        <w:t>undetoxified</w:t>
      </w:r>
      <w:r>
        <w:rPr>
          <w:spacing w:val="-1"/>
          <w:sz w:val="24"/>
        </w:rPr>
        <w:t> </w:t>
      </w:r>
      <w:r>
        <w:rPr>
          <w:sz w:val="24"/>
        </w:rPr>
        <w:t>and</w:t>
      </w:r>
      <w:r>
        <w:rPr>
          <w:spacing w:val="-2"/>
          <w:sz w:val="24"/>
        </w:rPr>
        <w:t> </w:t>
      </w:r>
      <w:r>
        <w:rPr>
          <w:sz w:val="24"/>
        </w:rPr>
        <w:t>detoxified</w:t>
      </w:r>
      <w:r>
        <w:rPr>
          <w:spacing w:val="3"/>
          <w:sz w:val="24"/>
        </w:rPr>
        <w:t> </w:t>
      </w:r>
      <w:r>
        <w:rPr>
          <w:i/>
          <w:sz w:val="24"/>
        </w:rPr>
        <w:t>Jatropha</w:t>
      </w:r>
      <w:r>
        <w:rPr>
          <w:i/>
          <w:spacing w:val="-1"/>
          <w:sz w:val="24"/>
        </w:rPr>
        <w:t> </w:t>
      </w:r>
      <w:r>
        <w:rPr>
          <w:i/>
          <w:sz w:val="24"/>
        </w:rPr>
        <w:t>curcas</w:t>
      </w:r>
      <w:r>
        <w:rPr>
          <w:i/>
          <w:spacing w:val="-3"/>
          <w:sz w:val="24"/>
        </w:rPr>
        <w:t> </w:t>
      </w:r>
      <w:r>
        <w:rPr>
          <w:spacing w:val="-4"/>
          <w:sz w:val="24"/>
        </w:rPr>
        <w:t>oils</w:t>
      </w:r>
      <w:r>
        <w:rPr>
          <w:sz w:val="24"/>
        </w:rPr>
        <w:tab/>
      </w:r>
      <w:r>
        <w:rPr>
          <w:spacing w:val="-5"/>
          <w:sz w:val="24"/>
        </w:rPr>
        <w:t>62</w:t>
      </w:r>
    </w:p>
    <w:p>
      <w:pPr>
        <w:spacing w:after="0" w:line="240" w:lineRule="auto"/>
        <w:jc w:val="left"/>
        <w:rPr>
          <w:sz w:val="24"/>
        </w:rPr>
        <w:sectPr>
          <w:pgSz w:w="12240" w:h="15840"/>
          <w:pgMar w:header="0" w:footer="1012" w:top="1340" w:bottom="1200" w:left="1720" w:right="1300"/>
        </w:sectPr>
      </w:pPr>
    </w:p>
    <w:p>
      <w:pPr>
        <w:pStyle w:val="Heading2"/>
        <w:spacing w:before="68"/>
        <w:ind w:left="137" w:firstLine="0"/>
        <w:jc w:val="center"/>
      </w:pPr>
      <w:r>
        <w:rPr/>
        <w:t>List of</w:t>
      </w:r>
      <w:r>
        <w:rPr>
          <w:spacing w:val="-2"/>
        </w:rPr>
        <w:t> Plates</w:t>
      </w:r>
    </w:p>
    <w:p>
      <w:pPr>
        <w:pStyle w:val="BodyText"/>
        <w:tabs>
          <w:tab w:pos="8176" w:val="left" w:leader="none"/>
        </w:tabs>
        <w:spacing w:before="132"/>
        <w:ind w:left="253"/>
      </w:pPr>
      <w:r>
        <w:rPr>
          <w:spacing w:val="-2"/>
        </w:rPr>
        <w:t>Plate</w:t>
      </w:r>
      <w:r>
        <w:rPr/>
        <w:tab/>
      </w:r>
      <w:r>
        <w:rPr>
          <w:spacing w:val="-4"/>
        </w:rPr>
        <w:t>Page</w:t>
      </w:r>
    </w:p>
    <w:p>
      <w:pPr>
        <w:pStyle w:val="BodyText"/>
        <w:tabs>
          <w:tab w:pos="8176" w:val="left" w:leader="hyphen"/>
        </w:tabs>
        <w:spacing w:before="277"/>
        <w:ind w:left="253"/>
      </w:pPr>
      <w:r>
        <w:rPr/>
        <w:t>Plate</w:t>
      </w:r>
      <w:r>
        <w:rPr>
          <w:spacing w:val="-3"/>
        </w:rPr>
        <w:t> </w:t>
      </w:r>
      <w:r>
        <w:rPr/>
        <w:t>I:</w:t>
      </w:r>
      <w:r>
        <w:rPr>
          <w:spacing w:val="26"/>
        </w:rPr>
        <w:t> </w:t>
      </w:r>
      <w:r>
        <w:rPr/>
        <w:t>Normal</w:t>
      </w:r>
      <w:r>
        <w:rPr>
          <w:spacing w:val="-1"/>
        </w:rPr>
        <w:t> </w:t>
      </w:r>
      <w:r>
        <w:rPr/>
        <w:t>liver</w:t>
      </w:r>
      <w:r>
        <w:rPr>
          <w:spacing w:val="-1"/>
        </w:rPr>
        <w:t> </w:t>
      </w:r>
      <w:r>
        <w:rPr/>
        <w:t>tissues</w:t>
      </w:r>
      <w:r>
        <w:rPr>
          <w:spacing w:val="-2"/>
        </w:rPr>
        <w:t> (control)</w:t>
      </w:r>
      <w:r>
        <w:rPr/>
        <w:tab/>
      </w:r>
      <w:r>
        <w:rPr>
          <w:spacing w:val="-5"/>
        </w:rPr>
        <w:t>63</w:t>
      </w:r>
    </w:p>
    <w:p>
      <w:pPr>
        <w:pStyle w:val="BodyText"/>
        <w:tabs>
          <w:tab w:pos="8176" w:val="left" w:leader="hyphen"/>
        </w:tabs>
        <w:spacing w:before="276"/>
        <w:ind w:left="253"/>
      </w:pPr>
      <w:r>
        <w:rPr/>
        <w:t>Plate</w:t>
      </w:r>
      <w:r>
        <w:rPr>
          <w:spacing w:val="-3"/>
        </w:rPr>
        <w:t> </w:t>
      </w:r>
      <w:r>
        <w:rPr/>
        <w:t>II:</w:t>
      </w:r>
      <w:r>
        <w:rPr>
          <w:spacing w:val="-3"/>
        </w:rPr>
        <w:t> </w:t>
      </w:r>
      <w:r>
        <w:rPr/>
        <w:t>Effects</w:t>
      </w:r>
      <w:r>
        <w:rPr>
          <w:spacing w:val="-2"/>
        </w:rPr>
        <w:t> </w:t>
      </w:r>
      <w:r>
        <w:rPr/>
        <w:t>of</w:t>
      </w:r>
      <w:r>
        <w:rPr>
          <w:spacing w:val="-7"/>
        </w:rPr>
        <w:t> </w:t>
      </w:r>
      <w:r>
        <w:rPr/>
        <w:t>undetoxified</w:t>
      </w:r>
      <w:r>
        <w:rPr>
          <w:spacing w:val="1"/>
        </w:rPr>
        <w:t> </w:t>
      </w:r>
      <w:r>
        <w:rPr>
          <w:i/>
        </w:rPr>
        <w:t>J.</w:t>
      </w:r>
      <w:r>
        <w:rPr>
          <w:i/>
          <w:spacing w:val="3"/>
        </w:rPr>
        <w:t> </w:t>
      </w:r>
      <w:r>
        <w:rPr>
          <w:i/>
        </w:rPr>
        <w:t>curcas</w:t>
      </w:r>
      <w:r>
        <w:rPr>
          <w:i/>
          <w:spacing w:val="-2"/>
        </w:rPr>
        <w:t> </w:t>
      </w:r>
      <w:r>
        <w:rPr/>
        <w:t>oil</w:t>
      </w:r>
      <w:r>
        <w:rPr>
          <w:spacing w:val="-4"/>
        </w:rPr>
        <w:t> </w:t>
      </w:r>
      <w:r>
        <w:rPr/>
        <w:t>on liver</w:t>
      </w:r>
      <w:r>
        <w:rPr>
          <w:spacing w:val="-3"/>
        </w:rPr>
        <w:t> </w:t>
      </w:r>
      <w:r>
        <w:rPr/>
        <w:t>tissues (125</w:t>
      </w:r>
      <w:r>
        <w:rPr>
          <w:spacing w:val="1"/>
        </w:rPr>
        <w:t> </w:t>
      </w:r>
      <w:r>
        <w:rPr>
          <w:spacing w:val="-2"/>
        </w:rPr>
        <w:t>mg/kg)</w:t>
      </w:r>
      <w:r>
        <w:rPr/>
        <w:tab/>
      </w:r>
      <w:r>
        <w:rPr>
          <w:spacing w:val="-5"/>
        </w:rPr>
        <w:t>63</w:t>
      </w:r>
    </w:p>
    <w:p>
      <w:pPr>
        <w:pStyle w:val="BodyText"/>
        <w:tabs>
          <w:tab w:pos="8176" w:val="left" w:leader="hyphen"/>
        </w:tabs>
        <w:spacing w:before="276"/>
        <w:ind w:left="253"/>
      </w:pPr>
      <w:r>
        <w:rPr/>
        <w:t>Plate</w:t>
      </w:r>
      <w:r>
        <w:rPr>
          <w:spacing w:val="-3"/>
        </w:rPr>
        <w:t> </w:t>
      </w:r>
      <w:r>
        <w:rPr/>
        <w:t>III:</w:t>
      </w:r>
      <w:r>
        <w:rPr>
          <w:spacing w:val="-3"/>
        </w:rPr>
        <w:t> </w:t>
      </w:r>
      <w:r>
        <w:rPr/>
        <w:t>Effects</w:t>
      </w:r>
      <w:r>
        <w:rPr>
          <w:spacing w:val="-1"/>
        </w:rPr>
        <w:t> </w:t>
      </w:r>
      <w:r>
        <w:rPr/>
        <w:t>of</w:t>
      </w:r>
      <w:r>
        <w:rPr>
          <w:spacing w:val="-7"/>
        </w:rPr>
        <w:t> </w:t>
      </w:r>
      <w:r>
        <w:rPr/>
        <w:t>detoxified</w:t>
      </w:r>
      <w:r>
        <w:rPr>
          <w:spacing w:val="1"/>
        </w:rPr>
        <w:t> </w:t>
      </w:r>
      <w:r>
        <w:rPr>
          <w:i/>
        </w:rPr>
        <w:t>J.</w:t>
      </w:r>
      <w:r>
        <w:rPr>
          <w:i/>
          <w:spacing w:val="3"/>
        </w:rPr>
        <w:t> </w:t>
      </w:r>
      <w:r>
        <w:rPr>
          <w:i/>
        </w:rPr>
        <w:t>curcas</w:t>
      </w:r>
      <w:r>
        <w:rPr>
          <w:i/>
          <w:spacing w:val="-2"/>
        </w:rPr>
        <w:t> </w:t>
      </w:r>
      <w:r>
        <w:rPr/>
        <w:t>oil</w:t>
      </w:r>
      <w:r>
        <w:rPr>
          <w:spacing w:val="-9"/>
        </w:rPr>
        <w:t> </w:t>
      </w:r>
      <w:r>
        <w:rPr/>
        <w:t>on</w:t>
      </w:r>
      <w:r>
        <w:rPr>
          <w:spacing w:val="1"/>
        </w:rPr>
        <w:t> </w:t>
      </w:r>
      <w:r>
        <w:rPr/>
        <w:t>liver</w:t>
      </w:r>
      <w:r>
        <w:rPr>
          <w:spacing w:val="-3"/>
        </w:rPr>
        <w:t> </w:t>
      </w:r>
      <w:r>
        <w:rPr/>
        <w:t>tissues (125</w:t>
      </w:r>
      <w:r>
        <w:rPr>
          <w:spacing w:val="5"/>
        </w:rPr>
        <w:t> </w:t>
      </w:r>
      <w:r>
        <w:rPr>
          <w:spacing w:val="-2"/>
        </w:rPr>
        <w:t>mg/kg)</w:t>
      </w:r>
      <w:r>
        <w:rPr/>
        <w:tab/>
      </w:r>
      <w:r>
        <w:rPr>
          <w:spacing w:val="-5"/>
        </w:rPr>
        <w:t>63</w:t>
      </w:r>
    </w:p>
    <w:p>
      <w:pPr>
        <w:pStyle w:val="BodyText"/>
        <w:tabs>
          <w:tab w:pos="8176" w:val="left" w:leader="hyphen"/>
        </w:tabs>
        <w:spacing w:before="276"/>
        <w:ind w:left="253"/>
      </w:pPr>
      <w:r>
        <w:rPr/>
        <w:t>Plate</w:t>
      </w:r>
      <w:r>
        <w:rPr>
          <w:spacing w:val="-4"/>
        </w:rPr>
        <w:t> </w:t>
      </w:r>
      <w:r>
        <w:rPr/>
        <w:t>IV:</w:t>
      </w:r>
      <w:r>
        <w:rPr>
          <w:spacing w:val="-2"/>
        </w:rPr>
        <w:t> </w:t>
      </w:r>
      <w:r>
        <w:rPr/>
        <w:t>Normal</w:t>
      </w:r>
      <w:r>
        <w:rPr>
          <w:spacing w:val="-3"/>
        </w:rPr>
        <w:t> </w:t>
      </w:r>
      <w:r>
        <w:rPr/>
        <w:t>liver</w:t>
      </w:r>
      <w:r>
        <w:rPr>
          <w:spacing w:val="-2"/>
        </w:rPr>
        <w:t> </w:t>
      </w:r>
      <w:r>
        <w:rPr/>
        <w:t>tissues</w:t>
      </w:r>
      <w:r>
        <w:rPr>
          <w:spacing w:val="-4"/>
        </w:rPr>
        <w:t> </w:t>
      </w:r>
      <w:r>
        <w:rPr>
          <w:spacing w:val="-2"/>
        </w:rPr>
        <w:t>(control)</w:t>
      </w:r>
      <w:r>
        <w:rPr/>
        <w:tab/>
      </w:r>
      <w:r>
        <w:rPr>
          <w:spacing w:val="-5"/>
        </w:rPr>
        <w:t>64</w:t>
      </w:r>
    </w:p>
    <w:p>
      <w:pPr>
        <w:pStyle w:val="BodyText"/>
        <w:tabs>
          <w:tab w:pos="8176" w:val="left" w:leader="hyphen"/>
        </w:tabs>
        <w:spacing w:before="276"/>
        <w:ind w:left="253"/>
      </w:pPr>
      <w:r>
        <w:rPr/>
        <w:t>Plate</w:t>
      </w:r>
      <w:r>
        <w:rPr>
          <w:spacing w:val="-3"/>
        </w:rPr>
        <w:t> </w:t>
      </w:r>
      <w:r>
        <w:rPr/>
        <w:t>V:</w:t>
      </w:r>
      <w:r>
        <w:rPr>
          <w:spacing w:val="-4"/>
        </w:rPr>
        <w:t> </w:t>
      </w:r>
      <w:r>
        <w:rPr/>
        <w:t>Effects</w:t>
      </w:r>
      <w:r>
        <w:rPr>
          <w:spacing w:val="-1"/>
        </w:rPr>
        <w:t> </w:t>
      </w:r>
      <w:r>
        <w:rPr/>
        <w:t>of</w:t>
      </w:r>
      <w:r>
        <w:rPr>
          <w:spacing w:val="-7"/>
        </w:rPr>
        <w:t> </w:t>
      </w:r>
      <w:r>
        <w:rPr/>
        <w:t>undetoxified</w:t>
      </w:r>
      <w:r>
        <w:rPr>
          <w:spacing w:val="1"/>
        </w:rPr>
        <w:t> </w:t>
      </w:r>
      <w:r>
        <w:rPr>
          <w:i/>
        </w:rPr>
        <w:t>J.</w:t>
      </w:r>
      <w:r>
        <w:rPr>
          <w:i/>
          <w:spacing w:val="3"/>
        </w:rPr>
        <w:t> </w:t>
      </w:r>
      <w:r>
        <w:rPr>
          <w:i/>
        </w:rPr>
        <w:t>curcas</w:t>
      </w:r>
      <w:r>
        <w:rPr>
          <w:i/>
          <w:spacing w:val="-2"/>
        </w:rPr>
        <w:t> </w:t>
      </w:r>
      <w:r>
        <w:rPr/>
        <w:t>oil</w:t>
      </w:r>
      <w:r>
        <w:rPr>
          <w:spacing w:val="-4"/>
        </w:rPr>
        <w:t> </w:t>
      </w:r>
      <w:r>
        <w:rPr/>
        <w:t>on</w:t>
      </w:r>
      <w:r>
        <w:rPr>
          <w:spacing w:val="1"/>
        </w:rPr>
        <w:t> </w:t>
      </w:r>
      <w:r>
        <w:rPr/>
        <w:t>liver</w:t>
      </w:r>
      <w:r>
        <w:rPr>
          <w:spacing w:val="-3"/>
        </w:rPr>
        <w:t> </w:t>
      </w:r>
      <w:r>
        <w:rPr/>
        <w:t>tissues (250</w:t>
      </w:r>
      <w:r>
        <w:rPr>
          <w:spacing w:val="1"/>
        </w:rPr>
        <w:t> </w:t>
      </w:r>
      <w:r>
        <w:rPr>
          <w:spacing w:val="-2"/>
        </w:rPr>
        <w:t>mg/kg)</w:t>
      </w:r>
      <w:r>
        <w:rPr/>
        <w:tab/>
      </w:r>
      <w:r>
        <w:rPr>
          <w:spacing w:val="-5"/>
        </w:rPr>
        <w:t>64</w:t>
      </w:r>
    </w:p>
    <w:p>
      <w:pPr>
        <w:pStyle w:val="BodyText"/>
        <w:tabs>
          <w:tab w:pos="8176" w:val="left" w:leader="hyphen"/>
        </w:tabs>
        <w:spacing w:before="276"/>
        <w:ind w:left="253"/>
      </w:pPr>
      <w:r>
        <w:rPr/>
        <w:t>Plate</w:t>
      </w:r>
      <w:r>
        <w:rPr>
          <w:spacing w:val="-3"/>
        </w:rPr>
        <w:t> </w:t>
      </w:r>
      <w:r>
        <w:rPr/>
        <w:t>VI:</w:t>
      </w:r>
      <w:r>
        <w:rPr>
          <w:spacing w:val="-3"/>
        </w:rPr>
        <w:t> </w:t>
      </w:r>
      <w:r>
        <w:rPr/>
        <w:t>Effects</w:t>
      </w:r>
      <w:r>
        <w:rPr>
          <w:spacing w:val="-1"/>
        </w:rPr>
        <w:t> </w:t>
      </w:r>
      <w:r>
        <w:rPr/>
        <w:t>of</w:t>
      </w:r>
      <w:r>
        <w:rPr>
          <w:spacing w:val="-7"/>
        </w:rPr>
        <w:t> </w:t>
      </w:r>
      <w:r>
        <w:rPr/>
        <w:t>detoxified</w:t>
      </w:r>
      <w:r>
        <w:rPr>
          <w:spacing w:val="2"/>
        </w:rPr>
        <w:t> </w:t>
      </w:r>
      <w:r>
        <w:rPr>
          <w:i/>
        </w:rPr>
        <w:t>J.</w:t>
      </w:r>
      <w:r>
        <w:rPr>
          <w:i/>
          <w:spacing w:val="3"/>
        </w:rPr>
        <w:t> </w:t>
      </w:r>
      <w:r>
        <w:rPr>
          <w:i/>
        </w:rPr>
        <w:t>curcas</w:t>
      </w:r>
      <w:r>
        <w:rPr>
          <w:i/>
          <w:spacing w:val="-2"/>
        </w:rPr>
        <w:t> </w:t>
      </w:r>
      <w:r>
        <w:rPr/>
        <w:t>oil</w:t>
      </w:r>
      <w:r>
        <w:rPr>
          <w:spacing w:val="-8"/>
        </w:rPr>
        <w:t> </w:t>
      </w:r>
      <w:r>
        <w:rPr/>
        <w:t>on</w:t>
      </w:r>
      <w:r>
        <w:rPr>
          <w:spacing w:val="1"/>
        </w:rPr>
        <w:t> </w:t>
      </w:r>
      <w:r>
        <w:rPr/>
        <w:t>liver</w:t>
      </w:r>
      <w:r>
        <w:rPr>
          <w:spacing w:val="-3"/>
        </w:rPr>
        <w:t> </w:t>
      </w:r>
      <w:r>
        <w:rPr/>
        <w:t>tissues</w:t>
      </w:r>
      <w:r>
        <w:rPr>
          <w:spacing w:val="1"/>
        </w:rPr>
        <w:t> </w:t>
      </w:r>
      <w:r>
        <w:rPr/>
        <w:t>(250</w:t>
      </w:r>
      <w:r>
        <w:rPr>
          <w:spacing w:val="5"/>
        </w:rPr>
        <w:t> </w:t>
      </w:r>
      <w:r>
        <w:rPr>
          <w:spacing w:val="-2"/>
        </w:rPr>
        <w:t>mg/kg)</w:t>
      </w:r>
      <w:r>
        <w:rPr/>
        <w:tab/>
      </w:r>
      <w:r>
        <w:rPr>
          <w:spacing w:val="-5"/>
        </w:rPr>
        <w:t>64</w:t>
      </w:r>
    </w:p>
    <w:p>
      <w:pPr>
        <w:pStyle w:val="BodyText"/>
        <w:tabs>
          <w:tab w:pos="8176" w:val="left" w:leader="hyphen"/>
        </w:tabs>
        <w:spacing w:before="277"/>
        <w:ind w:left="253"/>
      </w:pPr>
      <w:r>
        <w:rPr/>
        <w:t>Plate</w:t>
      </w:r>
      <w:r>
        <w:rPr>
          <w:spacing w:val="-2"/>
        </w:rPr>
        <w:t> </w:t>
      </w:r>
      <w:r>
        <w:rPr/>
        <w:t>VII:</w:t>
      </w:r>
      <w:r>
        <w:rPr>
          <w:spacing w:val="-5"/>
        </w:rPr>
        <w:t> </w:t>
      </w:r>
      <w:r>
        <w:rPr/>
        <w:t>Normal</w:t>
      </w:r>
      <w:r>
        <w:rPr>
          <w:spacing w:val="-6"/>
        </w:rPr>
        <w:t> </w:t>
      </w:r>
      <w:r>
        <w:rPr/>
        <w:t>liver tissues</w:t>
      </w:r>
      <w:r>
        <w:rPr>
          <w:spacing w:val="-3"/>
        </w:rPr>
        <w:t> </w:t>
      </w:r>
      <w:r>
        <w:rPr>
          <w:spacing w:val="-2"/>
        </w:rPr>
        <w:t>(control)</w:t>
      </w:r>
      <w:r>
        <w:rPr/>
        <w:tab/>
      </w:r>
      <w:r>
        <w:rPr>
          <w:spacing w:val="-5"/>
        </w:rPr>
        <w:t>65</w:t>
      </w:r>
    </w:p>
    <w:p>
      <w:pPr>
        <w:pStyle w:val="BodyText"/>
        <w:tabs>
          <w:tab w:pos="8176" w:val="left" w:leader="hyphen"/>
        </w:tabs>
        <w:spacing w:before="276"/>
        <w:ind w:left="253"/>
      </w:pPr>
      <w:r>
        <w:rPr/>
        <w:t>Plate</w:t>
      </w:r>
      <w:r>
        <w:rPr>
          <w:spacing w:val="-3"/>
        </w:rPr>
        <w:t> </w:t>
      </w:r>
      <w:r>
        <w:rPr/>
        <w:t>VIII:</w:t>
      </w:r>
      <w:r>
        <w:rPr>
          <w:spacing w:val="56"/>
        </w:rPr>
        <w:t> </w:t>
      </w:r>
      <w:r>
        <w:rPr/>
        <w:t>Effects</w:t>
      </w:r>
      <w:r>
        <w:rPr>
          <w:spacing w:val="-6"/>
        </w:rPr>
        <w:t> </w:t>
      </w:r>
      <w:r>
        <w:rPr/>
        <w:t>of</w:t>
      </w:r>
      <w:r>
        <w:rPr>
          <w:spacing w:val="-7"/>
        </w:rPr>
        <w:t> </w:t>
      </w:r>
      <w:r>
        <w:rPr/>
        <w:t>undetoxified</w:t>
      </w:r>
      <w:r>
        <w:rPr>
          <w:spacing w:val="2"/>
        </w:rPr>
        <w:t> </w:t>
      </w:r>
      <w:r>
        <w:rPr>
          <w:i/>
        </w:rPr>
        <w:t>J.</w:t>
      </w:r>
      <w:r>
        <w:rPr>
          <w:i/>
          <w:spacing w:val="2"/>
        </w:rPr>
        <w:t> </w:t>
      </w:r>
      <w:r>
        <w:rPr>
          <w:i/>
        </w:rPr>
        <w:t>curcas</w:t>
      </w:r>
      <w:r>
        <w:rPr>
          <w:i/>
          <w:spacing w:val="-2"/>
        </w:rPr>
        <w:t> </w:t>
      </w:r>
      <w:r>
        <w:rPr/>
        <w:t>oil</w:t>
      </w:r>
      <w:r>
        <w:rPr>
          <w:spacing w:val="-8"/>
        </w:rPr>
        <w:t> </w:t>
      </w:r>
      <w:r>
        <w:rPr/>
        <w:t>on liver</w:t>
      </w:r>
      <w:r>
        <w:rPr>
          <w:spacing w:val="1"/>
        </w:rPr>
        <w:t> </w:t>
      </w:r>
      <w:r>
        <w:rPr/>
        <w:t>tissues (500</w:t>
      </w:r>
      <w:r>
        <w:rPr>
          <w:spacing w:val="1"/>
        </w:rPr>
        <w:t> </w:t>
      </w:r>
      <w:r>
        <w:rPr>
          <w:spacing w:val="-2"/>
        </w:rPr>
        <w:t>mg/kg)</w:t>
      </w:r>
      <w:r>
        <w:rPr/>
        <w:tab/>
      </w:r>
      <w:r>
        <w:rPr>
          <w:spacing w:val="-5"/>
        </w:rPr>
        <w:t>65</w:t>
      </w:r>
    </w:p>
    <w:p>
      <w:pPr>
        <w:pStyle w:val="BodyText"/>
        <w:tabs>
          <w:tab w:pos="8176" w:val="left" w:leader="hyphen"/>
        </w:tabs>
        <w:spacing w:before="276"/>
        <w:ind w:left="253"/>
      </w:pPr>
      <w:r>
        <w:rPr/>
        <w:t>Plate</w:t>
      </w:r>
      <w:r>
        <w:rPr>
          <w:spacing w:val="-3"/>
        </w:rPr>
        <w:t> </w:t>
      </w:r>
      <w:r>
        <w:rPr/>
        <w:t>IX:</w:t>
      </w:r>
      <w:r>
        <w:rPr>
          <w:spacing w:val="-3"/>
        </w:rPr>
        <w:t> </w:t>
      </w:r>
      <w:r>
        <w:rPr/>
        <w:t>Effects</w:t>
      </w:r>
      <w:r>
        <w:rPr>
          <w:spacing w:val="-2"/>
        </w:rPr>
        <w:t> </w:t>
      </w:r>
      <w:r>
        <w:rPr/>
        <w:t>of</w:t>
      </w:r>
      <w:r>
        <w:rPr>
          <w:spacing w:val="-6"/>
        </w:rPr>
        <w:t> </w:t>
      </w:r>
      <w:r>
        <w:rPr/>
        <w:t>detoxified</w:t>
      </w:r>
      <w:r>
        <w:rPr>
          <w:spacing w:val="2"/>
        </w:rPr>
        <w:t> </w:t>
      </w:r>
      <w:r>
        <w:rPr>
          <w:i/>
        </w:rPr>
        <w:t>J.</w:t>
      </w:r>
      <w:r>
        <w:rPr>
          <w:i/>
          <w:spacing w:val="2"/>
        </w:rPr>
        <w:t> </w:t>
      </w:r>
      <w:r>
        <w:rPr>
          <w:i/>
        </w:rPr>
        <w:t>curcas</w:t>
      </w:r>
      <w:r>
        <w:rPr>
          <w:i/>
          <w:spacing w:val="-1"/>
        </w:rPr>
        <w:t> </w:t>
      </w:r>
      <w:r>
        <w:rPr/>
        <w:t>oil</w:t>
      </w:r>
      <w:r>
        <w:rPr>
          <w:spacing w:val="-9"/>
        </w:rPr>
        <w:t> </w:t>
      </w:r>
      <w:r>
        <w:rPr/>
        <w:t>on</w:t>
      </w:r>
      <w:r>
        <w:rPr>
          <w:spacing w:val="1"/>
        </w:rPr>
        <w:t> </w:t>
      </w:r>
      <w:r>
        <w:rPr/>
        <w:t>liver</w:t>
      </w:r>
      <w:r>
        <w:rPr>
          <w:spacing w:val="-2"/>
        </w:rPr>
        <w:t> </w:t>
      </w:r>
      <w:r>
        <w:rPr/>
        <w:t>tissues (500</w:t>
      </w:r>
      <w:r>
        <w:rPr>
          <w:spacing w:val="5"/>
        </w:rPr>
        <w:t> </w:t>
      </w:r>
      <w:r>
        <w:rPr>
          <w:spacing w:val="-2"/>
        </w:rPr>
        <w:t>mg/kg)</w:t>
      </w:r>
      <w:r>
        <w:rPr/>
        <w:tab/>
      </w:r>
      <w:r>
        <w:rPr>
          <w:spacing w:val="-5"/>
        </w:rPr>
        <w:t>65</w:t>
      </w:r>
    </w:p>
    <w:p>
      <w:pPr>
        <w:pStyle w:val="BodyText"/>
        <w:tabs>
          <w:tab w:pos="8176" w:val="left" w:leader="hyphen"/>
        </w:tabs>
        <w:spacing w:before="276"/>
        <w:ind w:left="253"/>
      </w:pPr>
      <w:r>
        <w:rPr/>
        <w:t>Plate</w:t>
      </w:r>
      <w:r>
        <w:rPr>
          <w:spacing w:val="-1"/>
        </w:rPr>
        <w:t> </w:t>
      </w:r>
      <w:r>
        <w:rPr/>
        <w:t>X:</w:t>
      </w:r>
      <w:r>
        <w:rPr>
          <w:spacing w:val="1"/>
        </w:rPr>
        <w:t> </w:t>
      </w:r>
      <w:r>
        <w:rPr/>
        <w:t>Normal</w:t>
      </w:r>
      <w:r>
        <w:rPr>
          <w:spacing w:val="-4"/>
        </w:rPr>
        <w:t> </w:t>
      </w:r>
      <w:r>
        <w:rPr/>
        <w:t>kidney</w:t>
      </w:r>
      <w:r>
        <w:rPr>
          <w:spacing w:val="-9"/>
        </w:rPr>
        <w:t> </w:t>
      </w:r>
      <w:r>
        <w:rPr/>
        <w:t>tissues</w:t>
      </w:r>
      <w:r>
        <w:rPr>
          <w:spacing w:val="-1"/>
        </w:rPr>
        <w:t> </w:t>
      </w:r>
      <w:r>
        <w:rPr>
          <w:spacing w:val="-2"/>
        </w:rPr>
        <w:t>(control)</w:t>
      </w:r>
      <w:r>
        <w:rPr/>
        <w:tab/>
      </w:r>
      <w:r>
        <w:rPr>
          <w:spacing w:val="-5"/>
        </w:rPr>
        <w:t>66</w:t>
      </w:r>
    </w:p>
    <w:p>
      <w:pPr>
        <w:pStyle w:val="BodyText"/>
        <w:tabs>
          <w:tab w:pos="8176" w:val="left" w:leader="hyphen"/>
        </w:tabs>
        <w:spacing w:before="276"/>
        <w:ind w:left="253"/>
      </w:pPr>
      <w:r>
        <w:rPr/>
        <w:t>Plate</w:t>
      </w:r>
      <w:r>
        <w:rPr>
          <w:spacing w:val="-3"/>
        </w:rPr>
        <w:t> </w:t>
      </w:r>
      <w:r>
        <w:rPr/>
        <w:t>XI:</w:t>
      </w:r>
      <w:r>
        <w:rPr>
          <w:spacing w:val="58"/>
        </w:rPr>
        <w:t> </w:t>
      </w:r>
      <w:r>
        <w:rPr/>
        <w:t>Effects</w:t>
      </w:r>
      <w:r>
        <w:rPr>
          <w:spacing w:val="-2"/>
        </w:rPr>
        <w:t> </w:t>
      </w:r>
      <w:r>
        <w:rPr/>
        <w:t>of</w:t>
      </w:r>
      <w:r>
        <w:rPr>
          <w:spacing w:val="-6"/>
        </w:rPr>
        <w:t> </w:t>
      </w:r>
      <w:r>
        <w:rPr/>
        <w:t>undetoxified</w:t>
      </w:r>
      <w:r>
        <w:rPr>
          <w:spacing w:val="1"/>
        </w:rPr>
        <w:t> </w:t>
      </w:r>
      <w:r>
        <w:rPr>
          <w:i/>
        </w:rPr>
        <w:t>J.</w:t>
      </w:r>
      <w:r>
        <w:rPr>
          <w:i/>
          <w:spacing w:val="3"/>
        </w:rPr>
        <w:t> </w:t>
      </w:r>
      <w:r>
        <w:rPr>
          <w:i/>
        </w:rPr>
        <w:t>curcas</w:t>
      </w:r>
      <w:r>
        <w:rPr>
          <w:i/>
          <w:spacing w:val="-2"/>
        </w:rPr>
        <w:t> </w:t>
      </w:r>
      <w:r>
        <w:rPr/>
        <w:t>oil</w:t>
      </w:r>
      <w:r>
        <w:rPr>
          <w:spacing w:val="-3"/>
        </w:rPr>
        <w:t> </w:t>
      </w:r>
      <w:r>
        <w:rPr/>
        <w:t>on</w:t>
      </w:r>
      <w:r>
        <w:rPr>
          <w:spacing w:val="-5"/>
        </w:rPr>
        <w:t> </w:t>
      </w:r>
      <w:r>
        <w:rPr/>
        <w:t>kidney</w:t>
      </w:r>
      <w:r>
        <w:rPr>
          <w:spacing w:val="-2"/>
        </w:rPr>
        <w:t> </w:t>
      </w:r>
      <w:r>
        <w:rPr/>
        <w:t>tissues</w:t>
      </w:r>
      <w:r>
        <w:rPr>
          <w:spacing w:val="-2"/>
        </w:rPr>
        <w:t> </w:t>
      </w:r>
      <w:r>
        <w:rPr/>
        <w:t>(125</w:t>
      </w:r>
      <w:r>
        <w:rPr>
          <w:spacing w:val="1"/>
        </w:rPr>
        <w:t> </w:t>
      </w:r>
      <w:r>
        <w:rPr>
          <w:spacing w:val="-2"/>
        </w:rPr>
        <w:t>mg/kg)</w:t>
      </w:r>
      <w:r>
        <w:rPr/>
        <w:tab/>
      </w:r>
      <w:r>
        <w:rPr>
          <w:spacing w:val="-5"/>
        </w:rPr>
        <w:t>66</w:t>
      </w:r>
    </w:p>
    <w:p>
      <w:pPr>
        <w:pStyle w:val="BodyText"/>
        <w:tabs>
          <w:tab w:pos="8176" w:val="left" w:leader="hyphen"/>
        </w:tabs>
        <w:spacing w:before="276"/>
        <w:ind w:left="253"/>
      </w:pPr>
      <w:r>
        <w:rPr/>
        <w:t>Plate</w:t>
      </w:r>
      <w:r>
        <w:rPr>
          <w:spacing w:val="-2"/>
        </w:rPr>
        <w:t> </w:t>
      </w:r>
      <w:r>
        <w:rPr/>
        <w:t>XII:</w:t>
      </w:r>
      <w:r>
        <w:rPr>
          <w:spacing w:val="55"/>
        </w:rPr>
        <w:t> </w:t>
      </w:r>
      <w:r>
        <w:rPr/>
        <w:t>Effects</w:t>
      </w:r>
      <w:r>
        <w:rPr>
          <w:spacing w:val="-1"/>
        </w:rPr>
        <w:t> </w:t>
      </w:r>
      <w:r>
        <w:rPr/>
        <w:t>of</w:t>
      </w:r>
      <w:r>
        <w:rPr>
          <w:spacing w:val="-5"/>
        </w:rPr>
        <w:t> </w:t>
      </w:r>
      <w:r>
        <w:rPr/>
        <w:t>detoxified</w:t>
      </w:r>
      <w:r>
        <w:rPr>
          <w:spacing w:val="2"/>
        </w:rPr>
        <w:t> </w:t>
      </w:r>
      <w:r>
        <w:rPr>
          <w:i/>
        </w:rPr>
        <w:t>J.</w:t>
      </w:r>
      <w:r>
        <w:rPr>
          <w:i/>
          <w:spacing w:val="3"/>
        </w:rPr>
        <w:t> </w:t>
      </w:r>
      <w:r>
        <w:rPr>
          <w:i/>
        </w:rPr>
        <w:t>curcas</w:t>
      </w:r>
      <w:r>
        <w:rPr>
          <w:i/>
          <w:spacing w:val="-1"/>
        </w:rPr>
        <w:t> </w:t>
      </w:r>
      <w:r>
        <w:rPr/>
        <w:t>oil</w:t>
      </w:r>
      <w:r>
        <w:rPr>
          <w:spacing w:val="-7"/>
        </w:rPr>
        <w:t> </w:t>
      </w:r>
      <w:r>
        <w:rPr/>
        <w:t>on</w:t>
      </w:r>
      <w:r>
        <w:rPr>
          <w:spacing w:val="-4"/>
        </w:rPr>
        <w:t> </w:t>
      </w:r>
      <w:r>
        <w:rPr/>
        <w:t>kidney</w:t>
      </w:r>
      <w:r>
        <w:rPr>
          <w:spacing w:val="-2"/>
        </w:rPr>
        <w:t> </w:t>
      </w:r>
      <w:r>
        <w:rPr/>
        <w:t>tissues</w:t>
      </w:r>
      <w:r>
        <w:rPr>
          <w:spacing w:val="-1"/>
        </w:rPr>
        <w:t> </w:t>
      </w:r>
      <w:r>
        <w:rPr/>
        <w:t>(125</w:t>
      </w:r>
      <w:r>
        <w:rPr>
          <w:spacing w:val="6"/>
        </w:rPr>
        <w:t> </w:t>
      </w:r>
      <w:r>
        <w:rPr>
          <w:spacing w:val="-2"/>
        </w:rPr>
        <w:t>mg/kg)</w:t>
      </w:r>
      <w:r>
        <w:rPr/>
        <w:tab/>
      </w:r>
      <w:r>
        <w:rPr>
          <w:spacing w:val="-5"/>
        </w:rPr>
        <w:t>66</w:t>
      </w:r>
    </w:p>
    <w:p>
      <w:pPr>
        <w:pStyle w:val="BodyText"/>
        <w:tabs>
          <w:tab w:pos="8176" w:val="left" w:leader="hyphen"/>
        </w:tabs>
        <w:spacing w:before="277"/>
        <w:ind w:left="253"/>
      </w:pPr>
      <w:r>
        <w:rPr/>
        <w:t>Plate</w:t>
      </w:r>
      <w:r>
        <w:rPr>
          <w:spacing w:val="-2"/>
        </w:rPr>
        <w:t> </w:t>
      </w:r>
      <w:r>
        <w:rPr/>
        <w:t>XIII:</w:t>
      </w:r>
      <w:r>
        <w:rPr>
          <w:spacing w:val="56"/>
        </w:rPr>
        <w:t> </w:t>
      </w:r>
      <w:r>
        <w:rPr/>
        <w:t>Normal</w:t>
      </w:r>
      <w:r>
        <w:rPr>
          <w:spacing w:val="-5"/>
        </w:rPr>
        <w:t> </w:t>
      </w:r>
      <w:r>
        <w:rPr/>
        <w:t>kidney</w:t>
      </w:r>
      <w:r>
        <w:rPr>
          <w:spacing w:val="-10"/>
        </w:rPr>
        <w:t> </w:t>
      </w:r>
      <w:r>
        <w:rPr/>
        <w:t>tissues</w:t>
      </w:r>
      <w:r>
        <w:rPr>
          <w:spacing w:val="-2"/>
        </w:rPr>
        <w:t> (control)</w:t>
      </w:r>
      <w:r>
        <w:rPr/>
        <w:tab/>
      </w:r>
      <w:r>
        <w:rPr>
          <w:spacing w:val="-5"/>
        </w:rPr>
        <w:t>67</w:t>
      </w:r>
    </w:p>
    <w:p>
      <w:pPr>
        <w:pStyle w:val="BodyText"/>
        <w:tabs>
          <w:tab w:pos="8176" w:val="left" w:leader="hyphen"/>
        </w:tabs>
        <w:spacing w:line="480" w:lineRule="auto" w:before="276"/>
        <w:ind w:left="253" w:right="801"/>
      </w:pPr>
      <w:r>
        <w:rPr/>
        <w:t>Plate</w:t>
      </w:r>
      <w:r>
        <w:rPr>
          <w:spacing w:val="-2"/>
        </w:rPr>
        <w:t> </w:t>
      </w:r>
      <w:r>
        <w:rPr/>
        <w:t>XIV:</w:t>
      </w:r>
      <w:r>
        <w:rPr>
          <w:spacing w:val="40"/>
        </w:rPr>
        <w:t> </w:t>
      </w:r>
      <w:r>
        <w:rPr/>
        <w:t>Effects</w:t>
      </w:r>
      <w:r>
        <w:rPr>
          <w:spacing w:val="-3"/>
        </w:rPr>
        <w:t> </w:t>
      </w:r>
      <w:r>
        <w:rPr/>
        <w:t>of</w:t>
      </w:r>
      <w:r>
        <w:rPr>
          <w:spacing w:val="-8"/>
        </w:rPr>
        <w:t> </w:t>
      </w:r>
      <w:r>
        <w:rPr/>
        <w:t>undetoxified </w:t>
      </w:r>
      <w:r>
        <w:rPr>
          <w:i/>
        </w:rPr>
        <w:t>J. curcas</w:t>
      </w:r>
      <w:r>
        <w:rPr>
          <w:i/>
          <w:spacing w:val="-3"/>
        </w:rPr>
        <w:t> </w:t>
      </w:r>
      <w:r>
        <w:rPr/>
        <w:t>oil</w:t>
      </w:r>
      <w:r>
        <w:rPr>
          <w:spacing w:val="-6"/>
        </w:rPr>
        <w:t> </w:t>
      </w:r>
      <w:r>
        <w:rPr/>
        <w:t>on</w:t>
      </w:r>
      <w:r>
        <w:rPr>
          <w:spacing w:val="-1"/>
        </w:rPr>
        <w:t> </w:t>
      </w:r>
      <w:r>
        <w:rPr/>
        <w:t>kidney</w:t>
      </w:r>
      <w:r>
        <w:rPr>
          <w:spacing w:val="-8"/>
        </w:rPr>
        <w:t> </w:t>
      </w:r>
      <w:r>
        <w:rPr/>
        <w:t>tissues</w:t>
      </w:r>
      <w:r>
        <w:rPr>
          <w:spacing w:val="-3"/>
        </w:rPr>
        <w:t> </w:t>
      </w:r>
      <w:r>
        <w:rPr/>
        <w:t>(250 mg/kg)-</w:t>
      </w:r>
      <w:r>
        <w:rPr>
          <w:spacing w:val="40"/>
        </w:rPr>
        <w:t>  </w:t>
      </w:r>
      <w:r>
        <w:rPr/>
        <w:t>67 Plate</w:t>
      </w:r>
      <w:r>
        <w:rPr>
          <w:spacing w:val="-2"/>
        </w:rPr>
        <w:t> </w:t>
      </w:r>
      <w:r>
        <w:rPr/>
        <w:t>XV:</w:t>
      </w:r>
      <w:r>
        <w:rPr>
          <w:spacing w:val="59"/>
        </w:rPr>
        <w:t> </w:t>
      </w:r>
      <w:r>
        <w:rPr/>
        <w:t>Effects</w:t>
      </w:r>
      <w:r>
        <w:rPr>
          <w:spacing w:val="-1"/>
        </w:rPr>
        <w:t> </w:t>
      </w:r>
      <w:r>
        <w:rPr/>
        <w:t>of</w:t>
      </w:r>
      <w:r>
        <w:rPr>
          <w:spacing w:val="-6"/>
        </w:rPr>
        <w:t> </w:t>
      </w:r>
      <w:r>
        <w:rPr/>
        <w:t>detoxified</w:t>
      </w:r>
      <w:r>
        <w:rPr>
          <w:spacing w:val="2"/>
        </w:rPr>
        <w:t> </w:t>
      </w:r>
      <w:r>
        <w:rPr>
          <w:i/>
        </w:rPr>
        <w:t>J.</w:t>
      </w:r>
      <w:r>
        <w:rPr>
          <w:i/>
          <w:spacing w:val="4"/>
        </w:rPr>
        <w:t> </w:t>
      </w:r>
      <w:r>
        <w:rPr>
          <w:i/>
        </w:rPr>
        <w:t>curcas</w:t>
      </w:r>
      <w:r>
        <w:rPr>
          <w:i/>
          <w:spacing w:val="-1"/>
        </w:rPr>
        <w:t> </w:t>
      </w:r>
      <w:r>
        <w:rPr/>
        <w:t>oil</w:t>
      </w:r>
      <w:r>
        <w:rPr>
          <w:spacing w:val="-8"/>
        </w:rPr>
        <w:t> </w:t>
      </w:r>
      <w:r>
        <w:rPr/>
        <w:t>on</w:t>
      </w:r>
      <w:r>
        <w:rPr>
          <w:spacing w:val="-4"/>
        </w:rPr>
        <w:t> </w:t>
      </w:r>
      <w:r>
        <w:rPr/>
        <w:t>kidney</w:t>
      </w:r>
      <w:r>
        <w:rPr>
          <w:spacing w:val="-2"/>
        </w:rPr>
        <w:t> </w:t>
      </w:r>
      <w:r>
        <w:rPr/>
        <w:t>tissues</w:t>
      </w:r>
      <w:r>
        <w:rPr>
          <w:spacing w:val="-1"/>
        </w:rPr>
        <w:t> </w:t>
      </w:r>
      <w:r>
        <w:rPr/>
        <w:t>(250</w:t>
      </w:r>
      <w:r>
        <w:rPr>
          <w:spacing w:val="6"/>
        </w:rPr>
        <w:t> </w:t>
      </w:r>
      <w:r>
        <w:rPr>
          <w:spacing w:val="-2"/>
        </w:rPr>
        <w:t>mg/kg)</w:t>
      </w:r>
      <w:r>
        <w:rPr/>
        <w:tab/>
      </w:r>
      <w:r>
        <w:rPr>
          <w:spacing w:val="-5"/>
        </w:rPr>
        <w:t>67</w:t>
      </w:r>
    </w:p>
    <w:p>
      <w:pPr>
        <w:pStyle w:val="BodyText"/>
        <w:tabs>
          <w:tab w:pos="8176" w:val="left" w:leader="hyphen"/>
        </w:tabs>
        <w:ind w:left="253"/>
      </w:pPr>
      <w:r>
        <w:rPr/>
        <w:t>Plate</w:t>
      </w:r>
      <w:r>
        <w:rPr>
          <w:spacing w:val="-1"/>
        </w:rPr>
        <w:t> </w:t>
      </w:r>
      <w:r>
        <w:rPr/>
        <w:t>XVI:</w:t>
      </w:r>
      <w:r>
        <w:rPr>
          <w:spacing w:val="2"/>
        </w:rPr>
        <w:t> </w:t>
      </w:r>
      <w:r>
        <w:rPr/>
        <w:t>Normal</w:t>
      </w:r>
      <w:r>
        <w:rPr>
          <w:spacing w:val="-8"/>
        </w:rPr>
        <w:t> </w:t>
      </w:r>
      <w:r>
        <w:rPr/>
        <w:t>kidney</w:t>
      </w:r>
      <w:r>
        <w:rPr>
          <w:spacing w:val="-9"/>
        </w:rPr>
        <w:t> </w:t>
      </w:r>
      <w:r>
        <w:rPr/>
        <w:t>tissues</w:t>
      </w:r>
      <w:r>
        <w:rPr>
          <w:spacing w:val="-1"/>
        </w:rPr>
        <w:t> </w:t>
      </w:r>
      <w:r>
        <w:rPr>
          <w:spacing w:val="-2"/>
        </w:rPr>
        <w:t>(control)</w:t>
      </w:r>
      <w:r>
        <w:rPr/>
        <w:tab/>
      </w:r>
      <w:r>
        <w:rPr>
          <w:spacing w:val="-5"/>
        </w:rPr>
        <w:t>68</w:t>
      </w:r>
    </w:p>
    <w:p>
      <w:pPr>
        <w:pStyle w:val="BodyText"/>
        <w:tabs>
          <w:tab w:pos="8176" w:val="left" w:leader="hyphen"/>
        </w:tabs>
        <w:spacing w:line="480" w:lineRule="auto" w:before="277"/>
        <w:ind w:left="253" w:right="801"/>
      </w:pPr>
      <w:r>
        <w:rPr/>
        <w:t>Plate</w:t>
      </w:r>
      <w:r>
        <w:rPr>
          <w:spacing w:val="-2"/>
        </w:rPr>
        <w:t> </w:t>
      </w:r>
      <w:r>
        <w:rPr/>
        <w:t>XVII:</w:t>
      </w:r>
      <w:r>
        <w:rPr>
          <w:spacing w:val="40"/>
        </w:rPr>
        <w:t> </w:t>
      </w:r>
      <w:r>
        <w:rPr/>
        <w:t>Effects</w:t>
      </w:r>
      <w:r>
        <w:rPr>
          <w:spacing w:val="-2"/>
        </w:rPr>
        <w:t> </w:t>
      </w:r>
      <w:r>
        <w:rPr/>
        <w:t>of</w:t>
      </w:r>
      <w:r>
        <w:rPr>
          <w:spacing w:val="-7"/>
        </w:rPr>
        <w:t> </w:t>
      </w:r>
      <w:r>
        <w:rPr/>
        <w:t>undetoxified </w:t>
      </w:r>
      <w:r>
        <w:rPr>
          <w:i/>
        </w:rPr>
        <w:t>J. curcas</w:t>
      </w:r>
      <w:r>
        <w:rPr>
          <w:i/>
          <w:spacing w:val="-2"/>
        </w:rPr>
        <w:t> </w:t>
      </w:r>
      <w:r>
        <w:rPr/>
        <w:t>oil</w:t>
      </w:r>
      <w:r>
        <w:rPr>
          <w:spacing w:val="-9"/>
        </w:rPr>
        <w:t> </w:t>
      </w:r>
      <w:r>
        <w:rPr/>
        <w:t>on</w:t>
      </w:r>
      <w:r>
        <w:rPr>
          <w:spacing w:val="-5"/>
        </w:rPr>
        <w:t> </w:t>
      </w:r>
      <w:r>
        <w:rPr/>
        <w:t>kidney</w:t>
      </w:r>
      <w:r>
        <w:rPr>
          <w:spacing w:val="-7"/>
        </w:rPr>
        <w:t> </w:t>
      </w:r>
      <w:r>
        <w:rPr/>
        <w:t>tissues</w:t>
      </w:r>
      <w:r>
        <w:rPr>
          <w:spacing w:val="-2"/>
        </w:rPr>
        <w:t> </w:t>
      </w:r>
      <w:r>
        <w:rPr/>
        <w:t>(500 mg/kg)-</w:t>
      </w:r>
      <w:r>
        <w:rPr>
          <w:spacing w:val="80"/>
          <w:w w:val="150"/>
        </w:rPr>
        <w:t> </w:t>
      </w:r>
      <w:r>
        <w:rPr/>
        <w:t>68 Plate</w:t>
      </w:r>
      <w:r>
        <w:rPr>
          <w:spacing w:val="-3"/>
        </w:rPr>
        <w:t> </w:t>
      </w:r>
      <w:r>
        <w:rPr/>
        <w:t>XVIII:</w:t>
      </w:r>
      <w:r>
        <w:rPr>
          <w:spacing w:val="59"/>
        </w:rPr>
        <w:t> </w:t>
      </w:r>
      <w:r>
        <w:rPr/>
        <w:t>Effects</w:t>
      </w:r>
      <w:r>
        <w:rPr>
          <w:spacing w:val="-1"/>
        </w:rPr>
        <w:t> </w:t>
      </w:r>
      <w:r>
        <w:rPr/>
        <w:t>of</w:t>
      </w:r>
      <w:r>
        <w:rPr>
          <w:spacing w:val="-7"/>
        </w:rPr>
        <w:t> </w:t>
      </w:r>
      <w:r>
        <w:rPr/>
        <w:t>detoxified</w:t>
      </w:r>
      <w:r>
        <w:rPr>
          <w:spacing w:val="2"/>
        </w:rPr>
        <w:t> </w:t>
      </w:r>
      <w:r>
        <w:rPr>
          <w:i/>
        </w:rPr>
        <w:t>J.</w:t>
      </w:r>
      <w:r>
        <w:rPr>
          <w:i/>
          <w:spacing w:val="2"/>
        </w:rPr>
        <w:t> </w:t>
      </w:r>
      <w:r>
        <w:rPr>
          <w:i/>
        </w:rPr>
        <w:t>curcas</w:t>
      </w:r>
      <w:r>
        <w:rPr>
          <w:i/>
          <w:spacing w:val="-1"/>
        </w:rPr>
        <w:t> </w:t>
      </w:r>
      <w:r>
        <w:rPr/>
        <w:t>oil</w:t>
      </w:r>
      <w:r>
        <w:rPr>
          <w:spacing w:val="-9"/>
        </w:rPr>
        <w:t> </w:t>
      </w:r>
      <w:r>
        <w:rPr/>
        <w:t>on</w:t>
      </w:r>
      <w:r>
        <w:rPr>
          <w:spacing w:val="1"/>
        </w:rPr>
        <w:t> </w:t>
      </w:r>
      <w:r>
        <w:rPr/>
        <w:t>kidney</w:t>
      </w:r>
      <w:r>
        <w:rPr>
          <w:spacing w:val="-3"/>
        </w:rPr>
        <w:t> </w:t>
      </w:r>
      <w:r>
        <w:rPr/>
        <w:t>tissues</w:t>
      </w:r>
      <w:r>
        <w:rPr>
          <w:spacing w:val="-1"/>
        </w:rPr>
        <w:t> </w:t>
      </w:r>
      <w:r>
        <w:rPr/>
        <w:t>(500</w:t>
      </w:r>
      <w:r>
        <w:rPr>
          <w:spacing w:val="1"/>
        </w:rPr>
        <w:t> </w:t>
      </w:r>
      <w:r>
        <w:rPr>
          <w:spacing w:val="-2"/>
        </w:rPr>
        <w:t>mg/kg)</w:t>
      </w:r>
      <w:r>
        <w:rPr/>
        <w:tab/>
      </w:r>
      <w:r>
        <w:rPr>
          <w:spacing w:val="-5"/>
        </w:rPr>
        <w:t>68</w:t>
      </w:r>
    </w:p>
    <w:p>
      <w:pPr>
        <w:pStyle w:val="BodyText"/>
        <w:tabs>
          <w:tab w:pos="8176" w:val="left" w:leader="hyphen"/>
        </w:tabs>
        <w:ind w:left="253"/>
      </w:pPr>
      <w:r>
        <w:rPr/>
        <w:t>Plate</w:t>
      </w:r>
      <w:r>
        <w:rPr>
          <w:spacing w:val="-2"/>
        </w:rPr>
        <w:t> </w:t>
      </w:r>
      <w:r>
        <w:rPr/>
        <w:t>XIX:</w:t>
      </w:r>
      <w:r>
        <w:rPr>
          <w:spacing w:val="57"/>
        </w:rPr>
        <w:t> </w:t>
      </w:r>
      <w:r>
        <w:rPr/>
        <w:t>Normal</w:t>
      </w:r>
      <w:r>
        <w:rPr>
          <w:spacing w:val="-5"/>
        </w:rPr>
        <w:t> </w:t>
      </w:r>
      <w:r>
        <w:rPr/>
        <w:t>GIT</w:t>
      </w:r>
      <w:r>
        <w:rPr>
          <w:spacing w:val="-2"/>
        </w:rPr>
        <w:t> </w:t>
      </w:r>
      <w:r>
        <w:rPr/>
        <w:t>tissues</w:t>
      </w:r>
      <w:r>
        <w:rPr>
          <w:spacing w:val="-2"/>
        </w:rPr>
        <w:t> (control)</w:t>
      </w:r>
      <w:r>
        <w:rPr/>
        <w:tab/>
      </w:r>
      <w:r>
        <w:rPr>
          <w:spacing w:val="-5"/>
        </w:rPr>
        <w:t>69</w:t>
      </w:r>
    </w:p>
    <w:p>
      <w:pPr>
        <w:pStyle w:val="BodyText"/>
        <w:tabs>
          <w:tab w:pos="8176" w:val="left" w:leader="hyphen"/>
        </w:tabs>
        <w:spacing w:before="276"/>
        <w:ind w:left="253"/>
      </w:pPr>
      <w:r>
        <w:rPr/>
        <w:t>Plate</w:t>
      </w:r>
      <w:r>
        <w:rPr>
          <w:spacing w:val="-1"/>
        </w:rPr>
        <w:t> </w:t>
      </w:r>
      <w:r>
        <w:rPr/>
        <w:t>XX:</w:t>
      </w:r>
      <w:r>
        <w:rPr>
          <w:spacing w:val="58"/>
        </w:rPr>
        <w:t> </w:t>
      </w:r>
      <w:r>
        <w:rPr/>
        <w:t>Effects</w:t>
      </w:r>
      <w:r>
        <w:rPr>
          <w:spacing w:val="-1"/>
        </w:rPr>
        <w:t> </w:t>
      </w:r>
      <w:r>
        <w:rPr/>
        <w:t>of</w:t>
      </w:r>
      <w:r>
        <w:rPr>
          <w:spacing w:val="-7"/>
        </w:rPr>
        <w:t> </w:t>
      </w:r>
      <w:r>
        <w:rPr/>
        <w:t>undetoxified</w:t>
      </w:r>
      <w:r>
        <w:rPr>
          <w:spacing w:val="2"/>
        </w:rPr>
        <w:t> </w:t>
      </w:r>
      <w:r>
        <w:rPr>
          <w:i/>
        </w:rPr>
        <w:t>J.</w:t>
      </w:r>
      <w:r>
        <w:rPr>
          <w:i/>
          <w:spacing w:val="2"/>
        </w:rPr>
        <w:t> </w:t>
      </w:r>
      <w:r>
        <w:rPr>
          <w:i/>
        </w:rPr>
        <w:t>curcas</w:t>
      </w:r>
      <w:r>
        <w:rPr>
          <w:i/>
          <w:spacing w:val="-1"/>
        </w:rPr>
        <w:t> </w:t>
      </w:r>
      <w:r>
        <w:rPr/>
        <w:t>oil</w:t>
      </w:r>
      <w:r>
        <w:rPr>
          <w:spacing w:val="-8"/>
        </w:rPr>
        <w:t> </w:t>
      </w:r>
      <w:r>
        <w:rPr/>
        <w:t>on GIT tissues</w:t>
      </w:r>
      <w:r>
        <w:rPr>
          <w:spacing w:val="-2"/>
        </w:rPr>
        <w:t> </w:t>
      </w:r>
      <w:r>
        <w:rPr/>
        <w:t>(125</w:t>
      </w:r>
      <w:r>
        <w:rPr>
          <w:spacing w:val="5"/>
        </w:rPr>
        <w:t> </w:t>
      </w:r>
      <w:r>
        <w:rPr>
          <w:spacing w:val="-2"/>
        </w:rPr>
        <w:t>mg/kg)</w:t>
      </w:r>
      <w:r>
        <w:rPr/>
        <w:tab/>
      </w:r>
      <w:r>
        <w:rPr>
          <w:spacing w:val="-5"/>
        </w:rPr>
        <w:t>69</w:t>
      </w:r>
    </w:p>
    <w:p>
      <w:pPr>
        <w:pStyle w:val="BodyText"/>
        <w:tabs>
          <w:tab w:pos="8176" w:val="left" w:leader="hyphen"/>
        </w:tabs>
        <w:spacing w:before="276"/>
        <w:ind w:left="253"/>
      </w:pPr>
      <w:r>
        <w:rPr/>
        <w:t>Plate</w:t>
      </w:r>
      <w:r>
        <w:rPr>
          <w:spacing w:val="-3"/>
        </w:rPr>
        <w:t> </w:t>
      </w:r>
      <w:r>
        <w:rPr/>
        <w:t>XXI:</w:t>
      </w:r>
      <w:r>
        <w:rPr>
          <w:spacing w:val="58"/>
        </w:rPr>
        <w:t> </w:t>
      </w:r>
      <w:r>
        <w:rPr/>
        <w:t>Effects</w:t>
      </w:r>
      <w:r>
        <w:rPr>
          <w:spacing w:val="-2"/>
        </w:rPr>
        <w:t> </w:t>
      </w:r>
      <w:r>
        <w:rPr/>
        <w:t>of</w:t>
      </w:r>
      <w:r>
        <w:rPr>
          <w:spacing w:val="-6"/>
        </w:rPr>
        <w:t> </w:t>
      </w:r>
      <w:r>
        <w:rPr/>
        <w:t>detoxified</w:t>
      </w:r>
      <w:r>
        <w:rPr>
          <w:spacing w:val="1"/>
        </w:rPr>
        <w:t> </w:t>
      </w:r>
      <w:r>
        <w:rPr>
          <w:i/>
        </w:rPr>
        <w:t>J.</w:t>
      </w:r>
      <w:r>
        <w:rPr>
          <w:i/>
          <w:spacing w:val="2"/>
        </w:rPr>
        <w:t> </w:t>
      </w:r>
      <w:r>
        <w:rPr>
          <w:i/>
        </w:rPr>
        <w:t>curcas</w:t>
      </w:r>
      <w:r>
        <w:rPr>
          <w:i/>
          <w:spacing w:val="-1"/>
        </w:rPr>
        <w:t> </w:t>
      </w:r>
      <w:r>
        <w:rPr/>
        <w:t>oil</w:t>
      </w:r>
      <w:r>
        <w:rPr>
          <w:spacing w:val="-5"/>
        </w:rPr>
        <w:t> </w:t>
      </w:r>
      <w:r>
        <w:rPr/>
        <w:t>on</w:t>
      </w:r>
      <w:r>
        <w:rPr>
          <w:spacing w:val="-4"/>
        </w:rPr>
        <w:t> </w:t>
      </w:r>
      <w:r>
        <w:rPr/>
        <w:t>GIT</w:t>
      </w:r>
      <w:r>
        <w:rPr>
          <w:spacing w:val="-1"/>
        </w:rPr>
        <w:t> </w:t>
      </w:r>
      <w:r>
        <w:rPr/>
        <w:t>tissues</w:t>
      </w:r>
      <w:r>
        <w:rPr>
          <w:spacing w:val="-2"/>
        </w:rPr>
        <w:t> </w:t>
      </w:r>
      <w:r>
        <w:rPr/>
        <w:t>(125</w:t>
      </w:r>
      <w:r>
        <w:rPr>
          <w:spacing w:val="5"/>
        </w:rPr>
        <w:t> </w:t>
      </w:r>
      <w:r>
        <w:rPr>
          <w:spacing w:val="-2"/>
        </w:rPr>
        <w:t>mg/kg)</w:t>
      </w:r>
      <w:r>
        <w:rPr/>
        <w:tab/>
      </w:r>
      <w:r>
        <w:rPr>
          <w:spacing w:val="-5"/>
        </w:rPr>
        <w:t>69</w:t>
      </w:r>
    </w:p>
    <w:p>
      <w:pPr>
        <w:pStyle w:val="BodyText"/>
        <w:tabs>
          <w:tab w:pos="8176" w:val="left" w:leader="hyphen"/>
        </w:tabs>
        <w:spacing w:before="276"/>
        <w:ind w:left="253"/>
      </w:pPr>
      <w:r>
        <w:rPr/>
        <w:t>Plate</w:t>
      </w:r>
      <w:r>
        <w:rPr>
          <w:spacing w:val="-2"/>
        </w:rPr>
        <w:t> </w:t>
      </w:r>
      <w:r>
        <w:rPr/>
        <w:t>XXII:</w:t>
      </w:r>
      <w:r>
        <w:rPr>
          <w:spacing w:val="55"/>
        </w:rPr>
        <w:t> </w:t>
      </w:r>
      <w:r>
        <w:rPr/>
        <w:t>Normal</w:t>
      </w:r>
      <w:r>
        <w:rPr>
          <w:spacing w:val="-9"/>
        </w:rPr>
        <w:t> </w:t>
      </w:r>
      <w:r>
        <w:rPr/>
        <w:t>GIT</w:t>
      </w:r>
      <w:r>
        <w:rPr>
          <w:spacing w:val="1"/>
        </w:rPr>
        <w:t> </w:t>
      </w:r>
      <w:r>
        <w:rPr/>
        <w:t>tissues</w:t>
      </w:r>
      <w:r>
        <w:rPr>
          <w:spacing w:val="-2"/>
        </w:rPr>
        <w:t> (control)</w:t>
      </w:r>
      <w:r>
        <w:rPr/>
        <w:tab/>
      </w:r>
      <w:r>
        <w:rPr>
          <w:spacing w:val="-5"/>
        </w:rPr>
        <w:t>70</w:t>
      </w:r>
    </w:p>
    <w:p>
      <w:pPr>
        <w:spacing w:after="0"/>
        <w:sectPr>
          <w:pgSz w:w="12240" w:h="15840"/>
          <w:pgMar w:header="0" w:footer="1012" w:top="1340" w:bottom="1200" w:left="1720" w:right="1300"/>
        </w:sectPr>
      </w:pPr>
    </w:p>
    <w:p>
      <w:pPr>
        <w:pStyle w:val="BodyText"/>
        <w:tabs>
          <w:tab w:pos="8416" w:val="right" w:leader="hyphen"/>
        </w:tabs>
        <w:spacing w:before="63"/>
        <w:ind w:left="253"/>
      </w:pPr>
      <w:r>
        <w:rPr/>
        <w:t>Plate</w:t>
      </w:r>
      <w:r>
        <w:rPr>
          <w:spacing w:val="-3"/>
        </w:rPr>
        <w:t> </w:t>
      </w:r>
      <w:r>
        <w:rPr/>
        <w:t>XXIII:</w:t>
      </w:r>
      <w:r>
        <w:rPr>
          <w:spacing w:val="60"/>
        </w:rPr>
        <w:t> </w:t>
      </w:r>
      <w:r>
        <w:rPr/>
        <w:t>Effects</w:t>
      </w:r>
      <w:r>
        <w:rPr>
          <w:spacing w:val="-1"/>
        </w:rPr>
        <w:t> </w:t>
      </w:r>
      <w:r>
        <w:rPr/>
        <w:t>of</w:t>
      </w:r>
      <w:r>
        <w:rPr>
          <w:spacing w:val="-7"/>
        </w:rPr>
        <w:t> </w:t>
      </w:r>
      <w:r>
        <w:rPr/>
        <w:t>undetoxified</w:t>
      </w:r>
      <w:r>
        <w:rPr>
          <w:spacing w:val="2"/>
        </w:rPr>
        <w:t> </w:t>
      </w:r>
      <w:r>
        <w:rPr>
          <w:i/>
        </w:rPr>
        <w:t>J.</w:t>
      </w:r>
      <w:r>
        <w:rPr>
          <w:i/>
          <w:spacing w:val="3"/>
        </w:rPr>
        <w:t> </w:t>
      </w:r>
      <w:r>
        <w:rPr>
          <w:i/>
        </w:rPr>
        <w:t>curcas</w:t>
      </w:r>
      <w:r>
        <w:rPr>
          <w:i/>
          <w:spacing w:val="-1"/>
        </w:rPr>
        <w:t> </w:t>
      </w:r>
      <w:r>
        <w:rPr/>
        <w:t>oil</w:t>
      </w:r>
      <w:r>
        <w:rPr>
          <w:spacing w:val="-5"/>
        </w:rPr>
        <w:t> </w:t>
      </w:r>
      <w:r>
        <w:rPr/>
        <w:t>on</w:t>
      </w:r>
      <w:r>
        <w:rPr>
          <w:spacing w:val="-4"/>
        </w:rPr>
        <w:t> </w:t>
      </w:r>
      <w:r>
        <w:rPr/>
        <w:t>GIT</w:t>
      </w:r>
      <w:r>
        <w:rPr>
          <w:spacing w:val="-5"/>
        </w:rPr>
        <w:t> </w:t>
      </w:r>
      <w:r>
        <w:rPr/>
        <w:t>tissues</w:t>
      </w:r>
      <w:r>
        <w:rPr>
          <w:spacing w:val="-1"/>
        </w:rPr>
        <w:t> </w:t>
      </w:r>
      <w:r>
        <w:rPr/>
        <w:t>(250</w:t>
      </w:r>
      <w:r>
        <w:rPr>
          <w:spacing w:val="1"/>
        </w:rPr>
        <w:t> </w:t>
      </w:r>
      <w:r>
        <w:rPr>
          <w:spacing w:val="-2"/>
        </w:rPr>
        <w:t>mg/kg)</w:t>
      </w:r>
      <w:r>
        <w:rPr/>
        <w:tab/>
      </w:r>
      <w:r>
        <w:rPr>
          <w:spacing w:val="-5"/>
        </w:rPr>
        <w:t>70</w:t>
      </w:r>
    </w:p>
    <w:p>
      <w:pPr>
        <w:pStyle w:val="BodyText"/>
        <w:tabs>
          <w:tab w:pos="8416" w:val="right" w:leader="hyphen"/>
        </w:tabs>
        <w:spacing w:before="276"/>
        <w:ind w:left="253"/>
      </w:pPr>
      <w:r>
        <w:rPr/>
        <w:t>Plate</w:t>
      </w:r>
      <w:r>
        <w:rPr>
          <w:spacing w:val="-3"/>
        </w:rPr>
        <w:t> </w:t>
      </w:r>
      <w:r>
        <w:rPr/>
        <w:t>XXIV:</w:t>
      </w:r>
      <w:r>
        <w:rPr>
          <w:spacing w:val="59"/>
        </w:rPr>
        <w:t> </w:t>
      </w:r>
      <w:r>
        <w:rPr/>
        <w:t>Effects</w:t>
      </w:r>
      <w:r>
        <w:rPr>
          <w:spacing w:val="-5"/>
        </w:rPr>
        <w:t> </w:t>
      </w:r>
      <w:r>
        <w:rPr/>
        <w:t>of</w:t>
      </w:r>
      <w:r>
        <w:rPr>
          <w:spacing w:val="-6"/>
        </w:rPr>
        <w:t> </w:t>
      </w:r>
      <w:r>
        <w:rPr/>
        <w:t>detoxified</w:t>
      </w:r>
      <w:r>
        <w:rPr>
          <w:spacing w:val="2"/>
        </w:rPr>
        <w:t> </w:t>
      </w:r>
      <w:r>
        <w:rPr>
          <w:i/>
        </w:rPr>
        <w:t>J.</w:t>
      </w:r>
      <w:r>
        <w:rPr>
          <w:i/>
          <w:spacing w:val="2"/>
        </w:rPr>
        <w:t> </w:t>
      </w:r>
      <w:r>
        <w:rPr>
          <w:i/>
        </w:rPr>
        <w:t>curcas</w:t>
      </w:r>
      <w:r>
        <w:rPr>
          <w:i/>
          <w:spacing w:val="-1"/>
        </w:rPr>
        <w:t> </w:t>
      </w:r>
      <w:r>
        <w:rPr/>
        <w:t>oil</w:t>
      </w:r>
      <w:r>
        <w:rPr>
          <w:spacing w:val="-7"/>
        </w:rPr>
        <w:t> </w:t>
      </w:r>
      <w:r>
        <w:rPr/>
        <w:t>on</w:t>
      </w:r>
      <w:r>
        <w:rPr>
          <w:spacing w:val="-4"/>
        </w:rPr>
        <w:t> </w:t>
      </w:r>
      <w:r>
        <w:rPr/>
        <w:t>GIT tissues</w:t>
      </w:r>
      <w:r>
        <w:rPr>
          <w:spacing w:val="-1"/>
        </w:rPr>
        <w:t> </w:t>
      </w:r>
      <w:r>
        <w:rPr/>
        <w:t>(250</w:t>
      </w:r>
      <w:r>
        <w:rPr>
          <w:spacing w:val="5"/>
        </w:rPr>
        <w:t> </w:t>
      </w:r>
      <w:r>
        <w:rPr>
          <w:spacing w:val="-2"/>
        </w:rPr>
        <w:t>mg/kg)</w:t>
      </w:r>
      <w:r>
        <w:rPr/>
        <w:tab/>
      </w:r>
      <w:r>
        <w:rPr>
          <w:spacing w:val="-5"/>
        </w:rPr>
        <w:t>70</w:t>
      </w:r>
    </w:p>
    <w:p>
      <w:pPr>
        <w:pStyle w:val="BodyText"/>
        <w:tabs>
          <w:tab w:pos="8416" w:val="right" w:leader="hyphen"/>
        </w:tabs>
        <w:spacing w:before="277"/>
        <w:ind w:left="253"/>
      </w:pPr>
      <w:r>
        <w:rPr/>
        <w:t>Plate</w:t>
      </w:r>
      <w:r>
        <w:rPr>
          <w:spacing w:val="-3"/>
        </w:rPr>
        <w:t> </w:t>
      </w:r>
      <w:r>
        <w:rPr/>
        <w:t>XXV:</w:t>
      </w:r>
      <w:r>
        <w:rPr>
          <w:spacing w:val="57"/>
        </w:rPr>
        <w:t> </w:t>
      </w:r>
      <w:r>
        <w:rPr/>
        <w:t>Normal</w:t>
      </w:r>
      <w:r>
        <w:rPr>
          <w:spacing w:val="-7"/>
        </w:rPr>
        <w:t> </w:t>
      </w:r>
      <w:r>
        <w:rPr/>
        <w:t>GIT tissues</w:t>
      </w:r>
      <w:r>
        <w:rPr>
          <w:spacing w:val="1"/>
        </w:rPr>
        <w:t> </w:t>
      </w:r>
      <w:r>
        <w:rPr>
          <w:spacing w:val="-2"/>
        </w:rPr>
        <w:t>(control)</w:t>
      </w:r>
      <w:r>
        <w:rPr/>
        <w:tab/>
      </w:r>
      <w:r>
        <w:rPr>
          <w:spacing w:val="-5"/>
        </w:rPr>
        <w:t>71</w:t>
      </w:r>
    </w:p>
    <w:p>
      <w:pPr>
        <w:pStyle w:val="BodyText"/>
        <w:tabs>
          <w:tab w:pos="8416" w:val="right" w:leader="hyphen"/>
        </w:tabs>
        <w:spacing w:before="276"/>
        <w:ind w:left="253"/>
      </w:pPr>
      <w:r>
        <w:rPr/>
        <w:t>Plate</w:t>
      </w:r>
      <w:r>
        <w:rPr>
          <w:spacing w:val="-2"/>
        </w:rPr>
        <w:t> </w:t>
      </w:r>
      <w:r>
        <w:rPr/>
        <w:t>XXVI:</w:t>
      </w:r>
      <w:r>
        <w:rPr>
          <w:spacing w:val="59"/>
        </w:rPr>
        <w:t> </w:t>
      </w:r>
      <w:r>
        <w:rPr/>
        <w:t>Effects</w:t>
      </w:r>
      <w:r>
        <w:rPr>
          <w:spacing w:val="-6"/>
        </w:rPr>
        <w:t> </w:t>
      </w:r>
      <w:r>
        <w:rPr/>
        <w:t>of</w:t>
      </w:r>
      <w:r>
        <w:rPr>
          <w:spacing w:val="-5"/>
        </w:rPr>
        <w:t> </w:t>
      </w:r>
      <w:r>
        <w:rPr/>
        <w:t>undetoxified</w:t>
      </w:r>
      <w:r>
        <w:rPr>
          <w:spacing w:val="3"/>
        </w:rPr>
        <w:t> </w:t>
      </w:r>
      <w:r>
        <w:rPr>
          <w:i/>
        </w:rPr>
        <w:t>J.</w:t>
      </w:r>
      <w:r>
        <w:rPr>
          <w:i/>
          <w:spacing w:val="3"/>
        </w:rPr>
        <w:t> </w:t>
      </w:r>
      <w:r>
        <w:rPr>
          <w:i/>
        </w:rPr>
        <w:t>curcas</w:t>
      </w:r>
      <w:r>
        <w:rPr>
          <w:i/>
          <w:spacing w:val="-1"/>
        </w:rPr>
        <w:t> </w:t>
      </w:r>
      <w:r>
        <w:rPr/>
        <w:t>oil</w:t>
      </w:r>
      <w:r>
        <w:rPr>
          <w:spacing w:val="-3"/>
        </w:rPr>
        <w:t> </w:t>
      </w:r>
      <w:r>
        <w:rPr/>
        <w:t>on</w:t>
      </w:r>
      <w:r>
        <w:rPr>
          <w:spacing w:val="-4"/>
        </w:rPr>
        <w:t> </w:t>
      </w:r>
      <w:r>
        <w:rPr/>
        <w:t>GIT</w:t>
      </w:r>
      <w:r>
        <w:rPr>
          <w:spacing w:val="-5"/>
        </w:rPr>
        <w:t> </w:t>
      </w:r>
      <w:r>
        <w:rPr/>
        <w:t>tissues</w:t>
      </w:r>
      <w:r>
        <w:rPr>
          <w:spacing w:val="-1"/>
        </w:rPr>
        <w:t> </w:t>
      </w:r>
      <w:r>
        <w:rPr/>
        <w:t>(500</w:t>
      </w:r>
      <w:r>
        <w:rPr>
          <w:spacing w:val="2"/>
        </w:rPr>
        <w:t> </w:t>
      </w:r>
      <w:r>
        <w:rPr>
          <w:spacing w:val="-2"/>
        </w:rPr>
        <w:t>mg/kg)</w:t>
      </w:r>
      <w:r>
        <w:rPr/>
        <w:tab/>
      </w:r>
      <w:r>
        <w:rPr>
          <w:spacing w:val="-5"/>
        </w:rPr>
        <w:t>71</w:t>
      </w:r>
    </w:p>
    <w:p>
      <w:pPr>
        <w:pStyle w:val="BodyText"/>
        <w:tabs>
          <w:tab w:pos="8416" w:val="right" w:leader="hyphen"/>
        </w:tabs>
        <w:spacing w:before="276"/>
        <w:ind w:left="253"/>
      </w:pPr>
      <w:r>
        <w:rPr/>
        <w:t>Plate</w:t>
      </w:r>
      <w:r>
        <w:rPr>
          <w:spacing w:val="-2"/>
        </w:rPr>
        <w:t> </w:t>
      </w:r>
      <w:r>
        <w:rPr/>
        <w:t>XXVII:</w:t>
      </w:r>
      <w:r>
        <w:rPr>
          <w:spacing w:val="55"/>
        </w:rPr>
        <w:t> </w:t>
      </w:r>
      <w:r>
        <w:rPr/>
        <w:t>Effects</w:t>
      </w:r>
      <w:r>
        <w:rPr>
          <w:spacing w:val="-1"/>
        </w:rPr>
        <w:t> </w:t>
      </w:r>
      <w:r>
        <w:rPr/>
        <w:t>of</w:t>
      </w:r>
      <w:r>
        <w:rPr>
          <w:spacing w:val="-6"/>
        </w:rPr>
        <w:t> </w:t>
      </w:r>
      <w:r>
        <w:rPr/>
        <w:t>detoxified</w:t>
      </w:r>
      <w:r>
        <w:rPr>
          <w:spacing w:val="2"/>
        </w:rPr>
        <w:t> </w:t>
      </w:r>
      <w:r>
        <w:rPr>
          <w:i/>
        </w:rPr>
        <w:t>J.</w:t>
      </w:r>
      <w:r>
        <w:rPr>
          <w:i/>
          <w:spacing w:val="3"/>
        </w:rPr>
        <w:t> </w:t>
      </w:r>
      <w:r>
        <w:rPr>
          <w:i/>
        </w:rPr>
        <w:t>curcas</w:t>
      </w:r>
      <w:r>
        <w:rPr>
          <w:i/>
          <w:spacing w:val="-1"/>
        </w:rPr>
        <w:t> </w:t>
      </w:r>
      <w:r>
        <w:rPr/>
        <w:t>oil</w:t>
      </w:r>
      <w:r>
        <w:rPr>
          <w:spacing w:val="-4"/>
        </w:rPr>
        <w:t> </w:t>
      </w:r>
      <w:r>
        <w:rPr/>
        <w:t>on</w:t>
      </w:r>
      <w:r>
        <w:rPr>
          <w:spacing w:val="-4"/>
        </w:rPr>
        <w:t> </w:t>
      </w:r>
      <w:r>
        <w:rPr/>
        <w:t>GIT tissues</w:t>
      </w:r>
      <w:r>
        <w:rPr>
          <w:spacing w:val="-1"/>
        </w:rPr>
        <w:t> </w:t>
      </w:r>
      <w:r>
        <w:rPr/>
        <w:t>(500</w:t>
      </w:r>
      <w:r>
        <w:rPr>
          <w:spacing w:val="2"/>
        </w:rPr>
        <w:t> </w:t>
      </w:r>
      <w:r>
        <w:rPr>
          <w:spacing w:val="-2"/>
        </w:rPr>
        <w:t>mg/kg)</w:t>
      </w:r>
      <w:r>
        <w:rPr/>
        <w:tab/>
      </w:r>
      <w:r>
        <w:rPr>
          <w:spacing w:val="-5"/>
        </w:rPr>
        <w:t>71</w:t>
      </w:r>
    </w:p>
    <w:p>
      <w:pPr>
        <w:spacing w:after="0"/>
        <w:sectPr>
          <w:pgSz w:w="12240" w:h="15840"/>
          <w:pgMar w:header="0" w:footer="1012" w:top="1340" w:bottom="1200" w:left="1720" w:right="1300"/>
        </w:sectPr>
      </w:pPr>
    </w:p>
    <w:p>
      <w:pPr>
        <w:pStyle w:val="Heading1"/>
        <w:spacing w:before="68"/>
        <w:ind w:left="135" w:right="0"/>
      </w:pPr>
      <w:r>
        <w:rPr/>
        <w:t>LIST</w:t>
      </w:r>
      <w:r>
        <w:rPr>
          <w:spacing w:val="-3"/>
        </w:rPr>
        <w:t> </w:t>
      </w:r>
      <w:r>
        <w:rPr/>
        <w:t>OF</w:t>
      </w:r>
      <w:r>
        <w:rPr>
          <w:spacing w:val="-2"/>
        </w:rPr>
        <w:t> APPENDICES</w:t>
      </w:r>
    </w:p>
    <w:p>
      <w:pPr>
        <w:pStyle w:val="BodyText"/>
        <w:tabs>
          <w:tab w:pos="8598" w:val="left" w:leader="none"/>
        </w:tabs>
        <w:spacing w:before="545"/>
        <w:ind w:left="253"/>
      </w:pPr>
      <w:r>
        <w:rPr>
          <w:spacing w:val="-2"/>
        </w:rPr>
        <w:t>Appendix</w:t>
      </w:r>
      <w:r>
        <w:rPr/>
        <w:tab/>
      </w:r>
      <w:r>
        <w:rPr>
          <w:spacing w:val="-4"/>
        </w:rPr>
        <w:t>Page</w:t>
      </w:r>
    </w:p>
    <w:p>
      <w:pPr>
        <w:pStyle w:val="BodyText"/>
        <w:tabs>
          <w:tab w:pos="1694" w:val="left" w:leader="none"/>
        </w:tabs>
        <w:spacing w:before="555"/>
        <w:ind w:left="253"/>
      </w:pPr>
      <w:r>
        <w:rPr/>
        <w:t>Appendix</w:t>
      </w:r>
      <w:r>
        <w:rPr>
          <w:spacing w:val="-7"/>
        </w:rPr>
        <w:t> </w:t>
      </w:r>
      <w:r>
        <w:rPr>
          <w:spacing w:val="-5"/>
        </w:rPr>
        <w:t>1:</w:t>
      </w:r>
      <w:r>
        <w:rPr/>
        <w:tab/>
        <w:t>Table</w:t>
      </w:r>
      <w:r>
        <w:rPr>
          <w:spacing w:val="-2"/>
        </w:rPr>
        <w:t> </w:t>
      </w:r>
      <w:r>
        <w:rPr/>
        <w:t>of</w:t>
      </w:r>
      <w:r>
        <w:rPr>
          <w:spacing w:val="-9"/>
        </w:rPr>
        <w:t> </w:t>
      </w:r>
      <w:r>
        <w:rPr/>
        <w:t>doses</w:t>
      </w:r>
      <w:r>
        <w:rPr>
          <w:spacing w:val="1"/>
        </w:rPr>
        <w:t> </w:t>
      </w:r>
      <w:r>
        <w:rPr/>
        <w:t>for first</w:t>
      </w:r>
      <w:r>
        <w:rPr>
          <w:spacing w:val="4"/>
        </w:rPr>
        <w:t> </w:t>
      </w:r>
      <w:r>
        <w:rPr/>
        <w:t>and</w:t>
      </w:r>
      <w:r>
        <w:rPr>
          <w:spacing w:val="-1"/>
        </w:rPr>
        <w:t> </w:t>
      </w:r>
      <w:r>
        <w:rPr/>
        <w:t>second</w:t>
      </w:r>
      <w:r>
        <w:rPr>
          <w:spacing w:val="-1"/>
        </w:rPr>
        <w:t> </w:t>
      </w:r>
      <w:r>
        <w:rPr/>
        <w:t>phases</w:t>
      </w:r>
      <w:r>
        <w:rPr>
          <w:spacing w:val="-3"/>
        </w:rPr>
        <w:t> </w:t>
      </w:r>
      <w:r>
        <w:rPr/>
        <w:t>of</w:t>
      </w:r>
      <w:r>
        <w:rPr>
          <w:spacing w:val="-9"/>
        </w:rPr>
        <w:t> </w:t>
      </w:r>
      <w:r>
        <w:rPr/>
        <w:t>LD</w:t>
      </w:r>
      <w:r>
        <w:rPr>
          <w:vertAlign w:val="subscript"/>
        </w:rPr>
        <w:t>50</w:t>
      </w:r>
      <w:r>
        <w:rPr>
          <w:spacing w:val="1"/>
          <w:vertAlign w:val="baseline"/>
        </w:rPr>
        <w:t> </w:t>
      </w:r>
      <w:r>
        <w:rPr>
          <w:spacing w:val="-2"/>
          <w:vertAlign w:val="baseline"/>
        </w:rPr>
        <w:t>determination</w:t>
      </w:r>
    </w:p>
    <w:p>
      <w:pPr>
        <w:pStyle w:val="BodyText"/>
        <w:tabs>
          <w:tab w:pos="8699" w:val="left" w:leader="none"/>
        </w:tabs>
        <w:spacing w:before="137"/>
        <w:ind w:left="1756"/>
      </w:pPr>
      <w:r>
        <w:rPr/>
        <mc:AlternateContent>
          <mc:Choice Requires="wps">
            <w:drawing>
              <wp:anchor distT="0" distB="0" distL="0" distR="0" allowOverlap="1" layoutInCell="1" locked="0" behindDoc="1" simplePos="0" relativeHeight="485041152">
                <wp:simplePos x="0" y="0"/>
                <wp:positionH relativeFrom="page">
                  <wp:posOffset>3366261</wp:posOffset>
                </wp:positionH>
                <wp:positionV relativeFrom="paragraph">
                  <wp:posOffset>195126</wp:posOffset>
                </wp:positionV>
                <wp:extent cx="324612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3246120" cy="1270"/>
                        </a:xfrm>
                        <a:custGeom>
                          <a:avLst/>
                          <a:gdLst/>
                          <a:ahLst/>
                          <a:cxnLst/>
                          <a:rect l="l" t="t" r="r" b="b"/>
                          <a:pathLst>
                            <a:path w="3246120" h="0">
                              <a:moveTo>
                                <a:pt x="0" y="0"/>
                              </a:moveTo>
                              <a:lnTo>
                                <a:pt x="3245900"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75328" from="265.059998pt,15.364272pt" to="520.642727pt,15.364272pt" stroked="true" strokeweight=".885563pt" strokecolor="#000000">
                <v:stroke dashstyle="shortdash"/>
                <w10:wrap type="none"/>
              </v:line>
            </w:pict>
          </mc:Fallback>
        </mc:AlternateContent>
      </w:r>
      <w:r>
        <w:rPr/>
        <w:t>by</w:t>
      </w:r>
      <w:r>
        <w:rPr>
          <w:spacing w:val="-15"/>
        </w:rPr>
        <w:t> </w:t>
      </w:r>
      <w:r>
        <w:rPr/>
        <w:t>Lorke‟s</w:t>
      </w:r>
      <w:r>
        <w:rPr>
          <w:spacing w:val="-14"/>
        </w:rPr>
        <w:t> </w:t>
      </w:r>
      <w:r>
        <w:rPr>
          <w:spacing w:val="-2"/>
        </w:rPr>
        <w:t>method</w:t>
      </w:r>
      <w:r>
        <w:rPr/>
        <w:tab/>
      </w:r>
      <w:r>
        <w:rPr>
          <w:spacing w:val="-5"/>
        </w:rPr>
        <w:t>101</w:t>
      </w:r>
    </w:p>
    <w:p>
      <w:pPr>
        <w:spacing w:after="0"/>
        <w:sectPr>
          <w:pgSz w:w="12240" w:h="15840"/>
          <w:pgMar w:header="0" w:footer="1012" w:top="1340" w:bottom="1200" w:left="1720" w:right="1300"/>
        </w:sectPr>
      </w:pPr>
    </w:p>
    <w:p>
      <w:pPr>
        <w:pStyle w:val="Heading1"/>
        <w:spacing w:before="68"/>
        <w:ind w:left="135" w:right="0"/>
      </w:pPr>
      <w:bookmarkStart w:name="_TOC_250048" w:id="8"/>
      <w:r>
        <w:rPr/>
        <w:t>LIST</w:t>
      </w:r>
      <w:r>
        <w:rPr>
          <w:spacing w:val="-3"/>
        </w:rPr>
        <w:t> </w:t>
      </w:r>
      <w:r>
        <w:rPr/>
        <w:t>OF</w:t>
      </w:r>
      <w:bookmarkEnd w:id="8"/>
      <w:r>
        <w:rPr>
          <w:spacing w:val="-2"/>
        </w:rPr>
        <w:t> ABBREVIATIONS</w:t>
      </w:r>
    </w:p>
    <w:p>
      <w:pPr>
        <w:pStyle w:val="BodyText"/>
        <w:rPr>
          <w:b/>
          <w:sz w:val="20"/>
        </w:rPr>
      </w:pPr>
    </w:p>
    <w:p>
      <w:pPr>
        <w:pStyle w:val="BodyText"/>
        <w:rPr>
          <w:b/>
          <w:sz w:val="20"/>
        </w:rPr>
      </w:pPr>
    </w:p>
    <w:p>
      <w:pPr>
        <w:pStyle w:val="BodyText"/>
        <w:spacing w:before="5"/>
        <w:rPr>
          <w:b/>
          <w:sz w:val="20"/>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2"/>
        <w:gridCol w:w="4850"/>
      </w:tblGrid>
      <w:tr>
        <w:trPr>
          <w:trHeight w:val="408" w:hRule="atLeast"/>
        </w:trPr>
        <w:tc>
          <w:tcPr>
            <w:tcW w:w="1562" w:type="dxa"/>
          </w:tcPr>
          <w:p>
            <w:pPr>
              <w:pStyle w:val="TableParagraph"/>
              <w:spacing w:line="266" w:lineRule="exact"/>
              <w:ind w:left="50"/>
              <w:rPr>
                <w:sz w:val="24"/>
              </w:rPr>
            </w:pPr>
            <w:r>
              <w:rPr>
                <w:spacing w:val="-2"/>
                <w:sz w:val="24"/>
              </w:rPr>
              <w:t>A.B.U.</w:t>
            </w:r>
          </w:p>
        </w:tc>
        <w:tc>
          <w:tcPr>
            <w:tcW w:w="4850" w:type="dxa"/>
          </w:tcPr>
          <w:p>
            <w:pPr>
              <w:pStyle w:val="TableParagraph"/>
              <w:spacing w:line="266" w:lineRule="exact"/>
              <w:ind w:left="648"/>
              <w:rPr>
                <w:sz w:val="24"/>
              </w:rPr>
            </w:pPr>
            <w:r>
              <w:rPr>
                <w:sz w:val="24"/>
              </w:rPr>
              <w:t>Ahmadu</w:t>
            </w:r>
            <w:r>
              <w:rPr>
                <w:spacing w:val="-5"/>
                <w:sz w:val="24"/>
              </w:rPr>
              <w:t> </w:t>
            </w:r>
            <w:r>
              <w:rPr>
                <w:sz w:val="24"/>
              </w:rPr>
              <w:t>Bello</w:t>
            </w:r>
            <w:r>
              <w:rPr>
                <w:spacing w:val="-1"/>
                <w:sz w:val="24"/>
              </w:rPr>
              <w:t> </w:t>
            </w:r>
            <w:r>
              <w:rPr>
                <w:spacing w:val="-2"/>
                <w:sz w:val="24"/>
              </w:rPr>
              <w:t>University</w:t>
            </w:r>
          </w:p>
        </w:tc>
      </w:tr>
      <w:tr>
        <w:trPr>
          <w:trHeight w:val="551" w:hRule="atLeast"/>
        </w:trPr>
        <w:tc>
          <w:tcPr>
            <w:tcW w:w="1562" w:type="dxa"/>
          </w:tcPr>
          <w:p>
            <w:pPr>
              <w:pStyle w:val="TableParagraph"/>
              <w:spacing w:before="133"/>
              <w:ind w:left="50"/>
              <w:rPr>
                <w:sz w:val="24"/>
              </w:rPr>
            </w:pPr>
            <w:r>
              <w:rPr>
                <w:spacing w:val="-5"/>
                <w:sz w:val="24"/>
              </w:rPr>
              <w:t>ABC</w:t>
            </w:r>
          </w:p>
        </w:tc>
        <w:tc>
          <w:tcPr>
            <w:tcW w:w="4850" w:type="dxa"/>
          </w:tcPr>
          <w:p>
            <w:pPr>
              <w:pStyle w:val="TableParagraph"/>
              <w:spacing w:before="133"/>
              <w:ind w:left="648"/>
              <w:rPr>
                <w:sz w:val="24"/>
              </w:rPr>
            </w:pPr>
            <w:r>
              <w:rPr>
                <w:sz w:val="24"/>
              </w:rPr>
              <w:t>ATP</w:t>
            </w:r>
            <w:r>
              <w:rPr>
                <w:spacing w:val="-5"/>
                <w:sz w:val="24"/>
              </w:rPr>
              <w:t> </w:t>
            </w:r>
            <w:r>
              <w:rPr>
                <w:sz w:val="24"/>
              </w:rPr>
              <w:t>Binding</w:t>
            </w:r>
            <w:r>
              <w:rPr>
                <w:spacing w:val="-5"/>
                <w:sz w:val="24"/>
              </w:rPr>
              <w:t> </w:t>
            </w:r>
            <w:r>
              <w:rPr>
                <w:spacing w:val="-2"/>
                <w:sz w:val="24"/>
              </w:rPr>
              <w:t>Cassette</w:t>
            </w:r>
          </w:p>
        </w:tc>
      </w:tr>
      <w:tr>
        <w:trPr>
          <w:trHeight w:val="552" w:hRule="atLeast"/>
        </w:trPr>
        <w:tc>
          <w:tcPr>
            <w:tcW w:w="1562" w:type="dxa"/>
          </w:tcPr>
          <w:p>
            <w:pPr>
              <w:pStyle w:val="TableParagraph"/>
              <w:spacing w:before="133"/>
              <w:ind w:left="50"/>
              <w:rPr>
                <w:sz w:val="24"/>
              </w:rPr>
            </w:pPr>
            <w:r>
              <w:rPr>
                <w:spacing w:val="-5"/>
                <w:sz w:val="24"/>
              </w:rPr>
              <w:t>ALB</w:t>
            </w:r>
          </w:p>
        </w:tc>
        <w:tc>
          <w:tcPr>
            <w:tcW w:w="4850" w:type="dxa"/>
          </w:tcPr>
          <w:p>
            <w:pPr>
              <w:pStyle w:val="TableParagraph"/>
              <w:spacing w:before="133"/>
              <w:ind w:left="648"/>
              <w:rPr>
                <w:sz w:val="24"/>
              </w:rPr>
            </w:pPr>
            <w:r>
              <w:rPr>
                <w:spacing w:val="-2"/>
                <w:sz w:val="24"/>
              </w:rPr>
              <w:t>Albumin</w:t>
            </w:r>
          </w:p>
        </w:tc>
      </w:tr>
      <w:tr>
        <w:trPr>
          <w:trHeight w:val="552" w:hRule="atLeast"/>
        </w:trPr>
        <w:tc>
          <w:tcPr>
            <w:tcW w:w="1562" w:type="dxa"/>
          </w:tcPr>
          <w:p>
            <w:pPr>
              <w:pStyle w:val="TableParagraph"/>
              <w:spacing w:before="133"/>
              <w:ind w:left="50"/>
              <w:rPr>
                <w:sz w:val="24"/>
              </w:rPr>
            </w:pPr>
            <w:r>
              <w:rPr>
                <w:spacing w:val="-5"/>
                <w:sz w:val="24"/>
              </w:rPr>
              <w:t>ALP</w:t>
            </w:r>
          </w:p>
        </w:tc>
        <w:tc>
          <w:tcPr>
            <w:tcW w:w="4850" w:type="dxa"/>
          </w:tcPr>
          <w:p>
            <w:pPr>
              <w:pStyle w:val="TableParagraph"/>
              <w:spacing w:before="133"/>
              <w:ind w:left="648"/>
              <w:rPr>
                <w:sz w:val="24"/>
              </w:rPr>
            </w:pPr>
            <w:r>
              <w:rPr>
                <w:sz w:val="24"/>
              </w:rPr>
              <w:t>Alkaline</w:t>
            </w:r>
            <w:r>
              <w:rPr>
                <w:spacing w:val="-5"/>
                <w:sz w:val="24"/>
              </w:rPr>
              <w:t> </w:t>
            </w:r>
            <w:r>
              <w:rPr>
                <w:spacing w:val="-2"/>
                <w:sz w:val="24"/>
              </w:rPr>
              <w:t>Phosphatase</w:t>
            </w:r>
          </w:p>
        </w:tc>
      </w:tr>
      <w:tr>
        <w:trPr>
          <w:trHeight w:val="552" w:hRule="atLeast"/>
        </w:trPr>
        <w:tc>
          <w:tcPr>
            <w:tcW w:w="1562" w:type="dxa"/>
          </w:tcPr>
          <w:p>
            <w:pPr>
              <w:pStyle w:val="TableParagraph"/>
              <w:spacing w:before="133"/>
              <w:ind w:left="50"/>
              <w:rPr>
                <w:sz w:val="24"/>
              </w:rPr>
            </w:pPr>
            <w:r>
              <w:rPr>
                <w:spacing w:val="-5"/>
                <w:sz w:val="24"/>
              </w:rPr>
              <w:t>ALT</w:t>
            </w:r>
          </w:p>
        </w:tc>
        <w:tc>
          <w:tcPr>
            <w:tcW w:w="4850" w:type="dxa"/>
          </w:tcPr>
          <w:p>
            <w:pPr>
              <w:pStyle w:val="TableParagraph"/>
              <w:spacing w:before="133"/>
              <w:ind w:left="648"/>
              <w:rPr>
                <w:sz w:val="24"/>
              </w:rPr>
            </w:pPr>
            <w:r>
              <w:rPr>
                <w:sz w:val="24"/>
              </w:rPr>
              <w:t>Alanine</w:t>
            </w:r>
            <w:r>
              <w:rPr>
                <w:spacing w:val="-6"/>
                <w:sz w:val="24"/>
              </w:rPr>
              <w:t> </w:t>
            </w:r>
            <w:r>
              <w:rPr>
                <w:spacing w:val="-2"/>
                <w:sz w:val="24"/>
              </w:rPr>
              <w:t>Transaminase</w:t>
            </w:r>
          </w:p>
        </w:tc>
      </w:tr>
      <w:tr>
        <w:trPr>
          <w:trHeight w:val="552" w:hRule="atLeast"/>
        </w:trPr>
        <w:tc>
          <w:tcPr>
            <w:tcW w:w="1562" w:type="dxa"/>
          </w:tcPr>
          <w:p>
            <w:pPr>
              <w:pStyle w:val="TableParagraph"/>
              <w:spacing w:before="133"/>
              <w:ind w:left="50"/>
              <w:rPr>
                <w:sz w:val="24"/>
              </w:rPr>
            </w:pPr>
            <w:r>
              <w:rPr>
                <w:spacing w:val="-2"/>
                <w:sz w:val="24"/>
              </w:rPr>
              <w:t>ANOVA</w:t>
            </w:r>
          </w:p>
        </w:tc>
        <w:tc>
          <w:tcPr>
            <w:tcW w:w="4850" w:type="dxa"/>
          </w:tcPr>
          <w:p>
            <w:pPr>
              <w:pStyle w:val="TableParagraph"/>
              <w:spacing w:before="133"/>
              <w:ind w:left="648"/>
              <w:rPr>
                <w:sz w:val="24"/>
              </w:rPr>
            </w:pPr>
            <w:r>
              <w:rPr>
                <w:sz w:val="24"/>
              </w:rPr>
              <w:t>Analysis</w:t>
            </w:r>
            <w:r>
              <w:rPr>
                <w:spacing w:val="-2"/>
                <w:sz w:val="24"/>
              </w:rPr>
              <w:t> </w:t>
            </w:r>
            <w:r>
              <w:rPr>
                <w:sz w:val="24"/>
              </w:rPr>
              <w:t>of</w:t>
            </w:r>
            <w:r>
              <w:rPr>
                <w:spacing w:val="-6"/>
                <w:sz w:val="24"/>
              </w:rPr>
              <w:t> </w:t>
            </w:r>
            <w:r>
              <w:rPr>
                <w:spacing w:val="-2"/>
                <w:sz w:val="24"/>
              </w:rPr>
              <w:t>Variance</w:t>
            </w:r>
          </w:p>
        </w:tc>
      </w:tr>
      <w:tr>
        <w:trPr>
          <w:trHeight w:val="552" w:hRule="atLeast"/>
        </w:trPr>
        <w:tc>
          <w:tcPr>
            <w:tcW w:w="1562" w:type="dxa"/>
          </w:tcPr>
          <w:p>
            <w:pPr>
              <w:pStyle w:val="TableParagraph"/>
              <w:spacing w:before="133"/>
              <w:ind w:left="50"/>
              <w:rPr>
                <w:sz w:val="24"/>
              </w:rPr>
            </w:pPr>
            <w:r>
              <w:rPr>
                <w:spacing w:val="-5"/>
                <w:sz w:val="24"/>
              </w:rPr>
              <w:t>AST</w:t>
            </w:r>
          </w:p>
        </w:tc>
        <w:tc>
          <w:tcPr>
            <w:tcW w:w="4850" w:type="dxa"/>
          </w:tcPr>
          <w:p>
            <w:pPr>
              <w:pStyle w:val="TableParagraph"/>
              <w:spacing w:before="133"/>
              <w:ind w:left="648"/>
              <w:rPr>
                <w:sz w:val="24"/>
              </w:rPr>
            </w:pPr>
            <w:r>
              <w:rPr>
                <w:sz w:val="24"/>
              </w:rPr>
              <w:t>Aspartate</w:t>
            </w:r>
            <w:r>
              <w:rPr>
                <w:spacing w:val="2"/>
                <w:sz w:val="24"/>
              </w:rPr>
              <w:t> </w:t>
            </w:r>
            <w:r>
              <w:rPr>
                <w:spacing w:val="-2"/>
                <w:sz w:val="24"/>
              </w:rPr>
              <w:t>aminotransferase</w:t>
            </w:r>
          </w:p>
        </w:tc>
      </w:tr>
      <w:tr>
        <w:trPr>
          <w:trHeight w:val="551" w:hRule="atLeast"/>
        </w:trPr>
        <w:tc>
          <w:tcPr>
            <w:tcW w:w="1562" w:type="dxa"/>
          </w:tcPr>
          <w:p>
            <w:pPr>
              <w:pStyle w:val="TableParagraph"/>
              <w:spacing w:before="133"/>
              <w:ind w:left="50"/>
              <w:rPr>
                <w:sz w:val="24"/>
              </w:rPr>
            </w:pPr>
            <w:r>
              <w:rPr>
                <w:spacing w:val="-5"/>
                <w:sz w:val="24"/>
              </w:rPr>
              <w:t>ATP</w:t>
            </w:r>
          </w:p>
        </w:tc>
        <w:tc>
          <w:tcPr>
            <w:tcW w:w="4850" w:type="dxa"/>
          </w:tcPr>
          <w:p>
            <w:pPr>
              <w:pStyle w:val="TableParagraph"/>
              <w:spacing w:before="133"/>
              <w:ind w:left="648"/>
              <w:rPr>
                <w:sz w:val="24"/>
              </w:rPr>
            </w:pPr>
            <w:r>
              <w:rPr>
                <w:sz w:val="24"/>
              </w:rPr>
              <w:t>Adenosine</w:t>
            </w:r>
            <w:r>
              <w:rPr>
                <w:spacing w:val="-6"/>
                <w:sz w:val="24"/>
              </w:rPr>
              <w:t> </w:t>
            </w:r>
            <w:r>
              <w:rPr>
                <w:spacing w:val="-2"/>
                <w:sz w:val="24"/>
              </w:rPr>
              <w:t>Triphosphate</w:t>
            </w:r>
          </w:p>
        </w:tc>
      </w:tr>
      <w:tr>
        <w:trPr>
          <w:trHeight w:val="552" w:hRule="atLeast"/>
        </w:trPr>
        <w:tc>
          <w:tcPr>
            <w:tcW w:w="1562" w:type="dxa"/>
          </w:tcPr>
          <w:p>
            <w:pPr>
              <w:pStyle w:val="TableParagraph"/>
              <w:spacing w:before="133"/>
              <w:ind w:left="50"/>
              <w:rPr>
                <w:sz w:val="24"/>
              </w:rPr>
            </w:pPr>
            <w:r>
              <w:rPr>
                <w:spacing w:val="-5"/>
                <w:sz w:val="24"/>
              </w:rPr>
              <w:t>CNS</w:t>
            </w:r>
          </w:p>
        </w:tc>
        <w:tc>
          <w:tcPr>
            <w:tcW w:w="4850" w:type="dxa"/>
          </w:tcPr>
          <w:p>
            <w:pPr>
              <w:pStyle w:val="TableParagraph"/>
              <w:spacing w:before="133"/>
              <w:ind w:left="648"/>
              <w:rPr>
                <w:sz w:val="24"/>
              </w:rPr>
            </w:pPr>
            <w:r>
              <w:rPr>
                <w:sz w:val="24"/>
              </w:rPr>
              <w:t>Central</w:t>
            </w:r>
            <w:r>
              <w:rPr>
                <w:spacing w:val="-6"/>
                <w:sz w:val="24"/>
              </w:rPr>
              <w:t> </w:t>
            </w:r>
            <w:r>
              <w:rPr>
                <w:sz w:val="24"/>
              </w:rPr>
              <w:t>Nervous</w:t>
            </w:r>
            <w:r>
              <w:rPr>
                <w:spacing w:val="3"/>
                <w:sz w:val="24"/>
              </w:rPr>
              <w:t> </w:t>
            </w:r>
            <w:r>
              <w:rPr>
                <w:spacing w:val="-2"/>
                <w:sz w:val="24"/>
              </w:rPr>
              <w:t>System</w:t>
            </w:r>
          </w:p>
        </w:tc>
      </w:tr>
      <w:tr>
        <w:trPr>
          <w:trHeight w:val="552" w:hRule="atLeast"/>
        </w:trPr>
        <w:tc>
          <w:tcPr>
            <w:tcW w:w="1562" w:type="dxa"/>
          </w:tcPr>
          <w:p>
            <w:pPr>
              <w:pStyle w:val="TableParagraph"/>
              <w:spacing w:before="133"/>
              <w:ind w:left="50"/>
              <w:rPr>
                <w:sz w:val="24"/>
              </w:rPr>
            </w:pPr>
            <w:r>
              <w:rPr>
                <w:spacing w:val="-5"/>
                <w:sz w:val="24"/>
              </w:rPr>
              <w:t>CV</w:t>
            </w:r>
          </w:p>
        </w:tc>
        <w:tc>
          <w:tcPr>
            <w:tcW w:w="4850" w:type="dxa"/>
          </w:tcPr>
          <w:p>
            <w:pPr>
              <w:pStyle w:val="TableParagraph"/>
              <w:spacing w:before="133"/>
              <w:ind w:left="648"/>
              <w:rPr>
                <w:sz w:val="24"/>
              </w:rPr>
            </w:pPr>
            <w:r>
              <w:rPr>
                <w:sz w:val="24"/>
              </w:rPr>
              <w:t>Central</w:t>
            </w:r>
            <w:r>
              <w:rPr>
                <w:spacing w:val="-8"/>
                <w:sz w:val="24"/>
              </w:rPr>
              <w:t> </w:t>
            </w:r>
            <w:r>
              <w:rPr>
                <w:spacing w:val="-4"/>
                <w:sz w:val="24"/>
              </w:rPr>
              <w:t>Vein</w:t>
            </w:r>
          </w:p>
        </w:tc>
      </w:tr>
      <w:tr>
        <w:trPr>
          <w:trHeight w:val="557" w:hRule="atLeast"/>
        </w:trPr>
        <w:tc>
          <w:tcPr>
            <w:tcW w:w="1562" w:type="dxa"/>
          </w:tcPr>
          <w:p>
            <w:pPr>
              <w:pStyle w:val="TableParagraph"/>
              <w:spacing w:before="133"/>
              <w:ind w:left="50"/>
              <w:rPr>
                <w:sz w:val="24"/>
              </w:rPr>
            </w:pPr>
            <w:r>
              <w:rPr>
                <w:spacing w:val="-5"/>
                <w:sz w:val="24"/>
              </w:rPr>
              <w:t>CYP</w:t>
            </w:r>
          </w:p>
        </w:tc>
        <w:tc>
          <w:tcPr>
            <w:tcW w:w="4850" w:type="dxa"/>
          </w:tcPr>
          <w:p>
            <w:pPr>
              <w:pStyle w:val="TableParagraph"/>
              <w:spacing w:before="133"/>
              <w:ind w:left="648"/>
              <w:rPr>
                <w:sz w:val="24"/>
              </w:rPr>
            </w:pPr>
            <w:r>
              <w:rPr>
                <w:sz w:val="24"/>
              </w:rPr>
              <w:t>Cytochrome</w:t>
            </w:r>
            <w:r>
              <w:rPr>
                <w:spacing w:val="-3"/>
                <w:sz w:val="24"/>
              </w:rPr>
              <w:t> </w:t>
            </w:r>
            <w:r>
              <w:rPr>
                <w:sz w:val="24"/>
              </w:rPr>
              <w:t>P</w:t>
            </w:r>
            <w:r>
              <w:rPr>
                <w:sz w:val="24"/>
                <w:vertAlign w:val="subscript"/>
              </w:rPr>
              <w:t>450</w:t>
            </w:r>
            <w:r>
              <w:rPr>
                <w:spacing w:val="-1"/>
                <w:sz w:val="24"/>
                <w:vertAlign w:val="baseline"/>
              </w:rPr>
              <w:t> </w:t>
            </w:r>
            <w:r>
              <w:rPr>
                <w:spacing w:val="-2"/>
                <w:sz w:val="24"/>
                <w:vertAlign w:val="baseline"/>
              </w:rPr>
              <w:t>Oxidase</w:t>
            </w:r>
          </w:p>
        </w:tc>
      </w:tr>
      <w:tr>
        <w:trPr>
          <w:trHeight w:val="546" w:hRule="atLeast"/>
        </w:trPr>
        <w:tc>
          <w:tcPr>
            <w:tcW w:w="1562" w:type="dxa"/>
          </w:tcPr>
          <w:p>
            <w:pPr>
              <w:pStyle w:val="TableParagraph"/>
              <w:spacing w:before="127"/>
              <w:ind w:left="50"/>
              <w:rPr>
                <w:sz w:val="24"/>
              </w:rPr>
            </w:pPr>
            <w:r>
              <w:rPr>
                <w:spacing w:val="-5"/>
                <w:sz w:val="24"/>
              </w:rPr>
              <w:t>DAG</w:t>
            </w:r>
          </w:p>
        </w:tc>
        <w:tc>
          <w:tcPr>
            <w:tcW w:w="4850" w:type="dxa"/>
          </w:tcPr>
          <w:p>
            <w:pPr>
              <w:pStyle w:val="TableParagraph"/>
              <w:spacing w:before="127"/>
              <w:ind w:left="648"/>
              <w:rPr>
                <w:sz w:val="24"/>
              </w:rPr>
            </w:pPr>
            <w:r>
              <w:rPr>
                <w:spacing w:val="-2"/>
                <w:sz w:val="24"/>
              </w:rPr>
              <w:t>Diacylglycerol</w:t>
            </w:r>
          </w:p>
        </w:tc>
      </w:tr>
      <w:tr>
        <w:trPr>
          <w:trHeight w:val="552" w:hRule="atLeast"/>
        </w:trPr>
        <w:tc>
          <w:tcPr>
            <w:tcW w:w="1562" w:type="dxa"/>
          </w:tcPr>
          <w:p>
            <w:pPr>
              <w:pStyle w:val="TableParagraph"/>
              <w:spacing w:before="133"/>
              <w:ind w:left="50"/>
              <w:rPr>
                <w:sz w:val="24"/>
              </w:rPr>
            </w:pPr>
            <w:r>
              <w:rPr>
                <w:spacing w:val="-4"/>
                <w:sz w:val="24"/>
              </w:rPr>
              <w:t>EMEA</w:t>
            </w:r>
          </w:p>
        </w:tc>
        <w:tc>
          <w:tcPr>
            <w:tcW w:w="4850" w:type="dxa"/>
          </w:tcPr>
          <w:p>
            <w:pPr>
              <w:pStyle w:val="TableParagraph"/>
              <w:spacing w:before="133"/>
              <w:ind w:left="648"/>
              <w:rPr>
                <w:sz w:val="24"/>
              </w:rPr>
            </w:pPr>
            <w:r>
              <w:rPr>
                <w:sz w:val="24"/>
              </w:rPr>
              <w:t>Europeans</w:t>
            </w:r>
            <w:r>
              <w:rPr>
                <w:spacing w:val="-5"/>
                <w:sz w:val="24"/>
              </w:rPr>
              <w:t> </w:t>
            </w:r>
            <w:r>
              <w:rPr>
                <w:sz w:val="24"/>
              </w:rPr>
              <w:t>Medicines</w:t>
            </w:r>
            <w:r>
              <w:rPr>
                <w:spacing w:val="-5"/>
                <w:sz w:val="24"/>
              </w:rPr>
              <w:t> </w:t>
            </w:r>
            <w:r>
              <w:rPr>
                <w:spacing w:val="-2"/>
                <w:sz w:val="24"/>
              </w:rPr>
              <w:t>Agency</w:t>
            </w:r>
          </w:p>
        </w:tc>
      </w:tr>
      <w:tr>
        <w:trPr>
          <w:trHeight w:val="552" w:hRule="atLeast"/>
        </w:trPr>
        <w:tc>
          <w:tcPr>
            <w:tcW w:w="1562" w:type="dxa"/>
          </w:tcPr>
          <w:p>
            <w:pPr>
              <w:pStyle w:val="TableParagraph"/>
              <w:spacing w:before="133"/>
              <w:ind w:left="50"/>
              <w:rPr>
                <w:sz w:val="24"/>
              </w:rPr>
            </w:pPr>
            <w:r>
              <w:rPr>
                <w:spacing w:val="-5"/>
                <w:sz w:val="24"/>
              </w:rPr>
              <w:t>FD</w:t>
            </w:r>
          </w:p>
        </w:tc>
        <w:tc>
          <w:tcPr>
            <w:tcW w:w="4850" w:type="dxa"/>
          </w:tcPr>
          <w:p>
            <w:pPr>
              <w:pStyle w:val="TableParagraph"/>
              <w:spacing w:before="133"/>
              <w:ind w:left="648"/>
              <w:rPr>
                <w:sz w:val="24"/>
              </w:rPr>
            </w:pPr>
            <w:r>
              <w:rPr>
                <w:sz w:val="24"/>
              </w:rPr>
              <w:t>Fat </w:t>
            </w:r>
            <w:r>
              <w:rPr>
                <w:spacing w:val="-2"/>
                <w:sz w:val="24"/>
              </w:rPr>
              <w:t>Droplets</w:t>
            </w:r>
          </w:p>
        </w:tc>
      </w:tr>
      <w:tr>
        <w:trPr>
          <w:trHeight w:val="551" w:hRule="atLeast"/>
        </w:trPr>
        <w:tc>
          <w:tcPr>
            <w:tcW w:w="1562" w:type="dxa"/>
          </w:tcPr>
          <w:p>
            <w:pPr>
              <w:pStyle w:val="TableParagraph"/>
              <w:spacing w:before="133"/>
              <w:ind w:left="50"/>
              <w:rPr>
                <w:sz w:val="24"/>
              </w:rPr>
            </w:pPr>
            <w:r>
              <w:rPr>
                <w:spacing w:val="-5"/>
                <w:sz w:val="24"/>
              </w:rPr>
              <w:t>FFA</w:t>
            </w:r>
          </w:p>
        </w:tc>
        <w:tc>
          <w:tcPr>
            <w:tcW w:w="4850" w:type="dxa"/>
          </w:tcPr>
          <w:p>
            <w:pPr>
              <w:pStyle w:val="TableParagraph"/>
              <w:spacing w:before="133"/>
              <w:ind w:left="648"/>
              <w:rPr>
                <w:sz w:val="24"/>
              </w:rPr>
            </w:pPr>
            <w:r>
              <w:rPr>
                <w:sz w:val="24"/>
              </w:rPr>
              <w:t>Free</w:t>
            </w:r>
            <w:r>
              <w:rPr>
                <w:spacing w:val="1"/>
                <w:sz w:val="24"/>
              </w:rPr>
              <w:t> </w:t>
            </w:r>
            <w:r>
              <w:rPr>
                <w:sz w:val="24"/>
              </w:rPr>
              <w:t>Fatty</w:t>
            </w:r>
            <w:r>
              <w:rPr>
                <w:spacing w:val="-2"/>
                <w:sz w:val="24"/>
              </w:rPr>
              <w:t> Acids</w:t>
            </w:r>
          </w:p>
        </w:tc>
      </w:tr>
      <w:tr>
        <w:trPr>
          <w:trHeight w:val="552" w:hRule="atLeast"/>
        </w:trPr>
        <w:tc>
          <w:tcPr>
            <w:tcW w:w="1562" w:type="dxa"/>
          </w:tcPr>
          <w:p>
            <w:pPr>
              <w:pStyle w:val="TableParagraph"/>
              <w:spacing w:before="133"/>
              <w:ind w:left="50"/>
              <w:rPr>
                <w:sz w:val="24"/>
              </w:rPr>
            </w:pPr>
            <w:r>
              <w:rPr>
                <w:spacing w:val="-5"/>
                <w:sz w:val="24"/>
              </w:rPr>
              <w:t>GIT</w:t>
            </w:r>
          </w:p>
        </w:tc>
        <w:tc>
          <w:tcPr>
            <w:tcW w:w="4850" w:type="dxa"/>
          </w:tcPr>
          <w:p>
            <w:pPr>
              <w:pStyle w:val="TableParagraph"/>
              <w:spacing w:before="133"/>
              <w:ind w:left="648"/>
              <w:rPr>
                <w:sz w:val="24"/>
              </w:rPr>
            </w:pPr>
            <w:r>
              <w:rPr>
                <w:sz w:val="24"/>
              </w:rPr>
              <w:t>Gastro-Intestinal</w:t>
            </w:r>
            <w:r>
              <w:rPr>
                <w:spacing w:val="-14"/>
                <w:sz w:val="24"/>
              </w:rPr>
              <w:t> </w:t>
            </w:r>
            <w:r>
              <w:rPr>
                <w:spacing w:val="-2"/>
                <w:sz w:val="24"/>
              </w:rPr>
              <w:t>Tract</w:t>
            </w:r>
          </w:p>
        </w:tc>
      </w:tr>
      <w:tr>
        <w:trPr>
          <w:trHeight w:val="552" w:hRule="atLeast"/>
        </w:trPr>
        <w:tc>
          <w:tcPr>
            <w:tcW w:w="1562" w:type="dxa"/>
          </w:tcPr>
          <w:p>
            <w:pPr>
              <w:pStyle w:val="TableParagraph"/>
              <w:spacing w:before="133"/>
              <w:ind w:left="50"/>
              <w:rPr>
                <w:sz w:val="24"/>
              </w:rPr>
            </w:pPr>
            <w:r>
              <w:rPr>
                <w:spacing w:val="-10"/>
                <w:sz w:val="24"/>
              </w:rPr>
              <w:t>H</w:t>
            </w:r>
          </w:p>
        </w:tc>
        <w:tc>
          <w:tcPr>
            <w:tcW w:w="4850" w:type="dxa"/>
          </w:tcPr>
          <w:p>
            <w:pPr>
              <w:pStyle w:val="TableParagraph"/>
              <w:spacing w:before="133"/>
              <w:ind w:left="648"/>
              <w:rPr>
                <w:sz w:val="24"/>
              </w:rPr>
            </w:pPr>
            <w:r>
              <w:rPr>
                <w:spacing w:val="-2"/>
                <w:sz w:val="24"/>
              </w:rPr>
              <w:t>Hepatocytes</w:t>
            </w:r>
          </w:p>
        </w:tc>
      </w:tr>
      <w:tr>
        <w:trPr>
          <w:trHeight w:val="551" w:hRule="atLeast"/>
        </w:trPr>
        <w:tc>
          <w:tcPr>
            <w:tcW w:w="1562" w:type="dxa"/>
          </w:tcPr>
          <w:p>
            <w:pPr>
              <w:pStyle w:val="TableParagraph"/>
              <w:spacing w:before="133"/>
              <w:ind w:left="50"/>
              <w:rPr>
                <w:sz w:val="24"/>
              </w:rPr>
            </w:pPr>
            <w:r>
              <w:rPr>
                <w:spacing w:val="-5"/>
                <w:sz w:val="24"/>
              </w:rPr>
              <w:t>HGB</w:t>
            </w:r>
          </w:p>
        </w:tc>
        <w:tc>
          <w:tcPr>
            <w:tcW w:w="4850" w:type="dxa"/>
          </w:tcPr>
          <w:p>
            <w:pPr>
              <w:pStyle w:val="TableParagraph"/>
              <w:spacing w:before="133"/>
              <w:ind w:left="648"/>
              <w:rPr>
                <w:sz w:val="24"/>
              </w:rPr>
            </w:pPr>
            <w:r>
              <w:rPr>
                <w:spacing w:val="-2"/>
                <w:sz w:val="24"/>
              </w:rPr>
              <w:t>Haemoglobin</w:t>
            </w:r>
          </w:p>
        </w:tc>
      </w:tr>
      <w:tr>
        <w:trPr>
          <w:trHeight w:val="552" w:hRule="atLeast"/>
        </w:trPr>
        <w:tc>
          <w:tcPr>
            <w:tcW w:w="1562" w:type="dxa"/>
          </w:tcPr>
          <w:p>
            <w:pPr>
              <w:pStyle w:val="TableParagraph"/>
              <w:spacing w:before="133"/>
              <w:ind w:left="50"/>
              <w:rPr>
                <w:sz w:val="24"/>
              </w:rPr>
            </w:pPr>
            <w:r>
              <w:rPr>
                <w:spacing w:val="-4"/>
                <w:sz w:val="24"/>
              </w:rPr>
              <w:t>HPLC</w:t>
            </w:r>
          </w:p>
        </w:tc>
        <w:tc>
          <w:tcPr>
            <w:tcW w:w="4850" w:type="dxa"/>
          </w:tcPr>
          <w:p>
            <w:pPr>
              <w:pStyle w:val="TableParagraph"/>
              <w:spacing w:before="133"/>
              <w:ind w:left="648"/>
              <w:rPr>
                <w:sz w:val="24"/>
              </w:rPr>
            </w:pPr>
            <w:r>
              <w:rPr>
                <w:sz w:val="24"/>
              </w:rPr>
              <w:t>High</w:t>
            </w:r>
            <w:r>
              <w:rPr>
                <w:spacing w:val="-8"/>
                <w:sz w:val="24"/>
              </w:rPr>
              <w:t> </w:t>
            </w:r>
            <w:r>
              <w:rPr>
                <w:sz w:val="24"/>
              </w:rPr>
              <w:t>Performance</w:t>
            </w:r>
            <w:r>
              <w:rPr>
                <w:spacing w:val="-3"/>
                <w:sz w:val="24"/>
              </w:rPr>
              <w:t> </w:t>
            </w:r>
            <w:r>
              <w:rPr>
                <w:sz w:val="24"/>
              </w:rPr>
              <w:t>Liquid</w:t>
            </w:r>
            <w:r>
              <w:rPr>
                <w:spacing w:val="-2"/>
                <w:sz w:val="24"/>
              </w:rPr>
              <w:t> Chromatography</w:t>
            </w:r>
          </w:p>
        </w:tc>
      </w:tr>
      <w:tr>
        <w:trPr>
          <w:trHeight w:val="552" w:hRule="atLeast"/>
        </w:trPr>
        <w:tc>
          <w:tcPr>
            <w:tcW w:w="1562" w:type="dxa"/>
          </w:tcPr>
          <w:p>
            <w:pPr>
              <w:pStyle w:val="TableParagraph"/>
              <w:spacing w:before="133"/>
              <w:ind w:left="50"/>
              <w:rPr>
                <w:sz w:val="24"/>
              </w:rPr>
            </w:pPr>
            <w:r>
              <w:rPr>
                <w:spacing w:val="-4"/>
                <w:sz w:val="24"/>
              </w:rPr>
              <w:t>ILAR</w:t>
            </w:r>
          </w:p>
        </w:tc>
        <w:tc>
          <w:tcPr>
            <w:tcW w:w="4850" w:type="dxa"/>
          </w:tcPr>
          <w:p>
            <w:pPr>
              <w:pStyle w:val="TableParagraph"/>
              <w:spacing w:before="133"/>
              <w:ind w:left="648"/>
              <w:rPr>
                <w:sz w:val="24"/>
              </w:rPr>
            </w:pPr>
            <w:r>
              <w:rPr>
                <w:sz w:val="24"/>
              </w:rPr>
              <w:t>Institute</w:t>
            </w:r>
            <w:r>
              <w:rPr>
                <w:spacing w:val="-5"/>
                <w:sz w:val="24"/>
              </w:rPr>
              <w:t> </w:t>
            </w:r>
            <w:r>
              <w:rPr>
                <w:sz w:val="24"/>
              </w:rPr>
              <w:t>for</w:t>
            </w:r>
            <w:r>
              <w:rPr>
                <w:spacing w:val="1"/>
                <w:sz w:val="24"/>
              </w:rPr>
              <w:t> </w:t>
            </w:r>
            <w:r>
              <w:rPr>
                <w:sz w:val="24"/>
              </w:rPr>
              <w:t>Laboratory</w:t>
            </w:r>
            <w:r>
              <w:rPr>
                <w:spacing w:val="-4"/>
                <w:sz w:val="24"/>
              </w:rPr>
              <w:t> </w:t>
            </w:r>
            <w:r>
              <w:rPr>
                <w:sz w:val="24"/>
              </w:rPr>
              <w:t>Animal</w:t>
            </w:r>
            <w:r>
              <w:rPr>
                <w:spacing w:val="-3"/>
                <w:sz w:val="24"/>
              </w:rPr>
              <w:t> </w:t>
            </w:r>
            <w:r>
              <w:rPr>
                <w:spacing w:val="-2"/>
                <w:sz w:val="24"/>
              </w:rPr>
              <w:t>Research</w:t>
            </w:r>
          </w:p>
        </w:tc>
      </w:tr>
      <w:tr>
        <w:trPr>
          <w:trHeight w:val="552" w:hRule="atLeast"/>
        </w:trPr>
        <w:tc>
          <w:tcPr>
            <w:tcW w:w="1562" w:type="dxa"/>
          </w:tcPr>
          <w:p>
            <w:pPr>
              <w:pStyle w:val="TableParagraph"/>
              <w:spacing w:before="133"/>
              <w:ind w:left="50"/>
              <w:rPr>
                <w:sz w:val="24"/>
              </w:rPr>
            </w:pPr>
            <w:r>
              <w:rPr>
                <w:spacing w:val="-10"/>
                <w:sz w:val="24"/>
              </w:rPr>
              <w:t>K</w:t>
            </w:r>
          </w:p>
        </w:tc>
        <w:tc>
          <w:tcPr>
            <w:tcW w:w="4850" w:type="dxa"/>
          </w:tcPr>
          <w:p>
            <w:pPr>
              <w:pStyle w:val="TableParagraph"/>
              <w:spacing w:before="133"/>
              <w:ind w:left="648"/>
              <w:rPr>
                <w:sz w:val="24"/>
              </w:rPr>
            </w:pPr>
            <w:r>
              <w:rPr>
                <w:sz w:val="24"/>
              </w:rPr>
              <w:t>Kupffer</w:t>
            </w:r>
            <w:r>
              <w:rPr>
                <w:spacing w:val="-8"/>
                <w:sz w:val="24"/>
              </w:rPr>
              <w:t> </w:t>
            </w:r>
            <w:r>
              <w:rPr>
                <w:spacing w:val="-2"/>
                <w:sz w:val="24"/>
              </w:rPr>
              <w:t>Cells</w:t>
            </w:r>
          </w:p>
        </w:tc>
      </w:tr>
      <w:tr>
        <w:trPr>
          <w:trHeight w:val="420" w:hRule="atLeast"/>
        </w:trPr>
        <w:tc>
          <w:tcPr>
            <w:tcW w:w="1562" w:type="dxa"/>
          </w:tcPr>
          <w:p>
            <w:pPr>
              <w:pStyle w:val="TableParagraph"/>
              <w:spacing w:line="267" w:lineRule="exact" w:before="133"/>
              <w:ind w:left="50"/>
              <w:rPr>
                <w:sz w:val="24"/>
              </w:rPr>
            </w:pPr>
            <w:r>
              <w:rPr>
                <w:spacing w:val="-4"/>
                <w:sz w:val="24"/>
              </w:rPr>
              <w:t>LD</w:t>
            </w:r>
            <w:r>
              <w:rPr>
                <w:spacing w:val="-4"/>
                <w:sz w:val="24"/>
                <w:vertAlign w:val="subscript"/>
              </w:rPr>
              <w:t>50</w:t>
            </w:r>
          </w:p>
        </w:tc>
        <w:tc>
          <w:tcPr>
            <w:tcW w:w="4850" w:type="dxa"/>
          </w:tcPr>
          <w:p>
            <w:pPr>
              <w:pStyle w:val="TableParagraph"/>
              <w:spacing w:line="267" w:lineRule="exact" w:before="133"/>
              <w:ind w:left="648"/>
              <w:rPr>
                <w:sz w:val="24"/>
              </w:rPr>
            </w:pPr>
            <w:r>
              <w:rPr>
                <w:sz w:val="24"/>
              </w:rPr>
              <w:t>Median</w:t>
            </w:r>
            <w:r>
              <w:rPr>
                <w:spacing w:val="-5"/>
                <w:sz w:val="24"/>
              </w:rPr>
              <w:t> </w:t>
            </w:r>
            <w:r>
              <w:rPr>
                <w:sz w:val="24"/>
              </w:rPr>
              <w:t>Lethal</w:t>
            </w:r>
            <w:r>
              <w:rPr>
                <w:spacing w:val="-8"/>
                <w:sz w:val="24"/>
              </w:rPr>
              <w:t> </w:t>
            </w:r>
            <w:r>
              <w:rPr>
                <w:spacing w:val="-4"/>
                <w:sz w:val="24"/>
              </w:rPr>
              <w:t>Dose</w:t>
            </w:r>
          </w:p>
        </w:tc>
      </w:tr>
    </w:tbl>
    <w:p>
      <w:pPr>
        <w:spacing w:after="0" w:line="267" w:lineRule="exact"/>
        <w:rPr>
          <w:sz w:val="24"/>
        </w:rPr>
        <w:sectPr>
          <w:pgSz w:w="12240" w:h="15840"/>
          <w:pgMar w:header="0" w:footer="1012" w:top="1340" w:bottom="1393" w:left="1720" w:right="1300"/>
        </w:sect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0"/>
        <w:gridCol w:w="5367"/>
      </w:tblGrid>
      <w:tr>
        <w:trPr>
          <w:trHeight w:val="408" w:hRule="atLeast"/>
        </w:trPr>
        <w:tc>
          <w:tcPr>
            <w:tcW w:w="1590" w:type="dxa"/>
          </w:tcPr>
          <w:p>
            <w:pPr>
              <w:pStyle w:val="TableParagraph"/>
              <w:spacing w:line="266" w:lineRule="exact"/>
              <w:ind w:left="50"/>
              <w:rPr>
                <w:sz w:val="24"/>
              </w:rPr>
            </w:pPr>
            <w:r>
              <w:rPr>
                <w:spacing w:val="-4"/>
                <w:sz w:val="24"/>
              </w:rPr>
              <w:t>MCHC</w:t>
            </w:r>
          </w:p>
        </w:tc>
        <w:tc>
          <w:tcPr>
            <w:tcW w:w="5367" w:type="dxa"/>
          </w:tcPr>
          <w:p>
            <w:pPr>
              <w:pStyle w:val="TableParagraph"/>
              <w:spacing w:line="266" w:lineRule="exact"/>
              <w:ind w:left="620"/>
              <w:rPr>
                <w:sz w:val="24"/>
              </w:rPr>
            </w:pPr>
            <w:r>
              <w:rPr>
                <w:sz w:val="24"/>
              </w:rPr>
              <w:t>Mean</w:t>
            </w:r>
            <w:r>
              <w:rPr>
                <w:spacing w:val="-5"/>
                <w:sz w:val="24"/>
              </w:rPr>
              <w:t> </w:t>
            </w:r>
            <w:r>
              <w:rPr>
                <w:sz w:val="24"/>
              </w:rPr>
              <w:t>Cell</w:t>
            </w:r>
            <w:r>
              <w:rPr>
                <w:spacing w:val="-9"/>
                <w:sz w:val="24"/>
              </w:rPr>
              <w:t> </w:t>
            </w:r>
            <w:r>
              <w:rPr>
                <w:sz w:val="24"/>
              </w:rPr>
              <w:t>Hemoglobin</w:t>
            </w:r>
            <w:r>
              <w:rPr>
                <w:spacing w:val="1"/>
                <w:sz w:val="24"/>
              </w:rPr>
              <w:t> </w:t>
            </w:r>
            <w:r>
              <w:rPr>
                <w:spacing w:val="-2"/>
                <w:sz w:val="24"/>
              </w:rPr>
              <w:t>Concentration</w:t>
            </w:r>
          </w:p>
        </w:tc>
      </w:tr>
      <w:tr>
        <w:trPr>
          <w:trHeight w:val="552" w:hRule="atLeast"/>
        </w:trPr>
        <w:tc>
          <w:tcPr>
            <w:tcW w:w="1590" w:type="dxa"/>
          </w:tcPr>
          <w:p>
            <w:pPr>
              <w:pStyle w:val="TableParagraph"/>
              <w:spacing w:before="133"/>
              <w:ind w:left="50"/>
              <w:rPr>
                <w:sz w:val="24"/>
              </w:rPr>
            </w:pPr>
            <w:r>
              <w:rPr>
                <w:spacing w:val="-5"/>
                <w:sz w:val="24"/>
              </w:rPr>
              <w:t>MCV</w:t>
            </w:r>
          </w:p>
        </w:tc>
        <w:tc>
          <w:tcPr>
            <w:tcW w:w="5367" w:type="dxa"/>
          </w:tcPr>
          <w:p>
            <w:pPr>
              <w:pStyle w:val="TableParagraph"/>
              <w:spacing w:before="133"/>
              <w:ind w:left="620"/>
              <w:rPr>
                <w:sz w:val="24"/>
              </w:rPr>
            </w:pPr>
            <w:r>
              <w:rPr>
                <w:sz w:val="24"/>
              </w:rPr>
              <w:t>Mean</w:t>
            </w:r>
            <w:r>
              <w:rPr>
                <w:spacing w:val="-3"/>
                <w:sz w:val="24"/>
              </w:rPr>
              <w:t> </w:t>
            </w:r>
            <w:r>
              <w:rPr>
                <w:sz w:val="24"/>
              </w:rPr>
              <w:t>Cell</w:t>
            </w:r>
            <w:r>
              <w:rPr>
                <w:spacing w:val="-7"/>
                <w:sz w:val="24"/>
              </w:rPr>
              <w:t> </w:t>
            </w:r>
            <w:r>
              <w:rPr>
                <w:spacing w:val="-2"/>
                <w:sz w:val="24"/>
              </w:rPr>
              <w:t>Volume</w:t>
            </w:r>
          </w:p>
        </w:tc>
      </w:tr>
      <w:tr>
        <w:trPr>
          <w:trHeight w:val="552" w:hRule="atLeast"/>
        </w:trPr>
        <w:tc>
          <w:tcPr>
            <w:tcW w:w="1590" w:type="dxa"/>
          </w:tcPr>
          <w:p>
            <w:pPr>
              <w:pStyle w:val="TableParagraph"/>
              <w:spacing w:before="133"/>
              <w:ind w:left="50"/>
              <w:rPr>
                <w:sz w:val="24"/>
              </w:rPr>
            </w:pPr>
            <w:r>
              <w:rPr>
                <w:spacing w:val="-5"/>
                <w:sz w:val="24"/>
              </w:rPr>
              <w:t>MDR</w:t>
            </w:r>
          </w:p>
        </w:tc>
        <w:tc>
          <w:tcPr>
            <w:tcW w:w="5367" w:type="dxa"/>
          </w:tcPr>
          <w:p>
            <w:pPr>
              <w:pStyle w:val="TableParagraph"/>
              <w:spacing w:before="133"/>
              <w:ind w:left="620"/>
              <w:rPr>
                <w:sz w:val="24"/>
              </w:rPr>
            </w:pPr>
            <w:r>
              <w:rPr>
                <w:sz w:val="24"/>
              </w:rPr>
              <w:t>Multiple</w:t>
            </w:r>
            <w:r>
              <w:rPr>
                <w:spacing w:val="-5"/>
                <w:sz w:val="24"/>
              </w:rPr>
              <w:t> </w:t>
            </w:r>
            <w:r>
              <w:rPr>
                <w:sz w:val="24"/>
              </w:rPr>
              <w:t>Drug</w:t>
            </w:r>
            <w:r>
              <w:rPr>
                <w:spacing w:val="-3"/>
                <w:sz w:val="24"/>
              </w:rPr>
              <w:t> </w:t>
            </w:r>
            <w:r>
              <w:rPr>
                <w:spacing w:val="-2"/>
                <w:sz w:val="24"/>
              </w:rPr>
              <w:t>Resistance</w:t>
            </w:r>
          </w:p>
        </w:tc>
      </w:tr>
      <w:tr>
        <w:trPr>
          <w:trHeight w:val="551" w:hRule="atLeast"/>
        </w:trPr>
        <w:tc>
          <w:tcPr>
            <w:tcW w:w="1590" w:type="dxa"/>
          </w:tcPr>
          <w:p>
            <w:pPr>
              <w:pStyle w:val="TableParagraph"/>
              <w:spacing w:before="133"/>
              <w:ind w:left="50"/>
              <w:rPr>
                <w:sz w:val="24"/>
              </w:rPr>
            </w:pPr>
            <w:r>
              <w:rPr>
                <w:spacing w:val="-2"/>
                <w:sz w:val="24"/>
              </w:rPr>
              <w:t>NAPRI</w:t>
            </w:r>
          </w:p>
        </w:tc>
        <w:tc>
          <w:tcPr>
            <w:tcW w:w="5367" w:type="dxa"/>
          </w:tcPr>
          <w:p>
            <w:pPr>
              <w:pStyle w:val="TableParagraph"/>
              <w:spacing w:before="133"/>
              <w:ind w:left="620"/>
              <w:rPr>
                <w:sz w:val="24"/>
              </w:rPr>
            </w:pPr>
            <w:r>
              <w:rPr>
                <w:sz w:val="24"/>
              </w:rPr>
              <w:t>National</w:t>
            </w:r>
            <w:r>
              <w:rPr>
                <w:spacing w:val="-1"/>
                <w:sz w:val="24"/>
              </w:rPr>
              <w:t> </w:t>
            </w:r>
            <w:r>
              <w:rPr>
                <w:sz w:val="24"/>
              </w:rPr>
              <w:t>Animal</w:t>
            </w:r>
            <w:r>
              <w:rPr>
                <w:spacing w:val="-9"/>
                <w:sz w:val="24"/>
              </w:rPr>
              <w:t> </w:t>
            </w:r>
            <w:r>
              <w:rPr>
                <w:sz w:val="24"/>
              </w:rPr>
              <w:t>Production</w:t>
            </w:r>
            <w:r>
              <w:rPr>
                <w:spacing w:val="-4"/>
                <w:sz w:val="24"/>
              </w:rPr>
              <w:t> </w:t>
            </w:r>
            <w:r>
              <w:rPr>
                <w:sz w:val="24"/>
              </w:rPr>
              <w:t>Research</w:t>
            </w:r>
            <w:r>
              <w:rPr>
                <w:spacing w:val="-5"/>
                <w:sz w:val="24"/>
              </w:rPr>
              <w:t> </w:t>
            </w:r>
            <w:r>
              <w:rPr>
                <w:spacing w:val="-2"/>
                <w:sz w:val="24"/>
              </w:rPr>
              <w:t>Institute</w:t>
            </w:r>
          </w:p>
        </w:tc>
      </w:tr>
      <w:tr>
        <w:trPr>
          <w:trHeight w:val="552" w:hRule="atLeast"/>
        </w:trPr>
        <w:tc>
          <w:tcPr>
            <w:tcW w:w="1590" w:type="dxa"/>
          </w:tcPr>
          <w:p>
            <w:pPr>
              <w:pStyle w:val="TableParagraph"/>
              <w:spacing w:before="133"/>
              <w:ind w:left="50"/>
              <w:rPr>
                <w:sz w:val="24"/>
              </w:rPr>
            </w:pPr>
            <w:r>
              <w:rPr>
                <w:spacing w:val="-5"/>
                <w:sz w:val="24"/>
              </w:rPr>
              <w:t>PAs</w:t>
            </w:r>
          </w:p>
        </w:tc>
        <w:tc>
          <w:tcPr>
            <w:tcW w:w="5367" w:type="dxa"/>
          </w:tcPr>
          <w:p>
            <w:pPr>
              <w:pStyle w:val="TableParagraph"/>
              <w:spacing w:before="133"/>
              <w:ind w:left="620"/>
              <w:rPr>
                <w:sz w:val="24"/>
              </w:rPr>
            </w:pPr>
            <w:r>
              <w:rPr>
                <w:sz w:val="24"/>
              </w:rPr>
              <w:t>Pyrolizidine</w:t>
            </w:r>
            <w:r>
              <w:rPr>
                <w:spacing w:val="-7"/>
                <w:sz w:val="24"/>
              </w:rPr>
              <w:t> </w:t>
            </w:r>
            <w:r>
              <w:rPr>
                <w:spacing w:val="-2"/>
                <w:sz w:val="24"/>
              </w:rPr>
              <w:t>Alkaloids</w:t>
            </w:r>
          </w:p>
        </w:tc>
      </w:tr>
      <w:tr>
        <w:trPr>
          <w:trHeight w:val="552" w:hRule="atLeast"/>
        </w:trPr>
        <w:tc>
          <w:tcPr>
            <w:tcW w:w="1590" w:type="dxa"/>
          </w:tcPr>
          <w:p>
            <w:pPr>
              <w:pStyle w:val="TableParagraph"/>
              <w:spacing w:before="133"/>
              <w:ind w:left="50"/>
              <w:rPr>
                <w:sz w:val="24"/>
              </w:rPr>
            </w:pPr>
            <w:r>
              <w:rPr>
                <w:spacing w:val="-5"/>
                <w:sz w:val="24"/>
              </w:rPr>
              <w:t>PE</w:t>
            </w:r>
          </w:p>
        </w:tc>
        <w:tc>
          <w:tcPr>
            <w:tcW w:w="5367" w:type="dxa"/>
          </w:tcPr>
          <w:p>
            <w:pPr>
              <w:pStyle w:val="TableParagraph"/>
              <w:spacing w:before="133"/>
              <w:ind w:left="620"/>
              <w:rPr>
                <w:sz w:val="24"/>
              </w:rPr>
            </w:pPr>
            <w:r>
              <w:rPr>
                <w:sz w:val="24"/>
              </w:rPr>
              <w:t>Phorbol</w:t>
            </w:r>
            <w:r>
              <w:rPr>
                <w:spacing w:val="-7"/>
                <w:sz w:val="24"/>
              </w:rPr>
              <w:t> </w:t>
            </w:r>
            <w:r>
              <w:rPr>
                <w:spacing w:val="-2"/>
                <w:sz w:val="24"/>
              </w:rPr>
              <w:t>Esters</w:t>
            </w:r>
          </w:p>
        </w:tc>
      </w:tr>
      <w:tr>
        <w:trPr>
          <w:trHeight w:val="551" w:hRule="atLeast"/>
        </w:trPr>
        <w:tc>
          <w:tcPr>
            <w:tcW w:w="1590" w:type="dxa"/>
          </w:tcPr>
          <w:p>
            <w:pPr>
              <w:pStyle w:val="TableParagraph"/>
              <w:spacing w:before="133"/>
              <w:ind w:left="50"/>
              <w:rPr>
                <w:sz w:val="24"/>
              </w:rPr>
            </w:pPr>
            <w:r>
              <w:rPr>
                <w:spacing w:val="-5"/>
                <w:sz w:val="24"/>
              </w:rPr>
              <w:t>PKC</w:t>
            </w:r>
          </w:p>
        </w:tc>
        <w:tc>
          <w:tcPr>
            <w:tcW w:w="5367" w:type="dxa"/>
          </w:tcPr>
          <w:p>
            <w:pPr>
              <w:pStyle w:val="TableParagraph"/>
              <w:spacing w:before="133"/>
              <w:ind w:left="620"/>
              <w:rPr>
                <w:sz w:val="24"/>
              </w:rPr>
            </w:pPr>
            <w:r>
              <w:rPr>
                <w:sz w:val="24"/>
              </w:rPr>
              <w:t>Protein</w:t>
            </w:r>
            <w:r>
              <w:rPr>
                <w:spacing w:val="-4"/>
                <w:sz w:val="24"/>
              </w:rPr>
              <w:t> </w:t>
            </w:r>
            <w:r>
              <w:rPr>
                <w:sz w:val="24"/>
              </w:rPr>
              <w:t>Kinase</w:t>
            </w:r>
            <w:r>
              <w:rPr>
                <w:spacing w:val="-3"/>
                <w:sz w:val="24"/>
              </w:rPr>
              <w:t> </w:t>
            </w:r>
            <w:r>
              <w:rPr>
                <w:spacing w:val="-10"/>
                <w:sz w:val="24"/>
              </w:rPr>
              <w:t>C</w:t>
            </w:r>
          </w:p>
        </w:tc>
      </w:tr>
      <w:tr>
        <w:trPr>
          <w:trHeight w:val="552" w:hRule="atLeast"/>
        </w:trPr>
        <w:tc>
          <w:tcPr>
            <w:tcW w:w="1590" w:type="dxa"/>
          </w:tcPr>
          <w:p>
            <w:pPr>
              <w:pStyle w:val="TableParagraph"/>
              <w:spacing w:before="133"/>
              <w:ind w:left="50"/>
              <w:rPr>
                <w:sz w:val="24"/>
              </w:rPr>
            </w:pPr>
            <w:r>
              <w:rPr>
                <w:spacing w:val="-5"/>
                <w:sz w:val="24"/>
              </w:rPr>
              <w:t>PLT</w:t>
            </w:r>
          </w:p>
        </w:tc>
        <w:tc>
          <w:tcPr>
            <w:tcW w:w="5367" w:type="dxa"/>
          </w:tcPr>
          <w:p>
            <w:pPr>
              <w:pStyle w:val="TableParagraph"/>
              <w:spacing w:before="133"/>
              <w:ind w:left="620"/>
              <w:rPr>
                <w:sz w:val="24"/>
              </w:rPr>
            </w:pPr>
            <w:r>
              <w:rPr>
                <w:spacing w:val="-2"/>
                <w:sz w:val="24"/>
              </w:rPr>
              <w:t>Platelet</w:t>
            </w:r>
          </w:p>
        </w:tc>
      </w:tr>
      <w:tr>
        <w:trPr>
          <w:trHeight w:val="552" w:hRule="atLeast"/>
        </w:trPr>
        <w:tc>
          <w:tcPr>
            <w:tcW w:w="1590" w:type="dxa"/>
          </w:tcPr>
          <w:p>
            <w:pPr>
              <w:pStyle w:val="TableParagraph"/>
              <w:spacing w:before="133"/>
              <w:ind w:left="50"/>
              <w:rPr>
                <w:sz w:val="24"/>
              </w:rPr>
            </w:pPr>
            <w:r>
              <w:rPr>
                <w:spacing w:val="-5"/>
                <w:sz w:val="24"/>
              </w:rPr>
              <w:t>PO</w:t>
            </w:r>
          </w:p>
        </w:tc>
        <w:tc>
          <w:tcPr>
            <w:tcW w:w="5367" w:type="dxa"/>
          </w:tcPr>
          <w:p>
            <w:pPr>
              <w:pStyle w:val="TableParagraph"/>
              <w:spacing w:before="133"/>
              <w:ind w:left="620"/>
              <w:rPr>
                <w:sz w:val="24"/>
              </w:rPr>
            </w:pPr>
            <w:r>
              <w:rPr>
                <w:sz w:val="24"/>
              </w:rPr>
              <w:t>Per </w:t>
            </w:r>
            <w:r>
              <w:rPr>
                <w:spacing w:val="-4"/>
                <w:sz w:val="24"/>
              </w:rPr>
              <w:t>Oral</w:t>
            </w:r>
          </w:p>
        </w:tc>
      </w:tr>
      <w:tr>
        <w:trPr>
          <w:trHeight w:val="551" w:hRule="atLeast"/>
        </w:trPr>
        <w:tc>
          <w:tcPr>
            <w:tcW w:w="1590" w:type="dxa"/>
          </w:tcPr>
          <w:p>
            <w:pPr>
              <w:pStyle w:val="TableParagraph"/>
              <w:spacing w:before="133"/>
              <w:ind w:left="50"/>
              <w:rPr>
                <w:sz w:val="24"/>
              </w:rPr>
            </w:pPr>
            <w:r>
              <w:rPr>
                <w:spacing w:val="-5"/>
                <w:sz w:val="24"/>
              </w:rPr>
              <w:t>PPM</w:t>
            </w:r>
          </w:p>
        </w:tc>
        <w:tc>
          <w:tcPr>
            <w:tcW w:w="5367" w:type="dxa"/>
          </w:tcPr>
          <w:p>
            <w:pPr>
              <w:pStyle w:val="TableParagraph"/>
              <w:spacing w:before="133"/>
              <w:ind w:left="620"/>
              <w:rPr>
                <w:sz w:val="24"/>
              </w:rPr>
            </w:pPr>
            <w:r>
              <w:rPr>
                <w:sz w:val="24"/>
              </w:rPr>
              <w:t>Parts</w:t>
            </w:r>
            <w:r>
              <w:rPr>
                <w:spacing w:val="-4"/>
                <w:sz w:val="24"/>
              </w:rPr>
              <w:t> </w:t>
            </w:r>
            <w:r>
              <w:rPr>
                <w:sz w:val="24"/>
              </w:rPr>
              <w:t>Per</w:t>
            </w:r>
            <w:r>
              <w:rPr>
                <w:spacing w:val="6"/>
                <w:sz w:val="24"/>
              </w:rPr>
              <w:t> </w:t>
            </w:r>
            <w:r>
              <w:rPr>
                <w:spacing w:val="-2"/>
                <w:sz w:val="24"/>
              </w:rPr>
              <w:t>Million</w:t>
            </w:r>
          </w:p>
        </w:tc>
      </w:tr>
      <w:tr>
        <w:trPr>
          <w:trHeight w:val="552" w:hRule="atLeast"/>
        </w:trPr>
        <w:tc>
          <w:tcPr>
            <w:tcW w:w="1590" w:type="dxa"/>
          </w:tcPr>
          <w:p>
            <w:pPr>
              <w:pStyle w:val="TableParagraph"/>
              <w:spacing w:before="133"/>
              <w:ind w:left="50"/>
              <w:rPr>
                <w:sz w:val="24"/>
              </w:rPr>
            </w:pPr>
            <w:r>
              <w:rPr>
                <w:spacing w:val="-5"/>
                <w:sz w:val="24"/>
              </w:rPr>
              <w:t>RBC</w:t>
            </w:r>
          </w:p>
        </w:tc>
        <w:tc>
          <w:tcPr>
            <w:tcW w:w="5367" w:type="dxa"/>
          </w:tcPr>
          <w:p>
            <w:pPr>
              <w:pStyle w:val="TableParagraph"/>
              <w:spacing w:before="133"/>
              <w:ind w:left="620"/>
              <w:rPr>
                <w:sz w:val="24"/>
              </w:rPr>
            </w:pPr>
            <w:r>
              <w:rPr>
                <w:sz w:val="24"/>
              </w:rPr>
              <w:t>Red Blood</w:t>
            </w:r>
            <w:r>
              <w:rPr>
                <w:spacing w:val="1"/>
                <w:sz w:val="24"/>
              </w:rPr>
              <w:t> </w:t>
            </w:r>
            <w:r>
              <w:rPr>
                <w:spacing w:val="-4"/>
                <w:sz w:val="24"/>
              </w:rPr>
              <w:t>Cell</w:t>
            </w:r>
          </w:p>
        </w:tc>
      </w:tr>
      <w:tr>
        <w:trPr>
          <w:trHeight w:val="552" w:hRule="atLeast"/>
        </w:trPr>
        <w:tc>
          <w:tcPr>
            <w:tcW w:w="1590" w:type="dxa"/>
          </w:tcPr>
          <w:p>
            <w:pPr>
              <w:pStyle w:val="TableParagraph"/>
              <w:spacing w:before="133"/>
              <w:ind w:left="50"/>
              <w:rPr>
                <w:sz w:val="24"/>
              </w:rPr>
            </w:pPr>
            <w:r>
              <w:rPr>
                <w:spacing w:val="-5"/>
                <w:sz w:val="24"/>
              </w:rPr>
              <w:t>RIP</w:t>
            </w:r>
          </w:p>
        </w:tc>
        <w:tc>
          <w:tcPr>
            <w:tcW w:w="5367" w:type="dxa"/>
          </w:tcPr>
          <w:p>
            <w:pPr>
              <w:pStyle w:val="TableParagraph"/>
              <w:spacing w:before="133"/>
              <w:ind w:left="620"/>
              <w:rPr>
                <w:sz w:val="24"/>
              </w:rPr>
            </w:pPr>
            <w:r>
              <w:rPr>
                <w:sz w:val="24"/>
              </w:rPr>
              <w:t>Ribosome</w:t>
            </w:r>
            <w:r>
              <w:rPr>
                <w:spacing w:val="-8"/>
                <w:sz w:val="24"/>
              </w:rPr>
              <w:t> </w:t>
            </w:r>
            <w:r>
              <w:rPr>
                <w:sz w:val="24"/>
              </w:rPr>
              <w:t>Inactivating</w:t>
            </w:r>
            <w:r>
              <w:rPr>
                <w:spacing w:val="-6"/>
                <w:sz w:val="24"/>
              </w:rPr>
              <w:t> </w:t>
            </w:r>
            <w:r>
              <w:rPr>
                <w:spacing w:val="-2"/>
                <w:sz w:val="24"/>
              </w:rPr>
              <w:t>Protein</w:t>
            </w:r>
          </w:p>
        </w:tc>
      </w:tr>
      <w:tr>
        <w:trPr>
          <w:trHeight w:val="552" w:hRule="atLeast"/>
        </w:trPr>
        <w:tc>
          <w:tcPr>
            <w:tcW w:w="1590" w:type="dxa"/>
          </w:tcPr>
          <w:p>
            <w:pPr>
              <w:pStyle w:val="TableParagraph"/>
              <w:spacing w:before="133"/>
              <w:ind w:left="50"/>
              <w:rPr>
                <w:sz w:val="24"/>
              </w:rPr>
            </w:pPr>
            <w:r>
              <w:rPr>
                <w:spacing w:val="-5"/>
                <w:sz w:val="24"/>
              </w:rPr>
              <w:t>RNA</w:t>
            </w:r>
          </w:p>
        </w:tc>
        <w:tc>
          <w:tcPr>
            <w:tcW w:w="5367" w:type="dxa"/>
          </w:tcPr>
          <w:p>
            <w:pPr>
              <w:pStyle w:val="TableParagraph"/>
              <w:spacing w:before="133"/>
              <w:ind w:left="620"/>
              <w:rPr>
                <w:sz w:val="24"/>
              </w:rPr>
            </w:pPr>
            <w:r>
              <w:rPr>
                <w:sz w:val="24"/>
              </w:rPr>
              <w:t>Ribonucleic</w:t>
            </w:r>
            <w:r>
              <w:rPr>
                <w:spacing w:val="-9"/>
                <w:sz w:val="24"/>
              </w:rPr>
              <w:t> </w:t>
            </w:r>
            <w:r>
              <w:rPr>
                <w:spacing w:val="-4"/>
                <w:sz w:val="24"/>
              </w:rPr>
              <w:t>Acid</w:t>
            </w:r>
          </w:p>
        </w:tc>
      </w:tr>
      <w:tr>
        <w:trPr>
          <w:trHeight w:val="552" w:hRule="atLeast"/>
        </w:trPr>
        <w:tc>
          <w:tcPr>
            <w:tcW w:w="1590" w:type="dxa"/>
          </w:tcPr>
          <w:p>
            <w:pPr>
              <w:pStyle w:val="TableParagraph"/>
              <w:spacing w:before="133"/>
              <w:ind w:left="50"/>
              <w:rPr>
                <w:sz w:val="24"/>
              </w:rPr>
            </w:pPr>
            <w:r>
              <w:rPr>
                <w:spacing w:val="-4"/>
                <w:sz w:val="24"/>
              </w:rPr>
              <w:t>rRNA</w:t>
            </w:r>
          </w:p>
        </w:tc>
        <w:tc>
          <w:tcPr>
            <w:tcW w:w="5367" w:type="dxa"/>
          </w:tcPr>
          <w:p>
            <w:pPr>
              <w:pStyle w:val="TableParagraph"/>
              <w:spacing w:before="133"/>
              <w:ind w:left="620"/>
              <w:rPr>
                <w:sz w:val="24"/>
              </w:rPr>
            </w:pPr>
            <w:r>
              <w:rPr>
                <w:sz w:val="24"/>
              </w:rPr>
              <w:t>Ribosomal</w:t>
            </w:r>
            <w:r>
              <w:rPr>
                <w:spacing w:val="-12"/>
                <w:sz w:val="24"/>
              </w:rPr>
              <w:t> </w:t>
            </w:r>
            <w:r>
              <w:rPr>
                <w:sz w:val="24"/>
              </w:rPr>
              <w:t>Ribonucleic</w:t>
            </w:r>
            <w:r>
              <w:rPr>
                <w:spacing w:val="-3"/>
                <w:sz w:val="24"/>
              </w:rPr>
              <w:t> </w:t>
            </w:r>
            <w:r>
              <w:rPr>
                <w:spacing w:val="-4"/>
                <w:sz w:val="24"/>
              </w:rPr>
              <w:t>Acid</w:t>
            </w:r>
          </w:p>
        </w:tc>
      </w:tr>
      <w:tr>
        <w:trPr>
          <w:trHeight w:val="552" w:hRule="atLeast"/>
        </w:trPr>
        <w:tc>
          <w:tcPr>
            <w:tcW w:w="1590" w:type="dxa"/>
          </w:tcPr>
          <w:p>
            <w:pPr>
              <w:pStyle w:val="TableParagraph"/>
              <w:spacing w:before="133"/>
              <w:ind w:left="50"/>
              <w:rPr>
                <w:sz w:val="24"/>
              </w:rPr>
            </w:pPr>
            <w:r>
              <w:rPr>
                <w:spacing w:val="-10"/>
                <w:sz w:val="24"/>
              </w:rPr>
              <w:t>S</w:t>
            </w:r>
          </w:p>
        </w:tc>
        <w:tc>
          <w:tcPr>
            <w:tcW w:w="5367" w:type="dxa"/>
          </w:tcPr>
          <w:p>
            <w:pPr>
              <w:pStyle w:val="TableParagraph"/>
              <w:spacing w:before="133"/>
              <w:ind w:left="620"/>
              <w:rPr>
                <w:sz w:val="24"/>
              </w:rPr>
            </w:pPr>
            <w:r>
              <w:rPr>
                <w:spacing w:val="-2"/>
                <w:sz w:val="24"/>
              </w:rPr>
              <w:t>Sinusoids</w:t>
            </w:r>
          </w:p>
        </w:tc>
      </w:tr>
      <w:tr>
        <w:trPr>
          <w:trHeight w:val="552" w:hRule="atLeast"/>
        </w:trPr>
        <w:tc>
          <w:tcPr>
            <w:tcW w:w="1590" w:type="dxa"/>
          </w:tcPr>
          <w:p>
            <w:pPr>
              <w:pStyle w:val="TableParagraph"/>
              <w:spacing w:before="133"/>
              <w:ind w:left="50"/>
              <w:rPr>
                <w:sz w:val="24"/>
              </w:rPr>
            </w:pPr>
            <w:r>
              <w:rPr>
                <w:spacing w:val="-5"/>
                <w:sz w:val="24"/>
              </w:rPr>
              <w:t>SD</w:t>
            </w:r>
          </w:p>
        </w:tc>
        <w:tc>
          <w:tcPr>
            <w:tcW w:w="5367" w:type="dxa"/>
          </w:tcPr>
          <w:p>
            <w:pPr>
              <w:pStyle w:val="TableParagraph"/>
              <w:spacing w:before="133"/>
              <w:ind w:left="620"/>
              <w:rPr>
                <w:sz w:val="24"/>
              </w:rPr>
            </w:pPr>
            <w:r>
              <w:rPr>
                <w:sz w:val="24"/>
              </w:rPr>
              <w:t>Standard</w:t>
            </w:r>
            <w:r>
              <w:rPr>
                <w:spacing w:val="1"/>
                <w:sz w:val="24"/>
              </w:rPr>
              <w:t> </w:t>
            </w:r>
            <w:r>
              <w:rPr>
                <w:spacing w:val="-2"/>
                <w:sz w:val="24"/>
              </w:rPr>
              <w:t>Deviation</w:t>
            </w:r>
          </w:p>
        </w:tc>
      </w:tr>
      <w:tr>
        <w:trPr>
          <w:trHeight w:val="552" w:hRule="atLeast"/>
        </w:trPr>
        <w:tc>
          <w:tcPr>
            <w:tcW w:w="1590" w:type="dxa"/>
          </w:tcPr>
          <w:p>
            <w:pPr>
              <w:pStyle w:val="TableParagraph"/>
              <w:spacing w:before="133"/>
              <w:ind w:left="50"/>
              <w:rPr>
                <w:sz w:val="24"/>
              </w:rPr>
            </w:pPr>
            <w:r>
              <w:rPr>
                <w:spacing w:val="-4"/>
                <w:sz w:val="24"/>
              </w:rPr>
              <w:t>SDME</w:t>
            </w:r>
          </w:p>
        </w:tc>
        <w:tc>
          <w:tcPr>
            <w:tcW w:w="5367" w:type="dxa"/>
          </w:tcPr>
          <w:p>
            <w:pPr>
              <w:pStyle w:val="TableParagraph"/>
              <w:spacing w:before="133"/>
              <w:ind w:left="620"/>
              <w:rPr>
                <w:sz w:val="24"/>
              </w:rPr>
            </w:pPr>
            <w:r>
              <w:rPr>
                <w:sz w:val="24"/>
              </w:rPr>
              <w:t>Synthetically</w:t>
            </w:r>
            <w:r>
              <w:rPr>
                <w:spacing w:val="-10"/>
                <w:sz w:val="24"/>
              </w:rPr>
              <w:t> </w:t>
            </w:r>
            <w:r>
              <w:rPr>
                <w:sz w:val="24"/>
              </w:rPr>
              <w:t>Detoxified</w:t>
            </w:r>
            <w:r>
              <w:rPr>
                <w:spacing w:val="-1"/>
                <w:sz w:val="24"/>
              </w:rPr>
              <w:t> </w:t>
            </w:r>
            <w:r>
              <w:rPr>
                <w:sz w:val="24"/>
              </w:rPr>
              <w:t>Mechanically</w:t>
            </w:r>
            <w:r>
              <w:rPr>
                <w:spacing w:val="-9"/>
                <w:sz w:val="24"/>
              </w:rPr>
              <w:t> </w:t>
            </w:r>
            <w:r>
              <w:rPr>
                <w:spacing w:val="-2"/>
                <w:sz w:val="24"/>
              </w:rPr>
              <w:t>Extracted</w:t>
            </w:r>
          </w:p>
        </w:tc>
      </w:tr>
      <w:tr>
        <w:trPr>
          <w:trHeight w:val="552" w:hRule="atLeast"/>
        </w:trPr>
        <w:tc>
          <w:tcPr>
            <w:tcW w:w="1590" w:type="dxa"/>
          </w:tcPr>
          <w:p>
            <w:pPr>
              <w:pStyle w:val="TableParagraph"/>
              <w:spacing w:before="133"/>
              <w:ind w:left="50"/>
              <w:rPr>
                <w:sz w:val="24"/>
              </w:rPr>
            </w:pPr>
            <w:r>
              <w:rPr>
                <w:spacing w:val="-4"/>
                <w:sz w:val="24"/>
              </w:rPr>
              <w:t>SDSE</w:t>
            </w:r>
          </w:p>
        </w:tc>
        <w:tc>
          <w:tcPr>
            <w:tcW w:w="5367" w:type="dxa"/>
          </w:tcPr>
          <w:p>
            <w:pPr>
              <w:pStyle w:val="TableParagraph"/>
              <w:spacing w:before="133"/>
              <w:ind w:left="620"/>
              <w:rPr>
                <w:sz w:val="24"/>
              </w:rPr>
            </w:pPr>
            <w:r>
              <w:rPr>
                <w:sz w:val="24"/>
              </w:rPr>
              <w:t>Synthetically</w:t>
            </w:r>
            <w:r>
              <w:rPr>
                <w:spacing w:val="-13"/>
                <w:sz w:val="24"/>
              </w:rPr>
              <w:t> </w:t>
            </w:r>
            <w:r>
              <w:rPr>
                <w:sz w:val="24"/>
              </w:rPr>
              <w:t>Detoxified</w:t>
            </w:r>
            <w:r>
              <w:rPr>
                <w:spacing w:val="-3"/>
                <w:sz w:val="24"/>
              </w:rPr>
              <w:t> </w:t>
            </w:r>
            <w:r>
              <w:rPr>
                <w:sz w:val="24"/>
              </w:rPr>
              <w:t>Solvent</w:t>
            </w:r>
            <w:r>
              <w:rPr>
                <w:spacing w:val="2"/>
                <w:sz w:val="24"/>
              </w:rPr>
              <w:t> </w:t>
            </w:r>
            <w:r>
              <w:rPr>
                <w:spacing w:val="-2"/>
                <w:sz w:val="24"/>
              </w:rPr>
              <w:t>Extracted</w:t>
            </w:r>
          </w:p>
        </w:tc>
      </w:tr>
      <w:tr>
        <w:trPr>
          <w:trHeight w:val="551" w:hRule="atLeast"/>
        </w:trPr>
        <w:tc>
          <w:tcPr>
            <w:tcW w:w="1590" w:type="dxa"/>
          </w:tcPr>
          <w:p>
            <w:pPr>
              <w:pStyle w:val="TableParagraph"/>
              <w:spacing w:before="133"/>
              <w:ind w:left="50"/>
              <w:rPr>
                <w:sz w:val="24"/>
              </w:rPr>
            </w:pPr>
            <w:r>
              <w:rPr>
                <w:spacing w:val="-5"/>
                <w:sz w:val="24"/>
              </w:rPr>
              <w:t>SEM</w:t>
            </w:r>
          </w:p>
        </w:tc>
        <w:tc>
          <w:tcPr>
            <w:tcW w:w="5367" w:type="dxa"/>
          </w:tcPr>
          <w:p>
            <w:pPr>
              <w:pStyle w:val="TableParagraph"/>
              <w:spacing w:before="133"/>
              <w:ind w:left="620"/>
              <w:rPr>
                <w:sz w:val="24"/>
              </w:rPr>
            </w:pPr>
            <w:r>
              <w:rPr>
                <w:sz w:val="24"/>
              </w:rPr>
              <w:t>Standard Error</w:t>
            </w:r>
            <w:r>
              <w:rPr>
                <w:spacing w:val="-6"/>
                <w:sz w:val="24"/>
              </w:rPr>
              <w:t> </w:t>
            </w:r>
            <w:r>
              <w:rPr>
                <w:sz w:val="24"/>
              </w:rPr>
              <w:t>of</w:t>
            </w:r>
            <w:r>
              <w:rPr>
                <w:spacing w:val="-5"/>
                <w:sz w:val="24"/>
              </w:rPr>
              <w:t> </w:t>
            </w:r>
            <w:r>
              <w:rPr>
                <w:spacing w:val="-4"/>
                <w:sz w:val="24"/>
              </w:rPr>
              <w:t>Mean</w:t>
            </w:r>
          </w:p>
        </w:tc>
      </w:tr>
      <w:tr>
        <w:trPr>
          <w:trHeight w:val="552" w:hRule="atLeast"/>
        </w:trPr>
        <w:tc>
          <w:tcPr>
            <w:tcW w:w="1590" w:type="dxa"/>
          </w:tcPr>
          <w:p>
            <w:pPr>
              <w:pStyle w:val="TableParagraph"/>
              <w:spacing w:before="133"/>
              <w:ind w:left="50"/>
              <w:rPr>
                <w:sz w:val="24"/>
              </w:rPr>
            </w:pPr>
            <w:r>
              <w:rPr>
                <w:spacing w:val="-4"/>
                <w:sz w:val="24"/>
              </w:rPr>
              <w:t>SPSS</w:t>
            </w:r>
          </w:p>
        </w:tc>
        <w:tc>
          <w:tcPr>
            <w:tcW w:w="5367" w:type="dxa"/>
          </w:tcPr>
          <w:p>
            <w:pPr>
              <w:pStyle w:val="TableParagraph"/>
              <w:spacing w:before="133"/>
              <w:ind w:left="620"/>
              <w:rPr>
                <w:sz w:val="24"/>
              </w:rPr>
            </w:pPr>
            <w:r>
              <w:rPr>
                <w:sz w:val="24"/>
              </w:rPr>
              <w:t>Statistical</w:t>
            </w:r>
            <w:r>
              <w:rPr>
                <w:spacing w:val="-8"/>
                <w:sz w:val="24"/>
              </w:rPr>
              <w:t> </w:t>
            </w:r>
            <w:r>
              <w:rPr>
                <w:sz w:val="24"/>
              </w:rPr>
              <w:t>Package</w:t>
            </w:r>
            <w:r>
              <w:rPr>
                <w:spacing w:val="1"/>
                <w:sz w:val="24"/>
              </w:rPr>
              <w:t> </w:t>
            </w:r>
            <w:r>
              <w:rPr>
                <w:sz w:val="24"/>
              </w:rPr>
              <w:t>for</w:t>
            </w:r>
            <w:r>
              <w:rPr>
                <w:spacing w:val="-1"/>
                <w:sz w:val="24"/>
              </w:rPr>
              <w:t> </w:t>
            </w:r>
            <w:r>
              <w:rPr>
                <w:sz w:val="24"/>
              </w:rPr>
              <w:t>Social</w:t>
            </w:r>
            <w:r>
              <w:rPr>
                <w:spacing w:val="-11"/>
                <w:sz w:val="24"/>
              </w:rPr>
              <w:t> </w:t>
            </w:r>
            <w:r>
              <w:rPr>
                <w:spacing w:val="-2"/>
                <w:sz w:val="24"/>
              </w:rPr>
              <w:t>Sciences</w:t>
            </w:r>
          </w:p>
        </w:tc>
      </w:tr>
      <w:tr>
        <w:trPr>
          <w:trHeight w:val="552" w:hRule="atLeast"/>
        </w:trPr>
        <w:tc>
          <w:tcPr>
            <w:tcW w:w="1590" w:type="dxa"/>
          </w:tcPr>
          <w:p>
            <w:pPr>
              <w:pStyle w:val="TableParagraph"/>
              <w:spacing w:before="133"/>
              <w:ind w:left="50"/>
              <w:rPr>
                <w:sz w:val="24"/>
              </w:rPr>
            </w:pPr>
            <w:r>
              <w:rPr>
                <w:spacing w:val="-5"/>
                <w:sz w:val="24"/>
              </w:rPr>
              <w:t>TI</w:t>
            </w:r>
          </w:p>
        </w:tc>
        <w:tc>
          <w:tcPr>
            <w:tcW w:w="5367" w:type="dxa"/>
          </w:tcPr>
          <w:p>
            <w:pPr>
              <w:pStyle w:val="TableParagraph"/>
              <w:spacing w:before="133"/>
              <w:ind w:left="620"/>
              <w:rPr>
                <w:sz w:val="24"/>
              </w:rPr>
            </w:pPr>
            <w:r>
              <w:rPr>
                <w:sz w:val="24"/>
              </w:rPr>
              <w:t>Trypsin</w:t>
            </w:r>
            <w:r>
              <w:rPr>
                <w:spacing w:val="-10"/>
                <w:sz w:val="24"/>
              </w:rPr>
              <w:t> </w:t>
            </w:r>
            <w:r>
              <w:rPr>
                <w:spacing w:val="-2"/>
                <w:sz w:val="24"/>
              </w:rPr>
              <w:t>Inhibitor</w:t>
            </w:r>
          </w:p>
        </w:tc>
      </w:tr>
      <w:tr>
        <w:trPr>
          <w:trHeight w:val="551" w:hRule="atLeast"/>
        </w:trPr>
        <w:tc>
          <w:tcPr>
            <w:tcW w:w="1590" w:type="dxa"/>
          </w:tcPr>
          <w:p>
            <w:pPr>
              <w:pStyle w:val="TableParagraph"/>
              <w:spacing w:before="133"/>
              <w:ind w:left="50"/>
              <w:rPr>
                <w:sz w:val="24"/>
              </w:rPr>
            </w:pPr>
            <w:r>
              <w:rPr>
                <w:spacing w:val="-5"/>
                <w:sz w:val="24"/>
              </w:rPr>
              <w:t>UME</w:t>
            </w:r>
          </w:p>
        </w:tc>
        <w:tc>
          <w:tcPr>
            <w:tcW w:w="5367" w:type="dxa"/>
          </w:tcPr>
          <w:p>
            <w:pPr>
              <w:pStyle w:val="TableParagraph"/>
              <w:spacing w:before="133"/>
              <w:ind w:left="620"/>
              <w:rPr>
                <w:sz w:val="24"/>
              </w:rPr>
            </w:pPr>
            <w:r>
              <w:rPr>
                <w:sz w:val="24"/>
              </w:rPr>
              <w:t>Undetoxified</w:t>
            </w:r>
            <w:r>
              <w:rPr>
                <w:spacing w:val="-5"/>
                <w:sz w:val="24"/>
              </w:rPr>
              <w:t> </w:t>
            </w:r>
            <w:r>
              <w:rPr>
                <w:sz w:val="24"/>
              </w:rPr>
              <w:t>Mechanically</w:t>
            </w:r>
            <w:r>
              <w:rPr>
                <w:spacing w:val="-10"/>
                <w:sz w:val="24"/>
              </w:rPr>
              <w:t> </w:t>
            </w:r>
            <w:r>
              <w:rPr>
                <w:spacing w:val="-2"/>
                <w:sz w:val="24"/>
              </w:rPr>
              <w:t>Extracted</w:t>
            </w:r>
          </w:p>
        </w:tc>
      </w:tr>
      <w:tr>
        <w:trPr>
          <w:trHeight w:val="552" w:hRule="atLeast"/>
        </w:trPr>
        <w:tc>
          <w:tcPr>
            <w:tcW w:w="1590" w:type="dxa"/>
          </w:tcPr>
          <w:p>
            <w:pPr>
              <w:pStyle w:val="TableParagraph"/>
              <w:spacing w:before="133"/>
              <w:ind w:left="50"/>
              <w:rPr>
                <w:sz w:val="24"/>
              </w:rPr>
            </w:pPr>
            <w:r>
              <w:rPr>
                <w:spacing w:val="-2"/>
                <w:sz w:val="24"/>
              </w:rPr>
              <w:t>UNIFEM</w:t>
            </w:r>
          </w:p>
        </w:tc>
        <w:tc>
          <w:tcPr>
            <w:tcW w:w="5367" w:type="dxa"/>
          </w:tcPr>
          <w:p>
            <w:pPr>
              <w:pStyle w:val="TableParagraph"/>
              <w:spacing w:before="133"/>
              <w:ind w:left="620"/>
              <w:rPr>
                <w:sz w:val="24"/>
              </w:rPr>
            </w:pPr>
            <w:r>
              <w:rPr>
                <w:sz w:val="24"/>
              </w:rPr>
              <w:t>United</w:t>
            </w:r>
            <w:r>
              <w:rPr>
                <w:spacing w:val="-5"/>
                <w:sz w:val="24"/>
              </w:rPr>
              <w:t> </w:t>
            </w:r>
            <w:r>
              <w:rPr>
                <w:sz w:val="24"/>
              </w:rPr>
              <w:t>Nations</w:t>
            </w:r>
            <w:r>
              <w:rPr>
                <w:spacing w:val="-4"/>
                <w:sz w:val="24"/>
              </w:rPr>
              <w:t> </w:t>
            </w:r>
            <w:r>
              <w:rPr>
                <w:sz w:val="24"/>
              </w:rPr>
              <w:t>Development Fund for</w:t>
            </w:r>
            <w:r>
              <w:rPr>
                <w:spacing w:val="-3"/>
                <w:sz w:val="24"/>
              </w:rPr>
              <w:t> </w:t>
            </w:r>
            <w:r>
              <w:rPr>
                <w:spacing w:val="-4"/>
                <w:sz w:val="24"/>
              </w:rPr>
              <w:t>Women</w:t>
            </w:r>
          </w:p>
        </w:tc>
      </w:tr>
      <w:tr>
        <w:trPr>
          <w:trHeight w:val="409" w:hRule="atLeast"/>
        </w:trPr>
        <w:tc>
          <w:tcPr>
            <w:tcW w:w="1590" w:type="dxa"/>
          </w:tcPr>
          <w:p>
            <w:pPr>
              <w:pStyle w:val="TableParagraph"/>
              <w:spacing w:line="256" w:lineRule="exact" w:before="133"/>
              <w:ind w:left="50"/>
              <w:rPr>
                <w:sz w:val="24"/>
              </w:rPr>
            </w:pPr>
            <w:r>
              <w:rPr>
                <w:spacing w:val="-5"/>
                <w:sz w:val="24"/>
              </w:rPr>
              <w:t>USE</w:t>
            </w:r>
          </w:p>
        </w:tc>
        <w:tc>
          <w:tcPr>
            <w:tcW w:w="5367" w:type="dxa"/>
          </w:tcPr>
          <w:p>
            <w:pPr>
              <w:pStyle w:val="TableParagraph"/>
              <w:spacing w:line="256" w:lineRule="exact" w:before="133"/>
              <w:ind w:left="620"/>
              <w:rPr>
                <w:sz w:val="24"/>
              </w:rPr>
            </w:pPr>
            <w:r>
              <w:rPr>
                <w:sz w:val="24"/>
              </w:rPr>
              <w:t>Undetoxified</w:t>
            </w:r>
            <w:r>
              <w:rPr>
                <w:spacing w:val="-5"/>
                <w:sz w:val="24"/>
              </w:rPr>
              <w:t> </w:t>
            </w:r>
            <w:r>
              <w:rPr>
                <w:sz w:val="24"/>
              </w:rPr>
              <w:t>Solvent</w:t>
            </w:r>
            <w:r>
              <w:rPr>
                <w:spacing w:val="-1"/>
                <w:sz w:val="24"/>
              </w:rPr>
              <w:t> </w:t>
            </w:r>
            <w:r>
              <w:rPr>
                <w:spacing w:val="-2"/>
                <w:sz w:val="24"/>
              </w:rPr>
              <w:t>Extracted</w:t>
            </w:r>
          </w:p>
        </w:tc>
      </w:tr>
    </w:tbl>
    <w:p>
      <w:pPr>
        <w:spacing w:after="0" w:line="256" w:lineRule="exact"/>
        <w:rPr>
          <w:sz w:val="24"/>
        </w:rPr>
        <w:sectPr>
          <w:type w:val="continuous"/>
          <w:pgSz w:w="12240" w:h="15840"/>
          <w:pgMar w:header="0" w:footer="1012" w:top="1400" w:bottom="1200" w:left="1720" w:right="1300"/>
        </w:sectPr>
      </w:pPr>
    </w:p>
    <w:p>
      <w:pPr>
        <w:pStyle w:val="BodyText"/>
        <w:tabs>
          <w:tab w:pos="2414" w:val="left" w:leader="none"/>
        </w:tabs>
        <w:spacing w:before="63"/>
        <w:ind w:left="253"/>
      </w:pPr>
      <w:r>
        <w:rPr>
          <w:spacing w:val="-5"/>
        </w:rPr>
        <w:t>UV</w:t>
      </w:r>
      <w:r>
        <w:rPr/>
        <w:tab/>
      </w:r>
      <w:r>
        <w:rPr>
          <w:spacing w:val="-2"/>
        </w:rPr>
        <w:t>Ultraviolet</w:t>
      </w:r>
    </w:p>
    <w:p>
      <w:pPr>
        <w:pStyle w:val="BodyText"/>
      </w:pPr>
    </w:p>
    <w:p>
      <w:pPr>
        <w:pStyle w:val="BodyText"/>
        <w:tabs>
          <w:tab w:pos="2414" w:val="left" w:leader="none"/>
        </w:tabs>
        <w:ind w:left="253"/>
      </w:pPr>
      <w:r>
        <w:rPr>
          <w:spacing w:val="-2"/>
        </w:rPr>
        <w:t>W.H.O.</w:t>
      </w:r>
      <w:r>
        <w:rPr/>
        <w:tab/>
        <w:t>World</w:t>
      </w:r>
      <w:r>
        <w:rPr>
          <w:spacing w:val="-4"/>
        </w:rPr>
        <w:t> </w:t>
      </w:r>
      <w:r>
        <w:rPr/>
        <w:t>Health</w:t>
      </w:r>
      <w:r>
        <w:rPr>
          <w:spacing w:val="-7"/>
        </w:rPr>
        <w:t> </w:t>
      </w:r>
      <w:r>
        <w:rPr>
          <w:spacing w:val="-2"/>
        </w:rPr>
        <w:t>Organization</w:t>
      </w:r>
    </w:p>
    <w:p>
      <w:pPr>
        <w:pStyle w:val="BodyText"/>
        <w:spacing w:before="1"/>
      </w:pPr>
    </w:p>
    <w:p>
      <w:pPr>
        <w:pStyle w:val="BodyText"/>
        <w:tabs>
          <w:tab w:pos="2414" w:val="left" w:leader="none"/>
        </w:tabs>
        <w:ind w:left="253"/>
      </w:pPr>
      <w:r>
        <w:rPr>
          <w:spacing w:val="-5"/>
        </w:rPr>
        <w:t>WBC</w:t>
      </w:r>
      <w:r>
        <w:rPr/>
        <w:tab/>
        <w:t>White</w:t>
      </w:r>
      <w:r>
        <w:rPr>
          <w:spacing w:val="-2"/>
        </w:rPr>
        <w:t> </w:t>
      </w:r>
      <w:r>
        <w:rPr/>
        <w:t>Blood</w:t>
      </w:r>
      <w:r>
        <w:rPr>
          <w:spacing w:val="-1"/>
        </w:rPr>
        <w:t> </w:t>
      </w:r>
      <w:r>
        <w:rPr>
          <w:spacing w:val="-4"/>
        </w:rPr>
        <w:t>Cell</w:t>
      </w:r>
    </w:p>
    <w:p>
      <w:pPr>
        <w:spacing w:after="0"/>
        <w:sectPr>
          <w:pgSz w:w="12240" w:h="15840"/>
          <w:pgMar w:header="0" w:footer="1012" w:top="1340" w:bottom="1200" w:left="1720" w:right="1300"/>
        </w:sectPr>
      </w:pPr>
    </w:p>
    <w:p>
      <w:pPr>
        <w:pStyle w:val="Heading1"/>
        <w:spacing w:line="722" w:lineRule="auto"/>
        <w:ind w:left="4317" w:right="4094" w:hanging="3"/>
      </w:pPr>
      <w:r>
        <w:rPr/>
        <w:t>CHAPTER ONE </w:t>
      </w:r>
      <w:r>
        <w:rPr>
          <w:spacing w:val="-2"/>
        </w:rPr>
        <w:t>INTRODUCTION</w:t>
      </w:r>
    </w:p>
    <w:p>
      <w:pPr>
        <w:pStyle w:val="BodyText"/>
        <w:spacing w:before="132"/>
        <w:rPr>
          <w:b/>
        </w:rPr>
      </w:pPr>
    </w:p>
    <w:p>
      <w:pPr>
        <w:pStyle w:val="Heading2"/>
        <w:numPr>
          <w:ilvl w:val="1"/>
          <w:numId w:val="15"/>
        </w:numPr>
        <w:tabs>
          <w:tab w:pos="1747" w:val="left" w:leader="none"/>
        </w:tabs>
        <w:spacing w:line="240" w:lineRule="auto" w:before="0" w:after="0"/>
        <w:ind w:left="1747" w:right="0" w:hanging="719"/>
        <w:jc w:val="both"/>
      </w:pPr>
      <w:bookmarkStart w:name="_TOC_250047" w:id="9"/>
      <w:r>
        <w:rPr/>
        <w:t>Background of</w:t>
      </w:r>
      <w:r>
        <w:rPr>
          <w:spacing w:val="-2"/>
        </w:rPr>
        <w:t> </w:t>
      </w:r>
      <w:r>
        <w:rPr/>
        <w:t>the </w:t>
      </w:r>
      <w:bookmarkEnd w:id="9"/>
      <w:r>
        <w:rPr>
          <w:spacing w:val="-4"/>
        </w:rPr>
        <w:t>Study</w:t>
      </w:r>
    </w:p>
    <w:p>
      <w:pPr>
        <w:pStyle w:val="BodyText"/>
        <w:spacing w:line="480" w:lineRule="auto" w:before="272"/>
        <w:ind w:left="1028" w:right="800"/>
        <w:jc w:val="both"/>
      </w:pPr>
      <w:r>
        <w:rPr/>
        <w:t>Plants are a rich source of many natural products most of which have been extensively used for human welfare including treatment of various diseases (Meskin, 2002; Haubrich, 2003). Medicinal plants have been used as a source of medicine to treat illness since time immemorial (Prasad </w:t>
      </w:r>
      <w:r>
        <w:rPr>
          <w:i/>
        </w:rPr>
        <w:t>et al</w:t>
      </w:r>
      <w:r>
        <w:rPr/>
        <w:t>., 2012; Eja </w:t>
      </w:r>
      <w:r>
        <w:rPr>
          <w:i/>
        </w:rPr>
        <w:t>et al</w:t>
      </w:r>
      <w:r>
        <w:rPr/>
        <w:t>., 2007).</w:t>
      </w:r>
      <w:r>
        <w:rPr>
          <w:spacing w:val="40"/>
        </w:rPr>
        <w:t> </w:t>
      </w:r>
      <w:r>
        <w:rPr/>
        <w:t>Plants have provided</w:t>
      </w:r>
      <w:r>
        <w:rPr>
          <w:spacing w:val="-1"/>
        </w:rPr>
        <w:t> </w:t>
      </w:r>
      <w:r>
        <w:rPr/>
        <w:t>a source</w:t>
      </w:r>
      <w:r>
        <w:rPr>
          <w:spacing w:val="-2"/>
        </w:rPr>
        <w:t> </w:t>
      </w:r>
      <w:r>
        <w:rPr/>
        <w:t>of</w:t>
      </w:r>
      <w:r>
        <w:rPr>
          <w:spacing w:val="-9"/>
        </w:rPr>
        <w:t> </w:t>
      </w:r>
      <w:r>
        <w:rPr/>
        <w:t>old</w:t>
      </w:r>
      <w:r>
        <w:rPr>
          <w:spacing w:val="-1"/>
        </w:rPr>
        <w:t> </w:t>
      </w:r>
      <w:r>
        <w:rPr/>
        <w:t>and modern</w:t>
      </w:r>
      <w:r>
        <w:rPr>
          <w:spacing w:val="-6"/>
        </w:rPr>
        <w:t> </w:t>
      </w:r>
      <w:r>
        <w:rPr/>
        <w:t>drugs, as</w:t>
      </w:r>
      <w:r>
        <w:rPr>
          <w:spacing w:val="-3"/>
        </w:rPr>
        <w:t> </w:t>
      </w:r>
      <w:r>
        <w:rPr/>
        <w:t>plant-derived medicines have made large contributions to humans (Prasad </w:t>
      </w:r>
      <w:r>
        <w:rPr>
          <w:i/>
        </w:rPr>
        <w:t>et al</w:t>
      </w:r>
      <w:r>
        <w:rPr/>
        <w:t>., 2012;</w:t>
      </w:r>
      <w:r>
        <w:rPr>
          <w:spacing w:val="-1"/>
        </w:rPr>
        <w:t> </w:t>
      </w:r>
      <w:r>
        <w:rPr/>
        <w:t>Tapsell </w:t>
      </w:r>
      <w:r>
        <w:rPr>
          <w:i/>
        </w:rPr>
        <w:t>et al</w:t>
      </w:r>
      <w:r>
        <w:rPr/>
        <w:t>., 2006). Their role is twofold in the development of new drugs: they may become the base for development of a medicine and a natural blueprint for the development of new drugs to be used for the treatment of</w:t>
      </w:r>
      <w:r>
        <w:rPr>
          <w:spacing w:val="-3"/>
        </w:rPr>
        <w:t> </w:t>
      </w:r>
      <w:r>
        <w:rPr/>
        <w:t>diseases (Iwu, 1993). Medicinal plants provide bountiful resource of</w:t>
      </w:r>
      <w:r>
        <w:rPr>
          <w:spacing w:val="-3"/>
        </w:rPr>
        <w:t> </w:t>
      </w:r>
      <w:r>
        <w:rPr/>
        <w:t>active compounds for the pharmaceutical, cosmetics and food industries, and also in agriculture for pest control (Rice, 1995). For example, </w:t>
      </w:r>
      <w:r>
        <w:rPr>
          <w:i/>
        </w:rPr>
        <w:t>Arnica montana </w:t>
      </w:r>
      <w:r>
        <w:rPr/>
        <w:t>is used for treatment of osteoarthritis (Widrig </w:t>
      </w:r>
      <w:r>
        <w:rPr>
          <w:i/>
        </w:rPr>
        <w:t>et al</w:t>
      </w:r>
      <w:r>
        <w:rPr/>
        <w:t>., 2007) and </w:t>
      </w:r>
      <w:r>
        <w:rPr>
          <w:i/>
        </w:rPr>
        <w:t>Azadirachta indica </w:t>
      </w:r>
      <w:r>
        <w:rPr/>
        <w:t>is used in treatment of malaria and rheumatism (Ganguli, 2002). Herbal medicinal plants are preferred to synthetic chemical agents because of higher cultural acceptability and</w:t>
      </w:r>
      <w:r>
        <w:rPr>
          <w:spacing w:val="80"/>
        </w:rPr>
        <w:t> </w:t>
      </w:r>
      <w:r>
        <w:rPr/>
        <w:t>lesser side effects (Prasad </w:t>
      </w:r>
      <w:r>
        <w:rPr>
          <w:i/>
        </w:rPr>
        <w:t>et al</w:t>
      </w:r>
      <w:r>
        <w:rPr/>
        <w:t>., 2012). The chemical compounds present in herbal products are believed to have better compatibility with the human body (Khanna </w:t>
      </w:r>
      <w:r>
        <w:rPr>
          <w:i/>
        </w:rPr>
        <w:t>et al</w:t>
      </w:r>
      <w:r>
        <w:rPr/>
        <w:t>., </w:t>
      </w:r>
      <w:r>
        <w:rPr>
          <w:spacing w:val="-2"/>
        </w:rPr>
        <w:t>1986).</w:t>
      </w:r>
    </w:p>
    <w:p>
      <w:pPr>
        <w:pStyle w:val="BodyText"/>
        <w:spacing w:before="271"/>
      </w:pPr>
    </w:p>
    <w:p>
      <w:pPr>
        <w:pStyle w:val="BodyText"/>
        <w:spacing w:line="480" w:lineRule="auto"/>
        <w:ind w:left="1028" w:right="801"/>
        <w:jc w:val="both"/>
      </w:pPr>
      <w:r>
        <w:rPr/>
        <w:t>Many varieties of seed are cultivated for their oil, but more commonly, the residue left after removal of the oil is used for feeding of animals (Trabi </w:t>
      </w:r>
      <w:r>
        <w:rPr>
          <w:i/>
        </w:rPr>
        <w:t>et al</w:t>
      </w:r>
      <w:r>
        <w:rPr/>
        <w:t>., 1997). The protein content</w:t>
      </w:r>
      <w:r>
        <w:rPr>
          <w:spacing w:val="29"/>
        </w:rPr>
        <w:t> </w:t>
      </w:r>
      <w:r>
        <w:rPr/>
        <w:t>of</w:t>
      </w:r>
      <w:r>
        <w:rPr>
          <w:spacing w:val="21"/>
        </w:rPr>
        <w:t> </w:t>
      </w:r>
      <w:r>
        <w:rPr/>
        <w:t>the</w:t>
      </w:r>
      <w:r>
        <w:rPr>
          <w:spacing w:val="28"/>
        </w:rPr>
        <w:t> </w:t>
      </w:r>
      <w:r>
        <w:rPr/>
        <w:t>residue</w:t>
      </w:r>
      <w:r>
        <w:rPr>
          <w:spacing w:val="32"/>
        </w:rPr>
        <w:t> </w:t>
      </w:r>
      <w:r>
        <w:rPr/>
        <w:t>is</w:t>
      </w:r>
      <w:r>
        <w:rPr>
          <w:spacing w:val="31"/>
        </w:rPr>
        <w:t> </w:t>
      </w:r>
      <w:r>
        <w:rPr/>
        <w:t>usually</w:t>
      </w:r>
      <w:r>
        <w:rPr>
          <w:spacing w:val="29"/>
        </w:rPr>
        <w:t> </w:t>
      </w:r>
      <w:r>
        <w:rPr/>
        <w:t>high</w:t>
      </w:r>
      <w:r>
        <w:rPr>
          <w:spacing w:val="28"/>
        </w:rPr>
        <w:t> </w:t>
      </w:r>
      <w:r>
        <w:rPr/>
        <w:t>and</w:t>
      </w:r>
      <w:r>
        <w:rPr>
          <w:spacing w:val="33"/>
        </w:rPr>
        <w:t> </w:t>
      </w:r>
      <w:r>
        <w:rPr/>
        <w:t>the</w:t>
      </w:r>
      <w:r>
        <w:rPr>
          <w:spacing w:val="28"/>
        </w:rPr>
        <w:t> </w:t>
      </w:r>
      <w:r>
        <w:rPr/>
        <w:t>carbohydrate</w:t>
      </w:r>
      <w:r>
        <w:rPr>
          <w:spacing w:val="28"/>
        </w:rPr>
        <w:t> </w:t>
      </w:r>
      <w:r>
        <w:rPr/>
        <w:t>content</w:t>
      </w:r>
      <w:r>
        <w:rPr>
          <w:spacing w:val="34"/>
        </w:rPr>
        <w:t> </w:t>
      </w:r>
      <w:r>
        <w:rPr/>
        <w:t>low</w:t>
      </w:r>
      <w:r>
        <w:rPr>
          <w:spacing w:val="40"/>
        </w:rPr>
        <w:t> </w:t>
      </w:r>
      <w:r>
        <w:rPr/>
        <w:t>(Makkar</w:t>
      </w:r>
      <w:r>
        <w:rPr>
          <w:spacing w:val="30"/>
        </w:rPr>
        <w:t> </w:t>
      </w:r>
      <w:r>
        <w:rPr>
          <w:spacing w:val="-5"/>
        </w:rPr>
        <w:t>and</w:t>
      </w:r>
    </w:p>
    <w:p>
      <w:pPr>
        <w:spacing w:after="0" w:line="480" w:lineRule="auto"/>
        <w:jc w:val="both"/>
        <w:sectPr>
          <w:footerReference w:type="default" r:id="rId6"/>
          <w:pgSz w:w="11910" w:h="16840"/>
          <w:pgMar w:header="0" w:footer="1012" w:top="1340" w:bottom="1200" w:left="960" w:right="620"/>
          <w:pgNumType w:start="21"/>
        </w:sectPr>
      </w:pPr>
    </w:p>
    <w:p>
      <w:pPr>
        <w:pStyle w:val="BodyText"/>
        <w:spacing w:line="480" w:lineRule="auto" w:before="79"/>
        <w:ind w:left="1028" w:right="799"/>
        <w:jc w:val="both"/>
      </w:pPr>
      <w:r>
        <w:rPr/>
        <w:t>Becker, 1999). The fat content depends on the method used to remove the oil. More</w:t>
      </w:r>
      <w:r>
        <w:rPr>
          <w:spacing w:val="40"/>
        </w:rPr>
        <w:t> </w:t>
      </w:r>
      <w:r>
        <w:rPr/>
        <w:t>than 90% of oil producing plants are found in the tropics and sub tropics, a far higher percentage than other group of food plants (Rehm and Espig, 1991). The cultivation of oil plants is considered therefore to play a major role in their political and economic development (Rehm and Espig, 1991). Oil seeds have an advantage over other seeds in that, the oil with a higher nutritional and economic value can be extracted first, while protein rich fraction left after extraction of the oil can be exploited as a protein supplement for animal diets, thus reducing cost as protein is the most expensive component of animal diet (Makkar and Becker, 1999).</w:t>
      </w:r>
    </w:p>
    <w:p>
      <w:pPr>
        <w:pStyle w:val="BodyText"/>
      </w:pPr>
    </w:p>
    <w:p>
      <w:pPr>
        <w:pStyle w:val="BodyText"/>
        <w:spacing w:before="2"/>
      </w:pPr>
    </w:p>
    <w:p>
      <w:pPr>
        <w:pStyle w:val="BodyText"/>
        <w:spacing w:line="480" w:lineRule="auto"/>
        <w:ind w:left="1028" w:right="801"/>
        <w:jc w:val="both"/>
      </w:pPr>
      <w:r>
        <w:rPr/>
        <w:t>Seeds usually contain large amount of stored materials such as starch, oil and minerals required for seed growth and early plant growth. These stored materials make plants highly susceptible to attack by microorganisms, insects, birds and animals so that protection against predators is necessary. Plants have evolved to rely upon elaborate chemical defenses towards unwanted predators (Ames </w:t>
      </w:r>
      <w:r>
        <w:rPr>
          <w:i/>
        </w:rPr>
        <w:t>et al</w:t>
      </w:r>
      <w:r>
        <w:rPr/>
        <w:t>., 1990). For this reason, plants produce a wide variety of chemical compounds in form of toxins and antinutritional factors which are toxic to species, ranging from bacteria to humans (Keddy, 2007). Many</w:t>
      </w:r>
      <w:r>
        <w:rPr>
          <w:spacing w:val="-6"/>
        </w:rPr>
        <w:t> </w:t>
      </w:r>
      <w:r>
        <w:rPr/>
        <w:t>plants</w:t>
      </w:r>
      <w:r>
        <w:rPr>
          <w:spacing w:val="-4"/>
        </w:rPr>
        <w:t> </w:t>
      </w:r>
      <w:r>
        <w:rPr/>
        <w:t>are</w:t>
      </w:r>
      <w:r>
        <w:rPr>
          <w:spacing w:val="-3"/>
        </w:rPr>
        <w:t> </w:t>
      </w:r>
      <w:r>
        <w:rPr/>
        <w:t>therefore</w:t>
      </w:r>
      <w:r>
        <w:rPr>
          <w:spacing w:val="-3"/>
        </w:rPr>
        <w:t> </w:t>
      </w:r>
      <w:r>
        <w:rPr/>
        <w:t>not edible</w:t>
      </w:r>
      <w:r>
        <w:rPr>
          <w:spacing w:val="-3"/>
        </w:rPr>
        <w:t> </w:t>
      </w:r>
      <w:r>
        <w:rPr/>
        <w:t>and are</w:t>
      </w:r>
      <w:r>
        <w:rPr>
          <w:spacing w:val="-2"/>
        </w:rPr>
        <w:t> </w:t>
      </w:r>
      <w:r>
        <w:rPr/>
        <w:t>unsafe for</w:t>
      </w:r>
      <w:r>
        <w:rPr>
          <w:spacing w:val="-1"/>
        </w:rPr>
        <w:t> </w:t>
      </w:r>
      <w:r>
        <w:rPr/>
        <w:t>use</w:t>
      </w:r>
      <w:r>
        <w:rPr>
          <w:spacing w:val="-3"/>
        </w:rPr>
        <w:t> </w:t>
      </w:r>
      <w:r>
        <w:rPr/>
        <w:t>as medicines simply because they produce toxins. Plants produce a variety of secondary metabolites, and chemists have subdivided them into various classes based upon their molecular structure. The classes of secondary metabolites include alkaloids, terpenoids, tannins, cyanogenic glycosides and saponins and so forth. The isolation and detoxification of these toxic secondary metabolites and antinutritional factors in conventional oil and</w:t>
      </w:r>
      <w:r>
        <w:rPr>
          <w:spacing w:val="40"/>
        </w:rPr>
        <w:t> </w:t>
      </w:r>
      <w:r>
        <w:rPr/>
        <w:t>non-oilseeds have been attempted (Huisman </w:t>
      </w:r>
      <w:r>
        <w:rPr>
          <w:i/>
        </w:rPr>
        <w:t>et al</w:t>
      </w:r>
      <w:r>
        <w:rPr/>
        <w:t>., 1989; Liener, 1994; D‟Mello, 1995a,b; Hass and Mittelbach, 2000).</w:t>
      </w:r>
    </w:p>
    <w:p>
      <w:pPr>
        <w:spacing w:after="0" w:line="480" w:lineRule="auto"/>
        <w:jc w:val="both"/>
        <w:sectPr>
          <w:pgSz w:w="11910" w:h="16840"/>
          <w:pgMar w:header="0" w:footer="1012" w:top="1320" w:bottom="1200" w:left="960" w:right="620"/>
        </w:sectPr>
      </w:pPr>
    </w:p>
    <w:p>
      <w:pPr>
        <w:pStyle w:val="BodyText"/>
        <w:spacing w:line="480" w:lineRule="auto" w:before="71"/>
        <w:ind w:left="1028" w:right="801"/>
        <w:jc w:val="both"/>
      </w:pPr>
      <w:r>
        <w:rPr>
          <w:i/>
        </w:rPr>
        <w:t>Jatropha</w:t>
      </w:r>
      <w:r>
        <w:rPr>
          <w:i/>
          <w:spacing w:val="-2"/>
        </w:rPr>
        <w:t> </w:t>
      </w:r>
      <w:r>
        <w:rPr>
          <w:i/>
        </w:rPr>
        <w:t>curcas </w:t>
      </w:r>
      <w:r>
        <w:rPr/>
        <w:t>is</w:t>
      </w:r>
      <w:r>
        <w:rPr>
          <w:spacing w:val="-4"/>
        </w:rPr>
        <w:t> </w:t>
      </w:r>
      <w:r>
        <w:rPr/>
        <w:t>a</w:t>
      </w:r>
      <w:r>
        <w:rPr>
          <w:spacing w:val="-3"/>
        </w:rPr>
        <w:t> </w:t>
      </w:r>
      <w:r>
        <w:rPr/>
        <w:t>plant found in</w:t>
      </w:r>
      <w:r>
        <w:rPr>
          <w:spacing w:val="-2"/>
        </w:rPr>
        <w:t> </w:t>
      </w:r>
      <w:r>
        <w:rPr/>
        <w:t>nearly</w:t>
      </w:r>
      <w:r>
        <w:rPr>
          <w:spacing w:val="-6"/>
        </w:rPr>
        <w:t> </w:t>
      </w:r>
      <w:r>
        <w:rPr/>
        <w:t>all</w:t>
      </w:r>
      <w:r>
        <w:rPr>
          <w:spacing w:val="-6"/>
        </w:rPr>
        <w:t> </w:t>
      </w:r>
      <w:r>
        <w:rPr/>
        <w:t>parts</w:t>
      </w:r>
      <w:r>
        <w:rPr>
          <w:spacing w:val="-4"/>
        </w:rPr>
        <w:t> </w:t>
      </w:r>
      <w:r>
        <w:rPr/>
        <w:t>of</w:t>
      </w:r>
      <w:r>
        <w:rPr>
          <w:spacing w:val="-9"/>
        </w:rPr>
        <w:t> </w:t>
      </w:r>
      <w:r>
        <w:rPr/>
        <w:t>the</w:t>
      </w:r>
      <w:r>
        <w:rPr>
          <w:spacing w:val="-3"/>
        </w:rPr>
        <w:t> </w:t>
      </w:r>
      <w:r>
        <w:rPr/>
        <w:t>world</w:t>
      </w:r>
      <w:r>
        <w:rPr>
          <w:spacing w:val="-2"/>
        </w:rPr>
        <w:t> </w:t>
      </w:r>
      <w:r>
        <w:rPr/>
        <w:t>and is not</w:t>
      </w:r>
      <w:r>
        <w:rPr>
          <w:spacing w:val="-2"/>
        </w:rPr>
        <w:t> </w:t>
      </w:r>
      <w:r>
        <w:rPr/>
        <w:t>edible. This is due to its toxicity which is primarily attributed to the presence of a diterpene (phorbol esters) and other antinutrients such as saponins, phytic acids, trypsin inhibitors and lectins (Jongschaap </w:t>
      </w:r>
      <w:r>
        <w:rPr>
          <w:i/>
        </w:rPr>
        <w:t>et al</w:t>
      </w:r>
      <w:r>
        <w:rPr/>
        <w:t>., 2007). Despite its</w:t>
      </w:r>
      <w:r>
        <w:rPr>
          <w:spacing w:val="-3"/>
        </w:rPr>
        <w:t> </w:t>
      </w:r>
      <w:r>
        <w:rPr/>
        <w:t>toxicity, oil from</w:t>
      </w:r>
      <w:r>
        <w:rPr>
          <w:spacing w:val="-4"/>
        </w:rPr>
        <w:t> </w:t>
      </w:r>
      <w:r>
        <w:rPr>
          <w:i/>
        </w:rPr>
        <w:t>Jatropha curcas </w:t>
      </w:r>
      <w:r>
        <w:rPr/>
        <w:t>seed has been</w:t>
      </w:r>
      <w:r>
        <w:rPr>
          <w:spacing w:val="-6"/>
        </w:rPr>
        <w:t> </w:t>
      </w:r>
      <w:r>
        <w:rPr/>
        <w:t>used in folkloric medicine for</w:t>
      </w:r>
      <w:r>
        <w:rPr>
          <w:spacing w:val="-1"/>
        </w:rPr>
        <w:t> </w:t>
      </w:r>
      <w:r>
        <w:rPr/>
        <w:t>the</w:t>
      </w:r>
      <w:r>
        <w:rPr>
          <w:spacing w:val="-3"/>
        </w:rPr>
        <w:t> </w:t>
      </w:r>
      <w:r>
        <w:rPr/>
        <w:t>treatment of</w:t>
      </w:r>
      <w:r>
        <w:rPr>
          <w:spacing w:val="-4"/>
        </w:rPr>
        <w:t> </w:t>
      </w:r>
      <w:r>
        <w:rPr/>
        <w:t>syphilis, soothing</w:t>
      </w:r>
      <w:r>
        <w:rPr>
          <w:spacing w:val="-2"/>
        </w:rPr>
        <w:t> </w:t>
      </w:r>
      <w:r>
        <w:rPr/>
        <w:t>of</w:t>
      </w:r>
      <w:r>
        <w:rPr>
          <w:spacing w:val="-9"/>
        </w:rPr>
        <w:t> </w:t>
      </w:r>
      <w:r>
        <w:rPr/>
        <w:t>pain, treatment of paralysis, dropsy, constipation (due to its strong purgative property) as well as skin diseases which include eczema and rashes, in Africa and various parts of the world (Mujumdar </w:t>
      </w:r>
      <w:r>
        <w:rPr>
          <w:i/>
        </w:rPr>
        <w:t>et al.</w:t>
      </w:r>
      <w:r>
        <w:rPr/>
        <w:t>, 2000).</w:t>
      </w:r>
    </w:p>
    <w:p>
      <w:pPr>
        <w:pStyle w:val="BodyText"/>
      </w:pPr>
    </w:p>
    <w:p>
      <w:pPr>
        <w:pStyle w:val="BodyText"/>
        <w:spacing w:before="2"/>
      </w:pPr>
    </w:p>
    <w:p>
      <w:pPr>
        <w:pStyle w:val="BodyText"/>
        <w:spacing w:line="480" w:lineRule="auto"/>
        <w:ind w:left="1028" w:right="801"/>
        <w:jc w:val="both"/>
      </w:pPr>
      <w:r>
        <w:rPr/>
        <w:t>The various potential uses of </w:t>
      </w:r>
      <w:r>
        <w:rPr>
          <w:i/>
        </w:rPr>
        <w:t>J. curcas </w:t>
      </w:r>
      <w:r>
        <w:rPr/>
        <w:t>oil especially for industrial purposes (biodiesel and soap making) have led to the use of various methods</w:t>
      </w:r>
      <w:r>
        <w:rPr>
          <w:spacing w:val="-1"/>
        </w:rPr>
        <w:t> </w:t>
      </w:r>
      <w:r>
        <w:rPr/>
        <w:t>of</w:t>
      </w:r>
      <w:r>
        <w:rPr>
          <w:spacing w:val="-2"/>
        </w:rPr>
        <w:t> </w:t>
      </w:r>
      <w:r>
        <w:rPr/>
        <w:t>extraction of</w:t>
      </w:r>
      <w:r>
        <w:rPr>
          <w:spacing w:val="-2"/>
        </w:rPr>
        <w:t> </w:t>
      </w:r>
      <w:r>
        <w:rPr/>
        <w:t>the seed oil to obtain a maximum oil yield. These processes include use of solvents such as n-hexane, isopropanol, methanol and petroleum ether among which petroleum ether has been reported to give the highest oil yield (Nzikou </w:t>
      </w:r>
      <w:r>
        <w:rPr>
          <w:i/>
        </w:rPr>
        <w:t>et al</w:t>
      </w:r>
      <w:r>
        <w:rPr/>
        <w:t>., 2009). Other extraction processes include mechanical method as well as enzymatic-solvent extraction (Sharma </w:t>
      </w:r>
      <w:r>
        <w:rPr>
          <w:i/>
        </w:rPr>
        <w:t>et al</w:t>
      </w:r>
      <w:r>
        <w:rPr/>
        <w:t>., </w:t>
      </w:r>
      <w:r>
        <w:rPr>
          <w:spacing w:val="-2"/>
        </w:rPr>
        <w:t>2002).</w:t>
      </w:r>
    </w:p>
    <w:p>
      <w:pPr>
        <w:pStyle w:val="BodyText"/>
      </w:pPr>
    </w:p>
    <w:p>
      <w:pPr>
        <w:pStyle w:val="BodyText"/>
        <w:spacing w:before="7"/>
      </w:pPr>
    </w:p>
    <w:p>
      <w:pPr>
        <w:pStyle w:val="Heading2"/>
        <w:numPr>
          <w:ilvl w:val="1"/>
          <w:numId w:val="15"/>
        </w:numPr>
        <w:tabs>
          <w:tab w:pos="1747" w:val="left" w:leader="none"/>
        </w:tabs>
        <w:spacing w:line="240" w:lineRule="auto" w:before="0" w:after="0"/>
        <w:ind w:left="1747" w:right="0" w:hanging="719"/>
        <w:jc w:val="both"/>
      </w:pPr>
      <w:bookmarkStart w:name="_TOC_250046" w:id="10"/>
      <w:r>
        <w:rPr/>
        <w:t>Statement</w:t>
      </w:r>
      <w:r>
        <w:rPr>
          <w:spacing w:val="-2"/>
        </w:rPr>
        <w:t> </w:t>
      </w:r>
      <w:r>
        <w:rPr/>
        <w:t>of</w:t>
      </w:r>
      <w:r>
        <w:rPr>
          <w:spacing w:val="-4"/>
        </w:rPr>
        <w:t> </w:t>
      </w:r>
      <w:r>
        <w:rPr/>
        <w:t>Research</w:t>
      </w:r>
      <w:bookmarkEnd w:id="10"/>
      <w:r>
        <w:rPr>
          <w:spacing w:val="-2"/>
        </w:rPr>
        <w:t> Problem</w:t>
      </w:r>
    </w:p>
    <w:p>
      <w:pPr>
        <w:pStyle w:val="BodyText"/>
        <w:spacing w:line="480" w:lineRule="auto" w:before="271"/>
        <w:ind w:left="1028" w:right="800"/>
        <w:jc w:val="both"/>
      </w:pPr>
      <w:r>
        <w:rPr>
          <w:i/>
        </w:rPr>
        <w:t>J. curcas </w:t>
      </w:r>
      <w:r>
        <w:rPr/>
        <w:t>is a plant with many potential uses, all parts of which have been used in traditional medicine and for veterinary purposes for a long time (Dalziel, 1955; Duke, 1985). The oil from its seed has been found particularly useful for medicinal and veterinary purposes (Gubitz </w:t>
      </w:r>
      <w:r>
        <w:rPr>
          <w:i/>
        </w:rPr>
        <w:t>et al</w:t>
      </w:r>
      <w:r>
        <w:rPr/>
        <w:t>., 1999). It is also used as an insecticide, for soap production and as a fuel substitute (Gubitz </w:t>
      </w:r>
      <w:r>
        <w:rPr>
          <w:i/>
        </w:rPr>
        <w:t>et al</w:t>
      </w:r>
      <w:r>
        <w:rPr/>
        <w:t>., 1999).</w:t>
      </w:r>
      <w:r>
        <w:rPr>
          <w:spacing w:val="40"/>
        </w:rPr>
        <w:t> </w:t>
      </w:r>
      <w:r>
        <w:rPr/>
        <w:t>The seed contains about 20- 40%</w:t>
      </w:r>
      <w:r>
        <w:rPr>
          <w:spacing w:val="18"/>
        </w:rPr>
        <w:t> </w:t>
      </w:r>
      <w:r>
        <w:rPr/>
        <w:t>oil</w:t>
      </w:r>
      <w:r>
        <w:rPr>
          <w:spacing w:val="20"/>
        </w:rPr>
        <w:t> </w:t>
      </w:r>
      <w:r>
        <w:rPr/>
        <w:t>with</w:t>
      </w:r>
      <w:r>
        <w:rPr>
          <w:spacing w:val="20"/>
        </w:rPr>
        <w:t> </w:t>
      </w:r>
      <w:r>
        <w:rPr/>
        <w:t>a</w:t>
      </w:r>
      <w:r>
        <w:rPr>
          <w:spacing w:val="29"/>
        </w:rPr>
        <w:t> </w:t>
      </w:r>
      <w:r>
        <w:rPr/>
        <w:t>fatty</w:t>
      </w:r>
      <w:r>
        <w:rPr>
          <w:spacing w:val="15"/>
        </w:rPr>
        <w:t> </w:t>
      </w:r>
      <w:r>
        <w:rPr/>
        <w:t>acid</w:t>
      </w:r>
      <w:r>
        <w:rPr>
          <w:spacing w:val="24"/>
        </w:rPr>
        <w:t> </w:t>
      </w:r>
      <w:r>
        <w:rPr/>
        <w:t>composition</w:t>
      </w:r>
      <w:r>
        <w:rPr>
          <w:spacing w:val="25"/>
        </w:rPr>
        <w:t> </w:t>
      </w:r>
      <w:r>
        <w:rPr/>
        <w:t>similar</w:t>
      </w:r>
      <w:r>
        <w:rPr>
          <w:spacing w:val="26"/>
        </w:rPr>
        <w:t> </w:t>
      </w:r>
      <w:r>
        <w:rPr/>
        <w:t>to</w:t>
      </w:r>
      <w:r>
        <w:rPr>
          <w:spacing w:val="20"/>
        </w:rPr>
        <w:t> </w:t>
      </w:r>
      <w:r>
        <w:rPr/>
        <w:t>that</w:t>
      </w:r>
      <w:r>
        <w:rPr>
          <w:spacing w:val="25"/>
        </w:rPr>
        <w:t> </w:t>
      </w:r>
      <w:r>
        <w:rPr/>
        <w:t>of</w:t>
      </w:r>
      <w:r>
        <w:rPr>
          <w:spacing w:val="16"/>
        </w:rPr>
        <w:t> </w:t>
      </w:r>
      <w:r>
        <w:rPr/>
        <w:t>oils</w:t>
      </w:r>
      <w:r>
        <w:rPr>
          <w:spacing w:val="23"/>
        </w:rPr>
        <w:t> </w:t>
      </w:r>
      <w:r>
        <w:rPr/>
        <w:t>used</w:t>
      </w:r>
      <w:r>
        <w:rPr>
          <w:spacing w:val="29"/>
        </w:rPr>
        <w:t> </w:t>
      </w:r>
      <w:r>
        <w:rPr/>
        <w:t>for</w:t>
      </w:r>
      <w:r>
        <w:rPr>
          <w:spacing w:val="26"/>
        </w:rPr>
        <w:t> </w:t>
      </w:r>
      <w:r>
        <w:rPr/>
        <w:t>human</w:t>
      </w:r>
      <w:r>
        <w:rPr>
          <w:spacing w:val="25"/>
        </w:rPr>
        <w:t> </w:t>
      </w:r>
      <w:r>
        <w:rPr>
          <w:spacing w:val="-2"/>
        </w:rPr>
        <w:t>nutrition</w:t>
      </w:r>
    </w:p>
    <w:p>
      <w:pPr>
        <w:spacing w:after="0" w:line="480" w:lineRule="auto"/>
        <w:jc w:val="both"/>
        <w:sectPr>
          <w:pgSz w:w="11910" w:h="16840"/>
          <w:pgMar w:header="0" w:footer="1012" w:top="1880" w:bottom="1200" w:left="960" w:right="620"/>
        </w:sectPr>
      </w:pPr>
    </w:p>
    <w:p>
      <w:pPr>
        <w:pStyle w:val="BodyText"/>
        <w:spacing w:line="480" w:lineRule="auto" w:before="79"/>
        <w:ind w:left="1028" w:right="799"/>
        <w:jc w:val="both"/>
      </w:pPr>
      <w:r>
        <w:rPr/>
        <w:t>(Gubitz </w:t>
      </w:r>
      <w:r>
        <w:rPr>
          <w:i/>
        </w:rPr>
        <w:t>et al</w:t>
      </w:r>
      <w:r>
        <w:rPr/>
        <w:t>., 1998; Augustus </w:t>
      </w:r>
      <w:r>
        <w:rPr>
          <w:i/>
        </w:rPr>
        <w:t>et al</w:t>
      </w:r>
      <w:r>
        <w:rPr/>
        <w:t>., 2002).</w:t>
      </w:r>
      <w:r>
        <w:rPr>
          <w:spacing w:val="40"/>
        </w:rPr>
        <w:t> </w:t>
      </w:r>
      <w:r>
        <w:rPr/>
        <w:t>However, antinutrients like trypsin inhibitor, lectin and phytate (Martinez-Herrera </w:t>
      </w:r>
      <w:r>
        <w:rPr>
          <w:i/>
        </w:rPr>
        <w:t>et al</w:t>
      </w:r>
      <w:r>
        <w:rPr/>
        <w:t>., 2006), and two major toxic components - curcin and phorbol esters (PEs), are present in Jatropha seeds (Makkar</w:t>
      </w:r>
      <w:r>
        <w:rPr>
          <w:spacing w:val="40"/>
        </w:rPr>
        <w:t> </w:t>
      </w:r>
      <w:r>
        <w:rPr/>
        <w:t>and Becker, 1997a), though only phorbol esters</w:t>
      </w:r>
      <w:r>
        <w:rPr>
          <w:spacing w:val="40"/>
        </w:rPr>
        <w:t> </w:t>
      </w:r>
      <w:r>
        <w:rPr/>
        <w:t>and curcin (a toxalbumin)</w:t>
      </w:r>
      <w:r>
        <w:rPr>
          <w:spacing w:val="40"/>
        </w:rPr>
        <w:t> </w:t>
      </w:r>
      <w:r>
        <w:rPr/>
        <w:t>have been reported as the toxic components present in the oil (Makkar and Becker, 1997a; Kpoviessi </w:t>
      </w:r>
      <w:r>
        <w:rPr>
          <w:i/>
        </w:rPr>
        <w:t>et al</w:t>
      </w:r>
      <w:r>
        <w:rPr/>
        <w:t>., 2004), making it unsuitable for consumption and ordinarily unsafe for medicinal uses as this may cause both acute and chronic toxicity effects following long term use hence the need for detoxification.</w:t>
      </w:r>
    </w:p>
    <w:p>
      <w:pPr>
        <w:pStyle w:val="BodyText"/>
      </w:pPr>
    </w:p>
    <w:p>
      <w:pPr>
        <w:pStyle w:val="BodyText"/>
        <w:spacing w:before="2"/>
      </w:pPr>
    </w:p>
    <w:p>
      <w:pPr>
        <w:pStyle w:val="BodyText"/>
        <w:spacing w:line="480" w:lineRule="auto"/>
        <w:ind w:left="1028" w:right="803" w:firstLine="57"/>
        <w:jc w:val="both"/>
      </w:pPr>
      <w:r>
        <w:rPr/>
        <w:t>Various methods</w:t>
      </w:r>
      <w:r>
        <w:rPr>
          <w:spacing w:val="-2"/>
        </w:rPr>
        <w:t> </w:t>
      </w:r>
      <w:r>
        <w:rPr/>
        <w:t>such</w:t>
      </w:r>
      <w:r>
        <w:rPr>
          <w:spacing w:val="-5"/>
        </w:rPr>
        <w:t> </w:t>
      </w:r>
      <w:r>
        <w:rPr/>
        <w:t>as</w:t>
      </w:r>
      <w:r>
        <w:rPr>
          <w:spacing w:val="-2"/>
        </w:rPr>
        <w:t> </w:t>
      </w:r>
      <w:r>
        <w:rPr/>
        <w:t>the</w:t>
      </w:r>
      <w:r>
        <w:rPr>
          <w:spacing w:val="-1"/>
        </w:rPr>
        <w:t> </w:t>
      </w:r>
      <w:r>
        <w:rPr/>
        <w:t>use</w:t>
      </w:r>
      <w:r>
        <w:rPr>
          <w:spacing w:val="-1"/>
        </w:rPr>
        <w:t> </w:t>
      </w:r>
      <w:r>
        <w:rPr/>
        <w:t>of</w:t>
      </w:r>
      <w:r>
        <w:rPr>
          <w:spacing w:val="-8"/>
        </w:rPr>
        <w:t> </w:t>
      </w:r>
      <w:r>
        <w:rPr/>
        <w:t>alcohols</w:t>
      </w:r>
      <w:r>
        <w:rPr>
          <w:spacing w:val="-2"/>
        </w:rPr>
        <w:t> </w:t>
      </w:r>
      <w:r>
        <w:rPr/>
        <w:t>to extract phorbol</w:t>
      </w:r>
      <w:r>
        <w:rPr>
          <w:spacing w:val="-9"/>
        </w:rPr>
        <w:t> </w:t>
      </w:r>
      <w:r>
        <w:rPr/>
        <w:t>esters from</w:t>
      </w:r>
      <w:r>
        <w:rPr>
          <w:spacing w:val="-9"/>
        </w:rPr>
        <w:t> </w:t>
      </w:r>
      <w:r>
        <w:rPr/>
        <w:t>seeds</w:t>
      </w:r>
      <w:r>
        <w:rPr>
          <w:spacing w:val="-2"/>
        </w:rPr>
        <w:t> </w:t>
      </w:r>
      <w:r>
        <w:rPr/>
        <w:t>(Gross </w:t>
      </w:r>
      <w:r>
        <w:rPr>
          <w:i/>
        </w:rPr>
        <w:t>et al</w:t>
      </w:r>
      <w:r>
        <w:rPr/>
        <w:t>., 1997), as well as physical methods which include the use of heat and ultraviolet light rays have been employed for its detoxification. Most of these methods have their limitations; both money and time consuming (Aregheore </w:t>
      </w:r>
      <w:r>
        <w:rPr>
          <w:i/>
        </w:rPr>
        <w:t>et al</w:t>
      </w:r>
      <w:r>
        <w:rPr/>
        <w:t>., 2003) and are only directed towards the industrial potentials of the oil and not its undeniable uses in folkloric medicine.</w:t>
      </w:r>
    </w:p>
    <w:p>
      <w:pPr>
        <w:pStyle w:val="BodyText"/>
      </w:pPr>
    </w:p>
    <w:p>
      <w:pPr>
        <w:pStyle w:val="BodyText"/>
        <w:spacing w:before="1"/>
      </w:pPr>
    </w:p>
    <w:p>
      <w:pPr>
        <w:pStyle w:val="BodyText"/>
        <w:spacing w:line="480" w:lineRule="auto"/>
        <w:ind w:left="1028" w:right="800"/>
        <w:jc w:val="both"/>
      </w:pPr>
      <w:r>
        <w:rPr/>
        <w:t>Conventional edible oil refining methods as described by Bokisch (1993) and O‟Brian (1998), have been reported to cause a reduction in the</w:t>
      </w:r>
      <w:r>
        <w:rPr>
          <w:spacing w:val="21"/>
        </w:rPr>
        <w:t> </w:t>
      </w:r>
      <w:r>
        <w:rPr/>
        <w:t>level of phorbol esters in the oil</w:t>
      </w:r>
      <w:r>
        <w:rPr>
          <w:spacing w:val="40"/>
        </w:rPr>
        <w:t> </w:t>
      </w:r>
      <w:r>
        <w:rPr/>
        <w:t>in an </w:t>
      </w:r>
      <w:r>
        <w:rPr>
          <w:i/>
        </w:rPr>
        <w:t>in vitro </w:t>
      </w:r>
      <w:r>
        <w:rPr/>
        <w:t>study</w:t>
      </w:r>
      <w:r>
        <w:rPr>
          <w:spacing w:val="-5"/>
        </w:rPr>
        <w:t> </w:t>
      </w:r>
      <w:r>
        <w:rPr/>
        <w:t>(Haas and Mittelbach, 2000), a</w:t>
      </w:r>
      <w:r>
        <w:rPr>
          <w:spacing w:val="-1"/>
        </w:rPr>
        <w:t> </w:t>
      </w:r>
      <w:r>
        <w:rPr/>
        <w:t>process whose effects have not been confirmed on its toxicity and pharmacological activities in animals.</w:t>
      </w:r>
    </w:p>
    <w:p>
      <w:pPr>
        <w:pStyle w:val="BodyText"/>
      </w:pPr>
    </w:p>
    <w:p>
      <w:pPr>
        <w:pStyle w:val="BodyText"/>
        <w:spacing w:before="1"/>
      </w:pPr>
    </w:p>
    <w:p>
      <w:pPr>
        <w:pStyle w:val="BodyText"/>
        <w:spacing w:line="480" w:lineRule="auto" w:before="1"/>
        <w:ind w:left="1028" w:right="799"/>
        <w:jc w:val="both"/>
      </w:pPr>
      <w:r>
        <w:rPr/>
        <w:t>Solvent extraction process yields more oil relative to other methods (Sharma </w:t>
      </w:r>
      <w:r>
        <w:rPr>
          <w:i/>
        </w:rPr>
        <w:t>et al</w:t>
      </w:r>
      <w:r>
        <w:rPr/>
        <w:t>., 2002). However, trace quantities of the extraction solvents might be retained in the oils after extraction; a factor which may increase the toxicity and alter the physicochemical</w:t>
      </w:r>
    </w:p>
    <w:p>
      <w:pPr>
        <w:spacing w:after="0" w:line="480" w:lineRule="auto"/>
        <w:jc w:val="both"/>
        <w:sectPr>
          <w:pgSz w:w="11910" w:h="16840"/>
          <w:pgMar w:header="0" w:footer="1012" w:top="1320" w:bottom="1200" w:left="960" w:right="620"/>
        </w:sectPr>
      </w:pPr>
    </w:p>
    <w:p>
      <w:pPr>
        <w:pStyle w:val="BodyText"/>
        <w:spacing w:line="480" w:lineRule="auto" w:before="79"/>
        <w:ind w:left="1028" w:right="804"/>
        <w:jc w:val="both"/>
      </w:pPr>
      <w:r>
        <w:rPr/>
        <w:t>properties of</w:t>
      </w:r>
      <w:r>
        <w:rPr>
          <w:spacing w:val="-3"/>
        </w:rPr>
        <w:t> </w:t>
      </w:r>
      <w:r>
        <w:rPr/>
        <w:t>the oil. Such may pose more harm</w:t>
      </w:r>
      <w:r>
        <w:rPr>
          <w:spacing w:val="-5"/>
        </w:rPr>
        <w:t> </w:t>
      </w:r>
      <w:r>
        <w:rPr/>
        <w:t>especially when the oil is envisaged for medicinal and consumption purposes.</w:t>
      </w:r>
    </w:p>
    <w:p>
      <w:pPr>
        <w:pStyle w:val="Heading2"/>
        <w:numPr>
          <w:ilvl w:val="1"/>
          <w:numId w:val="15"/>
        </w:numPr>
        <w:tabs>
          <w:tab w:pos="1747" w:val="left" w:leader="none"/>
        </w:tabs>
        <w:spacing w:line="240" w:lineRule="auto" w:before="6" w:after="0"/>
        <w:ind w:left="1747" w:right="0" w:hanging="719"/>
        <w:jc w:val="both"/>
      </w:pPr>
      <w:bookmarkStart w:name="_TOC_250045" w:id="11"/>
      <w:r>
        <w:rPr/>
        <w:t>Justification</w:t>
      </w:r>
      <w:r>
        <w:rPr>
          <w:spacing w:val="1"/>
        </w:rPr>
        <w:t> </w:t>
      </w:r>
      <w:r>
        <w:rPr/>
        <w:t>of</w:t>
      </w:r>
      <w:r>
        <w:rPr>
          <w:spacing w:val="-2"/>
        </w:rPr>
        <w:t> </w:t>
      </w:r>
      <w:r>
        <w:rPr/>
        <w:t>the</w:t>
      </w:r>
      <w:r>
        <w:rPr>
          <w:spacing w:val="-5"/>
        </w:rPr>
        <w:t> </w:t>
      </w:r>
      <w:bookmarkEnd w:id="11"/>
      <w:r>
        <w:rPr>
          <w:spacing w:val="-2"/>
        </w:rPr>
        <w:t>Study</w:t>
      </w:r>
    </w:p>
    <w:p>
      <w:pPr>
        <w:pStyle w:val="BodyText"/>
        <w:spacing w:line="480" w:lineRule="auto" w:before="271"/>
        <w:ind w:left="1028" w:right="803"/>
        <w:jc w:val="both"/>
      </w:pPr>
      <w:r>
        <w:rPr>
          <w:i/>
        </w:rPr>
        <w:t>J. curcas </w:t>
      </w:r>
      <w:r>
        <w:rPr/>
        <w:t>oil</w:t>
      </w:r>
      <w:r>
        <w:rPr>
          <w:spacing w:val="-1"/>
        </w:rPr>
        <w:t> </w:t>
      </w:r>
      <w:r>
        <w:rPr/>
        <w:t>has been</w:t>
      </w:r>
      <w:r>
        <w:rPr>
          <w:spacing w:val="-1"/>
        </w:rPr>
        <w:t> </w:t>
      </w:r>
      <w:r>
        <w:rPr/>
        <w:t>reported</w:t>
      </w:r>
      <w:r>
        <w:rPr>
          <w:spacing w:val="-1"/>
        </w:rPr>
        <w:t> </w:t>
      </w:r>
      <w:r>
        <w:rPr/>
        <w:t>to have good medicinal</w:t>
      </w:r>
      <w:r>
        <w:rPr>
          <w:spacing w:val="-1"/>
        </w:rPr>
        <w:t> </w:t>
      </w:r>
      <w:r>
        <w:rPr/>
        <w:t>and nutritional</w:t>
      </w:r>
      <w:r>
        <w:rPr>
          <w:spacing w:val="-1"/>
        </w:rPr>
        <w:t> </w:t>
      </w:r>
      <w:r>
        <w:rPr/>
        <w:t>potentials but for its toxicity (Gubitz </w:t>
      </w:r>
      <w:r>
        <w:rPr>
          <w:i/>
        </w:rPr>
        <w:t>et al</w:t>
      </w:r>
      <w:r>
        <w:rPr/>
        <w:t>., 1999). Though the oil has been mostly exploited for its industrial potentials, it is also widely used in folkloric medicine in many countries in Africa and other parts of the world, despite its toxicity (Jongschaap </w:t>
      </w:r>
      <w:r>
        <w:rPr>
          <w:i/>
        </w:rPr>
        <w:t>et al</w:t>
      </w:r>
      <w:r>
        <w:rPr/>
        <w:t>., 2007); a</w:t>
      </w:r>
      <w:r>
        <w:rPr>
          <w:spacing w:val="40"/>
        </w:rPr>
        <w:t> </w:t>
      </w:r>
      <w:r>
        <w:rPr/>
        <w:t>factor which raises concern for the need for detoxification through simple conventional edible oil refining</w:t>
      </w:r>
      <w:r>
        <w:rPr>
          <w:spacing w:val="30"/>
        </w:rPr>
        <w:t> </w:t>
      </w:r>
      <w:r>
        <w:rPr/>
        <w:t>methods which may not destroy the medicinal activity of the oil in the process so as to make the oil safer and still medicinally available for both folkloric, modern medicinal as well as industrial uses.</w:t>
      </w:r>
    </w:p>
    <w:p>
      <w:pPr>
        <w:pStyle w:val="BodyText"/>
      </w:pPr>
    </w:p>
    <w:p>
      <w:pPr>
        <w:pStyle w:val="BodyText"/>
        <w:spacing w:before="2"/>
      </w:pPr>
    </w:p>
    <w:p>
      <w:pPr>
        <w:pStyle w:val="BodyText"/>
        <w:spacing w:line="480" w:lineRule="auto"/>
        <w:ind w:left="1028" w:right="806"/>
        <w:jc w:val="both"/>
      </w:pPr>
      <w:r>
        <w:rPr/>
        <w:t>The variation in the level of toxins in the plant among geographical locations (Ahmed and Salimon, 2009), gives the possibility of total or near-total detoxification in regions with low toxicity. This study therefore seeks to determine the extraction method that yields possibly less</w:t>
      </w:r>
      <w:r>
        <w:rPr>
          <w:spacing w:val="-1"/>
        </w:rPr>
        <w:t> </w:t>
      </w:r>
      <w:r>
        <w:rPr/>
        <w:t>toxic starting oil for detoxification (by</w:t>
      </w:r>
      <w:r>
        <w:rPr>
          <w:spacing w:val="-4"/>
        </w:rPr>
        <w:t> </w:t>
      </w:r>
      <w:r>
        <w:rPr/>
        <w:t>comparing the toxicity</w:t>
      </w:r>
      <w:r>
        <w:rPr>
          <w:spacing w:val="-4"/>
        </w:rPr>
        <w:t> </w:t>
      </w:r>
      <w:r>
        <w:rPr/>
        <w:t>of</w:t>
      </w:r>
      <w:r>
        <w:rPr>
          <w:spacing w:val="-7"/>
        </w:rPr>
        <w:t> </w:t>
      </w:r>
      <w:r>
        <w:rPr/>
        <w:t>the solvent extracted oil against the mechanically extracted oil through their phorbol ester levels), as well as compare the use of naturally available and cheaper materials with synthetic ones in the detoxification process of the mechanically extracted oil.</w:t>
      </w:r>
    </w:p>
    <w:p>
      <w:pPr>
        <w:pStyle w:val="BodyText"/>
      </w:pPr>
    </w:p>
    <w:p>
      <w:pPr>
        <w:pStyle w:val="BodyText"/>
        <w:spacing w:before="6"/>
      </w:pPr>
    </w:p>
    <w:p>
      <w:pPr>
        <w:pStyle w:val="Heading2"/>
        <w:numPr>
          <w:ilvl w:val="1"/>
          <w:numId w:val="15"/>
        </w:numPr>
        <w:tabs>
          <w:tab w:pos="1747" w:val="left" w:leader="none"/>
        </w:tabs>
        <w:spacing w:line="240" w:lineRule="auto" w:before="0" w:after="0"/>
        <w:ind w:left="1747" w:right="0" w:hanging="719"/>
        <w:jc w:val="both"/>
      </w:pPr>
      <w:r>
        <w:rPr/>
        <w:t>Aim</w:t>
      </w:r>
      <w:r>
        <w:rPr>
          <w:spacing w:val="-3"/>
        </w:rPr>
        <w:t> </w:t>
      </w:r>
      <w:r>
        <w:rPr/>
        <w:t>and</w:t>
      </w:r>
      <w:r>
        <w:rPr>
          <w:spacing w:val="3"/>
        </w:rPr>
        <w:t> </w:t>
      </w:r>
      <w:r>
        <w:rPr>
          <w:spacing w:val="-2"/>
        </w:rPr>
        <w:t>Objectives</w:t>
      </w:r>
    </w:p>
    <w:p>
      <w:pPr>
        <w:pStyle w:val="BodyText"/>
        <w:rPr>
          <w:b/>
        </w:rPr>
      </w:pPr>
    </w:p>
    <w:p>
      <w:pPr>
        <w:pStyle w:val="Heading2"/>
        <w:numPr>
          <w:ilvl w:val="2"/>
          <w:numId w:val="15"/>
        </w:numPr>
        <w:tabs>
          <w:tab w:pos="1747" w:val="left" w:leader="none"/>
        </w:tabs>
        <w:spacing w:line="240" w:lineRule="auto" w:before="0" w:after="0"/>
        <w:ind w:left="1747" w:right="0" w:hanging="719"/>
        <w:jc w:val="both"/>
      </w:pPr>
      <w:bookmarkStart w:name="_TOC_250044" w:id="12"/>
      <w:bookmarkEnd w:id="12"/>
      <w:r>
        <w:rPr>
          <w:spacing w:val="-5"/>
        </w:rPr>
        <w:t>Aim</w:t>
      </w:r>
    </w:p>
    <w:p>
      <w:pPr>
        <w:pStyle w:val="BodyText"/>
        <w:spacing w:line="480" w:lineRule="auto" w:before="272"/>
        <w:ind w:left="1028" w:right="804"/>
        <w:jc w:val="both"/>
      </w:pPr>
      <w:r>
        <w:rPr/>
        <w:t>The aim of this study was to investigate the effect of detoxification on the safety and some pharmacological properties of </w:t>
      </w:r>
      <w:r>
        <w:rPr>
          <w:i/>
        </w:rPr>
        <w:t>J</w:t>
      </w:r>
      <w:r>
        <w:rPr/>
        <w:t>. </w:t>
      </w:r>
      <w:r>
        <w:rPr>
          <w:i/>
        </w:rPr>
        <w:t>curcas </w:t>
      </w:r>
      <w:r>
        <w:rPr/>
        <w:t>seed oil in laboratory animals.</w:t>
      </w:r>
    </w:p>
    <w:p>
      <w:pPr>
        <w:spacing w:after="0" w:line="480" w:lineRule="auto"/>
        <w:jc w:val="both"/>
        <w:sectPr>
          <w:pgSz w:w="11910" w:h="16840"/>
          <w:pgMar w:header="0" w:footer="1012" w:top="1320" w:bottom="1200" w:left="960" w:right="620"/>
        </w:sectPr>
      </w:pPr>
    </w:p>
    <w:p>
      <w:pPr>
        <w:pStyle w:val="BodyText"/>
        <w:spacing w:before="4"/>
        <w:rPr>
          <w:sz w:val="17"/>
        </w:rPr>
      </w:pPr>
    </w:p>
    <w:p>
      <w:pPr>
        <w:spacing w:after="0"/>
        <w:rPr>
          <w:sz w:val="17"/>
        </w:rPr>
        <w:sectPr>
          <w:pgSz w:w="11910" w:h="16840"/>
          <w:pgMar w:header="0" w:footer="1012" w:top="1920" w:bottom="1200" w:left="960" w:right="620"/>
        </w:sectPr>
      </w:pPr>
    </w:p>
    <w:p>
      <w:pPr>
        <w:pStyle w:val="Heading2"/>
        <w:numPr>
          <w:ilvl w:val="2"/>
          <w:numId w:val="15"/>
        </w:numPr>
        <w:tabs>
          <w:tab w:pos="1747" w:val="left" w:leader="none"/>
        </w:tabs>
        <w:spacing w:line="240" w:lineRule="auto" w:before="64" w:after="0"/>
        <w:ind w:left="1747" w:right="0" w:hanging="719"/>
        <w:jc w:val="both"/>
      </w:pPr>
      <w:bookmarkStart w:name="_TOC_250043" w:id="13"/>
      <w:r>
        <w:rPr/>
        <w:t>Specific</w:t>
      </w:r>
      <w:r>
        <w:rPr>
          <w:spacing w:val="-5"/>
        </w:rPr>
        <w:t> </w:t>
      </w:r>
      <w:bookmarkEnd w:id="13"/>
      <w:r>
        <w:rPr>
          <w:spacing w:val="-2"/>
        </w:rPr>
        <w:t>Objectives</w:t>
      </w:r>
    </w:p>
    <w:p>
      <w:pPr>
        <w:pStyle w:val="ListParagraph"/>
        <w:numPr>
          <w:ilvl w:val="3"/>
          <w:numId w:val="15"/>
        </w:numPr>
        <w:tabs>
          <w:tab w:pos="1748" w:val="left" w:leader="none"/>
        </w:tabs>
        <w:spacing w:line="480" w:lineRule="auto" w:before="271" w:after="0"/>
        <w:ind w:left="1748" w:right="808" w:hanging="360"/>
        <w:jc w:val="both"/>
        <w:rPr>
          <w:sz w:val="24"/>
        </w:rPr>
      </w:pPr>
      <w:r>
        <w:rPr>
          <w:sz w:val="24"/>
        </w:rPr>
        <w:t>To determine the phytoconstituents and elemental compositions of undetoxified and detoxified </w:t>
      </w:r>
      <w:r>
        <w:rPr>
          <w:i/>
          <w:sz w:val="24"/>
        </w:rPr>
        <w:t>J. curcas </w:t>
      </w:r>
      <w:r>
        <w:rPr>
          <w:sz w:val="24"/>
        </w:rPr>
        <w:t>seed oils as well as the amount of the major toxic constituent (phorbol esters) present in the variously extracted oils, both before and after detoxification.</w:t>
      </w:r>
    </w:p>
    <w:p>
      <w:pPr>
        <w:pStyle w:val="ListParagraph"/>
        <w:numPr>
          <w:ilvl w:val="3"/>
          <w:numId w:val="15"/>
        </w:numPr>
        <w:tabs>
          <w:tab w:pos="1748" w:val="left" w:leader="none"/>
        </w:tabs>
        <w:spacing w:line="240" w:lineRule="auto" w:before="1" w:after="0"/>
        <w:ind w:left="1748" w:right="0" w:hanging="360"/>
        <w:jc w:val="both"/>
        <w:rPr>
          <w:i/>
          <w:sz w:val="24"/>
        </w:rPr>
      </w:pPr>
      <w:r>
        <w:rPr>
          <w:sz w:val="24"/>
        </w:rPr>
        <w:t>To</w:t>
      </w:r>
      <w:r>
        <w:rPr>
          <w:spacing w:val="3"/>
          <w:sz w:val="24"/>
        </w:rPr>
        <w:t> </w:t>
      </w:r>
      <w:r>
        <w:rPr>
          <w:sz w:val="24"/>
        </w:rPr>
        <w:t>evaluate the</w:t>
      </w:r>
      <w:r>
        <w:rPr>
          <w:spacing w:val="6"/>
          <w:sz w:val="24"/>
        </w:rPr>
        <w:t> </w:t>
      </w:r>
      <w:r>
        <w:rPr>
          <w:sz w:val="24"/>
        </w:rPr>
        <w:t>acute toxicity</w:t>
      </w:r>
      <w:r>
        <w:rPr>
          <w:spacing w:val="-3"/>
          <w:sz w:val="24"/>
        </w:rPr>
        <w:t> </w:t>
      </w:r>
      <w:r>
        <w:rPr>
          <w:sz w:val="24"/>
        </w:rPr>
        <w:t>of</w:t>
      </w:r>
      <w:r>
        <w:rPr>
          <w:spacing w:val="-2"/>
          <w:sz w:val="24"/>
        </w:rPr>
        <w:t> </w:t>
      </w:r>
      <w:r>
        <w:rPr>
          <w:sz w:val="24"/>
        </w:rPr>
        <w:t>the</w:t>
      </w:r>
      <w:r>
        <w:rPr>
          <w:spacing w:val="6"/>
          <w:sz w:val="24"/>
        </w:rPr>
        <w:t> </w:t>
      </w:r>
      <w:r>
        <w:rPr>
          <w:sz w:val="24"/>
        </w:rPr>
        <w:t>variously</w:t>
      </w:r>
      <w:r>
        <w:rPr>
          <w:spacing w:val="1"/>
          <w:sz w:val="24"/>
        </w:rPr>
        <w:t> </w:t>
      </w:r>
      <w:r>
        <w:rPr>
          <w:sz w:val="24"/>
        </w:rPr>
        <w:t>extracted</w:t>
      </w:r>
      <w:r>
        <w:rPr>
          <w:spacing w:val="5"/>
          <w:sz w:val="24"/>
        </w:rPr>
        <w:t> </w:t>
      </w:r>
      <w:r>
        <w:rPr>
          <w:sz w:val="24"/>
        </w:rPr>
        <w:t>and</w:t>
      </w:r>
      <w:r>
        <w:rPr>
          <w:spacing w:val="6"/>
          <w:sz w:val="24"/>
        </w:rPr>
        <w:t> </w:t>
      </w:r>
      <w:r>
        <w:rPr>
          <w:sz w:val="24"/>
        </w:rPr>
        <w:t>detoxified</w:t>
      </w:r>
      <w:r>
        <w:rPr>
          <w:spacing w:val="17"/>
          <w:sz w:val="24"/>
        </w:rPr>
        <w:t> </w:t>
      </w:r>
      <w:r>
        <w:rPr>
          <w:i/>
          <w:sz w:val="24"/>
        </w:rPr>
        <w:t>J.</w:t>
      </w:r>
      <w:r>
        <w:rPr>
          <w:i/>
          <w:spacing w:val="9"/>
          <w:sz w:val="24"/>
        </w:rPr>
        <w:t> </w:t>
      </w:r>
      <w:r>
        <w:rPr>
          <w:i/>
          <w:spacing w:val="-2"/>
          <w:sz w:val="24"/>
        </w:rPr>
        <w:t>curcas</w:t>
      </w:r>
    </w:p>
    <w:p>
      <w:pPr>
        <w:pStyle w:val="BodyText"/>
        <w:rPr>
          <w:i/>
        </w:rPr>
      </w:pPr>
    </w:p>
    <w:p>
      <w:pPr>
        <w:pStyle w:val="BodyText"/>
        <w:ind w:left="1748"/>
      </w:pPr>
      <w:r>
        <w:rPr/>
        <w:t>oils</w:t>
      </w:r>
      <w:r>
        <w:rPr>
          <w:spacing w:val="1"/>
        </w:rPr>
        <w:t> </w:t>
      </w:r>
      <w:r>
        <w:rPr/>
        <w:t>in</w:t>
      </w:r>
      <w:r>
        <w:rPr>
          <w:spacing w:val="-6"/>
        </w:rPr>
        <w:t> </w:t>
      </w:r>
      <w:r>
        <w:rPr/>
        <w:t>chicks</w:t>
      </w:r>
      <w:r>
        <w:rPr>
          <w:spacing w:val="-3"/>
        </w:rPr>
        <w:t> </w:t>
      </w:r>
      <w:r>
        <w:rPr/>
        <w:t>and</w:t>
      </w:r>
      <w:r>
        <w:rPr>
          <w:spacing w:val="3"/>
        </w:rPr>
        <w:t> </w:t>
      </w:r>
      <w:r>
        <w:rPr/>
        <w:t>mice,</w:t>
      </w:r>
      <w:r>
        <w:rPr>
          <w:spacing w:val="1"/>
        </w:rPr>
        <w:t> </w:t>
      </w:r>
      <w:r>
        <w:rPr/>
        <w:t>as</w:t>
      </w:r>
      <w:r>
        <w:rPr>
          <w:spacing w:val="-3"/>
        </w:rPr>
        <w:t> </w:t>
      </w:r>
      <w:r>
        <w:rPr/>
        <w:t>well</w:t>
      </w:r>
      <w:r>
        <w:rPr>
          <w:spacing w:val="-1"/>
        </w:rPr>
        <w:t> </w:t>
      </w:r>
      <w:r>
        <w:rPr/>
        <w:t>as</w:t>
      </w:r>
      <w:r>
        <w:rPr>
          <w:spacing w:val="-2"/>
        </w:rPr>
        <w:t> </w:t>
      </w:r>
      <w:r>
        <w:rPr/>
        <w:t>the</w:t>
      </w:r>
      <w:r>
        <w:rPr>
          <w:spacing w:val="-2"/>
        </w:rPr>
        <w:t> </w:t>
      </w:r>
      <w:r>
        <w:rPr/>
        <w:t>sub-acute</w:t>
      </w:r>
      <w:r>
        <w:rPr>
          <w:spacing w:val="-2"/>
        </w:rPr>
        <w:t> </w:t>
      </w:r>
      <w:r>
        <w:rPr/>
        <w:t>toxicity</w:t>
      </w:r>
      <w:r>
        <w:rPr>
          <w:spacing w:val="-6"/>
        </w:rPr>
        <w:t> </w:t>
      </w:r>
      <w:r>
        <w:rPr/>
        <w:t>in </w:t>
      </w:r>
      <w:r>
        <w:rPr>
          <w:spacing w:val="-2"/>
        </w:rPr>
        <w:t>rats.</w:t>
      </w:r>
    </w:p>
    <w:p>
      <w:pPr>
        <w:pStyle w:val="BodyText"/>
      </w:pPr>
    </w:p>
    <w:p>
      <w:pPr>
        <w:pStyle w:val="ListParagraph"/>
        <w:numPr>
          <w:ilvl w:val="3"/>
          <w:numId w:val="15"/>
        </w:numPr>
        <w:tabs>
          <w:tab w:pos="1748" w:val="left" w:leader="none"/>
        </w:tabs>
        <w:spacing w:line="480" w:lineRule="auto" w:before="1" w:after="0"/>
        <w:ind w:left="1748" w:right="807" w:hanging="360"/>
        <w:jc w:val="both"/>
        <w:rPr>
          <w:sz w:val="24"/>
        </w:rPr>
      </w:pPr>
      <w:r>
        <w:rPr>
          <w:sz w:val="24"/>
        </w:rPr>
        <w:t>To evaluate the effects</w:t>
      </w:r>
      <w:r>
        <w:rPr>
          <w:spacing w:val="-2"/>
          <w:sz w:val="24"/>
        </w:rPr>
        <w:t> </w:t>
      </w:r>
      <w:r>
        <w:rPr>
          <w:sz w:val="24"/>
        </w:rPr>
        <w:t>of</w:t>
      </w:r>
      <w:r>
        <w:rPr>
          <w:spacing w:val="-8"/>
          <w:sz w:val="24"/>
        </w:rPr>
        <w:t> </w:t>
      </w:r>
      <w:r>
        <w:rPr>
          <w:sz w:val="24"/>
        </w:rPr>
        <w:t>the detoxification on some</w:t>
      </w:r>
      <w:r>
        <w:rPr>
          <w:spacing w:val="-1"/>
          <w:sz w:val="24"/>
        </w:rPr>
        <w:t> </w:t>
      </w:r>
      <w:r>
        <w:rPr>
          <w:sz w:val="24"/>
        </w:rPr>
        <w:t>pharmacological</w:t>
      </w:r>
      <w:r>
        <w:rPr>
          <w:spacing w:val="-5"/>
          <w:sz w:val="24"/>
        </w:rPr>
        <w:t> </w:t>
      </w:r>
      <w:r>
        <w:rPr>
          <w:sz w:val="24"/>
        </w:rPr>
        <w:t>properties of the oils.</w:t>
      </w:r>
    </w:p>
    <w:p>
      <w:pPr>
        <w:spacing w:after="0" w:line="480" w:lineRule="auto"/>
        <w:jc w:val="both"/>
        <w:rPr>
          <w:sz w:val="24"/>
        </w:rPr>
        <w:sectPr>
          <w:pgSz w:w="11910" w:h="16840"/>
          <w:pgMar w:header="0" w:footer="1012" w:top="1340" w:bottom="1200" w:left="960" w:right="620"/>
        </w:sectPr>
      </w:pPr>
    </w:p>
    <w:p>
      <w:pPr>
        <w:pStyle w:val="Heading1"/>
        <w:spacing w:line="480" w:lineRule="auto"/>
        <w:ind w:left="3804"/>
      </w:pPr>
      <w:r>
        <w:rPr/>
        <w:t>CHAPTER TWO LITERATURE</w:t>
      </w:r>
      <w:r>
        <w:rPr>
          <w:spacing w:val="-15"/>
        </w:rPr>
        <w:t> </w:t>
      </w:r>
      <w:r>
        <w:rPr/>
        <w:t>REVIEW</w:t>
      </w:r>
    </w:p>
    <w:p>
      <w:pPr>
        <w:pStyle w:val="BodyText"/>
        <w:rPr>
          <w:b/>
        </w:rPr>
      </w:pPr>
    </w:p>
    <w:p>
      <w:pPr>
        <w:pStyle w:val="BodyText"/>
        <w:spacing w:before="1"/>
        <w:rPr>
          <w:b/>
        </w:rPr>
      </w:pPr>
    </w:p>
    <w:p>
      <w:pPr>
        <w:pStyle w:val="Heading2"/>
        <w:numPr>
          <w:ilvl w:val="1"/>
          <w:numId w:val="16"/>
        </w:numPr>
        <w:tabs>
          <w:tab w:pos="1747" w:val="left" w:leader="none"/>
        </w:tabs>
        <w:spacing w:line="240" w:lineRule="auto" w:before="0" w:after="0"/>
        <w:ind w:left="1747" w:right="0" w:hanging="719"/>
        <w:jc w:val="both"/>
      </w:pPr>
      <w:bookmarkStart w:name="_TOC_250042" w:id="14"/>
      <w:r>
        <w:rPr/>
        <w:t>Overview</w:t>
      </w:r>
      <w:r>
        <w:rPr>
          <w:spacing w:val="-2"/>
        </w:rPr>
        <w:t> </w:t>
      </w:r>
      <w:r>
        <w:rPr/>
        <w:t>of</w:t>
      </w:r>
      <w:r>
        <w:rPr>
          <w:spacing w:val="-3"/>
        </w:rPr>
        <w:t> </w:t>
      </w:r>
      <w:r>
        <w:rPr/>
        <w:t>Plant</w:t>
      </w:r>
      <w:r>
        <w:rPr>
          <w:spacing w:val="1"/>
        </w:rPr>
        <w:t> </w:t>
      </w:r>
      <w:bookmarkEnd w:id="14"/>
      <w:r>
        <w:rPr>
          <w:spacing w:val="-2"/>
        </w:rPr>
        <w:t>Toxicity</w:t>
      </w:r>
    </w:p>
    <w:p>
      <w:pPr>
        <w:pStyle w:val="BodyText"/>
        <w:spacing w:line="480" w:lineRule="auto" w:before="271"/>
        <w:ind w:left="1028" w:right="805"/>
        <w:jc w:val="both"/>
      </w:pPr>
      <w:r>
        <w:rPr/>
        <w:t>Plants cannot move to escape their predators, so they must have other means of protecting themselves from herbivorous animals. Some plants have physical defenses such as thorns, but by far the most common protection is chemical (Keddy, 2007). Plants have evolved to rely upon elaborate chemical defenses towards unwanted predators</w:t>
      </w:r>
      <w:r>
        <w:rPr>
          <w:spacing w:val="-7"/>
        </w:rPr>
        <w:t> </w:t>
      </w:r>
      <w:r>
        <w:rPr/>
        <w:t>(Ames</w:t>
      </w:r>
      <w:r>
        <w:rPr>
          <w:spacing w:val="-1"/>
        </w:rPr>
        <w:t> </w:t>
      </w:r>
      <w:r>
        <w:rPr>
          <w:i/>
        </w:rPr>
        <w:t>et al</w:t>
      </w:r>
      <w:r>
        <w:rPr/>
        <w:t>.,</w:t>
      </w:r>
      <w:r>
        <w:rPr>
          <w:spacing w:val="-3"/>
        </w:rPr>
        <w:t> </w:t>
      </w:r>
      <w:r>
        <w:rPr/>
        <w:t>1990).</w:t>
      </w:r>
      <w:r>
        <w:rPr>
          <w:spacing w:val="-3"/>
        </w:rPr>
        <w:t> </w:t>
      </w:r>
      <w:r>
        <w:rPr/>
        <w:t>For</w:t>
      </w:r>
      <w:r>
        <w:rPr>
          <w:spacing w:val="-8"/>
        </w:rPr>
        <w:t> </w:t>
      </w:r>
      <w:r>
        <w:rPr/>
        <w:t>this</w:t>
      </w:r>
      <w:r>
        <w:rPr>
          <w:spacing w:val="-2"/>
        </w:rPr>
        <w:t> </w:t>
      </w:r>
      <w:r>
        <w:rPr/>
        <w:t>reason, plants</w:t>
      </w:r>
      <w:r>
        <w:rPr>
          <w:spacing w:val="-2"/>
        </w:rPr>
        <w:t> </w:t>
      </w:r>
      <w:r>
        <w:rPr/>
        <w:t>produce</w:t>
      </w:r>
      <w:r>
        <w:rPr>
          <w:spacing w:val="-6"/>
        </w:rPr>
        <w:t> </w:t>
      </w:r>
      <w:r>
        <w:rPr/>
        <w:t>a</w:t>
      </w:r>
      <w:r>
        <w:rPr>
          <w:spacing w:val="-1"/>
        </w:rPr>
        <w:t> </w:t>
      </w:r>
      <w:r>
        <w:rPr/>
        <w:t>wide variety</w:t>
      </w:r>
      <w:r>
        <w:rPr>
          <w:spacing w:val="-10"/>
        </w:rPr>
        <w:t> </w:t>
      </w:r>
      <w:r>
        <w:rPr/>
        <w:t>of</w:t>
      </w:r>
      <w:r>
        <w:rPr>
          <w:spacing w:val="-8"/>
        </w:rPr>
        <w:t> </w:t>
      </w:r>
      <w:r>
        <w:rPr/>
        <w:t>chemical compounds, which are toxic to species, from bacteria to humans. Many of the plants, spread across the globe, are not edible simply because they produce toxins. Natural</w:t>
      </w:r>
      <w:r>
        <w:rPr>
          <w:spacing w:val="40"/>
        </w:rPr>
        <w:t> </w:t>
      </w:r>
      <w:r>
        <w:rPr/>
        <w:t>plant toxins may be present inherently in plants such as fruits and vegetables which are common food sources. They</w:t>
      </w:r>
      <w:r>
        <w:rPr>
          <w:spacing w:val="-4"/>
        </w:rPr>
        <w:t> </w:t>
      </w:r>
      <w:r>
        <w:rPr/>
        <w:t>are usually metabolites produced by plants for the purpose of self defense against threats from other organisms (Wink, 1988). Natural toxins may also be present in food plants as a result of natural</w:t>
      </w:r>
      <w:r>
        <w:rPr>
          <w:spacing w:val="-1"/>
        </w:rPr>
        <w:t> </w:t>
      </w:r>
      <w:r>
        <w:rPr/>
        <w:t>selection</w:t>
      </w:r>
      <w:r>
        <w:rPr>
          <w:spacing w:val="-1"/>
        </w:rPr>
        <w:t> </w:t>
      </w:r>
      <w:r>
        <w:rPr/>
        <w:t>and new breeding methods that enhance these protective mechanisms.</w:t>
      </w:r>
      <w:r>
        <w:rPr>
          <w:spacing w:val="40"/>
        </w:rPr>
        <w:t> </w:t>
      </w:r>
      <w:r>
        <w:rPr/>
        <w:t>Toxic food components of plant origin may be low-molecular-weight endogenous toxins or products of secondary metabolism. Products of secondary metabolism are species-specific and give the plant its particular characteristics. They include plant pigments, flavours and compounds that serve to protect the plants. Some of these secondary metabolic products impart toxicity to the individual when taken orally. These substances may be growth inhibitors, neurotoxins, carcinogens and teratogens (Omaye, 2004).</w:t>
      </w:r>
    </w:p>
    <w:p>
      <w:pPr>
        <w:pStyle w:val="BodyText"/>
      </w:pPr>
    </w:p>
    <w:p>
      <w:pPr>
        <w:pStyle w:val="BodyText"/>
        <w:spacing w:before="4"/>
      </w:pPr>
    </w:p>
    <w:p>
      <w:pPr>
        <w:pStyle w:val="BodyText"/>
        <w:spacing w:line="480" w:lineRule="auto"/>
        <w:ind w:left="1028" w:right="814"/>
        <w:jc w:val="both"/>
      </w:pPr>
      <w:r>
        <w:rPr/>
        <w:t>Different types of natural toxins may be found in different crop plants and in different parts</w:t>
      </w:r>
      <w:r>
        <w:rPr>
          <w:spacing w:val="4"/>
        </w:rPr>
        <w:t> </w:t>
      </w:r>
      <w:r>
        <w:rPr/>
        <w:t>of</w:t>
      </w:r>
      <w:r>
        <w:rPr>
          <w:spacing w:val="-1"/>
        </w:rPr>
        <w:t> </w:t>
      </w:r>
      <w:r>
        <w:rPr/>
        <w:t>a</w:t>
      </w:r>
      <w:r>
        <w:rPr>
          <w:spacing w:val="6"/>
        </w:rPr>
        <w:t> </w:t>
      </w:r>
      <w:r>
        <w:rPr/>
        <w:t>plant.</w:t>
      </w:r>
      <w:r>
        <w:rPr>
          <w:spacing w:val="10"/>
        </w:rPr>
        <w:t> </w:t>
      </w:r>
      <w:r>
        <w:rPr/>
        <w:t>The</w:t>
      </w:r>
      <w:r>
        <w:rPr>
          <w:spacing w:val="6"/>
        </w:rPr>
        <w:t> </w:t>
      </w:r>
      <w:r>
        <w:rPr/>
        <w:t>parts</w:t>
      </w:r>
      <w:r>
        <w:rPr>
          <w:spacing w:val="4"/>
        </w:rPr>
        <w:t> </w:t>
      </w:r>
      <w:r>
        <w:rPr/>
        <w:t>of</w:t>
      </w:r>
      <w:r>
        <w:rPr>
          <w:spacing w:val="-1"/>
        </w:rPr>
        <w:t> </w:t>
      </w:r>
      <w:r>
        <w:rPr/>
        <w:t>a</w:t>
      </w:r>
      <w:r>
        <w:rPr>
          <w:spacing w:val="11"/>
        </w:rPr>
        <w:t> </w:t>
      </w:r>
      <w:r>
        <w:rPr/>
        <w:t>plant</w:t>
      </w:r>
      <w:r>
        <w:rPr>
          <w:spacing w:val="12"/>
        </w:rPr>
        <w:t> </w:t>
      </w:r>
      <w:r>
        <w:rPr/>
        <w:t>which</w:t>
      </w:r>
      <w:r>
        <w:rPr>
          <w:spacing w:val="11"/>
        </w:rPr>
        <w:t> </w:t>
      </w:r>
      <w:r>
        <w:rPr/>
        <w:t>may</w:t>
      </w:r>
      <w:r>
        <w:rPr>
          <w:spacing w:val="7"/>
        </w:rPr>
        <w:t> </w:t>
      </w:r>
      <w:r>
        <w:rPr/>
        <w:t>contain</w:t>
      </w:r>
      <w:r>
        <w:rPr>
          <w:spacing w:val="2"/>
        </w:rPr>
        <w:t> </w:t>
      </w:r>
      <w:r>
        <w:rPr/>
        <w:t>toxins</w:t>
      </w:r>
      <w:r>
        <w:rPr>
          <w:spacing w:val="4"/>
        </w:rPr>
        <w:t> </w:t>
      </w:r>
      <w:r>
        <w:rPr/>
        <w:t>and</w:t>
      </w:r>
      <w:r>
        <w:rPr>
          <w:spacing w:val="16"/>
        </w:rPr>
        <w:t> </w:t>
      </w:r>
      <w:r>
        <w:rPr/>
        <w:t>may</w:t>
      </w:r>
      <w:r>
        <w:rPr>
          <w:spacing w:val="3"/>
        </w:rPr>
        <w:t> </w:t>
      </w:r>
      <w:r>
        <w:rPr/>
        <w:t>also</w:t>
      </w:r>
      <w:r>
        <w:rPr>
          <w:spacing w:val="16"/>
        </w:rPr>
        <w:t> </w:t>
      </w:r>
      <w:r>
        <w:rPr/>
        <w:t>be</w:t>
      </w:r>
      <w:r>
        <w:rPr>
          <w:spacing w:val="10"/>
        </w:rPr>
        <w:t> </w:t>
      </w:r>
      <w:r>
        <w:rPr/>
        <w:t>used</w:t>
      </w:r>
      <w:r>
        <w:rPr>
          <w:spacing w:val="7"/>
        </w:rPr>
        <w:t> </w:t>
      </w:r>
      <w:r>
        <w:rPr>
          <w:spacing w:val="-5"/>
        </w:rPr>
        <w:t>as</w:t>
      </w:r>
    </w:p>
    <w:p>
      <w:pPr>
        <w:spacing w:after="0" w:line="480" w:lineRule="auto"/>
        <w:jc w:val="both"/>
        <w:sectPr>
          <w:pgSz w:w="11910" w:h="16840"/>
          <w:pgMar w:header="0" w:footer="1012" w:top="1340" w:bottom="1200" w:left="960" w:right="620"/>
        </w:sectPr>
      </w:pPr>
    </w:p>
    <w:p>
      <w:pPr>
        <w:pStyle w:val="BodyText"/>
        <w:spacing w:line="480" w:lineRule="auto" w:before="79"/>
        <w:ind w:left="1028" w:right="800"/>
        <w:jc w:val="both"/>
      </w:pPr>
      <w:r>
        <w:rPr/>
        <w:t>food sources include the foliage, buds, stems, roots, fruits and tubers.</w:t>
      </w:r>
      <w:r>
        <w:rPr>
          <w:spacing w:val="40"/>
        </w:rPr>
        <w:t> </w:t>
      </w:r>
      <w:r>
        <w:rPr/>
        <w:t>Toxicological effects following ingestion of plant toxins may range from acute effects of gastroenteritis to more severe toxicities in the central nervous system leading to death, as</w:t>
      </w:r>
      <w:r>
        <w:rPr>
          <w:spacing w:val="-1"/>
        </w:rPr>
        <w:t> </w:t>
      </w:r>
      <w:r>
        <w:rPr/>
        <w:t>are seen in cases</w:t>
      </w:r>
      <w:r>
        <w:rPr>
          <w:spacing w:val="-1"/>
        </w:rPr>
        <w:t> </w:t>
      </w:r>
      <w:r>
        <w:rPr/>
        <w:t>of</w:t>
      </w:r>
      <w:r>
        <w:rPr>
          <w:spacing w:val="-7"/>
        </w:rPr>
        <w:t> </w:t>
      </w:r>
      <w:r>
        <w:rPr/>
        <w:t>poisoning due to cyanide or certain</w:t>
      </w:r>
      <w:r>
        <w:rPr>
          <w:spacing w:val="-4"/>
        </w:rPr>
        <w:t> </w:t>
      </w:r>
      <w:r>
        <w:rPr/>
        <w:t>alkaloids. In</w:t>
      </w:r>
      <w:r>
        <w:rPr>
          <w:spacing w:val="-4"/>
        </w:rPr>
        <w:t> </w:t>
      </w:r>
      <w:r>
        <w:rPr/>
        <w:t>addition</w:t>
      </w:r>
      <w:r>
        <w:rPr>
          <w:spacing w:val="-4"/>
        </w:rPr>
        <w:t> </w:t>
      </w:r>
      <w:r>
        <w:rPr/>
        <w:t>to acute toxicities, some plant toxins such as pyrrolizidine alkaloids may also cause chronic systemic effects, organ toxicities or teratogenicity (Hong Kong Center for food safety, </w:t>
      </w:r>
      <w:r>
        <w:rPr>
          <w:spacing w:val="-2"/>
        </w:rPr>
        <w:t>2007).</w:t>
      </w:r>
    </w:p>
    <w:p>
      <w:pPr>
        <w:pStyle w:val="BodyText"/>
      </w:pPr>
    </w:p>
    <w:p>
      <w:pPr>
        <w:pStyle w:val="BodyText"/>
        <w:spacing w:before="7"/>
      </w:pPr>
    </w:p>
    <w:p>
      <w:pPr>
        <w:pStyle w:val="Heading2"/>
        <w:numPr>
          <w:ilvl w:val="1"/>
          <w:numId w:val="16"/>
        </w:numPr>
        <w:tabs>
          <w:tab w:pos="1747" w:val="left" w:leader="none"/>
        </w:tabs>
        <w:spacing w:line="240" w:lineRule="auto" w:before="0" w:after="0"/>
        <w:ind w:left="1747" w:right="0" w:hanging="719"/>
        <w:jc w:val="both"/>
      </w:pPr>
      <w:bookmarkStart w:name="_TOC_250041" w:id="15"/>
      <w:r>
        <w:rPr/>
        <w:t>Common</w:t>
      </w:r>
      <w:r>
        <w:rPr>
          <w:spacing w:val="-4"/>
        </w:rPr>
        <w:t> </w:t>
      </w:r>
      <w:r>
        <w:rPr/>
        <w:t>Plant</w:t>
      </w:r>
      <w:r>
        <w:rPr>
          <w:spacing w:val="-3"/>
        </w:rPr>
        <w:t> </w:t>
      </w:r>
      <w:bookmarkEnd w:id="15"/>
      <w:r>
        <w:rPr>
          <w:spacing w:val="-2"/>
        </w:rPr>
        <w:t>Toxins</w:t>
      </w:r>
    </w:p>
    <w:p>
      <w:pPr>
        <w:pStyle w:val="BodyText"/>
        <w:spacing w:line="480" w:lineRule="auto" w:before="271"/>
        <w:ind w:left="1028" w:right="818"/>
        <w:jc w:val="both"/>
      </w:pPr>
      <w:r>
        <w:rPr/>
        <w:t>Common classes of plant toxins include: alkaloids, cyanogenic glycosides, lectins, saponins and other antinutrients.</w:t>
      </w:r>
    </w:p>
    <w:p>
      <w:pPr>
        <w:pStyle w:val="BodyText"/>
      </w:pPr>
    </w:p>
    <w:p>
      <w:pPr>
        <w:pStyle w:val="BodyText"/>
        <w:spacing w:before="5"/>
      </w:pPr>
    </w:p>
    <w:p>
      <w:pPr>
        <w:pStyle w:val="Heading2"/>
        <w:numPr>
          <w:ilvl w:val="2"/>
          <w:numId w:val="16"/>
        </w:numPr>
        <w:tabs>
          <w:tab w:pos="1747" w:val="left" w:leader="none"/>
        </w:tabs>
        <w:spacing w:line="240" w:lineRule="auto" w:before="1" w:after="0"/>
        <w:ind w:left="1747" w:right="0" w:hanging="719"/>
        <w:jc w:val="both"/>
      </w:pPr>
      <w:bookmarkStart w:name="_TOC_250040" w:id="16"/>
      <w:bookmarkEnd w:id="16"/>
      <w:r>
        <w:rPr>
          <w:spacing w:val="-2"/>
        </w:rPr>
        <w:t>Alkaloids</w:t>
      </w:r>
    </w:p>
    <w:p>
      <w:pPr>
        <w:pStyle w:val="BodyText"/>
        <w:spacing w:line="480" w:lineRule="auto" w:before="271"/>
        <w:ind w:left="1028" w:right="803"/>
        <w:jc w:val="both"/>
      </w:pPr>
      <w:r>
        <w:rPr/>
        <w:t>They are the bitter components of plants found widely in nature and frequently have pharmacological properties. Mostly acting as secondary</w:t>
      </w:r>
      <w:r>
        <w:rPr>
          <w:spacing w:val="-2"/>
        </w:rPr>
        <w:t> </w:t>
      </w:r>
      <w:r>
        <w:rPr/>
        <w:t>plant metabolites, alkaloids are often basic nitrogen-containing compounds able to form</w:t>
      </w:r>
      <w:r>
        <w:rPr>
          <w:spacing w:val="-1"/>
        </w:rPr>
        <w:t> </w:t>
      </w:r>
      <w:r>
        <w:rPr/>
        <w:t>salts with</w:t>
      </w:r>
      <w:r>
        <w:rPr>
          <w:spacing w:val="-1"/>
        </w:rPr>
        <w:t> </w:t>
      </w:r>
      <w:r>
        <w:rPr/>
        <w:t>acid. Alkaloids have been isolated from the roots, seeds, leaves or bark of some members of at least 40% of plant families. Families being particularly rich in alkaloids include Amaryllidaceae, Papaveraceae and Solanaceae (Petterson</w:t>
      </w:r>
      <w:r>
        <w:rPr>
          <w:i/>
        </w:rPr>
        <w:t>, </w:t>
      </w:r>
      <w:r>
        <w:rPr/>
        <w:t>1991). Some of the alkaloids found in the</w:t>
      </w:r>
      <w:r>
        <w:rPr>
          <w:spacing w:val="40"/>
        </w:rPr>
        <w:t> </w:t>
      </w:r>
      <w:r>
        <w:rPr/>
        <w:t>plant kingdom include: pyrrolizidine alkaloids and glycoalkaloids.</w:t>
      </w:r>
    </w:p>
    <w:p>
      <w:pPr>
        <w:pStyle w:val="BodyText"/>
      </w:pPr>
    </w:p>
    <w:p>
      <w:pPr>
        <w:pStyle w:val="BodyText"/>
        <w:spacing w:before="1"/>
      </w:pPr>
    </w:p>
    <w:p>
      <w:pPr>
        <w:pStyle w:val="ListParagraph"/>
        <w:numPr>
          <w:ilvl w:val="3"/>
          <w:numId w:val="16"/>
        </w:numPr>
        <w:tabs>
          <w:tab w:pos="1747" w:val="left" w:leader="none"/>
        </w:tabs>
        <w:spacing w:line="240" w:lineRule="auto" w:before="1" w:after="0"/>
        <w:ind w:left="1747" w:right="0" w:hanging="719"/>
        <w:jc w:val="both"/>
        <w:rPr>
          <w:i/>
          <w:sz w:val="24"/>
        </w:rPr>
      </w:pPr>
      <w:r>
        <w:rPr>
          <w:i/>
          <w:sz w:val="24"/>
        </w:rPr>
        <w:t>Pyrrolizidine</w:t>
      </w:r>
      <w:r>
        <w:rPr>
          <w:i/>
          <w:spacing w:val="-7"/>
          <w:sz w:val="24"/>
        </w:rPr>
        <w:t> </w:t>
      </w:r>
      <w:r>
        <w:rPr>
          <w:i/>
          <w:spacing w:val="-2"/>
          <w:sz w:val="24"/>
        </w:rPr>
        <w:t>alkaloids</w:t>
      </w:r>
    </w:p>
    <w:p>
      <w:pPr>
        <w:pStyle w:val="BodyText"/>
        <w:spacing w:line="480" w:lineRule="auto" w:before="276"/>
        <w:ind w:left="1028" w:right="800"/>
        <w:jc w:val="both"/>
      </w:pPr>
      <w:r>
        <w:rPr/>
        <w:t>They are tumorigenic plant toxins which are widely distributed in the plant kingdom as they</w:t>
      </w:r>
      <w:r>
        <w:rPr>
          <w:spacing w:val="-10"/>
        </w:rPr>
        <w:t> </w:t>
      </w:r>
      <w:r>
        <w:rPr/>
        <w:t>are found in</w:t>
      </w:r>
      <w:r>
        <w:rPr>
          <w:spacing w:val="-1"/>
        </w:rPr>
        <w:t> </w:t>
      </w:r>
      <w:r>
        <w:rPr/>
        <w:t>about 3%</w:t>
      </w:r>
      <w:r>
        <w:rPr>
          <w:spacing w:val="-4"/>
        </w:rPr>
        <w:t> </w:t>
      </w:r>
      <w:r>
        <w:rPr/>
        <w:t>of flowering</w:t>
      </w:r>
      <w:r>
        <w:rPr>
          <w:spacing w:val="-1"/>
        </w:rPr>
        <w:t> </w:t>
      </w:r>
      <w:r>
        <w:rPr/>
        <w:t>plants</w:t>
      </w:r>
      <w:r>
        <w:rPr>
          <w:spacing w:val="-3"/>
        </w:rPr>
        <w:t> </w:t>
      </w:r>
      <w:r>
        <w:rPr/>
        <w:t>(Australia</w:t>
      </w:r>
      <w:r>
        <w:rPr>
          <w:spacing w:val="-2"/>
        </w:rPr>
        <w:t> </w:t>
      </w:r>
      <w:r>
        <w:rPr/>
        <w:t>New</w:t>
      </w:r>
      <w:r>
        <w:rPr>
          <w:spacing w:val="-2"/>
        </w:rPr>
        <w:t> </w:t>
      </w:r>
      <w:r>
        <w:rPr/>
        <w:t>Zealand Food</w:t>
      </w:r>
      <w:r>
        <w:rPr>
          <w:spacing w:val="-1"/>
        </w:rPr>
        <w:t> </w:t>
      </w:r>
      <w:r>
        <w:rPr/>
        <w:t>Authority, 2001).</w:t>
      </w:r>
      <w:r>
        <w:rPr>
          <w:spacing w:val="1"/>
        </w:rPr>
        <w:t> </w:t>
      </w:r>
      <w:r>
        <w:rPr/>
        <w:t>About</w:t>
      </w:r>
      <w:r>
        <w:rPr>
          <w:spacing w:val="1"/>
        </w:rPr>
        <w:t> </w:t>
      </w:r>
      <w:r>
        <w:rPr/>
        <w:t>half</w:t>
      </w:r>
      <w:r>
        <w:rPr>
          <w:spacing w:val="-7"/>
        </w:rPr>
        <w:t> </w:t>
      </w:r>
      <w:r>
        <w:rPr/>
        <w:t>of</w:t>
      </w:r>
      <w:r>
        <w:rPr>
          <w:spacing w:val="-7"/>
        </w:rPr>
        <w:t> </w:t>
      </w:r>
      <w:r>
        <w:rPr/>
        <w:t>them</w:t>
      </w:r>
      <w:r>
        <w:rPr>
          <w:spacing w:val="-7"/>
        </w:rPr>
        <w:t> </w:t>
      </w:r>
      <w:r>
        <w:rPr/>
        <w:t>exhibit</w:t>
      </w:r>
      <w:r>
        <w:rPr>
          <w:spacing w:val="11"/>
        </w:rPr>
        <w:t> </w:t>
      </w:r>
      <w:r>
        <w:rPr/>
        <w:t>hepatotoxicity</w:t>
      </w:r>
      <w:r>
        <w:rPr>
          <w:spacing w:val="-9"/>
        </w:rPr>
        <w:t> </w:t>
      </w:r>
      <w:r>
        <w:rPr/>
        <w:t>(Radominska-Pandya,</w:t>
      </w:r>
      <w:r>
        <w:rPr>
          <w:spacing w:val="3"/>
        </w:rPr>
        <w:t> </w:t>
      </w:r>
      <w:r>
        <w:rPr/>
        <w:t>2010). </w:t>
      </w:r>
      <w:r>
        <w:rPr>
          <w:spacing w:val="-2"/>
        </w:rPr>
        <w:t>Ingestion</w:t>
      </w:r>
    </w:p>
    <w:p>
      <w:pPr>
        <w:spacing w:after="0" w:line="480" w:lineRule="auto"/>
        <w:jc w:val="both"/>
        <w:sectPr>
          <w:pgSz w:w="11910" w:h="16840"/>
          <w:pgMar w:header="0" w:footer="1012" w:top="1320" w:bottom="1200" w:left="960" w:right="620"/>
        </w:sectPr>
      </w:pPr>
    </w:p>
    <w:p>
      <w:pPr>
        <w:pStyle w:val="BodyText"/>
        <w:spacing w:line="480" w:lineRule="auto" w:before="79"/>
        <w:ind w:left="1028" w:right="804"/>
        <w:jc w:val="both"/>
      </w:pPr>
      <w:r>
        <w:rPr/>
        <w:t>of plants containing pyrrolizidine alkaloids are usually through contaminated crops or via intake of herbal foods and preparations. Disease associated with consumption of pyrrolizidines is known as pyrrolizidine alkaloidosis (Fu </w:t>
      </w:r>
      <w:r>
        <w:rPr>
          <w:i/>
        </w:rPr>
        <w:t>et al</w:t>
      </w:r>
      <w:r>
        <w:rPr/>
        <w:t>., 2002).</w:t>
      </w:r>
    </w:p>
    <w:p>
      <w:pPr>
        <w:pStyle w:val="BodyText"/>
      </w:pPr>
    </w:p>
    <w:p>
      <w:pPr>
        <w:pStyle w:val="BodyText"/>
        <w:spacing w:before="1"/>
      </w:pPr>
    </w:p>
    <w:p>
      <w:pPr>
        <w:pStyle w:val="ListParagraph"/>
        <w:numPr>
          <w:ilvl w:val="3"/>
          <w:numId w:val="16"/>
        </w:numPr>
        <w:tabs>
          <w:tab w:pos="1747" w:val="left" w:leader="none"/>
        </w:tabs>
        <w:spacing w:line="240" w:lineRule="auto" w:before="0" w:after="0"/>
        <w:ind w:left="1747" w:right="0" w:hanging="719"/>
        <w:jc w:val="both"/>
        <w:rPr>
          <w:i/>
          <w:sz w:val="24"/>
        </w:rPr>
      </w:pPr>
      <w:r>
        <w:rPr>
          <w:i/>
          <w:spacing w:val="-2"/>
          <w:sz w:val="24"/>
        </w:rPr>
        <w:t>Glycoalkaloids</w:t>
      </w:r>
    </w:p>
    <w:p>
      <w:pPr>
        <w:pStyle w:val="BodyText"/>
        <w:rPr>
          <w:i/>
        </w:rPr>
      </w:pPr>
    </w:p>
    <w:p>
      <w:pPr>
        <w:pStyle w:val="BodyText"/>
        <w:spacing w:line="480" w:lineRule="auto"/>
        <w:ind w:left="1028" w:right="803" w:firstLine="57"/>
        <w:jc w:val="both"/>
      </w:pPr>
      <w:r>
        <w:rPr/>
        <w:t>They are found in common food plants acting like a natural pesticide against common pests. Common examples include tomatine which is found in tomatoes (McMillan and Thompson, 1979) and solanine which is present in small amounts in potatoes. Its level</w:t>
      </w:r>
      <w:r>
        <w:rPr>
          <w:spacing w:val="40"/>
        </w:rPr>
        <w:t> </w:t>
      </w:r>
      <w:r>
        <w:rPr/>
        <w:t>is increased in greened or blighted potatoes, and can reach very high levels in the sprouts. Cooked</w:t>
      </w:r>
      <w:r>
        <w:rPr>
          <w:spacing w:val="-2"/>
        </w:rPr>
        <w:t> </w:t>
      </w:r>
      <w:r>
        <w:rPr/>
        <w:t>potatoes</w:t>
      </w:r>
      <w:r>
        <w:rPr>
          <w:spacing w:val="-8"/>
        </w:rPr>
        <w:t> </w:t>
      </w:r>
      <w:r>
        <w:rPr/>
        <w:t>that contain</w:t>
      </w:r>
      <w:r>
        <w:rPr>
          <w:spacing w:val="-6"/>
        </w:rPr>
        <w:t> </w:t>
      </w:r>
      <w:r>
        <w:rPr/>
        <w:t>high</w:t>
      </w:r>
      <w:r>
        <w:rPr>
          <w:spacing w:val="-2"/>
        </w:rPr>
        <w:t> </w:t>
      </w:r>
      <w:r>
        <w:rPr/>
        <w:t>level</w:t>
      </w:r>
      <w:r>
        <w:rPr>
          <w:spacing w:val="-6"/>
        </w:rPr>
        <w:t> </w:t>
      </w:r>
      <w:r>
        <w:rPr/>
        <w:t>of</w:t>
      </w:r>
      <w:r>
        <w:rPr>
          <w:spacing w:val="-4"/>
        </w:rPr>
        <w:t> </w:t>
      </w:r>
      <w:r>
        <w:rPr/>
        <w:t>solanine have</w:t>
      </w:r>
      <w:r>
        <w:rPr>
          <w:spacing w:val="-3"/>
        </w:rPr>
        <w:t> </w:t>
      </w:r>
      <w:r>
        <w:rPr/>
        <w:t>a bitter</w:t>
      </w:r>
      <w:r>
        <w:rPr>
          <w:spacing w:val="-4"/>
        </w:rPr>
        <w:t> </w:t>
      </w:r>
      <w:r>
        <w:rPr/>
        <w:t>taste</w:t>
      </w:r>
      <w:r>
        <w:rPr>
          <w:spacing w:val="-3"/>
        </w:rPr>
        <w:t> </w:t>
      </w:r>
      <w:r>
        <w:rPr/>
        <w:t>and</w:t>
      </w:r>
      <w:r>
        <w:rPr>
          <w:spacing w:val="-2"/>
        </w:rPr>
        <w:t> </w:t>
      </w:r>
      <w:r>
        <w:rPr/>
        <w:t>cause a burning sensation in the throat.</w:t>
      </w:r>
    </w:p>
    <w:p>
      <w:pPr>
        <w:pStyle w:val="BodyText"/>
      </w:pPr>
    </w:p>
    <w:p>
      <w:pPr>
        <w:pStyle w:val="BodyText"/>
        <w:spacing w:before="2"/>
      </w:pPr>
    </w:p>
    <w:p>
      <w:pPr>
        <w:pStyle w:val="BodyText"/>
        <w:spacing w:line="480" w:lineRule="auto"/>
        <w:ind w:left="1028" w:right="807"/>
        <w:jc w:val="both"/>
      </w:pPr>
      <w:r>
        <w:rPr/>
        <w:t>Glycoalkaloids produce toxic effects at high doses. There have been many reported cases of human poisonings (sometimes fatal) due to the ingestion of greened, damaged or sprouted potatoes as a consequence of high levels of glycoalkaloids (Maga, 1980). Acute toxicity syndromes in humans have been observed at glycoalkaloid levels of</w:t>
      </w:r>
      <w:r>
        <w:rPr>
          <w:spacing w:val="40"/>
        </w:rPr>
        <w:t> </w:t>
      </w:r>
      <w:r>
        <w:rPr/>
        <w:t>more</w:t>
      </w:r>
      <w:r>
        <w:rPr>
          <w:spacing w:val="2"/>
        </w:rPr>
        <w:t> </w:t>
      </w:r>
      <w:r>
        <w:rPr/>
        <w:t>than</w:t>
      </w:r>
      <w:r>
        <w:rPr>
          <w:spacing w:val="1"/>
        </w:rPr>
        <w:t> </w:t>
      </w:r>
      <w:r>
        <w:rPr/>
        <w:t>2.8</w:t>
      </w:r>
      <w:r>
        <w:rPr>
          <w:spacing w:val="10"/>
        </w:rPr>
        <w:t> </w:t>
      </w:r>
      <w:r>
        <w:rPr/>
        <w:t>mg/kg</w:t>
      </w:r>
      <w:r>
        <w:rPr>
          <w:spacing w:val="6"/>
        </w:rPr>
        <w:t> </w:t>
      </w:r>
      <w:r>
        <w:rPr/>
        <w:t>body</w:t>
      </w:r>
      <w:r>
        <w:rPr>
          <w:spacing w:val="-4"/>
        </w:rPr>
        <w:t> </w:t>
      </w:r>
      <w:r>
        <w:rPr/>
        <w:t>weight</w:t>
      </w:r>
      <w:r>
        <w:rPr>
          <w:spacing w:val="11"/>
        </w:rPr>
        <w:t> </w:t>
      </w:r>
      <w:r>
        <w:rPr/>
        <w:t>while</w:t>
      </w:r>
      <w:r>
        <w:rPr>
          <w:spacing w:val="5"/>
        </w:rPr>
        <w:t> </w:t>
      </w:r>
      <w:r>
        <w:rPr/>
        <w:t>onset</w:t>
      </w:r>
      <w:r>
        <w:rPr>
          <w:spacing w:val="11"/>
        </w:rPr>
        <w:t> </w:t>
      </w:r>
      <w:r>
        <w:rPr/>
        <w:t>of</w:t>
      </w:r>
      <w:r>
        <w:rPr>
          <w:spacing w:val="-2"/>
        </w:rPr>
        <w:t> </w:t>
      </w:r>
      <w:r>
        <w:rPr/>
        <w:t>symptoms</w:t>
      </w:r>
      <w:r>
        <w:rPr>
          <w:spacing w:val="8"/>
        </w:rPr>
        <w:t> </w:t>
      </w:r>
      <w:r>
        <w:rPr/>
        <w:t>has</w:t>
      </w:r>
      <w:r>
        <w:rPr>
          <w:spacing w:val="3"/>
        </w:rPr>
        <w:t> </w:t>
      </w:r>
      <w:r>
        <w:rPr/>
        <w:t>ranged</w:t>
      </w:r>
      <w:r>
        <w:rPr>
          <w:spacing w:val="10"/>
        </w:rPr>
        <w:t> </w:t>
      </w:r>
      <w:r>
        <w:rPr/>
        <w:t>from</w:t>
      </w:r>
      <w:r>
        <w:rPr>
          <w:spacing w:val="1"/>
        </w:rPr>
        <w:t> </w:t>
      </w:r>
      <w:r>
        <w:rPr/>
        <w:t>minutes</w:t>
      </w:r>
      <w:r>
        <w:rPr>
          <w:spacing w:val="3"/>
        </w:rPr>
        <w:t> </w:t>
      </w:r>
      <w:r>
        <w:rPr>
          <w:spacing w:val="-5"/>
        </w:rPr>
        <w:t>to</w:t>
      </w:r>
    </w:p>
    <w:p>
      <w:pPr>
        <w:pStyle w:val="BodyText"/>
        <w:spacing w:line="480" w:lineRule="auto" w:before="1"/>
        <w:ind w:left="1028" w:right="807"/>
        <w:jc w:val="both"/>
      </w:pPr>
      <w:r>
        <w:rPr/>
        <w:t>2 days after ingestion of toxic potatoes, with longer incubation periods generally associated with the more severe cases (WHO, 1988).</w:t>
      </w:r>
    </w:p>
    <w:p>
      <w:pPr>
        <w:pStyle w:val="BodyText"/>
      </w:pPr>
    </w:p>
    <w:p>
      <w:pPr>
        <w:pStyle w:val="BodyText"/>
        <w:spacing w:before="5"/>
      </w:pPr>
    </w:p>
    <w:p>
      <w:pPr>
        <w:pStyle w:val="Heading2"/>
        <w:numPr>
          <w:ilvl w:val="2"/>
          <w:numId w:val="16"/>
        </w:numPr>
        <w:tabs>
          <w:tab w:pos="1747" w:val="left" w:leader="none"/>
        </w:tabs>
        <w:spacing w:line="240" w:lineRule="auto" w:before="0" w:after="0"/>
        <w:ind w:left="1747" w:right="0" w:hanging="719"/>
        <w:jc w:val="both"/>
      </w:pPr>
      <w:bookmarkStart w:name="_TOC_250039" w:id="17"/>
      <w:r>
        <w:rPr/>
        <w:t>Cyanogenic</w:t>
      </w:r>
      <w:r>
        <w:rPr>
          <w:spacing w:val="1"/>
        </w:rPr>
        <w:t> </w:t>
      </w:r>
      <w:bookmarkEnd w:id="17"/>
      <w:r>
        <w:rPr>
          <w:spacing w:val="-2"/>
        </w:rPr>
        <w:t>glycosides</w:t>
      </w:r>
    </w:p>
    <w:p>
      <w:pPr>
        <w:pStyle w:val="BodyText"/>
        <w:spacing w:line="480" w:lineRule="auto" w:before="272"/>
        <w:ind w:left="1028" w:right="806" w:firstLine="57"/>
        <w:jc w:val="both"/>
      </w:pPr>
      <w:r>
        <w:rPr/>
        <w:t>Cyanogenic glycosides occur in at least 2,000 plant species. Important staple foods for some parts of the world (such as cassava and sorghum) contain cyanogenic glycosides. Toxicity of cyanogenic glycosides-containing plant is due to the cyanide produced on ingestion.</w:t>
      </w:r>
      <w:r>
        <w:rPr>
          <w:spacing w:val="37"/>
        </w:rPr>
        <w:t> </w:t>
      </w:r>
      <w:r>
        <w:rPr/>
        <w:t>The</w:t>
      </w:r>
      <w:r>
        <w:rPr>
          <w:spacing w:val="37"/>
        </w:rPr>
        <w:t> </w:t>
      </w:r>
      <w:r>
        <w:rPr/>
        <w:t>plant</w:t>
      </w:r>
      <w:r>
        <w:rPr>
          <w:spacing w:val="43"/>
        </w:rPr>
        <w:t> </w:t>
      </w:r>
      <w:r>
        <w:rPr/>
        <w:t>species</w:t>
      </w:r>
      <w:r>
        <w:rPr>
          <w:spacing w:val="36"/>
        </w:rPr>
        <w:t> </w:t>
      </w:r>
      <w:r>
        <w:rPr/>
        <w:t>that</w:t>
      </w:r>
      <w:r>
        <w:rPr>
          <w:spacing w:val="43"/>
        </w:rPr>
        <w:t> </w:t>
      </w:r>
      <w:r>
        <w:rPr/>
        <w:t>produce</w:t>
      </w:r>
      <w:r>
        <w:rPr>
          <w:spacing w:val="36"/>
        </w:rPr>
        <w:t> </w:t>
      </w:r>
      <w:r>
        <w:rPr/>
        <w:t>cyanogenic</w:t>
      </w:r>
      <w:r>
        <w:rPr>
          <w:spacing w:val="42"/>
        </w:rPr>
        <w:t> </w:t>
      </w:r>
      <w:r>
        <w:rPr/>
        <w:t>glycosides</w:t>
      </w:r>
      <w:r>
        <w:rPr>
          <w:spacing w:val="36"/>
        </w:rPr>
        <w:t> </w:t>
      </w:r>
      <w:r>
        <w:rPr/>
        <w:t>usually</w:t>
      </w:r>
      <w:r>
        <w:rPr>
          <w:spacing w:val="33"/>
        </w:rPr>
        <w:t> </w:t>
      </w:r>
      <w:r>
        <w:rPr/>
        <w:t>also</w:t>
      </w:r>
      <w:r>
        <w:rPr>
          <w:spacing w:val="47"/>
        </w:rPr>
        <w:t> </w:t>
      </w:r>
      <w:r>
        <w:rPr/>
        <w:t>have</w:t>
      </w:r>
      <w:r>
        <w:rPr>
          <w:spacing w:val="42"/>
        </w:rPr>
        <w:t> </w:t>
      </w:r>
      <w:r>
        <w:rPr>
          <w:spacing w:val="-10"/>
        </w:rPr>
        <w:t>a</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t>corresponding hydrolytic enzyme (β-glucosidase). In the presence of water, the non- toxic cyanogenic glycosides are hydrolysed by the enzyme producing cyanohydrins which quickly decompose to the toxic hydrogen cyanide.</w:t>
      </w:r>
    </w:p>
    <w:p>
      <w:pPr>
        <w:pStyle w:val="BodyText"/>
      </w:pPr>
    </w:p>
    <w:p>
      <w:pPr>
        <w:pStyle w:val="BodyText"/>
        <w:spacing w:before="1"/>
      </w:pPr>
    </w:p>
    <w:p>
      <w:pPr>
        <w:pStyle w:val="BodyText"/>
        <w:spacing w:line="480" w:lineRule="auto"/>
        <w:ind w:left="1028" w:right="801"/>
        <w:jc w:val="both"/>
      </w:pPr>
      <w:r>
        <w:rPr/>
        <w:t>In humans, the clinical signs of acute cyanide intoxication may include: rapid respiration, drop in blood pressure, rapid pulse, dizziness, headache, stomach pains, vomiting, diarrhoea, mental</w:t>
      </w:r>
      <w:r>
        <w:rPr>
          <w:spacing w:val="-2"/>
        </w:rPr>
        <w:t> </w:t>
      </w:r>
      <w:r>
        <w:rPr/>
        <w:t>confusion, stupor, cyanosis with twitching and convulsions followed by terminal coma (WHO, 1993). The acute lethal dose of hydrogen cyanide</w:t>
      </w:r>
      <w:r>
        <w:rPr>
          <w:spacing w:val="40"/>
        </w:rPr>
        <w:t> </w:t>
      </w:r>
      <w:r>
        <w:rPr/>
        <w:t>for humans is reported to be 0.5-3.5 mg/kg body weight (WHO, 1993).</w:t>
      </w:r>
    </w:p>
    <w:p>
      <w:pPr>
        <w:pStyle w:val="BodyText"/>
      </w:pPr>
    </w:p>
    <w:p>
      <w:pPr>
        <w:pStyle w:val="BodyText"/>
        <w:spacing w:before="1"/>
      </w:pPr>
    </w:p>
    <w:p>
      <w:pPr>
        <w:pStyle w:val="BodyText"/>
        <w:spacing w:line="480" w:lineRule="auto"/>
        <w:ind w:left="1028" w:right="806"/>
        <w:jc w:val="both"/>
      </w:pPr>
      <w:r>
        <w:rPr/>
        <w:t>Chronic toxicity effects usually accompany individuals who have underlying dietary deficiency such as inadequate protein and/or iodine intake. Cyanide is detoxified in the body, by the enzyme rhodanese in the presence of sulphur-containing amino acids, to produce thiocyanate while food processing procedures such as soaking, fermentation, drying, grating and storage also reduce the levels of hydrogen cyanide before consumption (Kendirim </w:t>
      </w:r>
      <w:r>
        <w:rPr>
          <w:i/>
        </w:rPr>
        <w:t>et al.</w:t>
      </w:r>
      <w:r>
        <w:rPr/>
        <w:t>, 1995; Obilie </w:t>
      </w:r>
      <w:r>
        <w:rPr>
          <w:i/>
        </w:rPr>
        <w:t>et al.</w:t>
      </w:r>
      <w:r>
        <w:rPr/>
        <w:t>, 2004; Onabolu </w:t>
      </w:r>
      <w:r>
        <w:rPr>
          <w:i/>
        </w:rPr>
        <w:t>et al.</w:t>
      </w:r>
      <w:r>
        <w:rPr/>
        <w:t>, 2002).</w:t>
      </w:r>
    </w:p>
    <w:p>
      <w:pPr>
        <w:pStyle w:val="BodyText"/>
      </w:pPr>
    </w:p>
    <w:p>
      <w:pPr>
        <w:pStyle w:val="BodyText"/>
        <w:spacing w:before="7"/>
      </w:pPr>
    </w:p>
    <w:p>
      <w:pPr>
        <w:pStyle w:val="Heading2"/>
        <w:numPr>
          <w:ilvl w:val="2"/>
          <w:numId w:val="16"/>
        </w:numPr>
        <w:tabs>
          <w:tab w:pos="1747" w:val="left" w:leader="none"/>
        </w:tabs>
        <w:spacing w:line="240" w:lineRule="auto" w:before="0" w:after="0"/>
        <w:ind w:left="1747" w:right="0" w:hanging="719"/>
        <w:jc w:val="both"/>
      </w:pPr>
      <w:bookmarkStart w:name="_TOC_250038" w:id="18"/>
      <w:bookmarkEnd w:id="18"/>
      <w:r>
        <w:rPr>
          <w:spacing w:val="-2"/>
        </w:rPr>
        <w:t>Lectins</w:t>
      </w:r>
    </w:p>
    <w:p>
      <w:pPr>
        <w:pStyle w:val="BodyText"/>
        <w:spacing w:line="480" w:lineRule="auto" w:before="271"/>
        <w:ind w:left="1028" w:right="802"/>
        <w:jc w:val="both"/>
      </w:pPr>
      <w:r>
        <w:rPr/>
        <w:t>Lectins are proteins or glycoproteins of non-immune origin which have multiple highly specific carbohydrate binding sites (Els </w:t>
      </w:r>
      <w:r>
        <w:rPr>
          <w:i/>
        </w:rPr>
        <w:t>et al.</w:t>
      </w:r>
      <w:r>
        <w:rPr/>
        <w:t>, 1998). They</w:t>
      </w:r>
      <w:r>
        <w:rPr>
          <w:spacing w:val="-5"/>
        </w:rPr>
        <w:t> </w:t>
      </w:r>
      <w:r>
        <w:rPr/>
        <w:t>are particularly</w:t>
      </w:r>
      <w:r>
        <w:rPr>
          <w:spacing w:val="-1"/>
        </w:rPr>
        <w:t> </w:t>
      </w:r>
      <w:r>
        <w:rPr/>
        <w:t>concentrated in legume seeds majorly; green beans, red kidney beans and white kidney beans and have been</w:t>
      </w:r>
      <w:r>
        <w:rPr>
          <w:spacing w:val="-7"/>
        </w:rPr>
        <w:t> </w:t>
      </w:r>
      <w:r>
        <w:rPr/>
        <w:t>shown</w:t>
      </w:r>
      <w:r>
        <w:rPr>
          <w:spacing w:val="-8"/>
        </w:rPr>
        <w:t> </w:t>
      </w:r>
      <w:r>
        <w:rPr/>
        <w:t>to</w:t>
      </w:r>
      <w:r>
        <w:rPr>
          <w:spacing w:val="-2"/>
        </w:rPr>
        <w:t> </w:t>
      </w:r>
      <w:r>
        <w:rPr/>
        <w:t>cause immune</w:t>
      </w:r>
      <w:r>
        <w:rPr>
          <w:spacing w:val="-3"/>
        </w:rPr>
        <w:t> </w:t>
      </w:r>
      <w:r>
        <w:rPr/>
        <w:t>(allergic)</w:t>
      </w:r>
      <w:r>
        <w:rPr>
          <w:spacing w:val="-1"/>
        </w:rPr>
        <w:t> </w:t>
      </w:r>
      <w:r>
        <w:rPr/>
        <w:t>reactions, nutritional</w:t>
      </w:r>
      <w:r>
        <w:rPr>
          <w:spacing w:val="-11"/>
        </w:rPr>
        <w:t> </w:t>
      </w:r>
      <w:r>
        <w:rPr/>
        <w:t>deficiencies</w:t>
      </w:r>
      <w:r>
        <w:rPr>
          <w:spacing w:val="-4"/>
        </w:rPr>
        <w:t> </w:t>
      </w:r>
      <w:r>
        <w:rPr/>
        <w:t>and</w:t>
      </w:r>
      <w:r>
        <w:rPr>
          <w:spacing w:val="-2"/>
        </w:rPr>
        <w:t> </w:t>
      </w:r>
      <w:r>
        <w:rPr/>
        <w:t>other noxious effects such as gastroenteritis, nausea and diarrhoea which are due to gastrointestinal distress through interaction of the lectins with the epithelial cells of the gut.</w:t>
      </w:r>
      <w:r>
        <w:rPr>
          <w:spacing w:val="31"/>
        </w:rPr>
        <w:t> </w:t>
      </w:r>
      <w:r>
        <w:rPr/>
        <w:t>A</w:t>
      </w:r>
      <w:r>
        <w:rPr>
          <w:spacing w:val="24"/>
        </w:rPr>
        <w:t> </w:t>
      </w:r>
      <w:r>
        <w:rPr/>
        <w:t>recent</w:t>
      </w:r>
      <w:r>
        <w:rPr>
          <w:spacing w:val="36"/>
        </w:rPr>
        <w:t> </w:t>
      </w:r>
      <w:r>
        <w:rPr>
          <w:i/>
        </w:rPr>
        <w:t>in</w:t>
      </w:r>
      <w:r>
        <w:rPr>
          <w:i/>
          <w:spacing w:val="30"/>
        </w:rPr>
        <w:t> </w:t>
      </w:r>
      <w:r>
        <w:rPr>
          <w:i/>
        </w:rPr>
        <w:t>vitro</w:t>
      </w:r>
      <w:r>
        <w:rPr>
          <w:i/>
          <w:spacing w:val="35"/>
        </w:rPr>
        <w:t> </w:t>
      </w:r>
      <w:r>
        <w:rPr/>
        <w:t>study</w:t>
      </w:r>
      <w:r>
        <w:rPr>
          <w:spacing w:val="29"/>
        </w:rPr>
        <w:t> </w:t>
      </w:r>
      <w:r>
        <w:rPr/>
        <w:t>has</w:t>
      </w:r>
      <w:r>
        <w:rPr>
          <w:spacing w:val="32"/>
        </w:rPr>
        <w:t> </w:t>
      </w:r>
      <w:r>
        <w:rPr/>
        <w:t>suggested</w:t>
      </w:r>
      <w:r>
        <w:rPr>
          <w:spacing w:val="29"/>
        </w:rPr>
        <w:t> </w:t>
      </w:r>
      <w:r>
        <w:rPr/>
        <w:t>that</w:t>
      </w:r>
      <w:r>
        <w:rPr>
          <w:spacing w:val="30"/>
        </w:rPr>
        <w:t> </w:t>
      </w:r>
      <w:r>
        <w:rPr/>
        <w:t>the</w:t>
      </w:r>
      <w:r>
        <w:rPr>
          <w:spacing w:val="38"/>
        </w:rPr>
        <w:t> </w:t>
      </w:r>
      <w:r>
        <w:rPr/>
        <w:t>mechanism</w:t>
      </w:r>
      <w:r>
        <w:rPr>
          <w:spacing w:val="25"/>
        </w:rPr>
        <w:t> </w:t>
      </w:r>
      <w:r>
        <w:rPr/>
        <w:t>of</w:t>
      </w:r>
      <w:r>
        <w:rPr>
          <w:spacing w:val="31"/>
        </w:rPr>
        <w:t> </w:t>
      </w:r>
      <w:r>
        <w:rPr/>
        <w:t>lectin</w:t>
      </w:r>
      <w:r>
        <w:rPr>
          <w:spacing w:val="25"/>
        </w:rPr>
        <w:t> </w:t>
      </w:r>
      <w:r>
        <w:rPr/>
        <w:t>damage</w:t>
      </w:r>
      <w:r>
        <w:rPr>
          <w:spacing w:val="34"/>
        </w:rPr>
        <w:t> </w:t>
      </w:r>
      <w:r>
        <w:rPr>
          <w:spacing w:val="-5"/>
        </w:rPr>
        <w:t>may</w:t>
      </w:r>
    </w:p>
    <w:p>
      <w:pPr>
        <w:spacing w:after="0" w:line="480" w:lineRule="auto"/>
        <w:jc w:val="both"/>
        <w:sectPr>
          <w:pgSz w:w="11910" w:h="16840"/>
          <w:pgMar w:header="0" w:footer="1012" w:top="1320" w:bottom="1200" w:left="960" w:right="620"/>
        </w:sectPr>
      </w:pPr>
    </w:p>
    <w:p>
      <w:pPr>
        <w:pStyle w:val="BodyText"/>
        <w:spacing w:line="480" w:lineRule="auto" w:before="79"/>
        <w:ind w:left="1028" w:right="797"/>
        <w:jc w:val="both"/>
      </w:pPr>
      <w:r>
        <w:rPr/>
        <w:t>occur by interfering with the repair of already damaged epithelial cells (Miyake </w:t>
      </w:r>
      <w:r>
        <w:rPr>
          <w:i/>
        </w:rPr>
        <w:t>et al</w:t>
      </w:r>
      <w:r>
        <w:rPr/>
        <w:t>., 2007). Other symptoms of acute toxicity of lectin are local haemorrhages, kidney, liver and heart damage</w:t>
      </w:r>
      <w:r>
        <w:rPr>
          <w:spacing w:val="-4"/>
        </w:rPr>
        <w:t> </w:t>
      </w:r>
      <w:r>
        <w:rPr/>
        <w:t>and</w:t>
      </w:r>
      <w:r>
        <w:rPr>
          <w:spacing w:val="-3"/>
        </w:rPr>
        <w:t> </w:t>
      </w:r>
      <w:r>
        <w:rPr/>
        <w:t>agglutination</w:t>
      </w:r>
      <w:r>
        <w:rPr>
          <w:spacing w:val="-8"/>
        </w:rPr>
        <w:t> </w:t>
      </w:r>
      <w:r>
        <w:rPr/>
        <w:t>of</w:t>
      </w:r>
      <w:r>
        <w:rPr>
          <w:spacing w:val="-10"/>
        </w:rPr>
        <w:t> </w:t>
      </w:r>
      <w:r>
        <w:rPr/>
        <w:t>red</w:t>
      </w:r>
      <w:r>
        <w:rPr>
          <w:spacing w:val="-3"/>
        </w:rPr>
        <w:t> </w:t>
      </w:r>
      <w:r>
        <w:rPr/>
        <w:t>blood cells.</w:t>
      </w:r>
      <w:r>
        <w:rPr>
          <w:spacing w:val="-1"/>
        </w:rPr>
        <w:t> </w:t>
      </w:r>
      <w:r>
        <w:rPr/>
        <w:t>Food</w:t>
      </w:r>
      <w:r>
        <w:rPr>
          <w:spacing w:val="-3"/>
        </w:rPr>
        <w:t> </w:t>
      </w:r>
      <w:r>
        <w:rPr/>
        <w:t>processing methods</w:t>
      </w:r>
      <w:r>
        <w:rPr>
          <w:spacing w:val="-5"/>
        </w:rPr>
        <w:t> </w:t>
      </w:r>
      <w:r>
        <w:rPr/>
        <w:t>such</w:t>
      </w:r>
      <w:r>
        <w:rPr>
          <w:spacing w:val="-8"/>
        </w:rPr>
        <w:t> </w:t>
      </w:r>
      <w:r>
        <w:rPr/>
        <w:t>as soaking, boiling and cooking with moist heat can reduce the toxicity of lectins (Hong Kong Center for food safety, 2007).</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r>
        <w:rPr>
          <w:spacing w:val="-2"/>
        </w:rPr>
        <w:t>Saponins</w:t>
      </w:r>
    </w:p>
    <w:p>
      <w:pPr>
        <w:pStyle w:val="BodyText"/>
        <w:spacing w:line="480" w:lineRule="auto" w:before="272"/>
        <w:ind w:left="1028" w:right="804"/>
        <w:jc w:val="both"/>
      </w:pPr>
      <w:r>
        <w:rPr/>
        <w:t>They</w:t>
      </w:r>
      <w:r>
        <w:rPr>
          <w:spacing w:val="-5"/>
        </w:rPr>
        <w:t> </w:t>
      </w:r>
      <w:r>
        <w:rPr/>
        <w:t>are secondary metabolites</w:t>
      </w:r>
      <w:r>
        <w:rPr>
          <w:spacing w:val="-2"/>
        </w:rPr>
        <w:t> </w:t>
      </w:r>
      <w:r>
        <w:rPr/>
        <w:t>widely distributed in higher plants. They have ability</w:t>
      </w:r>
      <w:r>
        <w:rPr>
          <w:spacing w:val="-5"/>
        </w:rPr>
        <w:t> </w:t>
      </w:r>
      <w:r>
        <w:rPr/>
        <w:t>to lyse erythrocytes or to foam even at low concentrations (Bruneton, 1995; Rao and Gurfinkel 2000; Francis </w:t>
      </w:r>
      <w:r>
        <w:rPr>
          <w:i/>
        </w:rPr>
        <w:t>et al</w:t>
      </w:r>
      <w:r>
        <w:rPr/>
        <w:t>., 2002). Haemolysis of red blood cells seems to result</w:t>
      </w:r>
      <w:r>
        <w:rPr>
          <w:spacing w:val="40"/>
        </w:rPr>
        <w:t> </w:t>
      </w:r>
      <w:r>
        <w:rPr/>
        <w:t>from their ability to form complexes with cell membrane cholesterol leading in consequence to pore formation and cell permeabilization (Abe </w:t>
      </w:r>
      <w:r>
        <w:rPr>
          <w:i/>
        </w:rPr>
        <w:t>et al</w:t>
      </w:r>
      <w:r>
        <w:rPr/>
        <w:t>., 1981; Melzig </w:t>
      </w:r>
      <w:r>
        <w:rPr>
          <w:i/>
        </w:rPr>
        <w:t>et</w:t>
      </w:r>
      <w:r>
        <w:rPr>
          <w:i/>
          <w:spacing w:val="40"/>
        </w:rPr>
        <w:t> </w:t>
      </w:r>
      <w:r>
        <w:rPr>
          <w:i/>
        </w:rPr>
        <w:t>al</w:t>
      </w:r>
      <w:r>
        <w:rPr/>
        <w:t>., 2001; Gauthier </w:t>
      </w:r>
      <w:r>
        <w:rPr>
          <w:i/>
        </w:rPr>
        <w:t>et al</w:t>
      </w:r>
      <w:r>
        <w:rPr/>
        <w:t>., 2009).</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37" w:id="19"/>
      <w:bookmarkEnd w:id="19"/>
      <w:r>
        <w:rPr>
          <w:spacing w:val="-2"/>
        </w:rPr>
        <w:t>Tannins</w:t>
      </w:r>
    </w:p>
    <w:p>
      <w:pPr>
        <w:pStyle w:val="BodyText"/>
        <w:spacing w:line="480" w:lineRule="auto" w:before="271"/>
        <w:ind w:left="1028" w:right="804"/>
        <w:jc w:val="both"/>
      </w:pPr>
      <w:r>
        <w:rPr/>
        <w:t>Tannins are phenolic substances associated with toxic and antinutritional effects including</w:t>
      </w:r>
      <w:r>
        <w:rPr>
          <w:spacing w:val="-2"/>
        </w:rPr>
        <w:t> </w:t>
      </w:r>
      <w:r>
        <w:rPr/>
        <w:t>reduced food</w:t>
      </w:r>
      <w:r>
        <w:rPr>
          <w:i/>
        </w:rPr>
        <w:t>/</w:t>
      </w:r>
      <w:r>
        <w:rPr/>
        <w:t>feed intake, growth</w:t>
      </w:r>
      <w:r>
        <w:rPr>
          <w:spacing w:val="-5"/>
        </w:rPr>
        <w:t> </w:t>
      </w:r>
      <w:r>
        <w:rPr/>
        <w:t>retardation</w:t>
      </w:r>
      <w:r>
        <w:rPr>
          <w:spacing w:val="-2"/>
        </w:rPr>
        <w:t> </w:t>
      </w:r>
      <w:r>
        <w:rPr/>
        <w:t>and impaired</w:t>
      </w:r>
      <w:r>
        <w:rPr>
          <w:spacing w:val="-2"/>
        </w:rPr>
        <w:t> </w:t>
      </w:r>
      <w:r>
        <w:rPr/>
        <w:t>nutrient absorption (Butler </w:t>
      </w:r>
      <w:r>
        <w:rPr>
          <w:i/>
        </w:rPr>
        <w:t>et al</w:t>
      </w:r>
      <w:r>
        <w:rPr/>
        <w:t>., 1986). Tannins possess multiple phenolic hydroxyl groups leading to formation of complexes primarily with proteins and to a lesser extent with metal ions, amino acids and polysaccharides.</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36" w:id="20"/>
      <w:bookmarkEnd w:id="20"/>
      <w:r>
        <w:rPr>
          <w:spacing w:val="-2"/>
        </w:rPr>
        <w:t>Phytates</w:t>
      </w:r>
    </w:p>
    <w:p>
      <w:pPr>
        <w:pStyle w:val="BodyText"/>
        <w:spacing w:line="480" w:lineRule="auto" w:before="272"/>
        <w:ind w:left="1028" w:right="812"/>
        <w:jc w:val="both"/>
      </w:pPr>
      <w:r>
        <w:rPr/>
        <w:t>Phytate is the principal storage form of phosphorus in most plant seeds. Phosphorus in phytate form is, in general, not bioavailable to nonruminant animals because these animals</w:t>
      </w:r>
      <w:r>
        <w:rPr>
          <w:spacing w:val="33"/>
        </w:rPr>
        <w:t> </w:t>
      </w:r>
      <w:r>
        <w:rPr/>
        <w:t>lack</w:t>
      </w:r>
      <w:r>
        <w:rPr>
          <w:spacing w:val="32"/>
        </w:rPr>
        <w:t> </w:t>
      </w:r>
      <w:r>
        <w:rPr/>
        <w:t>the</w:t>
      </w:r>
      <w:r>
        <w:rPr>
          <w:spacing w:val="27"/>
        </w:rPr>
        <w:t> </w:t>
      </w:r>
      <w:r>
        <w:rPr/>
        <w:t>digestive</w:t>
      </w:r>
      <w:r>
        <w:rPr>
          <w:spacing w:val="32"/>
        </w:rPr>
        <w:t> </w:t>
      </w:r>
      <w:r>
        <w:rPr/>
        <w:t>enzyme</w:t>
      </w:r>
      <w:r>
        <w:rPr>
          <w:spacing w:val="31"/>
        </w:rPr>
        <w:t> </w:t>
      </w:r>
      <w:r>
        <w:rPr/>
        <w:t>phytase,</w:t>
      </w:r>
      <w:r>
        <w:rPr>
          <w:spacing w:val="31"/>
        </w:rPr>
        <w:t> </w:t>
      </w:r>
      <w:r>
        <w:rPr/>
        <w:t>which</w:t>
      </w:r>
      <w:r>
        <w:rPr>
          <w:spacing w:val="27"/>
        </w:rPr>
        <w:t> </w:t>
      </w:r>
      <w:r>
        <w:rPr/>
        <w:t>is</w:t>
      </w:r>
      <w:r>
        <w:rPr>
          <w:spacing w:val="30"/>
        </w:rPr>
        <w:t> </w:t>
      </w:r>
      <w:r>
        <w:rPr/>
        <w:t>required</w:t>
      </w:r>
      <w:r>
        <w:rPr>
          <w:spacing w:val="28"/>
        </w:rPr>
        <w:t> </w:t>
      </w:r>
      <w:r>
        <w:rPr/>
        <w:t>to</w:t>
      </w:r>
      <w:r>
        <w:rPr>
          <w:spacing w:val="32"/>
        </w:rPr>
        <w:t> </w:t>
      </w:r>
      <w:r>
        <w:rPr/>
        <w:t>separate</w:t>
      </w:r>
      <w:r>
        <w:rPr>
          <w:spacing w:val="28"/>
        </w:rPr>
        <w:t> </w:t>
      </w:r>
      <w:r>
        <w:rPr>
          <w:spacing w:val="-2"/>
        </w:rPr>
        <w:t>phosphorus</w:t>
      </w:r>
    </w:p>
    <w:p>
      <w:pPr>
        <w:spacing w:after="0" w:line="480" w:lineRule="auto"/>
        <w:jc w:val="both"/>
        <w:sectPr>
          <w:pgSz w:w="11910" w:h="16840"/>
          <w:pgMar w:header="0" w:footer="1012" w:top="1320" w:bottom="1200" w:left="960" w:right="620"/>
        </w:sectPr>
      </w:pPr>
    </w:p>
    <w:p>
      <w:pPr>
        <w:pStyle w:val="BodyText"/>
        <w:spacing w:line="480" w:lineRule="auto" w:before="79"/>
        <w:ind w:left="1028" w:right="801"/>
        <w:jc w:val="both"/>
      </w:pPr>
      <w:r>
        <w:rPr/>
        <w:t>from the phytate molecule. When these molecules are consumed along with their diet, the</w:t>
      </w:r>
      <w:r>
        <w:rPr>
          <w:spacing w:val="-2"/>
        </w:rPr>
        <w:t> </w:t>
      </w:r>
      <w:r>
        <w:rPr/>
        <w:t>phytates</w:t>
      </w:r>
      <w:r>
        <w:rPr>
          <w:spacing w:val="-3"/>
        </w:rPr>
        <w:t> </w:t>
      </w:r>
      <w:r>
        <w:rPr/>
        <w:t>chelate</w:t>
      </w:r>
      <w:r>
        <w:rPr>
          <w:spacing w:val="-2"/>
        </w:rPr>
        <w:t> </w:t>
      </w:r>
      <w:r>
        <w:rPr/>
        <w:t>with</w:t>
      </w:r>
      <w:r>
        <w:rPr>
          <w:spacing w:val="-6"/>
        </w:rPr>
        <w:t> </w:t>
      </w:r>
      <w:r>
        <w:rPr/>
        <w:t>di</w:t>
      </w:r>
      <w:r>
        <w:rPr>
          <w:spacing w:val="-6"/>
        </w:rPr>
        <w:t> </w:t>
      </w:r>
      <w:r>
        <w:rPr/>
        <w:t>and/or</w:t>
      </w:r>
      <w:r>
        <w:rPr>
          <w:spacing w:val="-4"/>
        </w:rPr>
        <w:t> </w:t>
      </w:r>
      <w:r>
        <w:rPr/>
        <w:t>trivalent mineral</w:t>
      </w:r>
      <w:r>
        <w:rPr>
          <w:spacing w:val="-1"/>
        </w:rPr>
        <w:t> </w:t>
      </w:r>
      <w:r>
        <w:rPr/>
        <w:t>ions</w:t>
      </w:r>
      <w:r>
        <w:rPr>
          <w:spacing w:val="-3"/>
        </w:rPr>
        <w:t> </w:t>
      </w:r>
      <w:r>
        <w:rPr/>
        <w:t>such</w:t>
      </w:r>
      <w:r>
        <w:rPr>
          <w:spacing w:val="-6"/>
        </w:rPr>
        <w:t> </w:t>
      </w:r>
      <w:r>
        <w:rPr/>
        <w:t>as</w:t>
      </w:r>
      <w:r>
        <w:rPr>
          <w:spacing w:val="-3"/>
        </w:rPr>
        <w:t> </w:t>
      </w:r>
      <w:r>
        <w:rPr/>
        <w:t>Ca</w:t>
      </w:r>
      <w:r>
        <w:rPr>
          <w:vertAlign w:val="superscript"/>
        </w:rPr>
        <w:t>2+</w:t>
      </w:r>
      <w:r>
        <w:rPr>
          <w:vertAlign w:val="baseline"/>
        </w:rPr>
        <w:t>, Mg</w:t>
      </w:r>
      <w:r>
        <w:rPr>
          <w:vertAlign w:val="superscript"/>
        </w:rPr>
        <w:t>2+</w:t>
      </w:r>
      <w:r>
        <w:rPr>
          <w:vertAlign w:val="baseline"/>
        </w:rPr>
        <w:t>, Zn</w:t>
      </w:r>
      <w:r>
        <w:rPr>
          <w:vertAlign w:val="superscript"/>
        </w:rPr>
        <w:t>2+</w:t>
      </w:r>
      <w:r>
        <w:rPr>
          <w:vertAlign w:val="baseline"/>
        </w:rPr>
        <w:t>, Cu</w:t>
      </w:r>
      <w:r>
        <w:rPr>
          <w:vertAlign w:val="superscript"/>
        </w:rPr>
        <w:t>3+</w:t>
      </w:r>
      <w:r>
        <w:rPr>
          <w:vertAlign w:val="baseline"/>
        </w:rPr>
        <w:t>, and Fe</w:t>
      </w:r>
      <w:r>
        <w:rPr>
          <w:vertAlign w:val="superscript"/>
        </w:rPr>
        <w:t>3+</w:t>
      </w:r>
      <w:r>
        <w:rPr>
          <w:vertAlign w:val="baseline"/>
        </w:rPr>
        <w:t>, resulting in these ions becoming unavailable to consumers (Duffus and Duffus, 1991).</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35" w:id="21"/>
      <w:r>
        <w:rPr/>
        <w:t>Trypsin</w:t>
      </w:r>
      <w:r>
        <w:rPr>
          <w:spacing w:val="-3"/>
        </w:rPr>
        <w:t> </w:t>
      </w:r>
      <w:bookmarkEnd w:id="21"/>
      <w:r>
        <w:rPr>
          <w:spacing w:val="-2"/>
        </w:rPr>
        <w:t>inhibitors</w:t>
      </w:r>
    </w:p>
    <w:p>
      <w:pPr>
        <w:pStyle w:val="BodyText"/>
        <w:spacing w:line="480" w:lineRule="auto" w:before="271"/>
        <w:ind w:left="1028" w:right="803"/>
        <w:jc w:val="both"/>
      </w:pPr>
      <w:r>
        <w:rPr/>
        <w:t>They are protease inhibitors which are widespread antinutrient substances present in many plant derived nutritional ingredients (Norton, 1991) and potency is dependent upon origin and target enzyme. Trypsin inhibitors are known to decrease protein </w:t>
      </w:r>
      <w:r>
        <w:rPr>
          <w:spacing w:val="-2"/>
        </w:rPr>
        <w:t>digestibility.</w:t>
      </w:r>
    </w:p>
    <w:p>
      <w:pPr>
        <w:pStyle w:val="BodyText"/>
      </w:pPr>
    </w:p>
    <w:p>
      <w:pPr>
        <w:pStyle w:val="BodyText"/>
        <w:spacing w:before="6"/>
      </w:pPr>
    </w:p>
    <w:p>
      <w:pPr>
        <w:pStyle w:val="Heading2"/>
        <w:numPr>
          <w:ilvl w:val="2"/>
          <w:numId w:val="16"/>
        </w:numPr>
        <w:tabs>
          <w:tab w:pos="1747" w:val="left" w:leader="none"/>
        </w:tabs>
        <w:spacing w:line="240" w:lineRule="auto" w:before="1" w:after="0"/>
        <w:ind w:left="1747" w:right="0" w:hanging="719"/>
        <w:jc w:val="both"/>
      </w:pPr>
      <w:r>
        <w:rPr/>
        <w:t>Phorbol</w:t>
      </w:r>
      <w:r>
        <w:rPr>
          <w:spacing w:val="-4"/>
        </w:rPr>
        <w:t> </w:t>
      </w:r>
      <w:r>
        <w:rPr/>
        <w:t>esters</w:t>
      </w:r>
      <w:r>
        <w:rPr>
          <w:spacing w:val="-1"/>
        </w:rPr>
        <w:t> </w:t>
      </w:r>
      <w:r>
        <w:rPr/>
        <w:t>in toxic</w:t>
      </w:r>
      <w:r>
        <w:rPr>
          <w:spacing w:val="-1"/>
        </w:rPr>
        <w:t> </w:t>
      </w:r>
      <w:r>
        <w:rPr>
          <w:spacing w:val="-2"/>
        </w:rPr>
        <w:t>plants</w:t>
      </w:r>
    </w:p>
    <w:p>
      <w:pPr>
        <w:pStyle w:val="BodyText"/>
        <w:spacing w:line="480" w:lineRule="auto" w:before="271"/>
        <w:ind w:left="1028" w:right="801"/>
        <w:jc w:val="both"/>
      </w:pPr>
      <w:r>
        <w:rPr/>
        <w:t>They are amphiphilic molecules which are regarded as co-carcinogens and have a tendency to bind phospholipid membrane receptors. During the normal signal transduction process the enzyme is activated by diacyl glycerol (DAG) which is then rapidly hydrolyzed. DAG is responsible for activating protein kinase C (PKC) function by increasing its affinity for phosphatidylserine containing membranes. Upon</w:t>
      </w:r>
      <w:r>
        <w:rPr>
          <w:spacing w:val="40"/>
        </w:rPr>
        <w:t> </w:t>
      </w:r>
      <w:r>
        <w:rPr/>
        <w:t>activation, PKC</w:t>
      </w:r>
      <w:r>
        <w:rPr>
          <w:spacing w:val="-4"/>
        </w:rPr>
        <w:t> </w:t>
      </w:r>
      <w:r>
        <w:rPr/>
        <w:t>enzymes</w:t>
      </w:r>
      <w:r>
        <w:rPr>
          <w:spacing w:val="-4"/>
        </w:rPr>
        <w:t> </w:t>
      </w:r>
      <w:r>
        <w:rPr/>
        <w:t>are</w:t>
      </w:r>
      <w:r>
        <w:rPr>
          <w:spacing w:val="-3"/>
        </w:rPr>
        <w:t> </w:t>
      </w:r>
      <w:r>
        <w:rPr/>
        <w:t>translocated</w:t>
      </w:r>
      <w:r>
        <w:rPr>
          <w:spacing w:val="-2"/>
        </w:rPr>
        <w:t> </w:t>
      </w:r>
      <w:r>
        <w:rPr/>
        <w:t>to</w:t>
      </w:r>
      <w:r>
        <w:rPr>
          <w:spacing w:val="-2"/>
        </w:rPr>
        <w:t> </w:t>
      </w:r>
      <w:r>
        <w:rPr/>
        <w:t>the</w:t>
      </w:r>
      <w:r>
        <w:rPr>
          <w:spacing w:val="-3"/>
        </w:rPr>
        <w:t> </w:t>
      </w:r>
      <w:r>
        <w:rPr/>
        <w:t>plasma membrane by</w:t>
      </w:r>
      <w:r>
        <w:rPr>
          <w:spacing w:val="-2"/>
        </w:rPr>
        <w:t> </w:t>
      </w:r>
      <w:r>
        <w:rPr/>
        <w:t>membrane-bound receptor</w:t>
      </w:r>
      <w:r>
        <w:rPr>
          <w:spacing w:val="-3"/>
        </w:rPr>
        <w:t> </w:t>
      </w:r>
      <w:r>
        <w:rPr/>
        <w:t>protein</w:t>
      </w:r>
      <w:r>
        <w:rPr>
          <w:spacing w:val="-5"/>
        </w:rPr>
        <w:t> </w:t>
      </w:r>
      <w:r>
        <w:rPr/>
        <w:t>to initiate</w:t>
      </w:r>
      <w:r>
        <w:rPr>
          <w:spacing w:val="-1"/>
        </w:rPr>
        <w:t> </w:t>
      </w:r>
      <w:r>
        <w:rPr/>
        <w:t>various</w:t>
      </w:r>
      <w:r>
        <w:rPr>
          <w:spacing w:val="-2"/>
        </w:rPr>
        <w:t> </w:t>
      </w:r>
      <w:r>
        <w:rPr/>
        <w:t>signal</w:t>
      </w:r>
      <w:r>
        <w:rPr>
          <w:spacing w:val="-5"/>
        </w:rPr>
        <w:t> </w:t>
      </w:r>
      <w:r>
        <w:rPr/>
        <w:t>transduction</w:t>
      </w:r>
      <w:r>
        <w:rPr>
          <w:spacing w:val="-5"/>
        </w:rPr>
        <w:t> </w:t>
      </w:r>
      <w:r>
        <w:rPr/>
        <w:t>pathways. Phorbol</w:t>
      </w:r>
      <w:r>
        <w:rPr>
          <w:spacing w:val="-9"/>
        </w:rPr>
        <w:t> </w:t>
      </w:r>
      <w:r>
        <w:rPr/>
        <w:t>esters</w:t>
      </w:r>
      <w:r>
        <w:rPr>
          <w:spacing w:val="-2"/>
        </w:rPr>
        <w:t> </w:t>
      </w:r>
      <w:r>
        <w:rPr/>
        <w:t>act as</w:t>
      </w:r>
      <w:r>
        <w:rPr>
          <w:spacing w:val="-2"/>
        </w:rPr>
        <w:t> </w:t>
      </w:r>
      <w:r>
        <w:rPr/>
        <w:t>an analogue for DAG, a potent PKC activator, by enhancing PKC and triggering cell proliferation, thus amplifying the efficacy of carcinogens. Phorbol esters themselves do not induce tumors but promote tumor growth following exposure to sub-carcinogenic doses of carcinogen (Goel </w:t>
      </w:r>
      <w:r>
        <w:rPr>
          <w:i/>
        </w:rPr>
        <w:t>et al</w:t>
      </w:r>
      <w:r>
        <w:rPr/>
        <w:t>., 2007).</w:t>
      </w:r>
    </w:p>
    <w:p>
      <w:pPr>
        <w:spacing w:after="0" w:line="480" w:lineRule="auto"/>
        <w:jc w:val="both"/>
        <w:sectPr>
          <w:pgSz w:w="11910" w:h="16840"/>
          <w:pgMar w:header="0" w:footer="1012" w:top="1320" w:bottom="1200" w:left="960" w:right="620"/>
        </w:sectPr>
      </w:pPr>
    </w:p>
    <w:p>
      <w:pPr>
        <w:pStyle w:val="Heading2"/>
        <w:numPr>
          <w:ilvl w:val="2"/>
          <w:numId w:val="16"/>
        </w:numPr>
        <w:tabs>
          <w:tab w:pos="1747" w:val="left" w:leader="none"/>
        </w:tabs>
        <w:spacing w:line="240" w:lineRule="auto" w:before="64" w:after="0"/>
        <w:ind w:left="1747" w:right="0" w:hanging="719"/>
        <w:jc w:val="both"/>
      </w:pPr>
      <w:r>
        <w:rPr/>
        <w:t>Curcin in</w:t>
      </w:r>
      <w:r>
        <w:rPr>
          <w:spacing w:val="-1"/>
        </w:rPr>
        <w:t> </w:t>
      </w:r>
      <w:r>
        <w:rPr/>
        <w:t>toxic</w:t>
      </w:r>
      <w:r>
        <w:rPr>
          <w:spacing w:val="-2"/>
        </w:rPr>
        <w:t> plants</w:t>
      </w:r>
    </w:p>
    <w:p>
      <w:pPr>
        <w:pStyle w:val="BodyText"/>
        <w:spacing w:line="480" w:lineRule="auto" w:before="271"/>
        <w:ind w:left="1028" w:right="804"/>
        <w:jc w:val="both"/>
      </w:pPr>
      <w:r>
        <w:rPr/>
        <w:t>Curcin is a toxalbumin belonging to a group of proteins called ribosome-inactivating proteins which inhibit prokaryotic and eukaryotic ribosome by specific modification of the larger rRNA. Thus curcin inhibits protein synthesis (Endo </w:t>
      </w:r>
      <w:r>
        <w:rPr>
          <w:i/>
        </w:rPr>
        <w:t>et al</w:t>
      </w:r>
      <w:r>
        <w:rPr/>
        <w:t>., 1987; Endo and Tsurugi, 1987). Curcin has protein translation inhibitory activity or N-glycosidase activity (Lin </w:t>
      </w:r>
      <w:r>
        <w:rPr>
          <w:i/>
        </w:rPr>
        <w:t>et al</w:t>
      </w:r>
      <w:r>
        <w:rPr/>
        <w:t>., 2003; Weike </w:t>
      </w:r>
      <w:r>
        <w:rPr>
          <w:i/>
        </w:rPr>
        <w:t>et al</w:t>
      </w:r>
      <w:r>
        <w:rPr/>
        <w:t>., 2006; King </w:t>
      </w:r>
      <w:r>
        <w:rPr>
          <w:i/>
        </w:rPr>
        <w:t>et al</w:t>
      </w:r>
      <w:r>
        <w:rPr/>
        <w:t>., 2009).</w:t>
      </w:r>
    </w:p>
    <w:p>
      <w:pPr>
        <w:pStyle w:val="BodyText"/>
      </w:pPr>
    </w:p>
    <w:p>
      <w:pPr>
        <w:pStyle w:val="BodyText"/>
        <w:spacing w:before="6"/>
      </w:pPr>
    </w:p>
    <w:p>
      <w:pPr>
        <w:pStyle w:val="Heading2"/>
        <w:numPr>
          <w:ilvl w:val="1"/>
          <w:numId w:val="16"/>
        </w:numPr>
        <w:tabs>
          <w:tab w:pos="1747" w:val="left" w:leader="none"/>
        </w:tabs>
        <w:spacing w:line="240" w:lineRule="auto" w:before="0" w:after="0"/>
        <w:ind w:left="1747" w:right="0" w:hanging="719"/>
        <w:jc w:val="both"/>
      </w:pPr>
      <w:bookmarkStart w:name="_TOC_250034" w:id="22"/>
      <w:r>
        <w:rPr/>
        <w:t>Factors</w:t>
      </w:r>
      <w:r>
        <w:rPr>
          <w:spacing w:val="-6"/>
        </w:rPr>
        <w:t> </w:t>
      </w:r>
      <w:r>
        <w:rPr/>
        <w:t>Influencing</w:t>
      </w:r>
      <w:r>
        <w:rPr>
          <w:spacing w:val="-4"/>
        </w:rPr>
        <w:t> </w:t>
      </w:r>
      <w:r>
        <w:rPr/>
        <w:t>Plant</w:t>
      </w:r>
      <w:bookmarkEnd w:id="22"/>
      <w:r>
        <w:rPr>
          <w:spacing w:val="-2"/>
        </w:rPr>
        <w:t> Toxicity</w:t>
      </w:r>
    </w:p>
    <w:p>
      <w:pPr>
        <w:pStyle w:val="BodyText"/>
        <w:spacing w:line="480" w:lineRule="auto" w:before="272"/>
        <w:ind w:left="1028" w:right="797"/>
        <w:jc w:val="both"/>
      </w:pPr>
      <w:r>
        <w:rPr>
          <w:color w:val="221F1F"/>
        </w:rPr>
        <w:t>Toxin concentrations in plant species vary based on several factors which include: environmental stresses on the plant, age of the plant, individual susceptibility, different parts of the plant (root, stem, leaves, and seeds), and season of the year. The level of toxicity of plants to humans or animals may depend on nature of toxin, quantity consumed, time of exposure, individual body chemistry, climate, soil and genetic differences</w:t>
      </w:r>
      <w:r>
        <w:rPr>
          <w:color w:val="221F1F"/>
          <w:spacing w:val="-3"/>
        </w:rPr>
        <w:t> </w:t>
      </w:r>
      <w:r>
        <w:rPr>
          <w:color w:val="221F1F"/>
        </w:rPr>
        <w:t>within</w:t>
      </w:r>
      <w:r>
        <w:rPr>
          <w:color w:val="221F1F"/>
          <w:spacing w:val="40"/>
        </w:rPr>
        <w:t> </w:t>
      </w:r>
      <w:r>
        <w:rPr>
          <w:color w:val="221F1F"/>
        </w:rPr>
        <w:t>species. Some</w:t>
      </w:r>
      <w:r>
        <w:rPr>
          <w:color w:val="221F1F"/>
          <w:spacing w:val="-2"/>
        </w:rPr>
        <w:t> </w:t>
      </w:r>
      <w:r>
        <w:rPr>
          <w:color w:val="221F1F"/>
        </w:rPr>
        <w:t>of</w:t>
      </w:r>
      <w:r>
        <w:rPr>
          <w:color w:val="221F1F"/>
          <w:spacing w:val="-9"/>
        </w:rPr>
        <w:t> </w:t>
      </w:r>
      <w:r>
        <w:rPr>
          <w:color w:val="221F1F"/>
        </w:rPr>
        <w:t>the</w:t>
      </w:r>
      <w:r>
        <w:rPr>
          <w:color w:val="221F1F"/>
          <w:spacing w:val="-2"/>
        </w:rPr>
        <w:t> </w:t>
      </w:r>
      <w:r>
        <w:rPr>
          <w:color w:val="221F1F"/>
        </w:rPr>
        <w:t>toxins</w:t>
      </w:r>
      <w:r>
        <w:rPr>
          <w:color w:val="221F1F"/>
          <w:spacing w:val="-3"/>
        </w:rPr>
        <w:t> </w:t>
      </w:r>
      <w:r>
        <w:rPr>
          <w:color w:val="221F1F"/>
        </w:rPr>
        <w:t>produce irreparable</w:t>
      </w:r>
      <w:r>
        <w:rPr>
          <w:color w:val="221F1F"/>
          <w:spacing w:val="-2"/>
        </w:rPr>
        <w:t> </w:t>
      </w:r>
      <w:r>
        <w:rPr>
          <w:color w:val="221F1F"/>
        </w:rPr>
        <w:t>damage</w:t>
      </w:r>
      <w:r>
        <w:rPr>
          <w:color w:val="221F1F"/>
          <w:spacing w:val="-2"/>
        </w:rPr>
        <w:t> </w:t>
      </w:r>
      <w:r>
        <w:rPr>
          <w:color w:val="221F1F"/>
        </w:rPr>
        <w:t>to</w:t>
      </w:r>
      <w:r>
        <w:rPr>
          <w:color w:val="221F1F"/>
          <w:spacing w:val="-1"/>
        </w:rPr>
        <w:t> </w:t>
      </w:r>
      <w:r>
        <w:rPr>
          <w:color w:val="221F1F"/>
        </w:rPr>
        <w:t>predators, while others exert transient effects </w:t>
      </w:r>
      <w:r>
        <w:rPr/>
        <w:t>(Hong Kong Center for food safety, 2007)</w:t>
      </w:r>
      <w:r>
        <w:rPr>
          <w:color w:val="221F1F"/>
        </w:rPr>
        <w:t>.</w:t>
      </w:r>
    </w:p>
    <w:p>
      <w:pPr>
        <w:pStyle w:val="BodyText"/>
      </w:pPr>
    </w:p>
    <w:p>
      <w:pPr>
        <w:pStyle w:val="BodyText"/>
        <w:spacing w:before="6"/>
      </w:pPr>
    </w:p>
    <w:p>
      <w:pPr>
        <w:pStyle w:val="Heading2"/>
        <w:numPr>
          <w:ilvl w:val="1"/>
          <w:numId w:val="16"/>
        </w:numPr>
        <w:tabs>
          <w:tab w:pos="1747" w:val="left" w:leader="none"/>
        </w:tabs>
        <w:spacing w:line="240" w:lineRule="auto" w:before="0" w:after="0"/>
        <w:ind w:left="1747" w:right="0" w:hanging="719"/>
        <w:jc w:val="both"/>
        <w:rPr>
          <w:color w:val="221F1F"/>
        </w:rPr>
      </w:pPr>
      <w:bookmarkStart w:name="_TOC_250033" w:id="23"/>
      <w:r>
        <w:rPr>
          <w:color w:val="221F1F"/>
        </w:rPr>
        <w:t>Classification</w:t>
      </w:r>
      <w:r>
        <w:rPr>
          <w:color w:val="221F1F"/>
          <w:spacing w:val="-1"/>
        </w:rPr>
        <w:t> </w:t>
      </w:r>
      <w:r>
        <w:rPr>
          <w:color w:val="221F1F"/>
        </w:rPr>
        <w:t>of</w:t>
      </w:r>
      <w:r>
        <w:rPr>
          <w:color w:val="221F1F"/>
          <w:spacing w:val="-4"/>
        </w:rPr>
        <w:t> </w:t>
      </w:r>
      <w:r>
        <w:rPr>
          <w:color w:val="221F1F"/>
        </w:rPr>
        <w:t>Poisonous</w:t>
      </w:r>
      <w:bookmarkEnd w:id="23"/>
      <w:r>
        <w:rPr>
          <w:color w:val="221F1F"/>
          <w:spacing w:val="-2"/>
        </w:rPr>
        <w:t> Plants</w:t>
      </w:r>
    </w:p>
    <w:p>
      <w:pPr>
        <w:pStyle w:val="BodyText"/>
        <w:spacing w:before="1"/>
        <w:rPr>
          <w:b/>
        </w:rPr>
      </w:pPr>
    </w:p>
    <w:p>
      <w:pPr>
        <w:pStyle w:val="Heading2"/>
        <w:numPr>
          <w:ilvl w:val="2"/>
          <w:numId w:val="16"/>
        </w:numPr>
        <w:tabs>
          <w:tab w:pos="1748" w:val="left" w:leader="none"/>
        </w:tabs>
        <w:spacing w:line="240" w:lineRule="auto" w:before="0" w:after="0"/>
        <w:ind w:left="1748" w:right="0" w:hanging="720"/>
        <w:jc w:val="left"/>
      </w:pPr>
      <w:bookmarkStart w:name="_TOC_250032" w:id="24"/>
      <w:r>
        <w:rPr/>
        <w:t>Plants</w:t>
      </w:r>
      <w:r>
        <w:rPr>
          <w:spacing w:val="-4"/>
        </w:rPr>
        <w:t> </w:t>
      </w:r>
      <w:r>
        <w:rPr/>
        <w:t>that affect</w:t>
      </w:r>
      <w:r>
        <w:rPr>
          <w:spacing w:val="-1"/>
        </w:rPr>
        <w:t> </w:t>
      </w:r>
      <w:r>
        <w:rPr/>
        <w:t>the</w:t>
      </w:r>
      <w:r>
        <w:rPr>
          <w:spacing w:val="-2"/>
        </w:rPr>
        <w:t> </w:t>
      </w:r>
      <w:r>
        <w:rPr/>
        <w:t>digestive</w:t>
      </w:r>
      <w:bookmarkEnd w:id="24"/>
      <w:r>
        <w:rPr>
          <w:spacing w:val="-2"/>
        </w:rPr>
        <w:t> system</w:t>
      </w:r>
    </w:p>
    <w:p>
      <w:pPr>
        <w:pStyle w:val="ListParagraph"/>
        <w:numPr>
          <w:ilvl w:val="3"/>
          <w:numId w:val="16"/>
        </w:numPr>
        <w:tabs>
          <w:tab w:pos="1747" w:val="left" w:leader="none"/>
        </w:tabs>
        <w:spacing w:line="240" w:lineRule="auto" w:before="271" w:after="0"/>
        <w:ind w:left="1747" w:right="0" w:hanging="719"/>
        <w:jc w:val="left"/>
        <w:rPr>
          <w:i/>
          <w:sz w:val="24"/>
        </w:rPr>
      </w:pPr>
      <w:r>
        <w:rPr>
          <w:i/>
          <w:sz w:val="24"/>
        </w:rPr>
        <w:t>Plants</w:t>
      </w:r>
      <w:r>
        <w:rPr>
          <w:i/>
          <w:spacing w:val="-3"/>
          <w:sz w:val="24"/>
        </w:rPr>
        <w:t> </w:t>
      </w:r>
      <w:r>
        <w:rPr>
          <w:i/>
          <w:sz w:val="24"/>
        </w:rPr>
        <w:t>that cause</w:t>
      </w:r>
      <w:r>
        <w:rPr>
          <w:i/>
          <w:spacing w:val="-1"/>
          <w:sz w:val="24"/>
        </w:rPr>
        <w:t> </w:t>
      </w:r>
      <w:r>
        <w:rPr>
          <w:i/>
          <w:sz w:val="24"/>
        </w:rPr>
        <w:t>irritation of the</w:t>
      </w:r>
      <w:r>
        <w:rPr>
          <w:i/>
          <w:spacing w:val="-1"/>
          <w:sz w:val="24"/>
        </w:rPr>
        <w:t> </w:t>
      </w:r>
      <w:r>
        <w:rPr>
          <w:i/>
          <w:sz w:val="24"/>
        </w:rPr>
        <w:t>oral</w:t>
      </w:r>
      <w:r>
        <w:rPr>
          <w:i/>
          <w:spacing w:val="-5"/>
          <w:sz w:val="24"/>
        </w:rPr>
        <w:t> </w:t>
      </w:r>
      <w:r>
        <w:rPr>
          <w:i/>
          <w:spacing w:val="-2"/>
          <w:sz w:val="24"/>
        </w:rPr>
        <w:t>cavity</w:t>
      </w:r>
    </w:p>
    <w:p>
      <w:pPr>
        <w:pStyle w:val="BodyText"/>
        <w:rPr>
          <w:i/>
        </w:rPr>
      </w:pPr>
    </w:p>
    <w:p>
      <w:pPr>
        <w:pStyle w:val="BodyText"/>
        <w:spacing w:line="480" w:lineRule="auto"/>
        <w:ind w:left="1028" w:right="796"/>
        <w:jc w:val="both"/>
      </w:pPr>
      <w:r>
        <w:rPr/>
        <w:t>Plants belonging to the Araceae family contain needle-shaped calcium oxalate crystals in their leaves. These crystals when chewed in the plant leaves are expelled, causing an immediate burning sensation in the oral cavity tissues. Plants that accumulate calcium oxalates such as </w:t>
      </w:r>
      <w:r>
        <w:rPr>
          <w:i/>
        </w:rPr>
        <w:t>Dieffenbachia picta </w:t>
      </w:r>
      <w:r>
        <w:rPr/>
        <w:t>(Cao, 2003) can cause severe inflammation and necrosis of the epithelium of the tongue and oral cavity and may even cause death. Besides</w:t>
      </w:r>
      <w:r>
        <w:rPr>
          <w:spacing w:val="14"/>
        </w:rPr>
        <w:t> </w:t>
      </w:r>
      <w:r>
        <w:rPr/>
        <w:t>calcium</w:t>
      </w:r>
      <w:r>
        <w:rPr>
          <w:spacing w:val="14"/>
        </w:rPr>
        <w:t> </w:t>
      </w:r>
      <w:r>
        <w:rPr/>
        <w:t>oxalates,</w:t>
      </w:r>
      <w:r>
        <w:rPr>
          <w:spacing w:val="23"/>
        </w:rPr>
        <w:t> </w:t>
      </w:r>
      <w:r>
        <w:rPr>
          <w:i/>
        </w:rPr>
        <w:t>D.</w:t>
      </w:r>
      <w:r>
        <w:rPr>
          <w:i/>
          <w:spacing w:val="20"/>
        </w:rPr>
        <w:t> </w:t>
      </w:r>
      <w:r>
        <w:rPr>
          <w:i/>
        </w:rPr>
        <w:t>picta</w:t>
      </w:r>
      <w:r>
        <w:rPr>
          <w:i/>
          <w:spacing w:val="19"/>
        </w:rPr>
        <w:t> </w:t>
      </w:r>
      <w:r>
        <w:rPr/>
        <w:t>contains</w:t>
      </w:r>
      <w:r>
        <w:rPr>
          <w:spacing w:val="16"/>
        </w:rPr>
        <w:t> </w:t>
      </w:r>
      <w:r>
        <w:rPr/>
        <w:t>proteolytic</w:t>
      </w:r>
      <w:r>
        <w:rPr>
          <w:spacing w:val="17"/>
        </w:rPr>
        <w:t> </w:t>
      </w:r>
      <w:r>
        <w:rPr/>
        <w:t>enzymes</w:t>
      </w:r>
      <w:r>
        <w:rPr>
          <w:spacing w:val="16"/>
        </w:rPr>
        <w:t> </w:t>
      </w:r>
      <w:r>
        <w:rPr/>
        <w:t>that</w:t>
      </w:r>
      <w:r>
        <w:rPr>
          <w:spacing w:val="28"/>
        </w:rPr>
        <w:t> </w:t>
      </w:r>
      <w:r>
        <w:rPr/>
        <w:t>induce</w:t>
      </w:r>
      <w:r>
        <w:rPr>
          <w:spacing w:val="22"/>
        </w:rPr>
        <w:t> </w:t>
      </w:r>
      <w:r>
        <w:rPr>
          <w:spacing w:val="-2"/>
        </w:rPr>
        <w:t>histamine</w:t>
      </w:r>
    </w:p>
    <w:p>
      <w:pPr>
        <w:spacing w:after="0" w:line="480" w:lineRule="auto"/>
        <w:jc w:val="both"/>
        <w:sectPr>
          <w:pgSz w:w="11910" w:h="16840"/>
          <w:pgMar w:header="0" w:footer="1012" w:top="1340" w:bottom="1200" w:left="960" w:right="620"/>
        </w:sectPr>
      </w:pPr>
    </w:p>
    <w:p>
      <w:pPr>
        <w:pStyle w:val="BodyText"/>
        <w:spacing w:line="480" w:lineRule="auto" w:before="79"/>
        <w:ind w:left="1028" w:right="812"/>
        <w:jc w:val="both"/>
      </w:pPr>
      <w:r>
        <w:rPr/>
        <w:t>release causing a severe inflammatory response that may lead to asphyxia and death (Loretti </w:t>
      </w:r>
      <w:r>
        <w:rPr>
          <w:i/>
        </w:rPr>
        <w:t>et al</w:t>
      </w:r>
      <w:r>
        <w:rPr/>
        <w:t>., 2003).</w:t>
      </w:r>
    </w:p>
    <w:p>
      <w:pPr>
        <w:pStyle w:val="BodyText"/>
      </w:pPr>
    </w:p>
    <w:p>
      <w:pPr>
        <w:pStyle w:val="BodyText"/>
        <w:spacing w:before="1"/>
      </w:pPr>
    </w:p>
    <w:p>
      <w:pPr>
        <w:pStyle w:val="ListParagraph"/>
        <w:numPr>
          <w:ilvl w:val="3"/>
          <w:numId w:val="16"/>
        </w:numPr>
        <w:tabs>
          <w:tab w:pos="1747" w:val="left" w:leader="none"/>
        </w:tabs>
        <w:spacing w:line="240" w:lineRule="auto" w:before="0" w:after="0"/>
        <w:ind w:left="1747" w:right="0" w:hanging="719"/>
        <w:jc w:val="left"/>
        <w:rPr>
          <w:i/>
          <w:sz w:val="24"/>
        </w:rPr>
      </w:pPr>
      <w:r>
        <w:rPr>
          <w:i/>
          <w:sz w:val="24"/>
        </w:rPr>
        <w:t>Plants</w:t>
      </w:r>
      <w:r>
        <w:rPr>
          <w:i/>
          <w:spacing w:val="-3"/>
          <w:sz w:val="24"/>
        </w:rPr>
        <w:t> </w:t>
      </w:r>
      <w:r>
        <w:rPr>
          <w:i/>
          <w:sz w:val="24"/>
        </w:rPr>
        <w:t>that</w:t>
      </w:r>
      <w:r>
        <w:rPr>
          <w:i/>
          <w:spacing w:val="-1"/>
          <w:sz w:val="24"/>
        </w:rPr>
        <w:t> </w:t>
      </w:r>
      <w:r>
        <w:rPr>
          <w:i/>
          <w:sz w:val="24"/>
        </w:rPr>
        <w:t>affect</w:t>
      </w:r>
      <w:r>
        <w:rPr>
          <w:i/>
          <w:spacing w:val="-1"/>
          <w:sz w:val="24"/>
        </w:rPr>
        <w:t> </w:t>
      </w:r>
      <w:r>
        <w:rPr>
          <w:i/>
          <w:sz w:val="24"/>
        </w:rPr>
        <w:t>the</w:t>
      </w:r>
      <w:r>
        <w:rPr>
          <w:i/>
          <w:spacing w:val="-2"/>
          <w:sz w:val="24"/>
        </w:rPr>
        <w:t> </w:t>
      </w:r>
      <w:r>
        <w:rPr>
          <w:i/>
          <w:sz w:val="24"/>
        </w:rPr>
        <w:t>gastrointestinal </w:t>
      </w:r>
      <w:r>
        <w:rPr>
          <w:i/>
          <w:spacing w:val="-4"/>
          <w:sz w:val="24"/>
        </w:rPr>
        <w:t>tract</w:t>
      </w:r>
    </w:p>
    <w:p>
      <w:pPr>
        <w:pStyle w:val="BodyText"/>
        <w:rPr>
          <w:i/>
        </w:rPr>
      </w:pPr>
    </w:p>
    <w:p>
      <w:pPr>
        <w:pStyle w:val="BodyText"/>
        <w:spacing w:line="480" w:lineRule="auto"/>
        <w:ind w:left="1028" w:right="803"/>
        <w:jc w:val="both"/>
      </w:pPr>
      <w:r>
        <w:rPr>
          <w:i/>
        </w:rPr>
        <w:t>Ricinus communis </w:t>
      </w:r>
      <w:r>
        <w:rPr/>
        <w:t>contain lectins which cause necrosis of the cells lining the gastrointestinal tract. Ricin is comprised of two subunits: Unit B (for binding) is the actual</w:t>
      </w:r>
      <w:r>
        <w:rPr>
          <w:spacing w:val="-6"/>
        </w:rPr>
        <w:t> </w:t>
      </w:r>
      <w:r>
        <w:rPr/>
        <w:t>lectin</w:t>
      </w:r>
      <w:r>
        <w:rPr>
          <w:spacing w:val="-6"/>
        </w:rPr>
        <w:t> </w:t>
      </w:r>
      <w:r>
        <w:rPr/>
        <w:t>that binds</w:t>
      </w:r>
      <w:r>
        <w:rPr>
          <w:spacing w:val="-3"/>
        </w:rPr>
        <w:t> </w:t>
      </w:r>
      <w:r>
        <w:rPr/>
        <w:t>to</w:t>
      </w:r>
      <w:r>
        <w:rPr>
          <w:spacing w:val="-1"/>
        </w:rPr>
        <w:t> </w:t>
      </w:r>
      <w:r>
        <w:rPr/>
        <w:t>galactosyl</w:t>
      </w:r>
      <w:r>
        <w:rPr>
          <w:spacing w:val="-6"/>
        </w:rPr>
        <w:t> </w:t>
      </w:r>
      <w:r>
        <w:rPr/>
        <w:t>residues in</w:t>
      </w:r>
      <w:r>
        <w:rPr>
          <w:spacing w:val="-6"/>
        </w:rPr>
        <w:t> </w:t>
      </w:r>
      <w:r>
        <w:rPr/>
        <w:t>cellular membranes, whereas</w:t>
      </w:r>
      <w:r>
        <w:rPr>
          <w:spacing w:val="-3"/>
        </w:rPr>
        <w:t> </w:t>
      </w:r>
      <w:r>
        <w:rPr/>
        <w:t>unit A</w:t>
      </w:r>
      <w:r>
        <w:rPr>
          <w:spacing w:val="-7"/>
        </w:rPr>
        <w:t> </w:t>
      </w:r>
      <w:r>
        <w:rPr/>
        <w:t>(for activity) is an enzyme capable of inactivating ribosomes in eukaryotic cells (Barbieri </w:t>
      </w:r>
      <w:r>
        <w:rPr>
          <w:i/>
        </w:rPr>
        <w:t>et al</w:t>
      </w:r>
      <w:r>
        <w:rPr/>
        <w:t>., 1993). All animal species are sensitive to the effects of ricin. Clinical signs include weakness,</w:t>
      </w:r>
      <w:r>
        <w:rPr>
          <w:spacing w:val="-1"/>
        </w:rPr>
        <w:t> </w:t>
      </w:r>
      <w:r>
        <w:rPr/>
        <w:t>salivation,</w:t>
      </w:r>
      <w:r>
        <w:rPr>
          <w:spacing w:val="-1"/>
        </w:rPr>
        <w:t> </w:t>
      </w:r>
      <w:r>
        <w:rPr/>
        <w:t>profuse aqueous</w:t>
      </w:r>
      <w:r>
        <w:rPr>
          <w:spacing w:val="-4"/>
        </w:rPr>
        <w:t> </w:t>
      </w:r>
      <w:r>
        <w:rPr/>
        <w:t>diarrhoea,</w:t>
      </w:r>
      <w:r>
        <w:rPr>
          <w:spacing w:val="-1"/>
        </w:rPr>
        <w:t> </w:t>
      </w:r>
      <w:r>
        <w:rPr/>
        <w:t>dehydration, mydriasis,</w:t>
      </w:r>
      <w:r>
        <w:rPr>
          <w:spacing w:val="-1"/>
        </w:rPr>
        <w:t> </w:t>
      </w:r>
      <w:r>
        <w:rPr/>
        <w:t>teeth</w:t>
      </w:r>
      <w:r>
        <w:rPr>
          <w:spacing w:val="-7"/>
        </w:rPr>
        <w:t> </w:t>
      </w:r>
      <w:r>
        <w:rPr/>
        <w:t>grinding, hypothermia and recumbence; the major postmortem finding is severe gastroenteritis (Aslani </w:t>
      </w:r>
      <w:r>
        <w:rPr>
          <w:i/>
        </w:rPr>
        <w:t>et al</w:t>
      </w:r>
      <w:r>
        <w:rPr/>
        <w:t>., 2007).</w:t>
      </w:r>
    </w:p>
    <w:p>
      <w:pPr>
        <w:pStyle w:val="BodyText"/>
        <w:spacing w:before="143"/>
      </w:pPr>
    </w:p>
    <w:p>
      <w:pPr>
        <w:pStyle w:val="Heading2"/>
        <w:numPr>
          <w:ilvl w:val="2"/>
          <w:numId w:val="16"/>
        </w:numPr>
        <w:tabs>
          <w:tab w:pos="1748" w:val="left" w:leader="none"/>
        </w:tabs>
        <w:spacing w:line="240" w:lineRule="auto" w:before="0" w:after="0"/>
        <w:ind w:left="1748" w:right="0" w:hanging="720"/>
        <w:jc w:val="left"/>
      </w:pPr>
      <w:bookmarkStart w:name="_TOC_250031" w:id="25"/>
      <w:r>
        <w:rPr/>
        <w:t>Plants</w:t>
      </w:r>
      <w:r>
        <w:rPr>
          <w:spacing w:val="-5"/>
        </w:rPr>
        <w:t> </w:t>
      </w:r>
      <w:r>
        <w:rPr/>
        <w:t>that</w:t>
      </w:r>
      <w:r>
        <w:rPr>
          <w:spacing w:val="-1"/>
        </w:rPr>
        <w:t> </w:t>
      </w:r>
      <w:r>
        <w:rPr/>
        <w:t>affect</w:t>
      </w:r>
      <w:r>
        <w:rPr>
          <w:spacing w:val="1"/>
        </w:rPr>
        <w:t> </w:t>
      </w:r>
      <w:r>
        <w:rPr/>
        <w:t>the</w:t>
      </w:r>
      <w:bookmarkEnd w:id="25"/>
      <w:r>
        <w:rPr>
          <w:spacing w:val="-2"/>
        </w:rPr>
        <w:t> blood</w:t>
      </w:r>
    </w:p>
    <w:p>
      <w:pPr>
        <w:pStyle w:val="ListParagraph"/>
        <w:numPr>
          <w:ilvl w:val="3"/>
          <w:numId w:val="16"/>
        </w:numPr>
        <w:tabs>
          <w:tab w:pos="1747" w:val="left" w:leader="none"/>
        </w:tabs>
        <w:spacing w:line="240" w:lineRule="auto" w:before="272" w:after="0"/>
        <w:ind w:left="1747" w:right="0" w:hanging="719"/>
        <w:jc w:val="left"/>
        <w:rPr>
          <w:i/>
          <w:sz w:val="24"/>
        </w:rPr>
      </w:pPr>
      <w:r>
        <w:rPr>
          <w:i/>
          <w:sz w:val="24"/>
        </w:rPr>
        <w:t>Plants</w:t>
      </w:r>
      <w:r>
        <w:rPr>
          <w:i/>
          <w:spacing w:val="-3"/>
          <w:sz w:val="24"/>
        </w:rPr>
        <w:t> </w:t>
      </w:r>
      <w:r>
        <w:rPr>
          <w:i/>
          <w:sz w:val="24"/>
        </w:rPr>
        <w:t>causing</w:t>
      </w:r>
      <w:r>
        <w:rPr>
          <w:i/>
          <w:spacing w:val="-1"/>
          <w:sz w:val="24"/>
        </w:rPr>
        <w:t> </w:t>
      </w:r>
      <w:r>
        <w:rPr>
          <w:i/>
          <w:sz w:val="24"/>
        </w:rPr>
        <w:t>haemolytic</w:t>
      </w:r>
      <w:r>
        <w:rPr>
          <w:i/>
          <w:spacing w:val="-2"/>
          <w:sz w:val="24"/>
        </w:rPr>
        <w:t> anaemia</w:t>
      </w:r>
    </w:p>
    <w:p>
      <w:pPr>
        <w:pStyle w:val="BodyText"/>
        <w:rPr>
          <w:i/>
        </w:rPr>
      </w:pPr>
    </w:p>
    <w:p>
      <w:pPr>
        <w:pStyle w:val="BodyText"/>
        <w:spacing w:line="480" w:lineRule="auto"/>
        <w:ind w:left="1028" w:right="805" w:firstLine="57"/>
        <w:jc w:val="both"/>
      </w:pPr>
      <w:r>
        <w:rPr>
          <w:i/>
        </w:rPr>
        <w:t>Allium cepa</w:t>
      </w:r>
      <w:r>
        <w:rPr/>
        <w:t>, which includes all types of</w:t>
      </w:r>
      <w:r>
        <w:rPr>
          <w:spacing w:val="-2"/>
        </w:rPr>
        <w:t> </w:t>
      </w:r>
      <w:r>
        <w:rPr/>
        <w:t>onions, is capable of causing toxicosis in both large and small animals due to its content of organic sulphoxides, especially alkyl or alkenyl cysteinyl sulphoxides (Rae, 1999; Parton, 2000). After ingestion, the organosulphoxides are transformed into a complex mixture of organic sulphur compounds, some of</w:t>
      </w:r>
      <w:r>
        <w:rPr>
          <w:spacing w:val="-2"/>
        </w:rPr>
        <w:t> </w:t>
      </w:r>
      <w:r>
        <w:rPr/>
        <w:t>which are capable of</w:t>
      </w:r>
      <w:r>
        <w:rPr>
          <w:spacing w:val="-2"/>
        </w:rPr>
        <w:t> </w:t>
      </w:r>
      <w:r>
        <w:rPr/>
        <w:t>causing intravascular haemolysis in animals.</w:t>
      </w:r>
    </w:p>
    <w:p>
      <w:pPr>
        <w:pStyle w:val="BodyText"/>
      </w:pPr>
    </w:p>
    <w:p>
      <w:pPr>
        <w:pStyle w:val="BodyText"/>
        <w:spacing w:before="1"/>
      </w:pPr>
    </w:p>
    <w:p>
      <w:pPr>
        <w:pStyle w:val="ListParagraph"/>
        <w:numPr>
          <w:ilvl w:val="3"/>
          <w:numId w:val="16"/>
        </w:numPr>
        <w:tabs>
          <w:tab w:pos="1747" w:val="left" w:leader="none"/>
        </w:tabs>
        <w:spacing w:line="240" w:lineRule="auto" w:before="0" w:after="0"/>
        <w:ind w:left="1747" w:right="0" w:hanging="719"/>
        <w:jc w:val="left"/>
        <w:rPr>
          <w:i/>
          <w:sz w:val="24"/>
        </w:rPr>
      </w:pPr>
      <w:r>
        <w:rPr>
          <w:i/>
          <w:sz w:val="24"/>
        </w:rPr>
        <w:t>Plants</w:t>
      </w:r>
      <w:r>
        <w:rPr>
          <w:i/>
          <w:spacing w:val="-4"/>
          <w:sz w:val="24"/>
        </w:rPr>
        <w:t> </w:t>
      </w:r>
      <w:r>
        <w:rPr>
          <w:i/>
          <w:sz w:val="24"/>
        </w:rPr>
        <w:t>causing</w:t>
      </w:r>
      <w:r>
        <w:rPr>
          <w:i/>
          <w:spacing w:val="-1"/>
          <w:sz w:val="24"/>
        </w:rPr>
        <w:t> </w:t>
      </w:r>
      <w:r>
        <w:rPr>
          <w:i/>
          <w:spacing w:val="-2"/>
          <w:sz w:val="24"/>
        </w:rPr>
        <w:t>methemoglobinemia</w:t>
      </w:r>
    </w:p>
    <w:p>
      <w:pPr>
        <w:pStyle w:val="BodyText"/>
        <w:rPr>
          <w:i/>
        </w:rPr>
      </w:pPr>
    </w:p>
    <w:p>
      <w:pPr>
        <w:pStyle w:val="BodyText"/>
        <w:spacing w:line="480" w:lineRule="auto"/>
        <w:ind w:left="1028" w:right="803"/>
        <w:jc w:val="both"/>
      </w:pPr>
      <w:r>
        <w:rPr/>
        <w:t>The nitrite ion, which is formed by</w:t>
      </w:r>
      <w:r>
        <w:rPr>
          <w:spacing w:val="-1"/>
        </w:rPr>
        <w:t> </w:t>
      </w:r>
      <w:r>
        <w:rPr/>
        <w:t>bacteria in</w:t>
      </w:r>
      <w:r>
        <w:rPr>
          <w:spacing w:val="-1"/>
        </w:rPr>
        <w:t> </w:t>
      </w:r>
      <w:r>
        <w:rPr/>
        <w:t>the rumen</w:t>
      </w:r>
      <w:r>
        <w:rPr>
          <w:spacing w:val="-1"/>
        </w:rPr>
        <w:t> </w:t>
      </w:r>
      <w:r>
        <w:rPr/>
        <w:t>from</w:t>
      </w:r>
      <w:r>
        <w:rPr>
          <w:spacing w:val="-10"/>
        </w:rPr>
        <w:t> </w:t>
      </w:r>
      <w:r>
        <w:rPr/>
        <w:t>plant nitrate, is the major cause of methaemoglobinemia in ruminants. </w:t>
      </w:r>
      <w:r>
        <w:rPr>
          <w:i/>
        </w:rPr>
        <w:t>Amaranthus </w:t>
      </w:r>
      <w:r>
        <w:rPr/>
        <w:t>species have been associated with</w:t>
      </w:r>
      <w:r>
        <w:rPr>
          <w:spacing w:val="29"/>
        </w:rPr>
        <w:t> </w:t>
      </w:r>
      <w:r>
        <w:rPr/>
        <w:t>nitrate</w:t>
      </w:r>
      <w:r>
        <w:rPr>
          <w:spacing w:val="31"/>
        </w:rPr>
        <w:t> </w:t>
      </w:r>
      <w:r>
        <w:rPr/>
        <w:t>intoxication.</w:t>
      </w:r>
      <w:r>
        <w:rPr>
          <w:spacing w:val="38"/>
        </w:rPr>
        <w:t> </w:t>
      </w:r>
      <w:r>
        <w:rPr>
          <w:i/>
        </w:rPr>
        <w:t>Chenopodium</w:t>
      </w:r>
      <w:r>
        <w:rPr>
          <w:i/>
          <w:spacing w:val="32"/>
        </w:rPr>
        <w:t> </w:t>
      </w:r>
      <w:r>
        <w:rPr>
          <w:i/>
        </w:rPr>
        <w:t>album</w:t>
      </w:r>
      <w:r>
        <w:rPr/>
        <w:t>,</w:t>
      </w:r>
      <w:r>
        <w:rPr>
          <w:spacing w:val="33"/>
        </w:rPr>
        <w:t> </w:t>
      </w:r>
      <w:r>
        <w:rPr/>
        <w:t>a</w:t>
      </w:r>
      <w:r>
        <w:rPr>
          <w:spacing w:val="31"/>
        </w:rPr>
        <w:t> </w:t>
      </w:r>
      <w:r>
        <w:rPr/>
        <w:t>plant</w:t>
      </w:r>
      <w:r>
        <w:rPr>
          <w:spacing w:val="36"/>
        </w:rPr>
        <w:t> </w:t>
      </w:r>
      <w:r>
        <w:rPr/>
        <w:t>recently</w:t>
      </w:r>
      <w:r>
        <w:rPr>
          <w:spacing w:val="27"/>
        </w:rPr>
        <w:t> </w:t>
      </w:r>
      <w:r>
        <w:rPr/>
        <w:t>reported</w:t>
      </w:r>
      <w:r>
        <w:rPr>
          <w:spacing w:val="32"/>
        </w:rPr>
        <w:t> </w:t>
      </w:r>
      <w:r>
        <w:rPr/>
        <w:t>in</w:t>
      </w:r>
      <w:r>
        <w:rPr>
          <w:spacing w:val="32"/>
        </w:rPr>
        <w:t> </w:t>
      </w:r>
      <w:r>
        <w:rPr>
          <w:spacing w:val="-2"/>
        </w:rPr>
        <w:t>Colombia</w:t>
      </w:r>
    </w:p>
    <w:p>
      <w:pPr>
        <w:spacing w:after="0" w:line="480" w:lineRule="auto"/>
        <w:jc w:val="both"/>
        <w:sectPr>
          <w:pgSz w:w="11910" w:h="16840"/>
          <w:pgMar w:header="0" w:footer="1012" w:top="1320" w:bottom="1200" w:left="960" w:right="620"/>
        </w:sectPr>
      </w:pPr>
    </w:p>
    <w:p>
      <w:pPr>
        <w:pStyle w:val="BodyText"/>
        <w:spacing w:line="480" w:lineRule="auto" w:before="79"/>
        <w:ind w:left="1028" w:right="807"/>
        <w:jc w:val="both"/>
      </w:pPr>
      <w:r>
        <w:rPr/>
        <w:t>(Fernández-Alonso and Hernández-Schmidt, 2007), which can cause lethal intoxication in ruminants because of its high nitrate levels.</w:t>
      </w:r>
    </w:p>
    <w:p>
      <w:pPr>
        <w:pStyle w:val="BodyText"/>
      </w:pPr>
    </w:p>
    <w:p>
      <w:pPr>
        <w:pStyle w:val="BodyText"/>
        <w:spacing w:before="1"/>
      </w:pPr>
    </w:p>
    <w:p>
      <w:pPr>
        <w:pStyle w:val="ListParagraph"/>
        <w:numPr>
          <w:ilvl w:val="3"/>
          <w:numId w:val="16"/>
        </w:numPr>
        <w:tabs>
          <w:tab w:pos="1747" w:val="left" w:leader="none"/>
        </w:tabs>
        <w:spacing w:line="240" w:lineRule="auto" w:before="0" w:after="0"/>
        <w:ind w:left="1747" w:right="0" w:hanging="719"/>
        <w:jc w:val="both"/>
        <w:rPr>
          <w:i/>
          <w:sz w:val="24"/>
        </w:rPr>
      </w:pPr>
      <w:r>
        <w:rPr>
          <w:i/>
          <w:sz w:val="24"/>
        </w:rPr>
        <w:t>Plants</w:t>
      </w:r>
      <w:r>
        <w:rPr>
          <w:i/>
          <w:spacing w:val="-3"/>
          <w:sz w:val="24"/>
        </w:rPr>
        <w:t> </w:t>
      </w:r>
      <w:r>
        <w:rPr>
          <w:i/>
          <w:sz w:val="24"/>
        </w:rPr>
        <w:t>that affect</w:t>
      </w:r>
      <w:r>
        <w:rPr>
          <w:i/>
          <w:spacing w:val="-1"/>
          <w:sz w:val="24"/>
        </w:rPr>
        <w:t> </w:t>
      </w:r>
      <w:r>
        <w:rPr>
          <w:i/>
          <w:sz w:val="24"/>
        </w:rPr>
        <w:t>the</w:t>
      </w:r>
      <w:r>
        <w:rPr>
          <w:i/>
          <w:spacing w:val="-1"/>
          <w:sz w:val="24"/>
        </w:rPr>
        <w:t> </w:t>
      </w:r>
      <w:r>
        <w:rPr>
          <w:i/>
          <w:sz w:val="24"/>
        </w:rPr>
        <w:t>coagulation</w:t>
      </w:r>
      <w:r>
        <w:rPr>
          <w:i/>
          <w:spacing w:val="-1"/>
          <w:sz w:val="24"/>
        </w:rPr>
        <w:t> </w:t>
      </w:r>
      <w:r>
        <w:rPr>
          <w:i/>
          <w:sz w:val="24"/>
        </w:rPr>
        <w:t>of </w:t>
      </w:r>
      <w:r>
        <w:rPr>
          <w:i/>
          <w:spacing w:val="-2"/>
          <w:sz w:val="24"/>
        </w:rPr>
        <w:t>blood</w:t>
      </w:r>
    </w:p>
    <w:p>
      <w:pPr>
        <w:pStyle w:val="BodyText"/>
        <w:rPr>
          <w:i/>
        </w:rPr>
      </w:pPr>
    </w:p>
    <w:p>
      <w:pPr>
        <w:pStyle w:val="BodyText"/>
        <w:spacing w:line="480" w:lineRule="auto"/>
        <w:ind w:left="1028" w:right="806"/>
        <w:jc w:val="both"/>
      </w:pPr>
      <w:r>
        <w:rPr/>
        <w:t>Plants such as </w:t>
      </w:r>
      <w:r>
        <w:rPr>
          <w:i/>
        </w:rPr>
        <w:t>Anthoxanthum odoratum </w:t>
      </w:r>
      <w:r>
        <w:rPr/>
        <w:t>(Poaceae) contain coumaric glycosides which have anticoagulant property on the blood. When hay from these plants becomes</w:t>
      </w:r>
      <w:r>
        <w:rPr>
          <w:spacing w:val="40"/>
        </w:rPr>
        <w:t> </w:t>
      </w:r>
      <w:r>
        <w:rPr/>
        <w:t>mouldy, the coumarinic glycosides can</w:t>
      </w:r>
      <w:r>
        <w:rPr>
          <w:spacing w:val="-2"/>
        </w:rPr>
        <w:t> </w:t>
      </w:r>
      <w:r>
        <w:rPr/>
        <w:t>produce dicumarol, an anticoagulant that causes depletion of active vitamin K in the liver resulting in reduced clotting factors being released into the blood (Hallak and Wedlund, 1991).</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30" w:id="26"/>
      <w:r>
        <w:rPr/>
        <w:t>Cardiotoxic</w:t>
      </w:r>
      <w:r>
        <w:rPr>
          <w:spacing w:val="-6"/>
        </w:rPr>
        <w:t> </w:t>
      </w:r>
      <w:bookmarkEnd w:id="26"/>
      <w:r>
        <w:rPr>
          <w:spacing w:val="-2"/>
        </w:rPr>
        <w:t>plants</w:t>
      </w:r>
    </w:p>
    <w:p>
      <w:pPr>
        <w:pStyle w:val="BodyText"/>
        <w:spacing w:line="480" w:lineRule="auto" w:before="272"/>
        <w:ind w:left="1028" w:right="803"/>
        <w:jc w:val="both"/>
      </w:pPr>
      <w:r>
        <w:rPr/>
        <w:t>Cardiac glycosides are a specific type of</w:t>
      </w:r>
      <w:r>
        <w:rPr>
          <w:spacing w:val="-5"/>
        </w:rPr>
        <w:t> </w:t>
      </w:r>
      <w:r>
        <w:rPr/>
        <w:t>toxic glycosides that affect the cardiac muscle, sometimes causing fatal toxicosis. Cardiac glycosides increase the contraction force of the heart by inhibiting the myocardial Na-K ATP-ase, which can lead to cardiac arrest (Poindexter </w:t>
      </w:r>
      <w:r>
        <w:rPr>
          <w:i/>
        </w:rPr>
        <w:t>et al</w:t>
      </w:r>
      <w:r>
        <w:rPr/>
        <w:t>., 2007). </w:t>
      </w:r>
      <w:r>
        <w:rPr>
          <w:i/>
        </w:rPr>
        <w:t>Digitalis purpurea </w:t>
      </w:r>
      <w:r>
        <w:rPr/>
        <w:t>contains cardiac glycosides in all parts of the plant but the concentration is higher in the leaves (Diaz, 2011).</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29" w:id="27"/>
      <w:r>
        <w:rPr/>
        <w:t>Hepatotoxic</w:t>
      </w:r>
      <w:bookmarkEnd w:id="27"/>
      <w:r>
        <w:rPr>
          <w:spacing w:val="-2"/>
        </w:rPr>
        <w:t> plants</w:t>
      </w:r>
    </w:p>
    <w:p>
      <w:pPr>
        <w:pStyle w:val="BodyText"/>
        <w:spacing w:line="480" w:lineRule="auto" w:before="271"/>
        <w:ind w:left="1028" w:right="801"/>
        <w:jc w:val="both"/>
      </w:pPr>
      <w:r>
        <w:rPr/>
        <w:t>Hepatotoxic plants affect the liver by causing either hepatocellular necrosis or intrahepatic cholestasis.</w:t>
      </w:r>
      <w:r>
        <w:rPr>
          <w:spacing w:val="40"/>
        </w:rPr>
        <w:t> </w:t>
      </w:r>
      <w:r>
        <w:rPr/>
        <w:t>Pyrrolizidine alkaloids (PAs) are a large group</w:t>
      </w:r>
      <w:r>
        <w:rPr>
          <w:spacing w:val="-2"/>
        </w:rPr>
        <w:t> </w:t>
      </w:r>
      <w:r>
        <w:rPr/>
        <w:t>of</w:t>
      </w:r>
      <w:r>
        <w:rPr>
          <w:spacing w:val="-4"/>
        </w:rPr>
        <w:t> </w:t>
      </w:r>
      <w:r>
        <w:rPr/>
        <w:t>hepatotoxins capable of causing hepatocellular necrosis. Extensive literature reviews on the chemistry, mechanism of action and effects of PAs in animals and humans have been published (Mattocks, 1986; Diaz, 2001; Fu </w:t>
      </w:r>
      <w:r>
        <w:rPr>
          <w:i/>
        </w:rPr>
        <w:t>et al</w:t>
      </w:r>
      <w:r>
        <w:rPr/>
        <w:t>., 2004; Rietjens </w:t>
      </w:r>
      <w:r>
        <w:rPr>
          <w:i/>
        </w:rPr>
        <w:t>et al</w:t>
      </w:r>
      <w:r>
        <w:rPr/>
        <w:t>., 2005). In general,</w:t>
      </w:r>
      <w:r>
        <w:rPr>
          <w:spacing w:val="66"/>
        </w:rPr>
        <w:t> </w:t>
      </w:r>
      <w:r>
        <w:rPr/>
        <w:t>PAs</w:t>
      </w:r>
      <w:r>
        <w:rPr>
          <w:spacing w:val="74"/>
        </w:rPr>
        <w:t> </w:t>
      </w:r>
      <w:r>
        <w:rPr/>
        <w:t>induce</w:t>
      </w:r>
      <w:r>
        <w:rPr>
          <w:spacing w:val="75"/>
        </w:rPr>
        <w:t> </w:t>
      </w:r>
      <w:r>
        <w:rPr/>
        <w:t>hepatocyte</w:t>
      </w:r>
      <w:r>
        <w:rPr>
          <w:spacing w:val="71"/>
        </w:rPr>
        <w:t> </w:t>
      </w:r>
      <w:r>
        <w:rPr/>
        <w:t>necrosis</w:t>
      </w:r>
      <w:r>
        <w:rPr>
          <w:spacing w:val="69"/>
        </w:rPr>
        <w:t> </w:t>
      </w:r>
      <w:r>
        <w:rPr/>
        <w:t>that</w:t>
      </w:r>
      <w:r>
        <w:rPr>
          <w:spacing w:val="72"/>
        </w:rPr>
        <w:t> </w:t>
      </w:r>
      <w:r>
        <w:rPr/>
        <w:t>progresses</w:t>
      </w:r>
      <w:r>
        <w:rPr>
          <w:spacing w:val="65"/>
        </w:rPr>
        <w:t> </w:t>
      </w:r>
      <w:r>
        <w:rPr/>
        <w:t>to</w:t>
      </w:r>
      <w:r>
        <w:rPr>
          <w:spacing w:val="70"/>
        </w:rPr>
        <w:t> </w:t>
      </w:r>
      <w:r>
        <w:rPr/>
        <w:t>the</w:t>
      </w:r>
      <w:r>
        <w:rPr>
          <w:spacing w:val="66"/>
        </w:rPr>
        <w:t> </w:t>
      </w:r>
      <w:r>
        <w:rPr/>
        <w:t>destruction</w:t>
      </w:r>
      <w:r>
        <w:rPr>
          <w:spacing w:val="62"/>
        </w:rPr>
        <w:t> </w:t>
      </w:r>
      <w:r>
        <w:rPr/>
        <w:t>of</w:t>
      </w:r>
      <w:r>
        <w:rPr>
          <w:spacing w:val="60"/>
        </w:rPr>
        <w:t> </w:t>
      </w:r>
      <w:r>
        <w:rPr>
          <w:spacing w:val="-5"/>
        </w:rPr>
        <w:t>the</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t>parenchymal cells of the organ and eventually to liver failure. PAs are also potent carcinogens at levels below those causing hepatic necrosis.</w:t>
      </w:r>
    </w:p>
    <w:p>
      <w:pPr>
        <w:pStyle w:val="BodyText"/>
      </w:pPr>
    </w:p>
    <w:p>
      <w:pPr>
        <w:pStyle w:val="BodyText"/>
      </w:pPr>
    </w:p>
    <w:p>
      <w:pPr>
        <w:pStyle w:val="BodyText"/>
        <w:spacing w:before="8"/>
      </w:pPr>
    </w:p>
    <w:p>
      <w:pPr>
        <w:pStyle w:val="Heading2"/>
        <w:numPr>
          <w:ilvl w:val="2"/>
          <w:numId w:val="16"/>
        </w:numPr>
        <w:tabs>
          <w:tab w:pos="1747" w:val="left" w:leader="none"/>
        </w:tabs>
        <w:spacing w:line="240" w:lineRule="auto" w:before="0" w:after="0"/>
        <w:ind w:left="1747" w:right="0" w:hanging="719"/>
        <w:jc w:val="both"/>
      </w:pPr>
      <w:bookmarkStart w:name="_TOC_250028" w:id="28"/>
      <w:r>
        <w:rPr/>
        <w:t>Plants</w:t>
      </w:r>
      <w:r>
        <w:rPr>
          <w:spacing w:val="-6"/>
        </w:rPr>
        <w:t> </w:t>
      </w:r>
      <w:r>
        <w:rPr/>
        <w:t>that</w:t>
      </w:r>
      <w:r>
        <w:rPr>
          <w:spacing w:val="-2"/>
        </w:rPr>
        <w:t> </w:t>
      </w:r>
      <w:r>
        <w:rPr/>
        <w:t>affect</w:t>
      </w:r>
      <w:r>
        <w:rPr>
          <w:spacing w:val="-2"/>
        </w:rPr>
        <w:t> </w:t>
      </w:r>
      <w:r>
        <w:rPr/>
        <w:t>the</w:t>
      </w:r>
      <w:r>
        <w:rPr>
          <w:spacing w:val="-4"/>
        </w:rPr>
        <w:t> </w:t>
      </w:r>
      <w:r>
        <w:rPr/>
        <w:t>urinary</w:t>
      </w:r>
      <w:r>
        <w:rPr>
          <w:spacing w:val="-3"/>
        </w:rPr>
        <w:t> </w:t>
      </w:r>
      <w:bookmarkEnd w:id="28"/>
      <w:r>
        <w:rPr>
          <w:spacing w:val="-2"/>
        </w:rPr>
        <w:t>system</w:t>
      </w:r>
    </w:p>
    <w:p>
      <w:pPr>
        <w:pStyle w:val="BodyText"/>
        <w:spacing w:line="480" w:lineRule="auto" w:before="271"/>
        <w:ind w:left="1028" w:right="804"/>
        <w:jc w:val="both"/>
      </w:pPr>
      <w:r>
        <w:rPr/>
        <w:t>Urinary bladder tumors in cattle have been associated with the intake of </w:t>
      </w:r>
      <w:r>
        <w:rPr>
          <w:i/>
        </w:rPr>
        <w:t>Pteridium aquilinum </w:t>
      </w:r>
      <w:r>
        <w:rPr/>
        <w:t>(Smith, 1997). The toxicosis results from the chronic intake of ptaquiloside and its major</w:t>
      </w:r>
      <w:r>
        <w:rPr>
          <w:spacing w:val="-1"/>
        </w:rPr>
        <w:t> </w:t>
      </w:r>
      <w:r>
        <w:rPr/>
        <w:t>sign</w:t>
      </w:r>
      <w:r>
        <w:rPr>
          <w:spacing w:val="-2"/>
        </w:rPr>
        <w:t> </w:t>
      </w:r>
      <w:r>
        <w:rPr/>
        <w:t>is haematuria</w:t>
      </w:r>
      <w:r>
        <w:rPr>
          <w:spacing w:val="-3"/>
        </w:rPr>
        <w:t> </w:t>
      </w:r>
      <w:r>
        <w:rPr/>
        <w:t>caused by</w:t>
      </w:r>
      <w:r>
        <w:rPr>
          <w:spacing w:val="-7"/>
        </w:rPr>
        <w:t> </w:t>
      </w:r>
      <w:r>
        <w:rPr/>
        <w:t>the development of</w:t>
      </w:r>
      <w:r>
        <w:rPr>
          <w:spacing w:val="-5"/>
        </w:rPr>
        <w:t> </w:t>
      </w:r>
      <w:r>
        <w:rPr/>
        <w:t>multiple bleeding</w:t>
      </w:r>
      <w:r>
        <w:rPr>
          <w:spacing w:val="-2"/>
        </w:rPr>
        <w:t> </w:t>
      </w:r>
      <w:r>
        <w:rPr/>
        <w:t>tumors in the bladder mucosa (Pedraza </w:t>
      </w:r>
      <w:r>
        <w:rPr>
          <w:i/>
        </w:rPr>
        <w:t>et al</w:t>
      </w:r>
      <w:r>
        <w:rPr/>
        <w:t>., 1983; Smith, 1997). The glycoside can be excreted in the milk (Alonso-Amelot, 1997).</w:t>
      </w:r>
    </w:p>
    <w:p>
      <w:pPr>
        <w:pStyle w:val="BodyText"/>
      </w:pPr>
    </w:p>
    <w:p>
      <w:pPr>
        <w:pStyle w:val="BodyText"/>
        <w:spacing w:before="2"/>
      </w:pPr>
    </w:p>
    <w:p>
      <w:pPr>
        <w:pStyle w:val="Heading2"/>
        <w:numPr>
          <w:ilvl w:val="2"/>
          <w:numId w:val="16"/>
        </w:numPr>
        <w:tabs>
          <w:tab w:pos="1747" w:val="left" w:leader="none"/>
        </w:tabs>
        <w:spacing w:line="240" w:lineRule="auto" w:before="0" w:after="0"/>
        <w:ind w:left="1747" w:right="0" w:hanging="719"/>
        <w:jc w:val="both"/>
      </w:pPr>
      <w:bookmarkStart w:name="_TOC_250027" w:id="29"/>
      <w:r>
        <w:rPr/>
        <w:t>Plants</w:t>
      </w:r>
      <w:r>
        <w:rPr>
          <w:spacing w:val="-5"/>
        </w:rPr>
        <w:t> </w:t>
      </w:r>
      <w:r>
        <w:rPr/>
        <w:t>that</w:t>
      </w:r>
      <w:r>
        <w:rPr>
          <w:spacing w:val="-1"/>
        </w:rPr>
        <w:t> </w:t>
      </w:r>
      <w:r>
        <w:rPr/>
        <w:t>affect</w:t>
      </w:r>
      <w:r>
        <w:rPr>
          <w:spacing w:val="-1"/>
        </w:rPr>
        <w:t> </w:t>
      </w:r>
      <w:r>
        <w:rPr/>
        <w:t>the</w:t>
      </w:r>
      <w:r>
        <w:rPr>
          <w:spacing w:val="-3"/>
        </w:rPr>
        <w:t> </w:t>
      </w:r>
      <w:r>
        <w:rPr/>
        <w:t>nervous</w:t>
      </w:r>
      <w:r>
        <w:rPr>
          <w:spacing w:val="-4"/>
        </w:rPr>
        <w:t> </w:t>
      </w:r>
      <w:bookmarkEnd w:id="29"/>
      <w:r>
        <w:rPr>
          <w:spacing w:val="-2"/>
        </w:rPr>
        <w:t>system</w:t>
      </w:r>
    </w:p>
    <w:p>
      <w:pPr>
        <w:pStyle w:val="BodyText"/>
        <w:spacing w:line="480" w:lineRule="auto" w:before="271"/>
        <w:ind w:left="1028" w:right="818"/>
        <w:jc w:val="both"/>
      </w:pPr>
      <w:r>
        <w:rPr/>
        <w:t>Plants</w:t>
      </w:r>
      <w:r>
        <w:rPr>
          <w:spacing w:val="-4"/>
        </w:rPr>
        <w:t> </w:t>
      </w:r>
      <w:r>
        <w:rPr/>
        <w:t>that affect</w:t>
      </w:r>
      <w:r>
        <w:rPr>
          <w:spacing w:val="-2"/>
        </w:rPr>
        <w:t> </w:t>
      </w:r>
      <w:r>
        <w:rPr/>
        <w:t>the</w:t>
      </w:r>
      <w:r>
        <w:rPr>
          <w:spacing w:val="-3"/>
        </w:rPr>
        <w:t> </w:t>
      </w:r>
      <w:r>
        <w:rPr/>
        <w:t>nervous</w:t>
      </w:r>
      <w:r>
        <w:rPr>
          <w:spacing w:val="-4"/>
        </w:rPr>
        <w:t> </w:t>
      </w:r>
      <w:r>
        <w:rPr/>
        <w:t>system</w:t>
      </w:r>
      <w:r>
        <w:rPr>
          <w:spacing w:val="-11"/>
        </w:rPr>
        <w:t> </w:t>
      </w:r>
      <w:r>
        <w:rPr/>
        <w:t>are</w:t>
      </w:r>
      <w:r>
        <w:rPr>
          <w:spacing w:val="-3"/>
        </w:rPr>
        <w:t> </w:t>
      </w:r>
      <w:r>
        <w:rPr/>
        <w:t>divided into 2</w:t>
      </w:r>
      <w:r>
        <w:rPr>
          <w:spacing w:val="-7"/>
        </w:rPr>
        <w:t> </w:t>
      </w:r>
      <w:r>
        <w:rPr/>
        <w:t>major</w:t>
      </w:r>
      <w:r>
        <w:rPr>
          <w:spacing w:val="-1"/>
        </w:rPr>
        <w:t> </w:t>
      </w:r>
      <w:r>
        <w:rPr/>
        <w:t>groups</w:t>
      </w:r>
      <w:r>
        <w:rPr>
          <w:spacing w:val="-4"/>
        </w:rPr>
        <w:t> </w:t>
      </w:r>
      <w:r>
        <w:rPr/>
        <w:t>namely:</w:t>
      </w:r>
      <w:r>
        <w:rPr>
          <w:spacing w:val="-2"/>
        </w:rPr>
        <w:t> </w:t>
      </w:r>
      <w:r>
        <w:rPr/>
        <w:t>plants</w:t>
      </w:r>
      <w:r>
        <w:rPr>
          <w:spacing w:val="-4"/>
        </w:rPr>
        <w:t> </w:t>
      </w:r>
      <w:r>
        <w:rPr/>
        <w:t>that affect the neuromuscular junction and those that affect the central nervous system.</w:t>
      </w:r>
    </w:p>
    <w:p>
      <w:pPr>
        <w:pStyle w:val="BodyText"/>
      </w:pPr>
    </w:p>
    <w:p>
      <w:pPr>
        <w:pStyle w:val="BodyText"/>
        <w:spacing w:before="1"/>
      </w:pPr>
    </w:p>
    <w:p>
      <w:pPr>
        <w:pStyle w:val="ListParagraph"/>
        <w:numPr>
          <w:ilvl w:val="3"/>
          <w:numId w:val="16"/>
        </w:numPr>
        <w:tabs>
          <w:tab w:pos="1747" w:val="left" w:leader="none"/>
        </w:tabs>
        <w:spacing w:line="240" w:lineRule="auto" w:before="0" w:after="0"/>
        <w:ind w:left="1747" w:right="0" w:hanging="719"/>
        <w:jc w:val="left"/>
        <w:rPr>
          <w:i/>
          <w:sz w:val="24"/>
        </w:rPr>
      </w:pPr>
      <w:r>
        <w:rPr>
          <w:i/>
          <w:sz w:val="24"/>
        </w:rPr>
        <w:t>Plants</w:t>
      </w:r>
      <w:r>
        <w:rPr>
          <w:i/>
          <w:spacing w:val="-3"/>
          <w:sz w:val="24"/>
        </w:rPr>
        <w:t> </w:t>
      </w:r>
      <w:r>
        <w:rPr>
          <w:i/>
          <w:sz w:val="24"/>
        </w:rPr>
        <w:t>that block</w:t>
      </w:r>
      <w:r>
        <w:rPr>
          <w:i/>
          <w:spacing w:val="-2"/>
          <w:sz w:val="24"/>
        </w:rPr>
        <w:t> </w:t>
      </w:r>
      <w:r>
        <w:rPr>
          <w:i/>
          <w:sz w:val="24"/>
        </w:rPr>
        <w:t>the</w:t>
      </w:r>
      <w:r>
        <w:rPr>
          <w:i/>
          <w:spacing w:val="-1"/>
          <w:sz w:val="24"/>
        </w:rPr>
        <w:t> </w:t>
      </w:r>
      <w:r>
        <w:rPr>
          <w:i/>
          <w:sz w:val="24"/>
        </w:rPr>
        <w:t>neuromuscular</w:t>
      </w:r>
      <w:r>
        <w:rPr>
          <w:i/>
          <w:spacing w:val="1"/>
          <w:sz w:val="24"/>
        </w:rPr>
        <w:t> </w:t>
      </w:r>
      <w:r>
        <w:rPr>
          <w:i/>
          <w:spacing w:val="-2"/>
          <w:sz w:val="24"/>
        </w:rPr>
        <w:t>junction</w:t>
      </w:r>
    </w:p>
    <w:p>
      <w:pPr>
        <w:pStyle w:val="BodyText"/>
        <w:rPr>
          <w:i/>
        </w:rPr>
      </w:pPr>
    </w:p>
    <w:p>
      <w:pPr>
        <w:pStyle w:val="BodyText"/>
        <w:spacing w:line="480" w:lineRule="auto"/>
        <w:ind w:left="1028" w:right="805" w:firstLine="57"/>
        <w:jc w:val="both"/>
      </w:pPr>
      <w:r>
        <w:rPr/>
        <w:t>Plants such as </w:t>
      </w:r>
      <w:r>
        <w:rPr>
          <w:i/>
        </w:rPr>
        <w:t>Conium maculatum </w:t>
      </w:r>
      <w:r>
        <w:rPr/>
        <w:t>cause paralysis of the musculature due to the blockade of the neuro-muscular junction. The clinical signs of </w:t>
      </w:r>
      <w:r>
        <w:rPr>
          <w:i/>
        </w:rPr>
        <w:t>Conium maculatum </w:t>
      </w:r>
      <w:r>
        <w:rPr/>
        <w:t>poisoning in domestic animals and humans include muscle weakness, tremors, incoordination and mydriasis, followed by bradycardia, depression, coma and death from respiratory failure (Panter </w:t>
      </w:r>
      <w:r>
        <w:rPr>
          <w:i/>
        </w:rPr>
        <w:t>et al</w:t>
      </w:r>
      <w:r>
        <w:rPr/>
        <w:t>., 1988; Vetter, 2004).</w:t>
      </w:r>
    </w:p>
    <w:p>
      <w:pPr>
        <w:pStyle w:val="BodyText"/>
        <w:spacing w:before="143"/>
      </w:pPr>
    </w:p>
    <w:p>
      <w:pPr>
        <w:pStyle w:val="ListParagraph"/>
        <w:numPr>
          <w:ilvl w:val="3"/>
          <w:numId w:val="16"/>
        </w:numPr>
        <w:tabs>
          <w:tab w:pos="1747" w:val="left" w:leader="none"/>
        </w:tabs>
        <w:spacing w:line="240" w:lineRule="auto" w:before="0" w:after="0"/>
        <w:ind w:left="1747" w:right="0" w:hanging="719"/>
        <w:jc w:val="left"/>
        <w:rPr>
          <w:i/>
          <w:sz w:val="24"/>
        </w:rPr>
      </w:pPr>
      <w:r>
        <w:rPr>
          <w:i/>
          <w:sz w:val="24"/>
        </w:rPr>
        <w:t>Plants</w:t>
      </w:r>
      <w:r>
        <w:rPr>
          <w:i/>
          <w:spacing w:val="-5"/>
          <w:sz w:val="24"/>
        </w:rPr>
        <w:t> </w:t>
      </w:r>
      <w:r>
        <w:rPr>
          <w:i/>
          <w:sz w:val="24"/>
        </w:rPr>
        <w:t>that</w:t>
      </w:r>
      <w:r>
        <w:rPr>
          <w:i/>
          <w:spacing w:val="-1"/>
          <w:sz w:val="24"/>
        </w:rPr>
        <w:t> </w:t>
      </w:r>
      <w:r>
        <w:rPr>
          <w:i/>
          <w:sz w:val="24"/>
        </w:rPr>
        <w:t>affect</w:t>
      </w:r>
      <w:r>
        <w:rPr>
          <w:i/>
          <w:spacing w:val="-2"/>
          <w:sz w:val="24"/>
        </w:rPr>
        <w:t> </w:t>
      </w:r>
      <w:r>
        <w:rPr>
          <w:i/>
          <w:sz w:val="24"/>
        </w:rPr>
        <w:t>the</w:t>
      </w:r>
      <w:r>
        <w:rPr>
          <w:i/>
          <w:spacing w:val="-2"/>
          <w:sz w:val="24"/>
        </w:rPr>
        <w:t> </w:t>
      </w:r>
      <w:r>
        <w:rPr>
          <w:i/>
          <w:sz w:val="24"/>
        </w:rPr>
        <w:t>central</w:t>
      </w:r>
      <w:r>
        <w:rPr>
          <w:i/>
          <w:spacing w:val="-1"/>
          <w:sz w:val="24"/>
        </w:rPr>
        <w:t> </w:t>
      </w:r>
      <w:r>
        <w:rPr>
          <w:i/>
          <w:sz w:val="24"/>
        </w:rPr>
        <w:t>nervous</w:t>
      </w:r>
      <w:r>
        <w:rPr>
          <w:i/>
          <w:spacing w:val="-2"/>
          <w:sz w:val="24"/>
        </w:rPr>
        <w:t> </w:t>
      </w:r>
      <w:r>
        <w:rPr>
          <w:i/>
          <w:sz w:val="24"/>
        </w:rPr>
        <w:t>system</w:t>
      </w:r>
      <w:r>
        <w:rPr>
          <w:i/>
          <w:spacing w:val="-2"/>
          <w:sz w:val="24"/>
        </w:rPr>
        <w:t> </w:t>
      </w:r>
      <w:r>
        <w:rPr>
          <w:i/>
          <w:spacing w:val="-4"/>
          <w:sz w:val="24"/>
        </w:rPr>
        <w:t>(CNS)</w:t>
      </w:r>
    </w:p>
    <w:p>
      <w:pPr>
        <w:pStyle w:val="BodyText"/>
        <w:rPr>
          <w:i/>
        </w:rPr>
      </w:pPr>
    </w:p>
    <w:p>
      <w:pPr>
        <w:pStyle w:val="BodyText"/>
        <w:spacing w:line="480" w:lineRule="auto"/>
        <w:ind w:left="1028" w:right="800"/>
        <w:jc w:val="both"/>
      </w:pPr>
      <w:r>
        <w:rPr/>
        <w:t>Plants</w:t>
      </w:r>
      <w:r>
        <w:rPr>
          <w:spacing w:val="-1"/>
        </w:rPr>
        <w:t> </w:t>
      </w:r>
      <w:r>
        <w:rPr/>
        <w:t>such</w:t>
      </w:r>
      <w:r>
        <w:rPr>
          <w:spacing w:val="-4"/>
        </w:rPr>
        <w:t> </w:t>
      </w:r>
      <w:r>
        <w:rPr/>
        <w:t>as </w:t>
      </w:r>
      <w:r>
        <w:rPr>
          <w:i/>
        </w:rPr>
        <w:t>Ipomoea carnea </w:t>
      </w:r>
      <w:r>
        <w:rPr/>
        <w:t>has been</w:t>
      </w:r>
      <w:r>
        <w:rPr>
          <w:spacing w:val="-4"/>
        </w:rPr>
        <w:t> </w:t>
      </w:r>
      <w:r>
        <w:rPr/>
        <w:t>reported</w:t>
      </w:r>
      <w:r>
        <w:rPr>
          <w:spacing w:val="-4"/>
        </w:rPr>
        <w:t> </w:t>
      </w:r>
      <w:r>
        <w:rPr/>
        <w:t>to affect the central</w:t>
      </w:r>
      <w:r>
        <w:rPr>
          <w:spacing w:val="-4"/>
        </w:rPr>
        <w:t> </w:t>
      </w:r>
      <w:r>
        <w:rPr/>
        <w:t>nervous</w:t>
      </w:r>
      <w:r>
        <w:rPr>
          <w:spacing w:val="-1"/>
        </w:rPr>
        <w:t> </w:t>
      </w:r>
      <w:r>
        <w:rPr/>
        <w:t>system</w:t>
      </w:r>
      <w:r>
        <w:rPr>
          <w:spacing w:val="-4"/>
        </w:rPr>
        <w:t> </w:t>
      </w:r>
      <w:r>
        <w:rPr/>
        <w:t>of animals and humans (Antoniassi </w:t>
      </w:r>
      <w:r>
        <w:rPr>
          <w:i/>
        </w:rPr>
        <w:t>et al</w:t>
      </w:r>
      <w:r>
        <w:rPr/>
        <w:t>., 2007). The toxic compound of this plant was found to</w:t>
      </w:r>
      <w:r>
        <w:rPr>
          <w:spacing w:val="8"/>
        </w:rPr>
        <w:t> </w:t>
      </w:r>
      <w:r>
        <w:rPr/>
        <w:t>be</w:t>
      </w:r>
      <w:r>
        <w:rPr>
          <w:spacing w:val="2"/>
        </w:rPr>
        <w:t> </w:t>
      </w:r>
      <w:r>
        <w:rPr/>
        <w:t>the</w:t>
      </w:r>
      <w:r>
        <w:rPr>
          <w:spacing w:val="34"/>
        </w:rPr>
        <w:t>  </w:t>
      </w:r>
      <w:r>
        <w:rPr/>
        <w:t>swainsonine</w:t>
      </w:r>
      <w:r>
        <w:rPr>
          <w:spacing w:val="2"/>
        </w:rPr>
        <w:t> </w:t>
      </w:r>
      <w:r>
        <w:rPr/>
        <w:t>which</w:t>
      </w:r>
      <w:r>
        <w:rPr>
          <w:spacing w:val="-1"/>
        </w:rPr>
        <w:t> </w:t>
      </w:r>
      <w:r>
        <w:rPr/>
        <w:t>acts to</w:t>
      </w:r>
      <w:r>
        <w:rPr>
          <w:spacing w:val="8"/>
        </w:rPr>
        <w:t> </w:t>
      </w:r>
      <w:r>
        <w:rPr/>
        <w:t>inhibit</w:t>
      </w:r>
      <w:r>
        <w:rPr>
          <w:spacing w:val="12"/>
        </w:rPr>
        <w:t> </w:t>
      </w:r>
      <w:r>
        <w:rPr/>
        <w:t>lysosomal</w:t>
      </w:r>
      <w:r>
        <w:rPr>
          <w:spacing w:val="-2"/>
        </w:rPr>
        <w:t> </w:t>
      </w:r>
      <w:r>
        <w:rPr/>
        <w:t>hydroxylases,</w:t>
      </w:r>
      <w:r>
        <w:rPr>
          <w:spacing w:val="6"/>
        </w:rPr>
        <w:t> </w:t>
      </w:r>
      <w:r>
        <w:rPr>
          <w:spacing w:val="-2"/>
        </w:rPr>
        <w:t>particularly</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t>the enzyme α-mannosidase. Swainsonine causes a cellular alteration known as lysosomal storage disease, characterized by excessive carbohydrate accumulation</w:t>
      </w:r>
      <w:r>
        <w:rPr>
          <w:spacing w:val="80"/>
        </w:rPr>
        <w:t> </w:t>
      </w:r>
      <w:r>
        <w:rPr/>
        <w:t>within the lysosomes (Jolly and Walkley, 1997).</w:t>
      </w:r>
    </w:p>
    <w:p>
      <w:pPr>
        <w:pStyle w:val="BodyText"/>
      </w:pPr>
    </w:p>
    <w:p>
      <w:pPr>
        <w:pStyle w:val="BodyText"/>
        <w:spacing w:before="6"/>
      </w:pPr>
    </w:p>
    <w:p>
      <w:pPr>
        <w:pStyle w:val="Heading2"/>
        <w:numPr>
          <w:ilvl w:val="2"/>
          <w:numId w:val="16"/>
        </w:numPr>
        <w:tabs>
          <w:tab w:pos="1747" w:val="left" w:leader="none"/>
        </w:tabs>
        <w:spacing w:line="240" w:lineRule="auto" w:before="0" w:after="0"/>
        <w:ind w:left="1747" w:right="0" w:hanging="719"/>
        <w:jc w:val="both"/>
      </w:pPr>
      <w:bookmarkStart w:name="_TOC_250026" w:id="30"/>
      <w:r>
        <w:rPr/>
        <w:t>Plants</w:t>
      </w:r>
      <w:r>
        <w:rPr>
          <w:spacing w:val="-6"/>
        </w:rPr>
        <w:t> </w:t>
      </w:r>
      <w:r>
        <w:rPr/>
        <w:t>that</w:t>
      </w:r>
      <w:r>
        <w:rPr>
          <w:spacing w:val="-1"/>
        </w:rPr>
        <w:t> </w:t>
      </w:r>
      <w:r>
        <w:rPr/>
        <w:t>affect</w:t>
      </w:r>
      <w:r>
        <w:rPr>
          <w:spacing w:val="-1"/>
        </w:rPr>
        <w:t> </w:t>
      </w:r>
      <w:r>
        <w:rPr/>
        <w:t>the</w:t>
      </w:r>
      <w:r>
        <w:rPr>
          <w:spacing w:val="-2"/>
        </w:rPr>
        <w:t> </w:t>
      </w:r>
      <w:bookmarkEnd w:id="30"/>
      <w:r>
        <w:rPr>
          <w:spacing w:val="-4"/>
        </w:rPr>
        <w:t>skin</w:t>
      </w:r>
    </w:p>
    <w:p>
      <w:pPr>
        <w:pStyle w:val="BodyText"/>
        <w:spacing w:line="480" w:lineRule="auto" w:before="271"/>
        <w:ind w:left="1028" w:right="799"/>
        <w:jc w:val="both"/>
      </w:pPr>
      <w:r>
        <w:rPr/>
        <w:t>Toxic plant-induced primary and secondary photosensitization is a common cause of skin lesions. The flowers and seeds of </w:t>
      </w:r>
      <w:r>
        <w:rPr>
          <w:i/>
        </w:rPr>
        <w:t>Fagopyrum esculentum </w:t>
      </w:r>
      <w:r>
        <w:rPr/>
        <w:t>contain a conjugated photo-reactive quinone known as fagopyrin (Hagels </w:t>
      </w:r>
      <w:r>
        <w:rPr>
          <w:i/>
        </w:rPr>
        <w:t>et al</w:t>
      </w:r>
      <w:r>
        <w:rPr/>
        <w:t>., 1995), which has been</w:t>
      </w:r>
      <w:r>
        <w:rPr>
          <w:spacing w:val="40"/>
        </w:rPr>
        <w:t> </w:t>
      </w:r>
      <w:r>
        <w:rPr/>
        <w:t>known to induce primary photosensitization. Primary photosensitization is caused by</w:t>
      </w:r>
      <w:r>
        <w:rPr>
          <w:spacing w:val="40"/>
        </w:rPr>
        <w:t> </w:t>
      </w:r>
      <w:r>
        <w:rPr/>
        <w:t>the</w:t>
      </w:r>
      <w:r>
        <w:rPr>
          <w:spacing w:val="-2"/>
        </w:rPr>
        <w:t> </w:t>
      </w:r>
      <w:r>
        <w:rPr/>
        <w:t>reaction</w:t>
      </w:r>
      <w:r>
        <w:rPr>
          <w:spacing w:val="-6"/>
        </w:rPr>
        <w:t> </w:t>
      </w:r>
      <w:r>
        <w:rPr/>
        <w:t>of</w:t>
      </w:r>
      <w:r>
        <w:rPr>
          <w:spacing w:val="-9"/>
        </w:rPr>
        <w:t> </w:t>
      </w:r>
      <w:r>
        <w:rPr/>
        <w:t>the</w:t>
      </w:r>
      <w:r>
        <w:rPr>
          <w:spacing w:val="-2"/>
        </w:rPr>
        <w:t> </w:t>
      </w:r>
      <w:r>
        <w:rPr/>
        <w:t>photoreactive</w:t>
      </w:r>
      <w:r>
        <w:rPr>
          <w:spacing w:val="-2"/>
        </w:rPr>
        <w:t> </w:t>
      </w:r>
      <w:r>
        <w:rPr/>
        <w:t>compound in</w:t>
      </w:r>
      <w:r>
        <w:rPr>
          <w:spacing w:val="-2"/>
        </w:rPr>
        <w:t> </w:t>
      </w:r>
      <w:r>
        <w:rPr/>
        <w:t>non-pigmented</w:t>
      </w:r>
      <w:r>
        <w:rPr>
          <w:spacing w:val="-2"/>
        </w:rPr>
        <w:t> </w:t>
      </w:r>
      <w:r>
        <w:rPr/>
        <w:t>skin</w:t>
      </w:r>
      <w:r>
        <w:rPr>
          <w:spacing w:val="-6"/>
        </w:rPr>
        <w:t> </w:t>
      </w:r>
      <w:r>
        <w:rPr/>
        <w:t>when</w:t>
      </w:r>
      <w:r>
        <w:rPr>
          <w:spacing w:val="-2"/>
        </w:rPr>
        <w:t> </w:t>
      </w:r>
      <w:r>
        <w:rPr/>
        <w:t>it is</w:t>
      </w:r>
      <w:r>
        <w:rPr>
          <w:spacing w:val="-3"/>
        </w:rPr>
        <w:t> </w:t>
      </w:r>
      <w:r>
        <w:rPr/>
        <w:t>exposed</w:t>
      </w:r>
      <w:r>
        <w:rPr>
          <w:spacing w:val="-2"/>
        </w:rPr>
        <w:t> </w:t>
      </w:r>
      <w:r>
        <w:rPr/>
        <w:t>to solar radiation</w:t>
      </w:r>
      <w:r>
        <w:rPr>
          <w:spacing w:val="-1"/>
        </w:rPr>
        <w:t> </w:t>
      </w:r>
      <w:r>
        <w:rPr/>
        <w:t>in</w:t>
      </w:r>
      <w:r>
        <w:rPr>
          <w:spacing w:val="-1"/>
        </w:rPr>
        <w:t> </w:t>
      </w:r>
      <w:r>
        <w:rPr/>
        <w:t>the ultraviolet range. The</w:t>
      </w:r>
      <w:r>
        <w:rPr>
          <w:spacing w:val="-2"/>
        </w:rPr>
        <w:t> </w:t>
      </w:r>
      <w:r>
        <w:rPr/>
        <w:t>photoactive compounds</w:t>
      </w:r>
      <w:r>
        <w:rPr>
          <w:spacing w:val="-3"/>
        </w:rPr>
        <w:t> </w:t>
      </w:r>
      <w:r>
        <w:rPr/>
        <w:t>absorb</w:t>
      </w:r>
      <w:r>
        <w:rPr>
          <w:spacing w:val="-6"/>
        </w:rPr>
        <w:t> </w:t>
      </w:r>
      <w:r>
        <w:rPr/>
        <w:t>solar energy, forming reactive molecules (free radicals) that react with nearby macromolecules, causing inflammation, erythema, oedema, serous exudation, scar formation and skin necrosis. Several plants of the Euphorbiaceae family are potentially toxic due to their content of phorbol esters, which are highly irritating to the skin and mucosa, and some are tumor promoters (Goel </w:t>
      </w:r>
      <w:r>
        <w:rPr>
          <w:i/>
        </w:rPr>
        <w:t>et al</w:t>
      </w:r>
      <w:r>
        <w:rPr/>
        <w:t>., 2007). The phorbol esters from </w:t>
      </w:r>
      <w:r>
        <w:rPr>
          <w:i/>
        </w:rPr>
        <w:t>J. curcas </w:t>
      </w:r>
      <w:r>
        <w:rPr/>
        <w:t>are also highly irritating to the skin, and its seeds contain caustic oil (Pérez-Arbeláez, 1931; Diaz, 2011).</w:t>
      </w:r>
    </w:p>
    <w:p>
      <w:pPr>
        <w:pStyle w:val="BodyText"/>
      </w:pPr>
    </w:p>
    <w:p>
      <w:pPr>
        <w:pStyle w:val="BodyText"/>
        <w:spacing w:before="8"/>
      </w:pPr>
    </w:p>
    <w:p>
      <w:pPr>
        <w:pStyle w:val="Heading2"/>
        <w:numPr>
          <w:ilvl w:val="1"/>
          <w:numId w:val="16"/>
        </w:numPr>
        <w:tabs>
          <w:tab w:pos="1747" w:val="left" w:leader="none"/>
        </w:tabs>
        <w:spacing w:line="240" w:lineRule="auto" w:before="0" w:after="0"/>
        <w:ind w:left="1747" w:right="0" w:hanging="719"/>
        <w:jc w:val="both"/>
      </w:pPr>
      <w:bookmarkStart w:name="_TOC_250025" w:id="31"/>
      <w:r>
        <w:rPr/>
        <w:t>Prevention</w:t>
      </w:r>
      <w:r>
        <w:rPr>
          <w:spacing w:val="-3"/>
        </w:rPr>
        <w:t> </w:t>
      </w:r>
      <w:r>
        <w:rPr/>
        <w:t>and</w:t>
      </w:r>
      <w:r>
        <w:rPr>
          <w:spacing w:val="-4"/>
        </w:rPr>
        <w:t> </w:t>
      </w:r>
      <w:r>
        <w:rPr/>
        <w:t>Defenses</w:t>
      </w:r>
      <w:r>
        <w:rPr>
          <w:spacing w:val="-5"/>
        </w:rPr>
        <w:t> </w:t>
      </w:r>
      <w:r>
        <w:rPr/>
        <w:t>Against</w:t>
      </w:r>
      <w:r>
        <w:rPr>
          <w:spacing w:val="-3"/>
        </w:rPr>
        <w:t> </w:t>
      </w:r>
      <w:r>
        <w:rPr/>
        <w:t>Plant</w:t>
      </w:r>
      <w:bookmarkEnd w:id="31"/>
      <w:r>
        <w:rPr>
          <w:spacing w:val="-2"/>
        </w:rPr>
        <w:t> Poisoning</w:t>
      </w:r>
    </w:p>
    <w:p>
      <w:pPr>
        <w:pStyle w:val="BodyText"/>
        <w:spacing w:line="480" w:lineRule="auto" w:before="272"/>
        <w:ind w:left="1028" w:right="798"/>
        <w:jc w:val="both"/>
      </w:pPr>
      <w:r>
        <w:rPr/>
        <w:t>In human, adequate phytochemical screening of plants used as remedies is required to ascertain their level of safety. Also, public awareness on toxic plants is required to prevent accidental</w:t>
      </w:r>
      <w:r>
        <w:rPr>
          <w:spacing w:val="-10"/>
        </w:rPr>
        <w:t> </w:t>
      </w:r>
      <w:r>
        <w:rPr/>
        <w:t>poisoning</w:t>
      </w:r>
      <w:r>
        <w:rPr>
          <w:spacing w:val="-1"/>
        </w:rPr>
        <w:t> </w:t>
      </w:r>
      <w:r>
        <w:rPr/>
        <w:t>especially</w:t>
      </w:r>
      <w:r>
        <w:rPr>
          <w:spacing w:val="-6"/>
        </w:rPr>
        <w:t> </w:t>
      </w:r>
      <w:r>
        <w:rPr/>
        <w:t>among</w:t>
      </w:r>
      <w:r>
        <w:rPr>
          <w:spacing w:val="-1"/>
        </w:rPr>
        <w:t> </w:t>
      </w:r>
      <w:r>
        <w:rPr/>
        <w:t>children</w:t>
      </w:r>
      <w:r>
        <w:rPr>
          <w:spacing w:val="-6"/>
        </w:rPr>
        <w:t> </w:t>
      </w:r>
      <w:r>
        <w:rPr/>
        <w:t>due</w:t>
      </w:r>
      <w:r>
        <w:rPr>
          <w:spacing w:val="-2"/>
        </w:rPr>
        <w:t> </w:t>
      </w:r>
      <w:r>
        <w:rPr/>
        <w:t>to</w:t>
      </w:r>
      <w:r>
        <w:rPr>
          <w:spacing w:val="-1"/>
        </w:rPr>
        <w:t> </w:t>
      </w:r>
      <w:r>
        <w:rPr/>
        <w:t>their vulnerability. Plants which are toxic are not, or less eaten by herbivores (Wink, 2007, 2008). The liver of herbivores</w:t>
      </w:r>
      <w:r>
        <w:rPr>
          <w:spacing w:val="-5"/>
        </w:rPr>
        <w:t> </w:t>
      </w:r>
      <w:r>
        <w:rPr/>
        <w:t>and</w:t>
      </w:r>
      <w:r>
        <w:rPr>
          <w:spacing w:val="3"/>
        </w:rPr>
        <w:t> </w:t>
      </w:r>
      <w:r>
        <w:rPr/>
        <w:t>some</w:t>
      </w:r>
      <w:r>
        <w:rPr>
          <w:spacing w:val="-1"/>
        </w:rPr>
        <w:t> </w:t>
      </w:r>
      <w:r>
        <w:rPr/>
        <w:t>omnivores</w:t>
      </w:r>
      <w:r>
        <w:rPr>
          <w:spacing w:val="1"/>
        </w:rPr>
        <w:t> </w:t>
      </w:r>
      <w:r>
        <w:rPr/>
        <w:t>have</w:t>
      </w:r>
      <w:r>
        <w:rPr>
          <w:spacing w:val="3"/>
        </w:rPr>
        <w:t> </w:t>
      </w:r>
      <w:r>
        <w:rPr/>
        <w:t>active</w:t>
      </w:r>
      <w:r>
        <w:rPr>
          <w:spacing w:val="-1"/>
        </w:rPr>
        <w:t> </w:t>
      </w:r>
      <w:r>
        <w:rPr/>
        <w:t>set</w:t>
      </w:r>
      <w:r>
        <w:rPr>
          <w:spacing w:val="4"/>
        </w:rPr>
        <w:t> </w:t>
      </w:r>
      <w:r>
        <w:rPr/>
        <w:t>of</w:t>
      </w:r>
      <w:r>
        <w:rPr>
          <w:spacing w:val="-4"/>
        </w:rPr>
        <w:t> </w:t>
      </w:r>
      <w:r>
        <w:rPr/>
        <w:t>detoxification</w:t>
      </w:r>
      <w:r>
        <w:rPr>
          <w:spacing w:val="-5"/>
        </w:rPr>
        <w:t> </w:t>
      </w:r>
      <w:r>
        <w:rPr/>
        <w:t>enzymes.</w:t>
      </w:r>
      <w:r>
        <w:rPr>
          <w:spacing w:val="1"/>
        </w:rPr>
        <w:t> </w:t>
      </w:r>
      <w:r>
        <w:rPr/>
        <w:t>Among </w:t>
      </w:r>
      <w:r>
        <w:rPr>
          <w:spacing w:val="-4"/>
        </w:rPr>
        <w:t>them</w:t>
      </w:r>
    </w:p>
    <w:p>
      <w:pPr>
        <w:spacing w:after="0" w:line="480" w:lineRule="auto"/>
        <w:jc w:val="both"/>
        <w:sectPr>
          <w:pgSz w:w="11910" w:h="16840"/>
          <w:pgMar w:header="0" w:footer="1012" w:top="1320" w:bottom="1200" w:left="960" w:right="620"/>
        </w:sectPr>
      </w:pPr>
    </w:p>
    <w:p>
      <w:pPr>
        <w:pStyle w:val="BodyText"/>
        <w:spacing w:line="480" w:lineRule="auto" w:before="79"/>
        <w:ind w:left="1028" w:right="803"/>
        <w:jc w:val="both"/>
      </w:pPr>
      <w:r>
        <w:rPr/>
        <w:t>are cytochrome P</w:t>
      </w:r>
      <w:r>
        <w:rPr>
          <w:vertAlign w:val="subscript"/>
        </w:rPr>
        <w:t>450</w:t>
      </w:r>
      <w:r>
        <w:rPr>
          <w:vertAlign w:val="baseline"/>
        </w:rPr>
        <w:t> oxidases (CYP), which can add hydroxyl groups to mostly lipophilic xenobiotics. These hydroxylated metabolites are then conjugated with hydrophilic molecules, such as glucuronic acid, sulfate or amino acids and excreted via the kidneys in the urine (Alberts </w:t>
      </w:r>
      <w:r>
        <w:rPr>
          <w:i/>
          <w:vertAlign w:val="baseline"/>
        </w:rPr>
        <w:t>et al</w:t>
      </w:r>
      <w:r>
        <w:rPr>
          <w:vertAlign w:val="baseline"/>
        </w:rPr>
        <w:t>., 2008; Mutschler </w:t>
      </w:r>
      <w:r>
        <w:rPr>
          <w:i/>
          <w:vertAlign w:val="baseline"/>
        </w:rPr>
        <w:t>et al</w:t>
      </w:r>
      <w:r>
        <w:rPr>
          <w:vertAlign w:val="baseline"/>
        </w:rPr>
        <w:t>., 2008).</w:t>
      </w:r>
    </w:p>
    <w:p>
      <w:pPr>
        <w:pStyle w:val="BodyText"/>
      </w:pPr>
    </w:p>
    <w:p>
      <w:pPr>
        <w:pStyle w:val="BodyText"/>
        <w:spacing w:before="1"/>
      </w:pPr>
    </w:p>
    <w:p>
      <w:pPr>
        <w:pStyle w:val="BodyText"/>
        <w:spacing w:line="480" w:lineRule="auto"/>
        <w:ind w:left="1028" w:right="800"/>
        <w:jc w:val="both"/>
      </w:pPr>
      <w:r>
        <w:rPr/>
        <w:t>Other lines of defense are ABC transporters (ATP Binding Cassette) such as multiple drug resistance proteins (MDR), which are membrane proteins that can pump lipophilic xenobiotics, that have entered intestinal cells by free diffusion, back to the gut lumen (Wink, 2007; Alberts </w:t>
      </w:r>
      <w:r>
        <w:rPr>
          <w:i/>
        </w:rPr>
        <w:t>et al</w:t>
      </w:r>
      <w:r>
        <w:rPr/>
        <w:t>., 2008; Mutschler </w:t>
      </w:r>
      <w:r>
        <w:rPr>
          <w:i/>
        </w:rPr>
        <w:t>et al</w:t>
      </w:r>
      <w:r>
        <w:rPr/>
        <w:t>., 2008).</w:t>
      </w:r>
    </w:p>
    <w:p>
      <w:pPr>
        <w:pStyle w:val="BodyText"/>
      </w:pPr>
    </w:p>
    <w:p>
      <w:pPr>
        <w:pStyle w:val="BodyText"/>
        <w:spacing w:before="1"/>
      </w:pPr>
    </w:p>
    <w:p>
      <w:pPr>
        <w:pStyle w:val="BodyText"/>
        <w:spacing w:line="480" w:lineRule="auto"/>
        <w:ind w:left="1028" w:right="803"/>
        <w:jc w:val="both"/>
      </w:pPr>
      <w:r>
        <w:rPr/>
        <w:t>Some herbivores have microorganisms in their intestine or rumen, which can help to degrade</w:t>
      </w:r>
      <w:r>
        <w:rPr>
          <w:spacing w:val="-2"/>
        </w:rPr>
        <w:t> </w:t>
      </w:r>
      <w:r>
        <w:rPr/>
        <w:t>nutritional</w:t>
      </w:r>
      <w:r>
        <w:rPr>
          <w:spacing w:val="-4"/>
        </w:rPr>
        <w:t> </w:t>
      </w:r>
      <w:r>
        <w:rPr/>
        <w:t>toxins</w:t>
      </w:r>
      <w:r>
        <w:rPr>
          <w:spacing w:val="-2"/>
        </w:rPr>
        <w:t> </w:t>
      </w:r>
      <w:r>
        <w:rPr/>
        <w:t>(Aguiar and Wink, 2005). A</w:t>
      </w:r>
      <w:r>
        <w:rPr>
          <w:spacing w:val="-7"/>
        </w:rPr>
        <w:t> </w:t>
      </w:r>
      <w:r>
        <w:rPr/>
        <w:t>few</w:t>
      </w:r>
      <w:r>
        <w:rPr>
          <w:spacing w:val="-2"/>
        </w:rPr>
        <w:t> </w:t>
      </w:r>
      <w:r>
        <w:rPr/>
        <w:t>toxin</w:t>
      </w:r>
      <w:r>
        <w:rPr>
          <w:spacing w:val="-6"/>
        </w:rPr>
        <w:t> </w:t>
      </w:r>
      <w:r>
        <w:rPr/>
        <w:t>eaters</w:t>
      </w:r>
      <w:r>
        <w:rPr>
          <w:spacing w:val="-3"/>
        </w:rPr>
        <w:t> </w:t>
      </w:r>
      <w:r>
        <w:rPr/>
        <w:t>(e.g.</w:t>
      </w:r>
      <w:r>
        <w:rPr>
          <w:spacing w:val="-4"/>
        </w:rPr>
        <w:t> </w:t>
      </w:r>
      <w:r>
        <w:rPr/>
        <w:t>parrots)</w:t>
      </w:r>
      <w:r>
        <w:rPr>
          <w:spacing w:val="-4"/>
        </w:rPr>
        <w:t> </w:t>
      </w:r>
      <w:r>
        <w:rPr/>
        <w:t>are known to ingest clay which can bind most toxins, in a manner similar to charcoal (Aufreiter </w:t>
      </w:r>
      <w:r>
        <w:rPr>
          <w:i/>
        </w:rPr>
        <w:t>et al</w:t>
      </w:r>
      <w:r>
        <w:rPr/>
        <w:t>., 2001).</w:t>
      </w:r>
    </w:p>
    <w:p>
      <w:pPr>
        <w:pStyle w:val="BodyText"/>
      </w:pPr>
    </w:p>
    <w:p>
      <w:pPr>
        <w:pStyle w:val="BodyText"/>
        <w:spacing w:before="1"/>
      </w:pPr>
    </w:p>
    <w:p>
      <w:pPr>
        <w:pStyle w:val="BodyText"/>
        <w:spacing w:line="480" w:lineRule="auto"/>
        <w:ind w:left="1028" w:right="801"/>
        <w:jc w:val="both"/>
      </w:pPr>
      <w:r>
        <w:rPr/>
        <w:t>Many</w:t>
      </w:r>
      <w:r>
        <w:rPr>
          <w:spacing w:val="-5"/>
        </w:rPr>
        <w:t> </w:t>
      </w:r>
      <w:r>
        <w:rPr/>
        <w:t>plants such as </w:t>
      </w:r>
      <w:r>
        <w:rPr>
          <w:i/>
        </w:rPr>
        <w:t>J. curcas </w:t>
      </w:r>
      <w:r>
        <w:rPr/>
        <w:t>used ethnobotanically for treatment of</w:t>
      </w:r>
      <w:r>
        <w:rPr>
          <w:spacing w:val="-3"/>
        </w:rPr>
        <w:t> </w:t>
      </w:r>
      <w:r>
        <w:rPr/>
        <w:t>disease in humans and animals have therapeutic efficacy at lower doses, where overdosing can induce poisoning. However, poisonous plants may contain active compounds with useful biological activities (McGraw and Eloff, 2005).</w:t>
      </w:r>
    </w:p>
    <w:p>
      <w:pPr>
        <w:pStyle w:val="BodyText"/>
      </w:pPr>
    </w:p>
    <w:p>
      <w:pPr>
        <w:pStyle w:val="BodyText"/>
        <w:spacing w:before="6"/>
      </w:pPr>
    </w:p>
    <w:p>
      <w:pPr>
        <w:pStyle w:val="ListParagraph"/>
        <w:numPr>
          <w:ilvl w:val="1"/>
          <w:numId w:val="16"/>
        </w:numPr>
        <w:tabs>
          <w:tab w:pos="1747" w:val="left" w:leader="none"/>
        </w:tabs>
        <w:spacing w:line="240" w:lineRule="auto" w:before="0" w:after="0"/>
        <w:ind w:left="1747" w:right="0" w:hanging="719"/>
        <w:jc w:val="both"/>
        <w:rPr>
          <w:b/>
          <w:sz w:val="24"/>
        </w:rPr>
      </w:pPr>
      <w:r>
        <w:rPr>
          <w:b/>
          <w:sz w:val="24"/>
        </w:rPr>
        <w:t>The Genus</w:t>
      </w:r>
      <w:r>
        <w:rPr>
          <w:b/>
          <w:spacing w:val="1"/>
          <w:sz w:val="24"/>
        </w:rPr>
        <w:t> </w:t>
      </w:r>
      <w:r>
        <w:rPr>
          <w:b/>
          <w:i/>
          <w:spacing w:val="-2"/>
          <w:sz w:val="24"/>
        </w:rPr>
        <w:t>Jatropha</w:t>
      </w:r>
    </w:p>
    <w:p>
      <w:pPr>
        <w:pStyle w:val="BodyText"/>
        <w:spacing w:line="480" w:lineRule="auto" w:before="272"/>
        <w:ind w:left="1028" w:right="807"/>
        <w:jc w:val="both"/>
      </w:pPr>
      <w:r>
        <w:rPr/>
        <w:t>The genus </w:t>
      </w:r>
      <w:r>
        <w:rPr>
          <w:i/>
        </w:rPr>
        <w:t>Jatropha </w:t>
      </w:r>
      <w:r>
        <w:rPr/>
        <w:t>that belongs to Euphorbiaceae family contains approximately 170 known species. The name </w:t>
      </w:r>
      <w:r>
        <w:rPr>
          <w:i/>
        </w:rPr>
        <w:t>Jatropha </w:t>
      </w:r>
      <w:r>
        <w:rPr/>
        <w:t>is derived from the Greek word „„jatros‟‟ (doctor) and „„trophe‟‟ (food), which implies its medicinal uses (Kumar and Sharma, 2008). </w:t>
      </w:r>
      <w:r>
        <w:rPr>
          <w:i/>
        </w:rPr>
        <w:t>Jatropha</w:t>
      </w:r>
      <w:r>
        <w:rPr>
          <w:i/>
          <w:spacing w:val="41"/>
        </w:rPr>
        <w:t> </w:t>
      </w:r>
      <w:r>
        <w:rPr/>
        <w:t>is</w:t>
      </w:r>
      <w:r>
        <w:rPr>
          <w:spacing w:val="36"/>
        </w:rPr>
        <w:t> </w:t>
      </w:r>
      <w:r>
        <w:rPr/>
        <w:t>a</w:t>
      </w:r>
      <w:r>
        <w:rPr>
          <w:spacing w:val="41"/>
        </w:rPr>
        <w:t> </w:t>
      </w:r>
      <w:r>
        <w:rPr/>
        <w:t>large</w:t>
      </w:r>
      <w:r>
        <w:rPr>
          <w:spacing w:val="37"/>
        </w:rPr>
        <w:t> </w:t>
      </w:r>
      <w:r>
        <w:rPr/>
        <w:t>genus</w:t>
      </w:r>
      <w:r>
        <w:rPr>
          <w:spacing w:val="36"/>
        </w:rPr>
        <w:t> </w:t>
      </w:r>
      <w:r>
        <w:rPr/>
        <w:t>of</w:t>
      </w:r>
      <w:r>
        <w:rPr>
          <w:spacing w:val="33"/>
        </w:rPr>
        <w:t> </w:t>
      </w:r>
      <w:r>
        <w:rPr/>
        <w:t>diverse</w:t>
      </w:r>
      <w:r>
        <w:rPr>
          <w:spacing w:val="36"/>
        </w:rPr>
        <w:t> </w:t>
      </w:r>
      <w:r>
        <w:rPr/>
        <w:t>growth</w:t>
      </w:r>
      <w:r>
        <w:rPr>
          <w:spacing w:val="33"/>
        </w:rPr>
        <w:t> </w:t>
      </w:r>
      <w:r>
        <w:rPr/>
        <w:t>forms</w:t>
      </w:r>
      <w:r>
        <w:rPr>
          <w:spacing w:val="36"/>
        </w:rPr>
        <w:t> </w:t>
      </w:r>
      <w:r>
        <w:rPr/>
        <w:t>and</w:t>
      </w:r>
      <w:r>
        <w:rPr>
          <w:spacing w:val="37"/>
        </w:rPr>
        <w:t> </w:t>
      </w:r>
      <w:r>
        <w:rPr/>
        <w:t>are</w:t>
      </w:r>
      <w:r>
        <w:rPr>
          <w:spacing w:val="37"/>
        </w:rPr>
        <w:t> </w:t>
      </w:r>
      <w:r>
        <w:rPr/>
        <w:t>attractive</w:t>
      </w:r>
      <w:r>
        <w:rPr>
          <w:spacing w:val="42"/>
        </w:rPr>
        <w:t> </w:t>
      </w:r>
      <w:r>
        <w:rPr/>
        <w:t>monoecious</w:t>
      </w:r>
      <w:r>
        <w:rPr>
          <w:spacing w:val="36"/>
        </w:rPr>
        <w:t> </w:t>
      </w:r>
      <w:r>
        <w:rPr>
          <w:spacing w:val="-5"/>
        </w:rPr>
        <w:t>or</w:t>
      </w:r>
    </w:p>
    <w:p>
      <w:pPr>
        <w:spacing w:after="0" w:line="480" w:lineRule="auto"/>
        <w:jc w:val="both"/>
        <w:sectPr>
          <w:pgSz w:w="11910" w:h="16840"/>
          <w:pgMar w:header="0" w:footer="1012" w:top="1320" w:bottom="1200" w:left="960" w:right="620"/>
        </w:sectPr>
      </w:pPr>
    </w:p>
    <w:p>
      <w:pPr>
        <w:pStyle w:val="BodyText"/>
        <w:spacing w:line="480" w:lineRule="auto" w:before="79"/>
        <w:ind w:left="1028" w:right="822"/>
        <w:jc w:val="both"/>
      </w:pPr>
      <w:r>
        <w:rPr/>
        <w:t>dioecious plants. These species are woody trees, shrubs and sub shrubs of disjunct distribution in the seasonally dry tropics of the Old and the New World.</w:t>
      </w:r>
    </w:p>
    <w:p>
      <w:pPr>
        <w:pStyle w:val="BodyText"/>
      </w:pPr>
    </w:p>
    <w:p>
      <w:pPr>
        <w:pStyle w:val="BodyText"/>
        <w:spacing w:before="6"/>
      </w:pPr>
    </w:p>
    <w:p>
      <w:pPr>
        <w:pStyle w:val="Heading3"/>
        <w:numPr>
          <w:ilvl w:val="2"/>
          <w:numId w:val="16"/>
        </w:numPr>
        <w:tabs>
          <w:tab w:pos="1747" w:val="left" w:leader="none"/>
        </w:tabs>
        <w:spacing w:line="240" w:lineRule="auto" w:before="0" w:after="0"/>
        <w:ind w:left="1747" w:right="0" w:hanging="719"/>
        <w:jc w:val="both"/>
      </w:pPr>
      <w:bookmarkStart w:name="_TOC_250024" w:id="32"/>
      <w:r>
        <w:rPr/>
        <w:t>Jatropha</w:t>
      </w:r>
      <w:bookmarkEnd w:id="32"/>
      <w:r>
        <w:rPr>
          <w:spacing w:val="-2"/>
        </w:rPr>
        <w:t> curcas</w:t>
      </w:r>
    </w:p>
    <w:p>
      <w:pPr>
        <w:pStyle w:val="BodyText"/>
        <w:spacing w:line="480" w:lineRule="auto" w:before="271"/>
        <w:ind w:left="1028" w:right="800"/>
        <w:jc w:val="both"/>
      </w:pPr>
      <w:r>
        <w:rPr>
          <w:i/>
        </w:rPr>
        <w:t>Jatropha curcas </w:t>
      </w:r>
      <w:r>
        <w:rPr/>
        <w:t>is the most widely available species; all parts of </w:t>
      </w:r>
      <w:r>
        <w:rPr>
          <w:i/>
        </w:rPr>
        <w:t>J. curcas </w:t>
      </w:r>
      <w:r>
        <w:rPr/>
        <w:t>have been used in traditional human medicine and for veterinary purposes for a long time (Duke, 1985). During the past two decades, </w:t>
      </w:r>
      <w:r>
        <w:rPr>
          <w:i/>
        </w:rPr>
        <w:t>Jatropha </w:t>
      </w:r>
      <w:r>
        <w:rPr/>
        <w:t>plant has gained interest in particular for its oil, which can be used as a feedstock for biodiesel production. Among the many Jatropha species, </w:t>
      </w:r>
      <w:r>
        <w:rPr>
          <w:i/>
        </w:rPr>
        <w:t>J. curcas </w:t>
      </w:r>
      <w:r>
        <w:rPr/>
        <w:t>is the most studied as the seeds are rich in oil and protein. The oil is used for biodiesel production, and attempts were made to use cake or kernel meal left after extraction of oil as livestock feed following detoxification.</w:t>
      </w:r>
    </w:p>
    <w:p>
      <w:pPr>
        <w:pStyle w:val="BodyText"/>
      </w:pPr>
    </w:p>
    <w:p>
      <w:pPr>
        <w:pStyle w:val="BodyText"/>
        <w:spacing w:before="6"/>
      </w:pPr>
    </w:p>
    <w:p>
      <w:pPr>
        <w:pStyle w:val="ListParagraph"/>
        <w:numPr>
          <w:ilvl w:val="2"/>
          <w:numId w:val="16"/>
        </w:numPr>
        <w:tabs>
          <w:tab w:pos="1747" w:val="left" w:leader="none"/>
        </w:tabs>
        <w:spacing w:line="240" w:lineRule="auto" w:before="1" w:after="0"/>
        <w:ind w:left="1747" w:right="0" w:hanging="719"/>
        <w:jc w:val="both"/>
        <w:rPr>
          <w:b/>
          <w:i/>
          <w:sz w:val="24"/>
        </w:rPr>
      </w:pPr>
      <w:r>
        <w:rPr>
          <w:b/>
          <w:sz w:val="24"/>
        </w:rPr>
        <w:t>Origin</w:t>
      </w:r>
      <w:r>
        <w:rPr>
          <w:b/>
          <w:spacing w:val="-1"/>
          <w:sz w:val="24"/>
        </w:rPr>
        <w:t> </w:t>
      </w:r>
      <w:r>
        <w:rPr>
          <w:b/>
          <w:sz w:val="24"/>
        </w:rPr>
        <w:t>and</w:t>
      </w:r>
      <w:r>
        <w:rPr>
          <w:b/>
          <w:spacing w:val="-1"/>
          <w:sz w:val="24"/>
        </w:rPr>
        <w:t> </w:t>
      </w:r>
      <w:r>
        <w:rPr>
          <w:b/>
          <w:sz w:val="24"/>
        </w:rPr>
        <w:t>distribution</w:t>
      </w:r>
      <w:r>
        <w:rPr>
          <w:b/>
          <w:spacing w:val="1"/>
          <w:sz w:val="24"/>
        </w:rPr>
        <w:t> </w:t>
      </w:r>
      <w:r>
        <w:rPr>
          <w:b/>
          <w:sz w:val="24"/>
        </w:rPr>
        <w:t>of </w:t>
      </w:r>
      <w:r>
        <w:rPr>
          <w:b/>
          <w:i/>
          <w:sz w:val="24"/>
        </w:rPr>
        <w:t>Jatropha</w:t>
      </w:r>
      <w:r>
        <w:rPr>
          <w:b/>
          <w:i/>
          <w:spacing w:val="-5"/>
          <w:sz w:val="24"/>
        </w:rPr>
        <w:t> </w:t>
      </w:r>
      <w:r>
        <w:rPr>
          <w:b/>
          <w:i/>
          <w:spacing w:val="-2"/>
          <w:sz w:val="24"/>
        </w:rPr>
        <w:t>curcas</w:t>
      </w:r>
    </w:p>
    <w:p>
      <w:pPr>
        <w:pStyle w:val="BodyText"/>
        <w:spacing w:line="480" w:lineRule="auto" w:before="271"/>
        <w:ind w:left="1028" w:right="801"/>
        <w:jc w:val="both"/>
      </w:pPr>
      <w:r>
        <w:rPr>
          <w:i/>
        </w:rPr>
        <w:t>Jatropha curcas </w:t>
      </w:r>
      <w:r>
        <w:rPr/>
        <w:t>(physic nut), named by Carrolus Linnaeus originated in the Central America and has become naturalized in many tropical and sub-tropical areas including India, Africa and Asia. Today, it is cultivated in almost all tropical and sub-tropical countries (Heller, 1996).</w:t>
      </w:r>
    </w:p>
    <w:p>
      <w:pPr>
        <w:pStyle w:val="BodyText"/>
      </w:pPr>
    </w:p>
    <w:p>
      <w:pPr>
        <w:pStyle w:val="BodyText"/>
        <w:spacing w:before="6"/>
      </w:pPr>
    </w:p>
    <w:p>
      <w:pPr>
        <w:pStyle w:val="ListParagraph"/>
        <w:numPr>
          <w:ilvl w:val="2"/>
          <w:numId w:val="16"/>
        </w:numPr>
        <w:tabs>
          <w:tab w:pos="1747" w:val="left" w:leader="none"/>
        </w:tabs>
        <w:spacing w:line="240" w:lineRule="auto" w:before="0" w:after="0"/>
        <w:ind w:left="1747" w:right="0" w:hanging="719"/>
        <w:jc w:val="both"/>
        <w:rPr>
          <w:b/>
          <w:i/>
          <w:sz w:val="24"/>
        </w:rPr>
      </w:pPr>
      <w:r>
        <w:rPr>
          <w:b/>
          <w:sz w:val="24"/>
        </w:rPr>
        <w:t>Names</w:t>
      </w:r>
      <w:r>
        <w:rPr>
          <w:b/>
          <w:spacing w:val="-1"/>
          <w:sz w:val="24"/>
        </w:rPr>
        <w:t> </w:t>
      </w:r>
      <w:r>
        <w:rPr>
          <w:b/>
          <w:sz w:val="24"/>
        </w:rPr>
        <w:t>of</w:t>
      </w:r>
      <w:r>
        <w:rPr>
          <w:b/>
          <w:spacing w:val="-1"/>
          <w:sz w:val="24"/>
        </w:rPr>
        <w:t> </w:t>
      </w:r>
      <w:r>
        <w:rPr>
          <w:b/>
          <w:i/>
          <w:sz w:val="24"/>
        </w:rPr>
        <w:t>Jatropha</w:t>
      </w:r>
      <w:r>
        <w:rPr>
          <w:b/>
          <w:i/>
          <w:spacing w:val="1"/>
          <w:sz w:val="24"/>
        </w:rPr>
        <w:t> </w:t>
      </w:r>
      <w:r>
        <w:rPr>
          <w:b/>
          <w:i/>
          <w:spacing w:val="-2"/>
          <w:sz w:val="24"/>
        </w:rPr>
        <w:t>curcas</w:t>
      </w:r>
    </w:p>
    <w:p>
      <w:pPr>
        <w:spacing w:before="271"/>
        <w:ind w:left="1028" w:right="0" w:firstLine="0"/>
        <w:jc w:val="left"/>
        <w:rPr>
          <w:sz w:val="24"/>
        </w:rPr>
      </w:pPr>
      <w:r>
        <w:rPr>
          <w:sz w:val="24"/>
        </w:rPr>
        <w:t>Scientific/Botanical</w:t>
      </w:r>
      <w:r>
        <w:rPr>
          <w:spacing w:val="-9"/>
          <w:sz w:val="24"/>
        </w:rPr>
        <w:t> </w:t>
      </w:r>
      <w:r>
        <w:rPr>
          <w:sz w:val="24"/>
        </w:rPr>
        <w:t>Name</w:t>
      </w:r>
      <w:r>
        <w:rPr>
          <w:spacing w:val="-3"/>
          <w:sz w:val="24"/>
        </w:rPr>
        <w:t> </w:t>
      </w:r>
      <w:r>
        <w:rPr>
          <w:sz w:val="24"/>
        </w:rPr>
        <w:t>(species)</w:t>
      </w:r>
      <w:r>
        <w:rPr>
          <w:b/>
          <w:sz w:val="24"/>
        </w:rPr>
        <w:t>: </w:t>
      </w:r>
      <w:r>
        <w:rPr>
          <w:i/>
          <w:sz w:val="24"/>
        </w:rPr>
        <w:t>Jatropha</w:t>
      </w:r>
      <w:r>
        <w:rPr>
          <w:i/>
          <w:spacing w:val="-2"/>
          <w:sz w:val="24"/>
        </w:rPr>
        <w:t> </w:t>
      </w:r>
      <w:r>
        <w:rPr>
          <w:i/>
          <w:sz w:val="24"/>
        </w:rPr>
        <w:t>curcas</w:t>
      </w:r>
      <w:r>
        <w:rPr>
          <w:i/>
          <w:spacing w:val="-3"/>
          <w:sz w:val="24"/>
        </w:rPr>
        <w:t> </w:t>
      </w:r>
      <w:r>
        <w:rPr>
          <w:spacing w:val="-2"/>
          <w:sz w:val="24"/>
        </w:rPr>
        <w:t>Linn.</w:t>
      </w:r>
    </w:p>
    <w:p>
      <w:pPr>
        <w:pStyle w:val="BodyText"/>
      </w:pPr>
    </w:p>
    <w:p>
      <w:pPr>
        <w:pStyle w:val="BodyText"/>
        <w:spacing w:line="480" w:lineRule="auto" w:before="1"/>
        <w:ind w:left="1028" w:right="670"/>
      </w:pPr>
      <w:r>
        <w:rPr/>
        <w:t>Common names: The plant is known by various names in different languages viz: English: Barbados</w:t>
      </w:r>
      <w:r>
        <w:rPr>
          <w:spacing w:val="-2"/>
        </w:rPr>
        <w:t> </w:t>
      </w:r>
      <w:r>
        <w:rPr/>
        <w:t>nut, Chinese castor</w:t>
      </w:r>
      <w:r>
        <w:rPr>
          <w:spacing w:val="-3"/>
        </w:rPr>
        <w:t> </w:t>
      </w:r>
      <w:r>
        <w:rPr/>
        <w:t>oil, fig nut,</w:t>
      </w:r>
      <w:r>
        <w:rPr>
          <w:spacing w:val="-2"/>
        </w:rPr>
        <w:t> </w:t>
      </w:r>
      <w:r>
        <w:rPr/>
        <w:t>physic nut, pig nut, purging nut, wild oil nut and so forth.</w:t>
      </w:r>
    </w:p>
    <w:p>
      <w:pPr>
        <w:spacing w:before="0"/>
        <w:ind w:left="1028" w:right="0" w:firstLine="0"/>
        <w:jc w:val="left"/>
        <w:rPr>
          <w:i/>
          <w:sz w:val="24"/>
        </w:rPr>
      </w:pPr>
      <w:r>
        <w:rPr>
          <w:sz w:val="24"/>
        </w:rPr>
        <w:t>Nigeria:</w:t>
      </w:r>
      <w:r>
        <w:rPr>
          <w:spacing w:val="-4"/>
          <w:sz w:val="24"/>
        </w:rPr>
        <w:t> </w:t>
      </w:r>
      <w:r>
        <w:rPr>
          <w:sz w:val="24"/>
        </w:rPr>
        <w:t>Hausa-</w:t>
      </w:r>
      <w:r>
        <w:rPr>
          <w:spacing w:val="-2"/>
          <w:sz w:val="24"/>
        </w:rPr>
        <w:t> </w:t>
      </w:r>
      <w:r>
        <w:rPr>
          <w:i/>
          <w:spacing w:val="-2"/>
          <w:sz w:val="24"/>
        </w:rPr>
        <w:t>binidazugu</w:t>
      </w:r>
    </w:p>
    <w:p>
      <w:pPr>
        <w:pStyle w:val="BodyText"/>
        <w:rPr>
          <w:i/>
        </w:rPr>
      </w:pPr>
    </w:p>
    <w:p>
      <w:pPr>
        <w:spacing w:before="0"/>
        <w:ind w:left="1028" w:right="0" w:firstLine="0"/>
        <w:jc w:val="left"/>
        <w:rPr>
          <w:i/>
          <w:sz w:val="24"/>
        </w:rPr>
      </w:pPr>
      <w:r>
        <w:rPr>
          <w:sz w:val="24"/>
        </w:rPr>
        <w:t>Igbo-</w:t>
      </w:r>
      <w:r>
        <w:rPr>
          <w:spacing w:val="5"/>
          <w:sz w:val="24"/>
        </w:rPr>
        <w:t> </w:t>
      </w:r>
      <w:r>
        <w:rPr>
          <w:i/>
          <w:spacing w:val="-2"/>
          <w:sz w:val="24"/>
        </w:rPr>
        <w:t>wuluidu</w:t>
      </w:r>
    </w:p>
    <w:p>
      <w:pPr>
        <w:spacing w:after="0"/>
        <w:jc w:val="left"/>
        <w:rPr>
          <w:sz w:val="24"/>
        </w:rPr>
        <w:sectPr>
          <w:pgSz w:w="11910" w:h="16840"/>
          <w:pgMar w:header="0" w:footer="1012" w:top="1320" w:bottom="1200" w:left="960" w:right="620"/>
        </w:sectPr>
      </w:pPr>
    </w:p>
    <w:p>
      <w:pPr>
        <w:spacing w:before="79"/>
        <w:ind w:left="1028" w:right="0" w:firstLine="0"/>
        <w:jc w:val="left"/>
        <w:rPr>
          <w:sz w:val="24"/>
        </w:rPr>
      </w:pPr>
      <w:r>
        <w:rPr>
          <w:sz w:val="24"/>
        </w:rPr>
        <w:t>Yoruba-</w:t>
      </w:r>
      <w:r>
        <w:rPr>
          <w:spacing w:val="3"/>
          <w:sz w:val="24"/>
        </w:rPr>
        <w:t> </w:t>
      </w:r>
      <w:r>
        <w:rPr>
          <w:i/>
          <w:sz w:val="24"/>
        </w:rPr>
        <w:t>lapa</w:t>
      </w:r>
      <w:r>
        <w:rPr>
          <w:i/>
          <w:spacing w:val="-3"/>
          <w:sz w:val="24"/>
        </w:rPr>
        <w:t> </w:t>
      </w:r>
      <w:r>
        <w:rPr>
          <w:i/>
          <w:spacing w:val="-4"/>
          <w:sz w:val="24"/>
        </w:rPr>
        <w:t>lapa</w:t>
      </w:r>
      <w:r>
        <w:rPr>
          <w:spacing w:val="-4"/>
          <w:sz w:val="24"/>
        </w:rPr>
        <w:t>.</w:t>
      </w:r>
    </w:p>
    <w:p>
      <w:pPr>
        <w:pStyle w:val="BodyText"/>
      </w:pPr>
    </w:p>
    <w:p>
      <w:pPr>
        <w:pStyle w:val="BodyText"/>
      </w:pPr>
    </w:p>
    <w:p>
      <w:pPr>
        <w:pStyle w:val="BodyText"/>
        <w:spacing w:before="6"/>
      </w:pPr>
    </w:p>
    <w:p>
      <w:pPr>
        <w:pStyle w:val="Heading2"/>
        <w:numPr>
          <w:ilvl w:val="2"/>
          <w:numId w:val="16"/>
        </w:numPr>
        <w:tabs>
          <w:tab w:pos="1748" w:val="left" w:leader="none"/>
        </w:tabs>
        <w:spacing w:line="240" w:lineRule="auto" w:before="0" w:after="0"/>
        <w:ind w:left="1748" w:right="0" w:hanging="720"/>
        <w:jc w:val="left"/>
      </w:pPr>
      <w:bookmarkStart w:name="_TOC_250023" w:id="33"/>
      <w:r>
        <w:rPr/>
        <w:t>Taxonomic</w:t>
      </w:r>
      <w:r>
        <w:rPr>
          <w:spacing w:val="-5"/>
        </w:rPr>
        <w:t> </w:t>
      </w:r>
      <w:bookmarkEnd w:id="33"/>
      <w:r>
        <w:rPr>
          <w:spacing w:val="-2"/>
        </w:rPr>
        <w:t>hierarchy</w:t>
      </w:r>
    </w:p>
    <w:p>
      <w:pPr>
        <w:pStyle w:val="BodyText"/>
        <w:spacing w:line="480" w:lineRule="auto" w:before="271"/>
        <w:ind w:left="1028" w:right="670"/>
      </w:pPr>
      <w:r>
        <w:rPr/>
        <w:t>According</w:t>
      </w:r>
      <w:r>
        <w:rPr>
          <w:spacing w:val="40"/>
        </w:rPr>
        <w:t> </w:t>
      </w:r>
      <w:r>
        <w:rPr/>
        <w:t>to</w:t>
      </w:r>
      <w:r>
        <w:rPr>
          <w:spacing w:val="40"/>
        </w:rPr>
        <w:t> </w:t>
      </w:r>
      <w:r>
        <w:rPr/>
        <w:t>Cronquist</w:t>
      </w:r>
      <w:r>
        <w:rPr>
          <w:spacing w:val="40"/>
        </w:rPr>
        <w:t> </w:t>
      </w:r>
      <w:r>
        <w:rPr/>
        <w:t>(1981),</w:t>
      </w:r>
      <w:r>
        <w:rPr>
          <w:spacing w:val="40"/>
        </w:rPr>
        <w:t> </w:t>
      </w:r>
      <w:r>
        <w:rPr/>
        <w:t>the</w:t>
      </w:r>
      <w:r>
        <w:rPr>
          <w:spacing w:val="40"/>
        </w:rPr>
        <w:t> </w:t>
      </w:r>
      <w:r>
        <w:rPr/>
        <w:t>taxonomic</w:t>
      </w:r>
      <w:r>
        <w:rPr>
          <w:spacing w:val="40"/>
        </w:rPr>
        <w:t> </w:t>
      </w:r>
      <w:r>
        <w:rPr/>
        <w:t>hierarchy</w:t>
      </w:r>
      <w:r>
        <w:rPr>
          <w:spacing w:val="40"/>
        </w:rPr>
        <w:t> </w:t>
      </w:r>
      <w:r>
        <w:rPr/>
        <w:t>of</w:t>
      </w:r>
      <w:r>
        <w:rPr>
          <w:spacing w:val="40"/>
        </w:rPr>
        <w:t> </w:t>
      </w:r>
      <w:r>
        <w:rPr>
          <w:i/>
        </w:rPr>
        <w:t>Jatropha</w:t>
      </w:r>
      <w:r>
        <w:rPr>
          <w:i/>
          <w:spacing w:val="40"/>
        </w:rPr>
        <w:t> </w:t>
      </w:r>
      <w:r>
        <w:rPr>
          <w:i/>
        </w:rPr>
        <w:t>curcas</w:t>
      </w:r>
      <w:r>
        <w:rPr>
          <w:i/>
          <w:spacing w:val="40"/>
        </w:rPr>
        <w:t> </w:t>
      </w:r>
      <w:r>
        <w:rPr/>
        <w:t>is</w:t>
      </w:r>
      <w:r>
        <w:rPr>
          <w:spacing w:val="40"/>
        </w:rPr>
        <w:t> </w:t>
      </w:r>
      <w:r>
        <w:rPr/>
        <w:t>as</w:t>
      </w:r>
      <w:r>
        <w:rPr>
          <w:spacing w:val="40"/>
        </w:rPr>
        <w:t> </w:t>
      </w:r>
      <w:r>
        <w:rPr>
          <w:spacing w:val="-2"/>
        </w:rPr>
        <w:t>follows:</w:t>
      </w:r>
    </w:p>
    <w:p>
      <w:pPr>
        <w:pStyle w:val="BodyText"/>
        <w:ind w:left="1028"/>
      </w:pPr>
      <w:r>
        <w:rPr/>
        <w:t>Kingdom:</w:t>
      </w:r>
      <w:r>
        <w:rPr>
          <w:spacing w:val="-1"/>
        </w:rPr>
        <w:t> </w:t>
      </w:r>
      <w:r>
        <w:rPr/>
        <w:t>Plantae</w:t>
      </w:r>
      <w:r>
        <w:rPr>
          <w:spacing w:val="-1"/>
        </w:rPr>
        <w:t> </w:t>
      </w:r>
      <w:r>
        <w:rPr/>
        <w:t>– </w:t>
      </w:r>
      <w:r>
        <w:rPr>
          <w:spacing w:val="-2"/>
        </w:rPr>
        <w:t>Plants</w:t>
      </w:r>
    </w:p>
    <w:p>
      <w:pPr>
        <w:pStyle w:val="BodyText"/>
      </w:pPr>
    </w:p>
    <w:p>
      <w:pPr>
        <w:pStyle w:val="BodyText"/>
        <w:spacing w:line="480" w:lineRule="auto"/>
        <w:ind w:left="1028" w:right="4808"/>
      </w:pPr>
      <w:r>
        <w:rPr/>
        <w:t>Subkingdom:</w:t>
      </w:r>
      <w:r>
        <w:rPr>
          <w:spacing w:val="-10"/>
        </w:rPr>
        <w:t> </w:t>
      </w:r>
      <w:r>
        <w:rPr/>
        <w:t>Tracheobionta</w:t>
      </w:r>
      <w:r>
        <w:rPr>
          <w:spacing w:val="-8"/>
        </w:rPr>
        <w:t> </w:t>
      </w:r>
      <w:r>
        <w:rPr/>
        <w:t>–</w:t>
      </w:r>
      <w:r>
        <w:rPr>
          <w:spacing w:val="-10"/>
        </w:rPr>
        <w:t> </w:t>
      </w:r>
      <w:r>
        <w:rPr/>
        <w:t>Vascular</w:t>
      </w:r>
      <w:r>
        <w:rPr>
          <w:spacing w:val="-9"/>
        </w:rPr>
        <w:t> </w:t>
      </w:r>
      <w:r>
        <w:rPr/>
        <w:t>plants Superdivision: Spermatophyta – Seed plants Division: Magnoliophyta – Flowering plants Class: Magnoliopsida – Dicotyledons Subclass: Rosidae</w:t>
      </w:r>
    </w:p>
    <w:p>
      <w:pPr>
        <w:pStyle w:val="BodyText"/>
        <w:spacing w:before="2"/>
        <w:ind w:left="1028"/>
      </w:pPr>
      <w:r>
        <w:rPr/>
        <w:t>Order:</w:t>
      </w:r>
      <w:r>
        <w:rPr>
          <w:spacing w:val="2"/>
        </w:rPr>
        <w:t> </w:t>
      </w:r>
      <w:r>
        <w:rPr>
          <w:spacing w:val="-2"/>
        </w:rPr>
        <w:t>Euphorbiales</w:t>
      </w:r>
    </w:p>
    <w:p>
      <w:pPr>
        <w:pStyle w:val="BodyText"/>
      </w:pPr>
    </w:p>
    <w:p>
      <w:pPr>
        <w:pStyle w:val="BodyText"/>
        <w:spacing w:line="480" w:lineRule="auto"/>
        <w:ind w:left="1028" w:right="4842"/>
      </w:pPr>
      <w:r>
        <w:rPr/>
        <w:t>Family:</w:t>
      </w:r>
      <w:r>
        <w:rPr>
          <w:spacing w:val="-10"/>
        </w:rPr>
        <w:t> </w:t>
      </w:r>
      <w:r>
        <w:rPr/>
        <w:t>Euphorbiaceae</w:t>
      </w:r>
      <w:r>
        <w:rPr>
          <w:spacing w:val="-8"/>
        </w:rPr>
        <w:t> </w:t>
      </w:r>
      <w:r>
        <w:rPr/>
        <w:t>–</w:t>
      </w:r>
      <w:r>
        <w:rPr>
          <w:spacing w:val="-10"/>
        </w:rPr>
        <w:t> </w:t>
      </w:r>
      <w:r>
        <w:rPr/>
        <w:t>Spurge</w:t>
      </w:r>
      <w:r>
        <w:rPr>
          <w:spacing w:val="-11"/>
        </w:rPr>
        <w:t> </w:t>
      </w:r>
      <w:r>
        <w:rPr/>
        <w:t>family Genus: </w:t>
      </w:r>
      <w:r>
        <w:rPr>
          <w:i/>
        </w:rPr>
        <w:t>Jatropha </w:t>
      </w:r>
      <w:r>
        <w:rPr/>
        <w:t>L. – Nettlespurge P</w:t>
      </w:r>
    </w:p>
    <w:p>
      <w:pPr>
        <w:spacing w:before="0"/>
        <w:ind w:left="1028" w:right="0" w:firstLine="0"/>
        <w:jc w:val="left"/>
        <w:rPr>
          <w:sz w:val="24"/>
        </w:rPr>
      </w:pPr>
      <w:r>
        <w:rPr>
          <w:sz w:val="24"/>
        </w:rPr>
        <w:t>Species:</w:t>
      </w:r>
      <w:r>
        <w:rPr>
          <w:spacing w:val="-1"/>
          <w:sz w:val="24"/>
        </w:rPr>
        <w:t> </w:t>
      </w:r>
      <w:r>
        <w:rPr>
          <w:i/>
          <w:sz w:val="24"/>
        </w:rPr>
        <w:t>Jatropha</w:t>
      </w:r>
      <w:r>
        <w:rPr>
          <w:i/>
          <w:spacing w:val="-2"/>
          <w:sz w:val="24"/>
        </w:rPr>
        <w:t> </w:t>
      </w:r>
      <w:r>
        <w:rPr>
          <w:i/>
          <w:sz w:val="24"/>
        </w:rPr>
        <w:t>curcas</w:t>
      </w:r>
      <w:r>
        <w:rPr>
          <w:i/>
          <w:spacing w:val="-3"/>
          <w:sz w:val="24"/>
        </w:rPr>
        <w:t> </w:t>
      </w:r>
      <w:r>
        <w:rPr>
          <w:sz w:val="24"/>
        </w:rPr>
        <w:t>Linnaeus</w:t>
      </w:r>
      <w:r>
        <w:rPr>
          <w:spacing w:val="-2"/>
          <w:sz w:val="24"/>
        </w:rPr>
        <w:t> </w:t>
      </w:r>
      <w:r>
        <w:rPr>
          <w:sz w:val="24"/>
        </w:rPr>
        <w:t>–</w:t>
      </w:r>
      <w:r>
        <w:rPr>
          <w:spacing w:val="-2"/>
          <w:sz w:val="24"/>
        </w:rPr>
        <w:t> </w:t>
      </w:r>
      <w:r>
        <w:rPr>
          <w:sz w:val="24"/>
        </w:rPr>
        <w:t>Barbados</w:t>
      </w:r>
      <w:r>
        <w:rPr>
          <w:spacing w:val="-3"/>
          <w:sz w:val="24"/>
        </w:rPr>
        <w:t> </w:t>
      </w:r>
      <w:r>
        <w:rPr>
          <w:spacing w:val="-4"/>
          <w:sz w:val="24"/>
        </w:rPr>
        <w:t>nut.</w:t>
      </w:r>
    </w:p>
    <w:p>
      <w:pPr>
        <w:pStyle w:val="BodyText"/>
      </w:pPr>
    </w:p>
    <w:p>
      <w:pPr>
        <w:pStyle w:val="BodyText"/>
      </w:pPr>
    </w:p>
    <w:p>
      <w:pPr>
        <w:pStyle w:val="BodyText"/>
        <w:spacing w:before="5"/>
      </w:pPr>
    </w:p>
    <w:p>
      <w:pPr>
        <w:pStyle w:val="Heading2"/>
        <w:numPr>
          <w:ilvl w:val="2"/>
          <w:numId w:val="16"/>
        </w:numPr>
        <w:tabs>
          <w:tab w:pos="1747" w:val="left" w:leader="none"/>
        </w:tabs>
        <w:spacing w:line="240" w:lineRule="auto" w:before="0" w:after="0"/>
        <w:ind w:left="1747" w:right="0" w:hanging="719"/>
        <w:jc w:val="both"/>
      </w:pPr>
      <w:bookmarkStart w:name="_TOC_250022" w:id="34"/>
      <w:r>
        <w:rPr/>
        <w:t>Description</w:t>
      </w:r>
      <w:r>
        <w:rPr>
          <w:spacing w:val="1"/>
        </w:rPr>
        <w:t> </w:t>
      </w:r>
      <w:r>
        <w:rPr/>
        <w:t>of</w:t>
      </w:r>
      <w:r>
        <w:rPr>
          <w:spacing w:val="-3"/>
        </w:rPr>
        <w:t> </w:t>
      </w:r>
      <w:r>
        <w:rPr/>
        <w:t>the </w:t>
      </w:r>
      <w:bookmarkEnd w:id="34"/>
      <w:r>
        <w:rPr>
          <w:spacing w:val="-2"/>
        </w:rPr>
        <w:t>plant</w:t>
      </w:r>
    </w:p>
    <w:p>
      <w:pPr>
        <w:pStyle w:val="BodyText"/>
        <w:spacing w:line="480" w:lineRule="auto" w:before="272"/>
        <w:ind w:left="1028" w:right="809"/>
        <w:jc w:val="both"/>
      </w:pPr>
      <w:r>
        <w:rPr>
          <w:i/>
        </w:rPr>
        <w:t>Jatropha curcas </w:t>
      </w:r>
      <w:r>
        <w:rPr/>
        <w:t>has thick branchlets. The tree has a straight trunk and grey or reddish bark, masked by large white patches. It has green leaves with</w:t>
      </w:r>
      <w:r>
        <w:rPr>
          <w:spacing w:val="-1"/>
        </w:rPr>
        <w:t> </w:t>
      </w:r>
      <w:r>
        <w:rPr/>
        <w:t>a length</w:t>
      </w:r>
      <w:r>
        <w:rPr>
          <w:spacing w:val="-1"/>
        </w:rPr>
        <w:t> </w:t>
      </w:r>
      <w:r>
        <w:rPr/>
        <w:t>and width</w:t>
      </w:r>
      <w:r>
        <w:rPr>
          <w:spacing w:val="-1"/>
        </w:rPr>
        <w:t> </w:t>
      </w:r>
      <w:r>
        <w:rPr/>
        <w:t>of</w:t>
      </w:r>
      <w:r>
        <w:rPr>
          <w:spacing w:val="-4"/>
        </w:rPr>
        <w:t> </w:t>
      </w:r>
      <w:r>
        <w:rPr/>
        <w:t>6 to 15 cm, with 5 to 7 shallow lobes. The leaves are arranged alternately. The branches contain whitish latex, which causes brown stains, which are very difficult to remove. Normally, five roots are formed from seeds: one tap root and others are lateral roots. Plants from</w:t>
      </w:r>
      <w:r>
        <w:rPr>
          <w:spacing w:val="-5"/>
        </w:rPr>
        <w:t> </w:t>
      </w:r>
      <w:r>
        <w:rPr/>
        <w:t>cuttings develop only lateral roots. Inflorescences are formed terminally on branches. The plant is monoecious and flowers are unisexual. Pollination is by insects. After</w:t>
      </w:r>
      <w:r>
        <w:rPr>
          <w:spacing w:val="34"/>
        </w:rPr>
        <w:t> </w:t>
      </w:r>
      <w:r>
        <w:rPr/>
        <w:t>pollination,</w:t>
      </w:r>
      <w:r>
        <w:rPr>
          <w:spacing w:val="36"/>
        </w:rPr>
        <w:t> </w:t>
      </w:r>
      <w:r>
        <w:rPr/>
        <w:t>a</w:t>
      </w:r>
      <w:r>
        <w:rPr>
          <w:spacing w:val="33"/>
        </w:rPr>
        <w:t> </w:t>
      </w:r>
      <w:r>
        <w:rPr/>
        <w:t>trilocular</w:t>
      </w:r>
      <w:r>
        <w:rPr>
          <w:spacing w:val="36"/>
        </w:rPr>
        <w:t> </w:t>
      </w:r>
      <w:r>
        <w:rPr/>
        <w:t>ellipsoidal</w:t>
      </w:r>
      <w:r>
        <w:rPr>
          <w:spacing w:val="35"/>
        </w:rPr>
        <w:t> </w:t>
      </w:r>
      <w:r>
        <w:rPr/>
        <w:t>fruit</w:t>
      </w:r>
      <w:r>
        <w:rPr>
          <w:spacing w:val="43"/>
        </w:rPr>
        <w:t> </w:t>
      </w:r>
      <w:r>
        <w:rPr/>
        <w:t>is</w:t>
      </w:r>
      <w:r>
        <w:rPr>
          <w:spacing w:val="37"/>
        </w:rPr>
        <w:t> </w:t>
      </w:r>
      <w:r>
        <w:rPr/>
        <w:t>formed.</w:t>
      </w:r>
      <w:r>
        <w:rPr>
          <w:spacing w:val="36"/>
        </w:rPr>
        <w:t> </w:t>
      </w:r>
      <w:r>
        <w:rPr/>
        <w:t>The</w:t>
      </w:r>
      <w:r>
        <w:rPr>
          <w:spacing w:val="33"/>
        </w:rPr>
        <w:t> </w:t>
      </w:r>
      <w:r>
        <w:rPr/>
        <w:t>exocarp</w:t>
      </w:r>
      <w:r>
        <w:rPr>
          <w:spacing w:val="35"/>
        </w:rPr>
        <w:t> </w:t>
      </w:r>
      <w:r>
        <w:rPr/>
        <w:t>remains</w:t>
      </w:r>
      <w:r>
        <w:rPr>
          <w:spacing w:val="37"/>
        </w:rPr>
        <w:t> </w:t>
      </w:r>
      <w:r>
        <w:rPr>
          <w:spacing w:val="-2"/>
        </w:rPr>
        <w:t>fleshy</w:t>
      </w:r>
    </w:p>
    <w:p>
      <w:pPr>
        <w:spacing w:after="0" w:line="480" w:lineRule="auto"/>
        <w:jc w:val="both"/>
        <w:sectPr>
          <w:pgSz w:w="11910" w:h="16840"/>
          <w:pgMar w:header="0" w:footer="1012" w:top="1320" w:bottom="1200" w:left="960" w:right="620"/>
        </w:sectPr>
      </w:pPr>
    </w:p>
    <w:p>
      <w:pPr>
        <w:pStyle w:val="BodyText"/>
        <w:spacing w:line="480" w:lineRule="auto" w:before="79"/>
        <w:ind w:left="1028" w:right="807"/>
        <w:jc w:val="both"/>
      </w:pPr>
      <w:r>
        <w:rPr/>
        <w:t>until the seeds are mature. The seeds are black and in the average, 18 mm long and 10 mm wide in ripe </w:t>
      </w:r>
      <w:r>
        <w:rPr>
          <w:i/>
        </w:rPr>
        <w:t>Jatropha </w:t>
      </w:r>
      <w:r>
        <w:rPr/>
        <w:t>fruits. The seed weight (per 1000) is about 727g (Raju and Ezradanam, 2002; Kochhar </w:t>
      </w:r>
      <w:r>
        <w:rPr>
          <w:i/>
        </w:rPr>
        <w:t>et al</w:t>
      </w:r>
      <w:r>
        <w:rPr/>
        <w:t>., 2008).</w:t>
      </w:r>
      <w:r>
        <w:rPr>
          <w:spacing w:val="40"/>
        </w:rPr>
        <w:t> </w:t>
      </w:r>
      <w:r>
        <w:rPr/>
        <w:t>Figure 2.1 shows the fruits, seeds, oil and defatted seed cake of </w:t>
      </w:r>
      <w:r>
        <w:rPr>
          <w:i/>
        </w:rPr>
        <w:t>J</w:t>
      </w:r>
      <w:r>
        <w:rPr/>
        <w:t>. </w:t>
      </w:r>
      <w:r>
        <w:rPr>
          <w:i/>
        </w:rPr>
        <w:t>curcas</w:t>
      </w:r>
      <w:r>
        <w:rPr/>
        <w:t>.</w:t>
      </w:r>
    </w:p>
    <w:p>
      <w:pPr>
        <w:pStyle w:val="BodyText"/>
        <w:spacing w:before="234"/>
      </w:pPr>
    </w:p>
    <w:p>
      <w:pPr>
        <w:pStyle w:val="ListParagraph"/>
        <w:numPr>
          <w:ilvl w:val="1"/>
          <w:numId w:val="16"/>
        </w:numPr>
        <w:tabs>
          <w:tab w:pos="1747" w:val="left" w:leader="none"/>
        </w:tabs>
        <w:spacing w:line="240" w:lineRule="auto" w:before="0" w:after="0"/>
        <w:ind w:left="1747" w:right="0" w:hanging="719"/>
        <w:jc w:val="both"/>
        <w:rPr>
          <w:b/>
          <w:sz w:val="24"/>
        </w:rPr>
      </w:pPr>
      <w:r>
        <w:rPr>
          <w:b/>
          <w:sz w:val="24"/>
        </w:rPr>
        <w:t>Products</w:t>
      </w:r>
      <w:r>
        <w:rPr>
          <w:b/>
          <w:spacing w:val="-3"/>
          <w:sz w:val="24"/>
        </w:rPr>
        <w:t> </w:t>
      </w:r>
      <w:r>
        <w:rPr>
          <w:b/>
          <w:sz w:val="24"/>
        </w:rPr>
        <w:t>of</w:t>
      </w:r>
      <w:r>
        <w:rPr>
          <w:b/>
          <w:spacing w:val="-3"/>
          <w:sz w:val="24"/>
        </w:rPr>
        <w:t> </w:t>
      </w:r>
      <w:r>
        <w:rPr>
          <w:b/>
          <w:i/>
          <w:sz w:val="24"/>
        </w:rPr>
        <w:t>Jatropha</w:t>
      </w:r>
      <w:r>
        <w:rPr>
          <w:b/>
          <w:i/>
          <w:spacing w:val="-1"/>
          <w:sz w:val="24"/>
        </w:rPr>
        <w:t> </w:t>
      </w:r>
      <w:r>
        <w:rPr>
          <w:b/>
          <w:i/>
          <w:sz w:val="24"/>
        </w:rPr>
        <w:t>curcas</w:t>
      </w:r>
      <w:r>
        <w:rPr>
          <w:b/>
          <w:i/>
          <w:spacing w:val="-2"/>
          <w:sz w:val="24"/>
        </w:rPr>
        <w:t> </w:t>
      </w:r>
      <w:r>
        <w:rPr>
          <w:b/>
          <w:spacing w:val="-4"/>
          <w:sz w:val="24"/>
        </w:rPr>
        <w:t>Seeds</w:t>
      </w:r>
    </w:p>
    <w:p>
      <w:pPr>
        <w:pStyle w:val="BodyText"/>
        <w:rPr>
          <w:b/>
        </w:rPr>
      </w:pPr>
    </w:p>
    <w:p>
      <w:pPr>
        <w:pStyle w:val="ListParagraph"/>
        <w:numPr>
          <w:ilvl w:val="2"/>
          <w:numId w:val="16"/>
        </w:numPr>
        <w:tabs>
          <w:tab w:pos="1747" w:val="left" w:leader="none"/>
        </w:tabs>
        <w:spacing w:line="240" w:lineRule="auto" w:before="0" w:after="0"/>
        <w:ind w:left="1747" w:right="0" w:hanging="719"/>
        <w:jc w:val="both"/>
        <w:rPr>
          <w:b/>
          <w:sz w:val="24"/>
        </w:rPr>
      </w:pPr>
      <w:r>
        <w:rPr>
          <w:b/>
          <w:i/>
          <w:sz w:val="24"/>
        </w:rPr>
        <w:t>Jatropha</w:t>
      </w:r>
      <w:r>
        <w:rPr>
          <w:b/>
          <w:i/>
          <w:spacing w:val="-5"/>
          <w:sz w:val="24"/>
        </w:rPr>
        <w:t> </w:t>
      </w:r>
      <w:r>
        <w:rPr>
          <w:b/>
          <w:i/>
          <w:sz w:val="24"/>
        </w:rPr>
        <w:t>curcas</w:t>
      </w:r>
      <w:r>
        <w:rPr>
          <w:b/>
          <w:i/>
          <w:spacing w:val="-2"/>
          <w:sz w:val="24"/>
        </w:rPr>
        <w:t> </w:t>
      </w:r>
      <w:r>
        <w:rPr>
          <w:b/>
          <w:sz w:val="24"/>
        </w:rPr>
        <w:t>seed</w:t>
      </w:r>
      <w:r>
        <w:rPr>
          <w:b/>
          <w:spacing w:val="-2"/>
          <w:sz w:val="24"/>
        </w:rPr>
        <w:t> </w:t>
      </w:r>
      <w:r>
        <w:rPr>
          <w:b/>
          <w:spacing w:val="-4"/>
          <w:sz w:val="24"/>
        </w:rPr>
        <w:t>cake</w:t>
      </w:r>
    </w:p>
    <w:p>
      <w:pPr>
        <w:pStyle w:val="BodyText"/>
        <w:spacing w:line="480" w:lineRule="auto" w:before="272"/>
        <w:ind w:left="1028" w:right="800"/>
        <w:jc w:val="both"/>
      </w:pPr>
      <w:r>
        <w:rPr/>
        <w:t>The extraction of oil from </w:t>
      </w:r>
      <w:r>
        <w:rPr>
          <w:i/>
        </w:rPr>
        <w:t>Jatropha </w:t>
      </w:r>
      <w:r>
        <w:rPr/>
        <w:t>seeds is associated with generation of substantial amount of</w:t>
      </w:r>
      <w:r>
        <w:rPr>
          <w:spacing w:val="-2"/>
        </w:rPr>
        <w:t> </w:t>
      </w:r>
      <w:r>
        <w:rPr/>
        <w:t>seed cake waste at an average rate of</w:t>
      </w:r>
      <w:r>
        <w:rPr>
          <w:spacing w:val="-2"/>
        </w:rPr>
        <w:t> </w:t>
      </w:r>
      <w:r>
        <w:rPr/>
        <w:t>500 g cake per kg of</w:t>
      </w:r>
      <w:r>
        <w:rPr>
          <w:spacing w:val="-2"/>
        </w:rPr>
        <w:t> </w:t>
      </w:r>
      <w:r>
        <w:rPr/>
        <w:t>seeds used (Zanzi </w:t>
      </w:r>
      <w:r>
        <w:rPr>
          <w:i/>
        </w:rPr>
        <w:t>et al</w:t>
      </w:r>
      <w:r>
        <w:rPr/>
        <w:t>., 2008). Inspite of its high protein content along with presence of all essential amino acids, except lysine (Makkar and Becker, 1997b), it cannot be used in feed formulation due to the presence of potential anti-nutritional components like phorbol esters (PE), lectins and trypsin inhibitors (Makkar </w:t>
      </w:r>
      <w:r>
        <w:rPr>
          <w:i/>
        </w:rPr>
        <w:t>et al</w:t>
      </w:r>
      <w:r>
        <w:rPr/>
        <w:t>., 1997). The PEs, have been identified as main toxicants in </w:t>
      </w:r>
      <w:r>
        <w:rPr>
          <w:i/>
        </w:rPr>
        <w:t>Jatropha curcas </w:t>
      </w:r>
      <w:r>
        <w:rPr/>
        <w:t>seed cake.</w:t>
      </w:r>
    </w:p>
    <w:p>
      <w:pPr>
        <w:pStyle w:val="BodyText"/>
      </w:pPr>
    </w:p>
    <w:p>
      <w:pPr>
        <w:pStyle w:val="BodyText"/>
        <w:spacing w:before="6"/>
      </w:pPr>
    </w:p>
    <w:p>
      <w:pPr>
        <w:pStyle w:val="ListParagraph"/>
        <w:numPr>
          <w:ilvl w:val="2"/>
          <w:numId w:val="16"/>
        </w:numPr>
        <w:tabs>
          <w:tab w:pos="1747" w:val="left" w:leader="none"/>
        </w:tabs>
        <w:spacing w:line="240" w:lineRule="auto" w:before="0" w:after="0"/>
        <w:ind w:left="1747" w:right="0" w:hanging="719"/>
        <w:jc w:val="both"/>
        <w:rPr>
          <w:b/>
          <w:sz w:val="24"/>
        </w:rPr>
      </w:pPr>
      <w:r>
        <w:rPr>
          <w:b/>
          <w:i/>
          <w:sz w:val="24"/>
        </w:rPr>
        <w:t>Jatropha</w:t>
      </w:r>
      <w:r>
        <w:rPr>
          <w:b/>
          <w:i/>
          <w:spacing w:val="-5"/>
          <w:sz w:val="24"/>
        </w:rPr>
        <w:t> </w:t>
      </w:r>
      <w:r>
        <w:rPr>
          <w:b/>
          <w:i/>
          <w:sz w:val="24"/>
        </w:rPr>
        <w:t>curcas</w:t>
      </w:r>
      <w:r>
        <w:rPr>
          <w:b/>
          <w:i/>
          <w:spacing w:val="-2"/>
          <w:sz w:val="24"/>
        </w:rPr>
        <w:t> </w:t>
      </w:r>
      <w:r>
        <w:rPr>
          <w:b/>
          <w:sz w:val="24"/>
        </w:rPr>
        <w:t>seed</w:t>
      </w:r>
      <w:r>
        <w:rPr>
          <w:b/>
          <w:spacing w:val="-2"/>
          <w:sz w:val="24"/>
        </w:rPr>
        <w:t> </w:t>
      </w:r>
      <w:r>
        <w:rPr>
          <w:b/>
          <w:spacing w:val="-4"/>
          <w:sz w:val="24"/>
        </w:rPr>
        <w:t>shell</w:t>
      </w:r>
    </w:p>
    <w:p>
      <w:pPr>
        <w:pStyle w:val="BodyText"/>
        <w:spacing w:line="480" w:lineRule="auto" w:before="271"/>
        <w:ind w:left="1028" w:right="802"/>
        <w:jc w:val="both"/>
      </w:pPr>
      <w:r>
        <w:rPr>
          <w:i/>
        </w:rPr>
        <w:t>Jatropha curcas </w:t>
      </w:r>
      <w:r>
        <w:rPr/>
        <w:t>shell is composed of mainly of fibre (&gt;83% neutral detergent fibre). The high acid detergent lignin (&gt;45%) and very low protein (&lt;5%) contents in the shell indicate its poor nutritional value. However, the shell can be a good source of combustible fuel for cooking due to its high gross energy</w:t>
      </w:r>
      <w:r>
        <w:rPr>
          <w:spacing w:val="-1"/>
        </w:rPr>
        <w:t> </w:t>
      </w:r>
      <w:r>
        <w:rPr/>
        <w:t>content. It could also be used as fertilizer (Gubitz </w:t>
      </w:r>
      <w:r>
        <w:rPr>
          <w:i/>
        </w:rPr>
        <w:t>et al</w:t>
      </w:r>
      <w:r>
        <w:rPr/>
        <w:t>., 1999).</w:t>
      </w:r>
    </w:p>
    <w:p>
      <w:pPr>
        <w:spacing w:after="0" w:line="480" w:lineRule="auto"/>
        <w:jc w:val="both"/>
        <w:sectPr>
          <w:pgSz w:w="11910" w:h="16840"/>
          <w:pgMar w:header="0" w:footer="1012" w:top="1320" w:bottom="1200" w:left="960" w:right="620"/>
        </w:sectPr>
      </w:pPr>
    </w:p>
    <w:p>
      <w:pPr>
        <w:pStyle w:val="BodyText"/>
        <w:spacing w:before="5"/>
        <w:rPr>
          <w:sz w:val="3"/>
        </w:rPr>
      </w:pPr>
    </w:p>
    <w:p>
      <w:pPr>
        <w:tabs>
          <w:tab w:pos="5531" w:val="left" w:leader="none"/>
        </w:tabs>
        <w:spacing w:line="240" w:lineRule="auto"/>
        <w:ind w:left="1057" w:right="0" w:firstLine="0"/>
        <w:rPr>
          <w:sz w:val="20"/>
        </w:rPr>
      </w:pPr>
      <w:r>
        <w:rPr>
          <w:sz w:val="20"/>
        </w:rPr>
        <w:drawing>
          <wp:inline distT="0" distB="0" distL="0" distR="0">
            <wp:extent cx="2673946" cy="2956560"/>
            <wp:effectExtent l="0" t="0" r="0" b="0"/>
            <wp:docPr id="62" name="Image 62" descr="https://encrypted-tbn1.gstatic.com/images?q=tbn:ANd9GcS53rVMNkCEsM4k9mWNom6OLjt_NvnTQ2AKQJ14AUZjNqxFdS6v2g"/>
            <wp:cNvGraphicFramePr>
              <a:graphicFrameLocks/>
            </wp:cNvGraphicFramePr>
            <a:graphic>
              <a:graphicData uri="http://schemas.openxmlformats.org/drawingml/2006/picture">
                <pic:pic>
                  <pic:nvPicPr>
                    <pic:cNvPr id="62" name="Image 62" descr="https://encrypted-tbn1.gstatic.com/images?q=tbn:ANd9GcS53rVMNkCEsM4k9mWNom6OLjt_NvnTQ2AKQJ14AUZjNqxFdS6v2g"/>
                    <pic:cNvPicPr/>
                  </pic:nvPicPr>
                  <pic:blipFill>
                    <a:blip r:embed="rId7" cstate="print"/>
                    <a:stretch>
                      <a:fillRect/>
                    </a:stretch>
                  </pic:blipFill>
                  <pic:spPr>
                    <a:xfrm>
                      <a:off x="0" y="0"/>
                      <a:ext cx="2673946" cy="2956560"/>
                    </a:xfrm>
                    <a:prstGeom prst="rect">
                      <a:avLst/>
                    </a:prstGeom>
                  </pic:spPr>
                </pic:pic>
              </a:graphicData>
            </a:graphic>
          </wp:inline>
        </w:drawing>
      </w:r>
      <w:r>
        <w:rPr>
          <w:sz w:val="20"/>
        </w:rPr>
      </w:r>
      <w:r>
        <w:rPr>
          <w:sz w:val="20"/>
        </w:rPr>
        <w:tab/>
      </w:r>
      <w:r>
        <w:rPr>
          <w:position w:val="3"/>
          <w:sz w:val="20"/>
        </w:rPr>
        <w:drawing>
          <wp:inline distT="0" distB="0" distL="0" distR="0">
            <wp:extent cx="2508706" cy="2936748"/>
            <wp:effectExtent l="0" t="0" r="0" b="0"/>
            <wp:docPr id="63" name="Image 63" descr="http://www.gokuloverseas.com/images/deoiledcake1.jpg"/>
            <wp:cNvGraphicFramePr>
              <a:graphicFrameLocks/>
            </wp:cNvGraphicFramePr>
            <a:graphic>
              <a:graphicData uri="http://schemas.openxmlformats.org/drawingml/2006/picture">
                <pic:pic>
                  <pic:nvPicPr>
                    <pic:cNvPr id="63" name="Image 63" descr="http://www.gokuloverseas.com/images/deoiledcake1.jpg"/>
                    <pic:cNvPicPr/>
                  </pic:nvPicPr>
                  <pic:blipFill>
                    <a:blip r:embed="rId8" cstate="print"/>
                    <a:stretch>
                      <a:fillRect/>
                    </a:stretch>
                  </pic:blipFill>
                  <pic:spPr>
                    <a:xfrm>
                      <a:off x="0" y="0"/>
                      <a:ext cx="2508706" cy="2936748"/>
                    </a:xfrm>
                    <a:prstGeom prst="rect">
                      <a:avLst/>
                    </a:prstGeom>
                  </pic:spPr>
                </pic:pic>
              </a:graphicData>
            </a:graphic>
          </wp:inline>
        </w:drawing>
      </w:r>
      <w:r>
        <w:rPr>
          <w:position w:val="3"/>
          <w:sz w:val="20"/>
        </w:rPr>
      </w:r>
    </w:p>
    <w:p>
      <w:pPr>
        <w:tabs>
          <w:tab w:pos="5474" w:val="left" w:leader="none"/>
        </w:tabs>
        <w:spacing w:before="267"/>
        <w:ind w:left="1028" w:right="0" w:firstLine="0"/>
        <w:jc w:val="left"/>
        <w:rPr>
          <w:b/>
          <w:sz w:val="24"/>
        </w:rPr>
      </w:pPr>
      <w:r>
        <w:rPr>
          <w:b/>
          <w:i/>
          <w:sz w:val="24"/>
        </w:rPr>
        <w:t>Jatropha</w:t>
      </w:r>
      <w:r>
        <w:rPr>
          <w:b/>
          <w:i/>
          <w:spacing w:val="-2"/>
          <w:sz w:val="24"/>
        </w:rPr>
        <w:t> </w:t>
      </w:r>
      <w:r>
        <w:rPr>
          <w:b/>
          <w:i/>
          <w:sz w:val="24"/>
        </w:rPr>
        <w:t>curcas</w:t>
      </w:r>
      <w:r>
        <w:rPr>
          <w:b/>
          <w:i/>
          <w:spacing w:val="-3"/>
          <w:sz w:val="24"/>
        </w:rPr>
        <w:t> </w:t>
      </w:r>
      <w:r>
        <w:rPr>
          <w:b/>
          <w:spacing w:val="-2"/>
          <w:sz w:val="24"/>
        </w:rPr>
        <w:t>fruits</w:t>
      </w:r>
      <w:r>
        <w:rPr>
          <w:b/>
          <w:sz w:val="24"/>
        </w:rPr>
        <w:tab/>
      </w:r>
      <w:r>
        <w:rPr>
          <w:b/>
          <w:i/>
          <w:sz w:val="24"/>
        </w:rPr>
        <w:t>Jatropha</w:t>
      </w:r>
      <w:r>
        <w:rPr>
          <w:b/>
          <w:i/>
          <w:spacing w:val="-3"/>
          <w:sz w:val="24"/>
        </w:rPr>
        <w:t> </w:t>
      </w:r>
      <w:r>
        <w:rPr>
          <w:b/>
          <w:i/>
          <w:sz w:val="24"/>
        </w:rPr>
        <w:t>curcas</w:t>
      </w:r>
      <w:r>
        <w:rPr>
          <w:b/>
          <w:i/>
          <w:spacing w:val="-3"/>
          <w:sz w:val="24"/>
        </w:rPr>
        <w:t> </w:t>
      </w:r>
      <w:r>
        <w:rPr>
          <w:b/>
          <w:sz w:val="24"/>
        </w:rPr>
        <w:t>defatted</w:t>
      </w:r>
      <w:r>
        <w:rPr>
          <w:b/>
          <w:spacing w:val="-1"/>
          <w:sz w:val="24"/>
        </w:rPr>
        <w:t> </w:t>
      </w:r>
      <w:r>
        <w:rPr>
          <w:b/>
          <w:spacing w:val="-2"/>
          <w:sz w:val="24"/>
        </w:rPr>
        <w:t>seedcake</w:t>
      </w:r>
    </w:p>
    <w:p>
      <w:pPr>
        <w:pStyle w:val="BodyText"/>
        <w:rPr>
          <w:b/>
          <w:sz w:val="20"/>
        </w:rPr>
      </w:pPr>
    </w:p>
    <w:p>
      <w:pPr>
        <w:pStyle w:val="BodyText"/>
        <w:rPr>
          <w:b/>
          <w:sz w:val="20"/>
        </w:rPr>
      </w:pPr>
    </w:p>
    <w:p>
      <w:pPr>
        <w:pStyle w:val="BodyText"/>
        <w:spacing w:before="116"/>
        <w:rPr>
          <w:b/>
          <w:sz w:val="20"/>
        </w:rPr>
      </w:pPr>
      <w:r>
        <w:rPr/>
        <w:drawing>
          <wp:anchor distT="0" distB="0" distL="0" distR="0" allowOverlap="1" layoutInCell="1" locked="0" behindDoc="1" simplePos="0" relativeHeight="487618048">
            <wp:simplePos x="0" y="0"/>
            <wp:positionH relativeFrom="page">
              <wp:posOffset>1280794</wp:posOffset>
            </wp:positionH>
            <wp:positionV relativeFrom="paragraph">
              <wp:posOffset>235055</wp:posOffset>
            </wp:positionV>
            <wp:extent cx="2699169" cy="2943225"/>
            <wp:effectExtent l="0" t="0" r="0" b="0"/>
            <wp:wrapTopAndBottom/>
            <wp:docPr id="64" name="Image 64" descr="http://www.bioenergyplantations.com/images/products/jatropha_oil_yellow.jpg"/>
            <wp:cNvGraphicFramePr>
              <a:graphicFrameLocks/>
            </wp:cNvGraphicFramePr>
            <a:graphic>
              <a:graphicData uri="http://schemas.openxmlformats.org/drawingml/2006/picture">
                <pic:pic>
                  <pic:nvPicPr>
                    <pic:cNvPr id="64" name="Image 64" descr="http://www.bioenergyplantations.com/images/products/jatropha_oil_yellow.jpg"/>
                    <pic:cNvPicPr/>
                  </pic:nvPicPr>
                  <pic:blipFill>
                    <a:blip r:embed="rId9" cstate="print"/>
                    <a:stretch>
                      <a:fillRect/>
                    </a:stretch>
                  </pic:blipFill>
                  <pic:spPr>
                    <a:xfrm>
                      <a:off x="0" y="0"/>
                      <a:ext cx="2699169" cy="2943225"/>
                    </a:xfrm>
                    <a:prstGeom prst="rect">
                      <a:avLst/>
                    </a:prstGeom>
                  </pic:spPr>
                </pic:pic>
              </a:graphicData>
            </a:graphic>
          </wp:anchor>
        </w:drawing>
      </w:r>
      <w:r>
        <w:rPr/>
        <w:drawing>
          <wp:anchor distT="0" distB="0" distL="0" distR="0" allowOverlap="1" layoutInCell="1" locked="0" behindDoc="1" simplePos="0" relativeHeight="487618560">
            <wp:simplePos x="0" y="0"/>
            <wp:positionH relativeFrom="page">
              <wp:posOffset>4086352</wp:posOffset>
            </wp:positionH>
            <wp:positionV relativeFrom="paragraph">
              <wp:posOffset>428984</wp:posOffset>
            </wp:positionV>
            <wp:extent cx="2537703" cy="2736342"/>
            <wp:effectExtent l="0" t="0" r="0" b="0"/>
            <wp:wrapTopAndBottom/>
            <wp:docPr id="65" name="Image 65" descr="http://www.b-oilbelize.com/images/252_Jatropha_Seeds.jpg"/>
            <wp:cNvGraphicFramePr>
              <a:graphicFrameLocks/>
            </wp:cNvGraphicFramePr>
            <a:graphic>
              <a:graphicData uri="http://schemas.openxmlformats.org/drawingml/2006/picture">
                <pic:pic>
                  <pic:nvPicPr>
                    <pic:cNvPr id="65" name="Image 65" descr="http://www.b-oilbelize.com/images/252_Jatropha_Seeds.jpg"/>
                    <pic:cNvPicPr/>
                  </pic:nvPicPr>
                  <pic:blipFill>
                    <a:blip r:embed="rId10" cstate="print"/>
                    <a:stretch>
                      <a:fillRect/>
                    </a:stretch>
                  </pic:blipFill>
                  <pic:spPr>
                    <a:xfrm>
                      <a:off x="0" y="0"/>
                      <a:ext cx="2537703" cy="2736342"/>
                    </a:xfrm>
                    <a:prstGeom prst="rect">
                      <a:avLst/>
                    </a:prstGeom>
                  </pic:spPr>
                </pic:pic>
              </a:graphicData>
            </a:graphic>
          </wp:anchor>
        </w:drawing>
      </w:r>
    </w:p>
    <w:p>
      <w:pPr>
        <w:tabs>
          <w:tab w:pos="5594" w:val="left" w:leader="none"/>
        </w:tabs>
        <w:spacing w:before="265"/>
        <w:ind w:left="1028" w:right="0" w:firstLine="0"/>
        <w:jc w:val="left"/>
        <w:rPr>
          <w:b/>
          <w:sz w:val="24"/>
        </w:rPr>
      </w:pPr>
      <w:r>
        <w:rPr>
          <w:b/>
          <w:i/>
          <w:sz w:val="24"/>
        </w:rPr>
        <w:t>Jatropha</w:t>
      </w:r>
      <w:r>
        <w:rPr>
          <w:b/>
          <w:i/>
          <w:spacing w:val="-2"/>
          <w:sz w:val="24"/>
        </w:rPr>
        <w:t> </w:t>
      </w:r>
      <w:r>
        <w:rPr>
          <w:b/>
          <w:i/>
          <w:sz w:val="24"/>
        </w:rPr>
        <w:t>curcas</w:t>
      </w:r>
      <w:r>
        <w:rPr>
          <w:b/>
          <w:i/>
          <w:spacing w:val="-3"/>
          <w:sz w:val="24"/>
        </w:rPr>
        <w:t> </w:t>
      </w:r>
      <w:r>
        <w:rPr>
          <w:b/>
          <w:spacing w:val="-5"/>
          <w:sz w:val="24"/>
        </w:rPr>
        <w:t>oil</w:t>
      </w:r>
      <w:r>
        <w:rPr>
          <w:b/>
          <w:sz w:val="24"/>
        </w:rPr>
        <w:tab/>
      </w:r>
      <w:r>
        <w:rPr>
          <w:b/>
          <w:i/>
          <w:sz w:val="24"/>
        </w:rPr>
        <w:t>Jatropha</w:t>
      </w:r>
      <w:r>
        <w:rPr>
          <w:b/>
          <w:i/>
          <w:spacing w:val="-2"/>
          <w:sz w:val="24"/>
        </w:rPr>
        <w:t> </w:t>
      </w:r>
      <w:r>
        <w:rPr>
          <w:b/>
          <w:i/>
          <w:sz w:val="24"/>
        </w:rPr>
        <w:t>curcas</w:t>
      </w:r>
      <w:r>
        <w:rPr>
          <w:b/>
          <w:i/>
          <w:spacing w:val="-2"/>
          <w:sz w:val="24"/>
        </w:rPr>
        <w:t> </w:t>
      </w:r>
      <w:r>
        <w:rPr>
          <w:b/>
          <w:spacing w:val="-2"/>
          <w:sz w:val="24"/>
        </w:rPr>
        <w:t>seeds</w:t>
      </w:r>
    </w:p>
    <w:p>
      <w:pPr>
        <w:pStyle w:val="BodyText"/>
        <w:rPr>
          <w:b/>
        </w:rPr>
      </w:pPr>
    </w:p>
    <w:p>
      <w:pPr>
        <w:pStyle w:val="BodyText"/>
        <w:rPr>
          <w:b/>
        </w:rPr>
      </w:pPr>
    </w:p>
    <w:p>
      <w:pPr>
        <w:pStyle w:val="BodyText"/>
        <w:spacing w:before="1"/>
        <w:rPr>
          <w:b/>
        </w:rPr>
      </w:pPr>
    </w:p>
    <w:p>
      <w:pPr>
        <w:spacing w:before="0"/>
        <w:ind w:left="525" w:right="0" w:firstLine="0"/>
        <w:jc w:val="center"/>
        <w:rPr>
          <w:b/>
          <w:sz w:val="24"/>
        </w:rPr>
      </w:pPr>
      <w:r>
        <w:rPr>
          <w:b/>
          <w:sz w:val="24"/>
        </w:rPr>
        <w:t>Figure</w:t>
      </w:r>
      <w:r>
        <w:rPr>
          <w:b/>
          <w:spacing w:val="-5"/>
          <w:sz w:val="24"/>
        </w:rPr>
        <w:t> </w:t>
      </w:r>
      <w:r>
        <w:rPr>
          <w:b/>
          <w:sz w:val="24"/>
        </w:rPr>
        <w:t>2.1:</w:t>
      </w:r>
      <w:r>
        <w:rPr>
          <w:b/>
          <w:spacing w:val="1"/>
          <w:sz w:val="24"/>
        </w:rPr>
        <w:t> </w:t>
      </w:r>
      <w:r>
        <w:rPr>
          <w:b/>
          <w:i/>
          <w:sz w:val="24"/>
        </w:rPr>
        <w:t>Jatropha</w:t>
      </w:r>
      <w:r>
        <w:rPr>
          <w:b/>
          <w:i/>
          <w:spacing w:val="-5"/>
          <w:sz w:val="24"/>
        </w:rPr>
        <w:t> </w:t>
      </w:r>
      <w:r>
        <w:rPr>
          <w:b/>
          <w:i/>
          <w:sz w:val="24"/>
        </w:rPr>
        <w:t>curcas</w:t>
      </w:r>
      <w:r>
        <w:rPr>
          <w:b/>
          <w:sz w:val="24"/>
        </w:rPr>
        <w:t>.</w:t>
      </w:r>
      <w:r>
        <w:rPr>
          <w:b/>
          <w:spacing w:val="60"/>
          <w:sz w:val="24"/>
        </w:rPr>
        <w:t> </w:t>
      </w:r>
      <w:r>
        <w:rPr>
          <w:b/>
          <w:sz w:val="24"/>
        </w:rPr>
        <w:t>Retrieved</w:t>
      </w:r>
      <w:r>
        <w:rPr>
          <w:b/>
          <w:spacing w:val="-2"/>
          <w:sz w:val="24"/>
        </w:rPr>
        <w:t> </w:t>
      </w:r>
      <w:r>
        <w:rPr>
          <w:b/>
          <w:sz w:val="24"/>
        </w:rPr>
        <w:t>from</w:t>
      </w:r>
      <w:r>
        <w:rPr>
          <w:b/>
          <w:spacing w:val="-3"/>
          <w:sz w:val="24"/>
        </w:rPr>
        <w:t> </w:t>
      </w:r>
      <w:r>
        <w:rPr>
          <w:b/>
          <w:spacing w:val="-2"/>
          <w:sz w:val="24"/>
        </w:rPr>
        <w:t>https://</w:t>
      </w:r>
      <w:hyperlink r:id="rId11">
        <w:r>
          <w:rPr>
            <w:b/>
            <w:spacing w:val="-2"/>
            <w:sz w:val="24"/>
          </w:rPr>
          <w:t>www.google.com.ng</w:t>
        </w:r>
      </w:hyperlink>
    </w:p>
    <w:p>
      <w:pPr>
        <w:spacing w:after="0"/>
        <w:jc w:val="center"/>
        <w:rPr>
          <w:sz w:val="24"/>
        </w:rPr>
        <w:sectPr>
          <w:pgSz w:w="11910" w:h="16840"/>
          <w:pgMar w:header="0" w:footer="1012" w:top="1920" w:bottom="1200" w:left="960" w:right="620"/>
        </w:sectPr>
      </w:pPr>
    </w:p>
    <w:p>
      <w:pPr>
        <w:pStyle w:val="ListParagraph"/>
        <w:numPr>
          <w:ilvl w:val="2"/>
          <w:numId w:val="16"/>
        </w:numPr>
        <w:tabs>
          <w:tab w:pos="1747" w:val="left" w:leader="none"/>
        </w:tabs>
        <w:spacing w:line="240" w:lineRule="auto" w:before="64" w:after="0"/>
        <w:ind w:left="1747" w:right="0" w:hanging="719"/>
        <w:jc w:val="both"/>
        <w:rPr>
          <w:b/>
          <w:sz w:val="24"/>
        </w:rPr>
      </w:pPr>
      <w:r>
        <w:rPr>
          <w:b/>
          <w:i/>
          <w:sz w:val="24"/>
        </w:rPr>
        <w:t>Jatropha</w:t>
      </w:r>
      <w:r>
        <w:rPr>
          <w:b/>
          <w:i/>
          <w:spacing w:val="-5"/>
          <w:sz w:val="24"/>
        </w:rPr>
        <w:t> </w:t>
      </w:r>
      <w:r>
        <w:rPr>
          <w:b/>
          <w:i/>
          <w:sz w:val="24"/>
        </w:rPr>
        <w:t>curcas</w:t>
      </w:r>
      <w:r>
        <w:rPr>
          <w:b/>
          <w:i/>
          <w:spacing w:val="-2"/>
          <w:sz w:val="24"/>
        </w:rPr>
        <w:t> </w:t>
      </w:r>
      <w:r>
        <w:rPr>
          <w:b/>
          <w:sz w:val="24"/>
        </w:rPr>
        <w:t>seed</w:t>
      </w:r>
      <w:r>
        <w:rPr>
          <w:b/>
          <w:spacing w:val="-2"/>
          <w:sz w:val="24"/>
        </w:rPr>
        <w:t> </w:t>
      </w:r>
      <w:r>
        <w:rPr>
          <w:b/>
          <w:spacing w:val="-5"/>
          <w:sz w:val="24"/>
        </w:rPr>
        <w:t>oil</w:t>
      </w:r>
    </w:p>
    <w:p>
      <w:pPr>
        <w:pStyle w:val="BodyText"/>
        <w:spacing w:line="480" w:lineRule="auto" w:before="271"/>
        <w:ind w:left="1028" w:right="797" w:firstLine="57"/>
        <w:jc w:val="both"/>
      </w:pPr>
      <w:r>
        <w:rPr>
          <w:i/>
        </w:rPr>
        <w:t>Jatropha curcas </w:t>
      </w:r>
      <w:r>
        <w:rPr/>
        <w:t>seeds have been reported to contain around 20-40% viscous oil (Augustus </w:t>
      </w:r>
      <w:r>
        <w:rPr>
          <w:i/>
        </w:rPr>
        <w:t>et al</w:t>
      </w:r>
      <w:r>
        <w:rPr/>
        <w:t>., 2002). Its oil fraction consists of both saturated (14.1% palmitic acid and 6.7% stearic acid) and unsaturated fatty</w:t>
      </w:r>
      <w:r>
        <w:rPr>
          <w:spacing w:val="-9"/>
        </w:rPr>
        <w:t> </w:t>
      </w:r>
      <w:r>
        <w:rPr/>
        <w:t>acids (47%</w:t>
      </w:r>
      <w:r>
        <w:rPr>
          <w:spacing w:val="-2"/>
        </w:rPr>
        <w:t> </w:t>
      </w:r>
      <w:r>
        <w:rPr/>
        <w:t>oleic acid and 31.6% of linoleic acid). Recently, it has been reported that the major fatty acids found in the oil samples were</w:t>
      </w:r>
      <w:r>
        <w:rPr>
          <w:spacing w:val="-3"/>
        </w:rPr>
        <w:t> </w:t>
      </w:r>
      <w:r>
        <w:rPr/>
        <w:t>oleic</w:t>
      </w:r>
      <w:r>
        <w:rPr>
          <w:spacing w:val="-3"/>
        </w:rPr>
        <w:t> </w:t>
      </w:r>
      <w:r>
        <w:rPr/>
        <w:t>(41.5-48.8%),</w:t>
      </w:r>
      <w:r>
        <w:rPr>
          <w:spacing w:val="-1"/>
        </w:rPr>
        <w:t> </w:t>
      </w:r>
      <w:r>
        <w:rPr/>
        <w:t>linoleic</w:t>
      </w:r>
      <w:r>
        <w:rPr>
          <w:spacing w:val="-3"/>
        </w:rPr>
        <w:t> </w:t>
      </w:r>
      <w:r>
        <w:rPr/>
        <w:t>(34.6-44.4%),</w:t>
      </w:r>
      <w:r>
        <w:rPr>
          <w:spacing w:val="-5"/>
        </w:rPr>
        <w:t> </w:t>
      </w:r>
      <w:r>
        <w:rPr/>
        <w:t>palmitic</w:t>
      </w:r>
      <w:r>
        <w:rPr>
          <w:spacing w:val="-3"/>
        </w:rPr>
        <w:t> </w:t>
      </w:r>
      <w:r>
        <w:rPr/>
        <w:t>(10.5-</w:t>
      </w:r>
      <w:r>
        <w:rPr>
          <w:spacing w:val="-1"/>
        </w:rPr>
        <w:t> </w:t>
      </w:r>
      <w:r>
        <w:rPr/>
        <w:t>13.0%),</w:t>
      </w:r>
      <w:r>
        <w:rPr>
          <w:spacing w:val="-5"/>
        </w:rPr>
        <w:t> </w:t>
      </w:r>
      <w:r>
        <w:rPr/>
        <w:t>and</w:t>
      </w:r>
      <w:r>
        <w:rPr>
          <w:spacing w:val="-2"/>
        </w:rPr>
        <w:t> </w:t>
      </w:r>
      <w:r>
        <w:rPr/>
        <w:t>stearic</w:t>
      </w:r>
      <w:r>
        <w:rPr>
          <w:spacing w:val="-3"/>
        </w:rPr>
        <w:t> </w:t>
      </w:r>
      <w:r>
        <w:rPr/>
        <w:t>(2.3- 2.8%) acids (Martinez-Herrera </w:t>
      </w:r>
      <w:r>
        <w:rPr>
          <w:i/>
        </w:rPr>
        <w:t>et al</w:t>
      </w:r>
      <w:r>
        <w:rPr/>
        <w:t>., 2006). The about 36% linoleic acid (C18:2) content in </w:t>
      </w:r>
      <w:r>
        <w:rPr>
          <w:i/>
        </w:rPr>
        <w:t>J. curcas </w:t>
      </w:r>
      <w:r>
        <w:rPr/>
        <w:t>seed oil is of possible interest for skin care aside its other reported uses (Kumar and Sharma, 2008).</w:t>
      </w:r>
    </w:p>
    <w:p>
      <w:pPr>
        <w:pStyle w:val="BodyText"/>
      </w:pPr>
    </w:p>
    <w:p>
      <w:pPr>
        <w:pStyle w:val="BodyText"/>
        <w:spacing w:before="7"/>
      </w:pPr>
    </w:p>
    <w:p>
      <w:pPr>
        <w:pStyle w:val="ListParagraph"/>
        <w:numPr>
          <w:ilvl w:val="1"/>
          <w:numId w:val="16"/>
        </w:numPr>
        <w:tabs>
          <w:tab w:pos="1747" w:val="left" w:leader="none"/>
        </w:tabs>
        <w:spacing w:line="240" w:lineRule="auto" w:before="0" w:after="0"/>
        <w:ind w:left="1747" w:right="0" w:hanging="719"/>
        <w:jc w:val="both"/>
        <w:rPr>
          <w:b/>
          <w:sz w:val="24"/>
        </w:rPr>
      </w:pPr>
      <w:r>
        <w:rPr>
          <w:b/>
          <w:sz w:val="24"/>
        </w:rPr>
        <w:t>Uses</w:t>
      </w:r>
      <w:r>
        <w:rPr>
          <w:b/>
          <w:spacing w:val="-2"/>
          <w:sz w:val="24"/>
        </w:rPr>
        <w:t> </w:t>
      </w:r>
      <w:r>
        <w:rPr>
          <w:b/>
          <w:sz w:val="24"/>
        </w:rPr>
        <w:t>of</w:t>
      </w:r>
      <w:r>
        <w:rPr>
          <w:b/>
          <w:spacing w:val="-3"/>
          <w:sz w:val="24"/>
        </w:rPr>
        <w:t> </w:t>
      </w:r>
      <w:r>
        <w:rPr>
          <w:b/>
          <w:i/>
          <w:sz w:val="24"/>
        </w:rPr>
        <w:t>Jatropha</w:t>
      </w:r>
      <w:r>
        <w:rPr>
          <w:b/>
          <w:i/>
          <w:spacing w:val="1"/>
          <w:sz w:val="24"/>
        </w:rPr>
        <w:t> </w:t>
      </w:r>
      <w:r>
        <w:rPr>
          <w:b/>
          <w:i/>
          <w:sz w:val="24"/>
        </w:rPr>
        <w:t>curcas</w:t>
      </w:r>
      <w:r>
        <w:rPr>
          <w:b/>
          <w:i/>
          <w:spacing w:val="-1"/>
          <w:sz w:val="24"/>
        </w:rPr>
        <w:t> </w:t>
      </w:r>
      <w:r>
        <w:rPr>
          <w:b/>
          <w:spacing w:val="-5"/>
          <w:sz w:val="24"/>
        </w:rPr>
        <w:t>Oil</w:t>
      </w:r>
    </w:p>
    <w:p>
      <w:pPr>
        <w:pStyle w:val="BodyText"/>
        <w:spacing w:line="480" w:lineRule="auto" w:before="272"/>
        <w:ind w:left="1028" w:right="801"/>
        <w:jc w:val="both"/>
      </w:pPr>
      <w:r>
        <w:rPr>
          <w:i/>
        </w:rPr>
        <w:t>Jatropha </w:t>
      </w:r>
      <w:r>
        <w:rPr/>
        <w:t>oil has been found useful for manufacture of candles and soap, in cosmetic industry and also for medicinal purposes (Gubitz </w:t>
      </w:r>
      <w:r>
        <w:rPr>
          <w:i/>
        </w:rPr>
        <w:t>et al</w:t>
      </w:r>
      <w:r>
        <w:rPr/>
        <w:t>., 1999; Akbar </w:t>
      </w:r>
      <w:r>
        <w:rPr>
          <w:i/>
        </w:rPr>
        <w:t>et al</w:t>
      </w:r>
      <w:r>
        <w:rPr/>
        <w:t>., 2009) as it has been applied to treat eczema and skin diseases and to sooth pain; such as rheumatic pain (Heller, 1996). The oil is also used externally for the treatment of sciatica, dropsy and paralysis (Mujumdar </w:t>
      </w:r>
      <w:r>
        <w:rPr>
          <w:i/>
        </w:rPr>
        <w:t>et al</w:t>
      </w:r>
      <w:r>
        <w:rPr/>
        <w:t>., 2000). It has very high saponification value and being extensively used for making soap in India and other countries. In India, </w:t>
      </w:r>
      <w:r>
        <w:rPr>
          <w:i/>
        </w:rPr>
        <w:t>J. curcas </w:t>
      </w:r>
      <w:r>
        <w:rPr/>
        <w:t>oil is being imported</w:t>
      </w:r>
      <w:r>
        <w:rPr>
          <w:spacing w:val="-7"/>
        </w:rPr>
        <w:t> </w:t>
      </w:r>
      <w:r>
        <w:rPr/>
        <w:t>to</w:t>
      </w:r>
      <w:r>
        <w:rPr>
          <w:spacing w:val="-2"/>
        </w:rPr>
        <w:t> </w:t>
      </w:r>
      <w:r>
        <w:rPr/>
        <w:t>meet the</w:t>
      </w:r>
      <w:r>
        <w:rPr>
          <w:spacing w:val="-3"/>
        </w:rPr>
        <w:t> </w:t>
      </w:r>
      <w:r>
        <w:rPr/>
        <w:t>demand</w:t>
      </w:r>
      <w:r>
        <w:rPr>
          <w:spacing w:val="-2"/>
        </w:rPr>
        <w:t> </w:t>
      </w:r>
      <w:r>
        <w:rPr/>
        <w:t>of</w:t>
      </w:r>
      <w:r>
        <w:rPr>
          <w:spacing w:val="-10"/>
        </w:rPr>
        <w:t> </w:t>
      </w:r>
      <w:r>
        <w:rPr/>
        <w:t>cosmetic industry. In</w:t>
      </w:r>
      <w:r>
        <w:rPr>
          <w:spacing w:val="-7"/>
        </w:rPr>
        <w:t> </w:t>
      </w:r>
      <w:r>
        <w:rPr/>
        <w:t>China, a</w:t>
      </w:r>
      <w:r>
        <w:rPr>
          <w:spacing w:val="-3"/>
        </w:rPr>
        <w:t> </w:t>
      </w:r>
      <w:r>
        <w:rPr/>
        <w:t>varnish</w:t>
      </w:r>
      <w:r>
        <w:rPr>
          <w:spacing w:val="-2"/>
        </w:rPr>
        <w:t> </w:t>
      </w:r>
      <w:r>
        <w:rPr/>
        <w:t>is</w:t>
      </w:r>
      <w:r>
        <w:rPr>
          <w:spacing w:val="-4"/>
        </w:rPr>
        <w:t> </w:t>
      </w:r>
      <w:r>
        <w:rPr/>
        <w:t>prepared by boiling the oil with iron oxide. In villages, it is used as an illuminant as it burns like candles as in case of castor oil. It is used for wool spinning in England (Gubitz </w:t>
      </w:r>
      <w:r>
        <w:rPr>
          <w:i/>
        </w:rPr>
        <w:t>et al.</w:t>
      </w:r>
      <w:r>
        <w:rPr/>
        <w:t>, 1999;</w:t>
      </w:r>
      <w:r>
        <w:rPr>
          <w:spacing w:val="-6"/>
        </w:rPr>
        <w:t> </w:t>
      </w:r>
      <w:r>
        <w:rPr/>
        <w:t>Mahanta </w:t>
      </w:r>
      <w:r>
        <w:rPr>
          <w:i/>
        </w:rPr>
        <w:t>et</w:t>
      </w:r>
      <w:r>
        <w:rPr>
          <w:i/>
          <w:spacing w:val="-1"/>
        </w:rPr>
        <w:t> </w:t>
      </w:r>
      <w:r>
        <w:rPr>
          <w:i/>
        </w:rPr>
        <w:t>al</w:t>
      </w:r>
      <w:r>
        <w:rPr/>
        <w:t>., 2008). The</w:t>
      </w:r>
      <w:r>
        <w:rPr>
          <w:spacing w:val="-2"/>
        </w:rPr>
        <w:t> </w:t>
      </w:r>
      <w:r>
        <w:rPr/>
        <w:t>oil</w:t>
      </w:r>
      <w:r>
        <w:rPr>
          <w:spacing w:val="-6"/>
        </w:rPr>
        <w:t> </w:t>
      </w:r>
      <w:r>
        <w:rPr/>
        <w:t>may</w:t>
      </w:r>
      <w:r>
        <w:rPr>
          <w:spacing w:val="-6"/>
        </w:rPr>
        <w:t> </w:t>
      </w:r>
      <w:r>
        <w:rPr/>
        <w:t>also be</w:t>
      </w:r>
      <w:r>
        <w:rPr>
          <w:spacing w:val="-2"/>
        </w:rPr>
        <w:t> </w:t>
      </w:r>
      <w:r>
        <w:rPr/>
        <w:t>converted</w:t>
      </w:r>
      <w:r>
        <w:rPr>
          <w:spacing w:val="-1"/>
        </w:rPr>
        <w:t> </w:t>
      </w:r>
      <w:r>
        <w:rPr/>
        <w:t>to</w:t>
      </w:r>
      <w:r>
        <w:rPr>
          <w:spacing w:val="-1"/>
        </w:rPr>
        <w:t> </w:t>
      </w:r>
      <w:r>
        <w:rPr/>
        <w:t>biodiesel</w:t>
      </w:r>
      <w:r>
        <w:rPr>
          <w:spacing w:val="-6"/>
        </w:rPr>
        <w:t> </w:t>
      </w:r>
      <w:r>
        <w:rPr/>
        <w:t>without</w:t>
      </w:r>
      <w:r>
        <w:rPr>
          <w:spacing w:val="-1"/>
        </w:rPr>
        <w:t> </w:t>
      </w:r>
      <w:r>
        <w:rPr/>
        <w:t>refining (Becker and Makkar, 2009).</w:t>
      </w:r>
    </w:p>
    <w:p>
      <w:pPr>
        <w:spacing w:after="0" w:line="480" w:lineRule="auto"/>
        <w:jc w:val="both"/>
        <w:sectPr>
          <w:pgSz w:w="11910" w:h="16840"/>
          <w:pgMar w:header="0" w:footer="1012" w:top="1340" w:bottom="1200" w:left="960" w:right="620"/>
        </w:sectPr>
      </w:pPr>
    </w:p>
    <w:p>
      <w:pPr>
        <w:pStyle w:val="ListParagraph"/>
        <w:numPr>
          <w:ilvl w:val="1"/>
          <w:numId w:val="16"/>
        </w:numPr>
        <w:tabs>
          <w:tab w:pos="1747" w:val="left" w:leader="none"/>
        </w:tabs>
        <w:spacing w:line="240" w:lineRule="auto" w:before="64" w:after="0"/>
        <w:ind w:left="1747" w:right="0" w:hanging="719"/>
        <w:jc w:val="both"/>
        <w:rPr>
          <w:b/>
          <w:sz w:val="24"/>
        </w:rPr>
      </w:pPr>
      <w:r>
        <w:rPr>
          <w:b/>
          <w:sz w:val="24"/>
        </w:rPr>
        <w:t>Methods</w:t>
      </w:r>
      <w:r>
        <w:rPr>
          <w:b/>
          <w:spacing w:val="-3"/>
          <w:sz w:val="24"/>
        </w:rPr>
        <w:t> </w:t>
      </w:r>
      <w:r>
        <w:rPr>
          <w:b/>
          <w:sz w:val="24"/>
        </w:rPr>
        <w:t>of</w:t>
      </w:r>
      <w:r>
        <w:rPr>
          <w:b/>
          <w:spacing w:val="-4"/>
          <w:sz w:val="24"/>
        </w:rPr>
        <w:t> </w:t>
      </w:r>
      <w:r>
        <w:rPr>
          <w:b/>
          <w:sz w:val="24"/>
        </w:rPr>
        <w:t>Extraction</w:t>
      </w:r>
      <w:r>
        <w:rPr>
          <w:b/>
          <w:spacing w:val="1"/>
          <w:sz w:val="24"/>
        </w:rPr>
        <w:t> </w:t>
      </w:r>
      <w:r>
        <w:rPr>
          <w:b/>
          <w:sz w:val="24"/>
        </w:rPr>
        <w:t>of </w:t>
      </w:r>
      <w:r>
        <w:rPr>
          <w:b/>
          <w:i/>
          <w:sz w:val="24"/>
        </w:rPr>
        <w:t>Jatropha</w:t>
      </w:r>
      <w:r>
        <w:rPr>
          <w:b/>
          <w:i/>
          <w:spacing w:val="-1"/>
          <w:sz w:val="24"/>
        </w:rPr>
        <w:t> </w:t>
      </w:r>
      <w:r>
        <w:rPr>
          <w:b/>
          <w:i/>
          <w:sz w:val="24"/>
        </w:rPr>
        <w:t>curcas</w:t>
      </w:r>
      <w:r>
        <w:rPr>
          <w:b/>
          <w:i/>
          <w:spacing w:val="-2"/>
          <w:sz w:val="24"/>
        </w:rPr>
        <w:t> </w:t>
      </w:r>
      <w:r>
        <w:rPr>
          <w:b/>
          <w:spacing w:val="-5"/>
          <w:sz w:val="24"/>
        </w:rPr>
        <w:t>Oil</w:t>
      </w:r>
    </w:p>
    <w:p>
      <w:pPr>
        <w:pStyle w:val="BodyText"/>
        <w:spacing w:line="480" w:lineRule="auto" w:before="271"/>
        <w:ind w:left="1028" w:right="799"/>
        <w:jc w:val="both"/>
      </w:pPr>
      <w:r>
        <w:rPr/>
        <w:t>The</w:t>
      </w:r>
      <w:r>
        <w:rPr>
          <w:spacing w:val="-1"/>
        </w:rPr>
        <w:t> </w:t>
      </w:r>
      <w:r>
        <w:rPr/>
        <w:t>conventional</w:t>
      </w:r>
      <w:r>
        <w:rPr>
          <w:spacing w:val="-5"/>
        </w:rPr>
        <w:t> </w:t>
      </w:r>
      <w:r>
        <w:rPr/>
        <w:t>methods</w:t>
      </w:r>
      <w:r>
        <w:rPr>
          <w:spacing w:val="-2"/>
        </w:rPr>
        <w:t> </w:t>
      </w:r>
      <w:r>
        <w:rPr/>
        <w:t>employed in</w:t>
      </w:r>
      <w:r>
        <w:rPr>
          <w:spacing w:val="-5"/>
        </w:rPr>
        <w:t> </w:t>
      </w:r>
      <w:r>
        <w:rPr/>
        <w:t>the</w:t>
      </w:r>
      <w:r>
        <w:rPr>
          <w:spacing w:val="-1"/>
        </w:rPr>
        <w:t> </w:t>
      </w:r>
      <w:r>
        <w:rPr/>
        <w:t>extraction</w:t>
      </w:r>
      <w:r>
        <w:rPr>
          <w:spacing w:val="-5"/>
        </w:rPr>
        <w:t> </w:t>
      </w:r>
      <w:r>
        <w:rPr/>
        <w:t>of</w:t>
      </w:r>
      <w:r>
        <w:rPr>
          <w:spacing w:val="-8"/>
        </w:rPr>
        <w:t> </w:t>
      </w:r>
      <w:r>
        <w:rPr/>
        <w:t>oil from </w:t>
      </w:r>
      <w:r>
        <w:rPr>
          <w:i/>
        </w:rPr>
        <w:t>Jatropha curcas</w:t>
      </w:r>
      <w:r>
        <w:rPr>
          <w:i/>
          <w:spacing w:val="-2"/>
        </w:rPr>
        <w:t> </w:t>
      </w:r>
      <w:r>
        <w:rPr/>
        <w:t>seeds include: solvent extraction, enzyme and mechanical extraction methods (Sharma </w:t>
      </w:r>
      <w:r>
        <w:rPr>
          <w:i/>
        </w:rPr>
        <w:t>et al</w:t>
      </w:r>
      <w:r>
        <w:rPr/>
        <w:t>., </w:t>
      </w:r>
      <w:r>
        <w:rPr>
          <w:spacing w:val="-2"/>
        </w:rPr>
        <w:t>2002).</w:t>
      </w:r>
    </w:p>
    <w:p>
      <w:pPr>
        <w:pStyle w:val="BodyText"/>
      </w:pPr>
    </w:p>
    <w:p>
      <w:pPr>
        <w:pStyle w:val="BodyText"/>
        <w:spacing w:before="6"/>
      </w:pPr>
    </w:p>
    <w:p>
      <w:pPr>
        <w:pStyle w:val="Heading2"/>
        <w:numPr>
          <w:ilvl w:val="2"/>
          <w:numId w:val="16"/>
        </w:numPr>
        <w:tabs>
          <w:tab w:pos="1810" w:val="left" w:leader="none"/>
        </w:tabs>
        <w:spacing w:line="240" w:lineRule="auto" w:before="0" w:after="0"/>
        <w:ind w:left="1810" w:right="0" w:hanging="782"/>
        <w:jc w:val="both"/>
      </w:pPr>
      <w:bookmarkStart w:name="_TOC_250021" w:id="35"/>
      <w:r>
        <w:rPr/>
        <w:t>Solvent</w:t>
      </w:r>
      <w:r>
        <w:rPr>
          <w:spacing w:val="-3"/>
        </w:rPr>
        <w:t> </w:t>
      </w:r>
      <w:bookmarkEnd w:id="35"/>
      <w:r>
        <w:rPr>
          <w:spacing w:val="-2"/>
        </w:rPr>
        <w:t>extraction</w:t>
      </w:r>
    </w:p>
    <w:p>
      <w:pPr>
        <w:pStyle w:val="BodyText"/>
        <w:spacing w:line="480" w:lineRule="auto" w:before="271"/>
        <w:ind w:left="1028" w:right="796"/>
        <w:jc w:val="both"/>
      </w:pPr>
      <w:r>
        <w:rPr/>
        <w:t>Solvent extraction is the most widely used technique, owing to their high efficiency in oil recovery (90 to 98%). It involves the use of solvents such as petroleum ether,</w:t>
      </w:r>
      <w:r>
        <w:rPr>
          <w:spacing w:val="40"/>
        </w:rPr>
        <w:t> </w:t>
      </w:r>
      <w:r>
        <w:rPr/>
        <w:t>hexane, liquid carbon dioxide and isopropanol for oil extraction from pulverized seed either by centrifugation, cold maceration or Soxhlet apparatus. But the major disadvantage in using Solvent extraction technique is its high energy input and toxicity of</w:t>
      </w:r>
      <w:r>
        <w:rPr>
          <w:spacing w:val="-9"/>
        </w:rPr>
        <w:t> </w:t>
      </w:r>
      <w:r>
        <w:rPr/>
        <w:t>solvent.</w:t>
      </w:r>
      <w:r>
        <w:rPr>
          <w:spacing w:val="-5"/>
        </w:rPr>
        <w:t> </w:t>
      </w:r>
      <w:r>
        <w:rPr/>
        <w:t>This</w:t>
      </w:r>
      <w:r>
        <w:rPr>
          <w:spacing w:val="-4"/>
        </w:rPr>
        <w:t> </w:t>
      </w:r>
      <w:r>
        <w:rPr/>
        <w:t>has lead</w:t>
      </w:r>
      <w:r>
        <w:rPr>
          <w:spacing w:val="-2"/>
        </w:rPr>
        <w:t> </w:t>
      </w:r>
      <w:r>
        <w:rPr/>
        <w:t>to</w:t>
      </w:r>
      <w:r>
        <w:rPr>
          <w:spacing w:val="-2"/>
        </w:rPr>
        <w:t> </w:t>
      </w:r>
      <w:r>
        <w:rPr/>
        <w:t>the</w:t>
      </w:r>
      <w:r>
        <w:rPr>
          <w:spacing w:val="-3"/>
        </w:rPr>
        <w:t> </w:t>
      </w:r>
      <w:r>
        <w:rPr/>
        <w:t>development of</w:t>
      </w:r>
      <w:r>
        <w:rPr>
          <w:spacing w:val="-9"/>
        </w:rPr>
        <w:t> </w:t>
      </w:r>
      <w:r>
        <w:rPr/>
        <w:t>enzyme-based</w:t>
      </w:r>
      <w:r>
        <w:rPr>
          <w:spacing w:val="-2"/>
        </w:rPr>
        <w:t> </w:t>
      </w:r>
      <w:r>
        <w:rPr/>
        <w:t>techniques</w:t>
      </w:r>
      <w:r>
        <w:rPr>
          <w:spacing w:val="-4"/>
        </w:rPr>
        <w:t> </w:t>
      </w:r>
      <w:r>
        <w:rPr/>
        <w:t>(Sharma </w:t>
      </w:r>
      <w:r>
        <w:rPr>
          <w:i/>
        </w:rPr>
        <w:t>et</w:t>
      </w:r>
      <w:r>
        <w:rPr>
          <w:i/>
          <w:spacing w:val="-2"/>
        </w:rPr>
        <w:t> </w:t>
      </w:r>
      <w:r>
        <w:rPr>
          <w:i/>
        </w:rPr>
        <w:t>al</w:t>
      </w:r>
      <w:r>
        <w:rPr/>
        <w:t>., </w:t>
      </w:r>
      <w:r>
        <w:rPr>
          <w:spacing w:val="-2"/>
        </w:rPr>
        <w:t>2002).</w:t>
      </w:r>
    </w:p>
    <w:p>
      <w:pPr>
        <w:pStyle w:val="BodyText"/>
      </w:pPr>
    </w:p>
    <w:p>
      <w:pPr>
        <w:pStyle w:val="BodyText"/>
        <w:spacing w:before="7"/>
      </w:pPr>
    </w:p>
    <w:p>
      <w:pPr>
        <w:pStyle w:val="Heading2"/>
        <w:numPr>
          <w:ilvl w:val="2"/>
          <w:numId w:val="16"/>
        </w:numPr>
        <w:tabs>
          <w:tab w:pos="1747" w:val="left" w:leader="none"/>
        </w:tabs>
        <w:spacing w:line="240" w:lineRule="auto" w:before="0" w:after="0"/>
        <w:ind w:left="1747" w:right="0" w:hanging="719"/>
        <w:jc w:val="both"/>
      </w:pPr>
      <w:bookmarkStart w:name="_TOC_250020" w:id="36"/>
      <w:r>
        <w:rPr/>
        <w:t>Aqueous</w:t>
      </w:r>
      <w:r>
        <w:rPr>
          <w:spacing w:val="-4"/>
        </w:rPr>
        <w:t> </w:t>
      </w:r>
      <w:r>
        <w:rPr/>
        <w:t>enzymatic</w:t>
      </w:r>
      <w:r>
        <w:rPr>
          <w:spacing w:val="-2"/>
        </w:rPr>
        <w:t> </w:t>
      </w:r>
      <w:r>
        <w:rPr/>
        <w:t>oil</w:t>
      </w:r>
      <w:r>
        <w:rPr>
          <w:spacing w:val="-5"/>
        </w:rPr>
        <w:t> </w:t>
      </w:r>
      <w:bookmarkEnd w:id="36"/>
      <w:r>
        <w:rPr>
          <w:spacing w:val="-2"/>
        </w:rPr>
        <w:t>extraction</w:t>
      </w:r>
    </w:p>
    <w:p>
      <w:pPr>
        <w:pStyle w:val="BodyText"/>
        <w:spacing w:line="480" w:lineRule="auto" w:before="271"/>
        <w:ind w:left="1028" w:right="797"/>
        <w:jc w:val="both"/>
      </w:pPr>
      <w:r>
        <w:rPr/>
        <w:t>This is</w:t>
      </w:r>
      <w:r>
        <w:rPr>
          <w:spacing w:val="-2"/>
        </w:rPr>
        <w:t> </w:t>
      </w:r>
      <w:r>
        <w:rPr/>
        <w:t>a promising technique for extraction</w:t>
      </w:r>
      <w:r>
        <w:rPr>
          <w:spacing w:val="-5"/>
        </w:rPr>
        <w:t> </w:t>
      </w:r>
      <w:r>
        <w:rPr/>
        <w:t>of</w:t>
      </w:r>
      <w:r>
        <w:rPr>
          <w:spacing w:val="-8"/>
        </w:rPr>
        <w:t> </w:t>
      </w:r>
      <w:r>
        <w:rPr/>
        <w:t>oil from </w:t>
      </w:r>
      <w:r>
        <w:rPr>
          <w:i/>
        </w:rPr>
        <w:t>Jatropha </w:t>
      </w:r>
      <w:r>
        <w:rPr/>
        <w:t>seeds. The</w:t>
      </w:r>
      <w:r>
        <w:rPr>
          <w:spacing w:val="-1"/>
        </w:rPr>
        <w:t> </w:t>
      </w:r>
      <w:r>
        <w:rPr/>
        <w:t>presence</w:t>
      </w:r>
      <w:r>
        <w:rPr>
          <w:spacing w:val="-1"/>
        </w:rPr>
        <w:t> </w:t>
      </w:r>
      <w:r>
        <w:rPr/>
        <w:t>of certain enzymes such as protease and cellulase during extraction enhances oil recovery by breaking cell walls and oil bodies (Rhee </w:t>
      </w:r>
      <w:r>
        <w:rPr>
          <w:i/>
        </w:rPr>
        <w:t>et al</w:t>
      </w:r>
      <w:r>
        <w:rPr/>
        <w:t>., 1972). Plant cell walls have complex structure; different enzymatic preparation is required to break up the cell wall. This process is eco-friendly and does not produce volatile organic compounds as</w:t>
      </w:r>
      <w:r>
        <w:rPr>
          <w:spacing w:val="80"/>
        </w:rPr>
        <w:t> </w:t>
      </w:r>
      <w:r>
        <w:rPr/>
        <w:t>atmospheric pollutants. The major disadvantage associated with the technique is the</w:t>
      </w:r>
      <w:r>
        <w:rPr>
          <w:spacing w:val="40"/>
        </w:rPr>
        <w:t> </w:t>
      </w:r>
      <w:r>
        <w:rPr/>
        <w:t>long process</w:t>
      </w:r>
      <w:r>
        <w:rPr>
          <w:spacing w:val="-2"/>
        </w:rPr>
        <w:t> </w:t>
      </w:r>
      <w:r>
        <w:rPr/>
        <w:t>and time necessary</w:t>
      </w:r>
      <w:r>
        <w:rPr>
          <w:spacing w:val="-5"/>
        </w:rPr>
        <w:t> </w:t>
      </w:r>
      <w:r>
        <w:rPr/>
        <w:t>for the</w:t>
      </w:r>
      <w:r>
        <w:rPr>
          <w:spacing w:val="-1"/>
        </w:rPr>
        <w:t> </w:t>
      </w:r>
      <w:r>
        <w:rPr/>
        <w:t>enzymes</w:t>
      </w:r>
      <w:r>
        <w:rPr>
          <w:spacing w:val="-2"/>
        </w:rPr>
        <w:t> </w:t>
      </w:r>
      <w:r>
        <w:rPr/>
        <w:t>to liberate</w:t>
      </w:r>
      <w:r>
        <w:rPr>
          <w:spacing w:val="-1"/>
        </w:rPr>
        <w:t> </w:t>
      </w:r>
      <w:r>
        <w:rPr/>
        <w:t>oil bodies. Another factor is the use of enzymes which are not commercially available (Gupta </w:t>
      </w:r>
      <w:r>
        <w:rPr>
          <w:i/>
        </w:rPr>
        <w:t>et al</w:t>
      </w:r>
      <w:r>
        <w:rPr/>
        <w:t>., 2005).</w:t>
      </w:r>
    </w:p>
    <w:p>
      <w:pPr>
        <w:spacing w:after="0" w:line="480" w:lineRule="auto"/>
        <w:jc w:val="both"/>
        <w:sectPr>
          <w:pgSz w:w="11910" w:h="16840"/>
          <w:pgMar w:header="0" w:footer="1012" w:top="1340" w:bottom="1200" w:left="960" w:right="620"/>
        </w:sectPr>
      </w:pPr>
    </w:p>
    <w:p>
      <w:pPr>
        <w:pStyle w:val="Heading2"/>
        <w:numPr>
          <w:ilvl w:val="2"/>
          <w:numId w:val="16"/>
        </w:numPr>
        <w:tabs>
          <w:tab w:pos="1747" w:val="left" w:leader="none"/>
        </w:tabs>
        <w:spacing w:line="240" w:lineRule="auto" w:before="64" w:after="0"/>
        <w:ind w:left="1747" w:right="0" w:hanging="719"/>
        <w:jc w:val="both"/>
      </w:pPr>
      <w:bookmarkStart w:name="_TOC_250019" w:id="37"/>
      <w:r>
        <w:rPr/>
        <w:t>Mechanical</w:t>
      </w:r>
      <w:bookmarkEnd w:id="37"/>
      <w:r>
        <w:rPr>
          <w:spacing w:val="-2"/>
        </w:rPr>
        <w:t> extraction</w:t>
      </w:r>
    </w:p>
    <w:p>
      <w:pPr>
        <w:pStyle w:val="BodyText"/>
        <w:spacing w:line="480" w:lineRule="auto" w:before="271"/>
        <w:ind w:left="1028" w:right="802"/>
        <w:jc w:val="both"/>
      </w:pPr>
      <w:r>
        <w:rPr/>
        <w:t>Mechanical method involves the application of pressure to already pre-treated oil- bearing products. It employs the use of devices like screw and hydraulic presses as a means of</w:t>
      </w:r>
      <w:r>
        <w:rPr>
          <w:spacing w:val="-3"/>
        </w:rPr>
        <w:t> </w:t>
      </w:r>
      <w:r>
        <w:rPr/>
        <w:t>applying the pressure (Gunstone and Norris, 1983). Other mechanical devices include oil expellers and improved ghanis which are used for seeds and nuts because of the high pressure required to express the oil (UNIFEM, 1993). Whichever method is employed, researchers (Norris, 1964; Ward, 1976; Khan and Hanna, 1983; Adekola, 1991) reported that the yields and quality of the oil extracted depend on the content adjustment, heating time, pressure application, operating temperature and so forth.</w:t>
      </w:r>
    </w:p>
    <w:p>
      <w:pPr>
        <w:pStyle w:val="BodyText"/>
      </w:pPr>
    </w:p>
    <w:p>
      <w:pPr>
        <w:pStyle w:val="BodyText"/>
        <w:spacing w:before="7"/>
      </w:pPr>
    </w:p>
    <w:p>
      <w:pPr>
        <w:pStyle w:val="ListParagraph"/>
        <w:numPr>
          <w:ilvl w:val="1"/>
          <w:numId w:val="16"/>
        </w:numPr>
        <w:tabs>
          <w:tab w:pos="1747" w:val="left" w:leader="none"/>
        </w:tabs>
        <w:spacing w:line="240" w:lineRule="auto" w:before="0" w:after="0"/>
        <w:ind w:left="1747" w:right="0" w:hanging="719"/>
        <w:jc w:val="both"/>
        <w:rPr>
          <w:b/>
          <w:sz w:val="24"/>
        </w:rPr>
      </w:pPr>
      <w:r>
        <w:rPr>
          <w:b/>
          <w:sz w:val="24"/>
        </w:rPr>
        <w:t>Toxic</w:t>
      </w:r>
      <w:r>
        <w:rPr>
          <w:b/>
          <w:spacing w:val="-4"/>
          <w:sz w:val="24"/>
        </w:rPr>
        <w:t> </w:t>
      </w:r>
      <w:r>
        <w:rPr>
          <w:b/>
          <w:sz w:val="24"/>
        </w:rPr>
        <w:t>Components</w:t>
      </w:r>
      <w:r>
        <w:rPr>
          <w:b/>
          <w:spacing w:val="-3"/>
          <w:sz w:val="24"/>
        </w:rPr>
        <w:t> </w:t>
      </w:r>
      <w:r>
        <w:rPr>
          <w:b/>
          <w:sz w:val="24"/>
        </w:rPr>
        <w:t>in</w:t>
      </w:r>
      <w:r>
        <w:rPr>
          <w:b/>
          <w:spacing w:val="3"/>
          <w:sz w:val="24"/>
        </w:rPr>
        <w:t> </w:t>
      </w:r>
      <w:r>
        <w:rPr>
          <w:b/>
          <w:i/>
          <w:sz w:val="24"/>
        </w:rPr>
        <w:t>Jatropha curcas</w:t>
      </w:r>
      <w:r>
        <w:rPr>
          <w:b/>
          <w:i/>
          <w:spacing w:val="-3"/>
          <w:sz w:val="24"/>
        </w:rPr>
        <w:t> </w:t>
      </w:r>
      <w:r>
        <w:rPr>
          <w:b/>
          <w:sz w:val="24"/>
        </w:rPr>
        <w:t>Seed </w:t>
      </w:r>
      <w:r>
        <w:rPr>
          <w:b/>
          <w:spacing w:val="-5"/>
          <w:sz w:val="24"/>
        </w:rPr>
        <w:t>Oil</w:t>
      </w:r>
    </w:p>
    <w:p>
      <w:pPr>
        <w:pStyle w:val="BodyText"/>
        <w:spacing w:line="480" w:lineRule="auto" w:before="272"/>
        <w:ind w:left="1028" w:right="805" w:firstLine="57"/>
        <w:jc w:val="both"/>
      </w:pPr>
      <w:r>
        <w:rPr/>
        <w:t>Due to their toxicity, </w:t>
      </w:r>
      <w:r>
        <w:rPr>
          <w:i/>
        </w:rPr>
        <w:t>J</w:t>
      </w:r>
      <w:r>
        <w:rPr/>
        <w:t>. </w:t>
      </w:r>
      <w:r>
        <w:rPr>
          <w:i/>
        </w:rPr>
        <w:t>curcas </w:t>
      </w:r>
      <w:r>
        <w:rPr/>
        <w:t>seed and oil are not edible however; the oil is traditionally</w:t>
      </w:r>
      <w:r>
        <w:rPr>
          <w:spacing w:val="-3"/>
        </w:rPr>
        <w:t> </w:t>
      </w:r>
      <w:r>
        <w:rPr/>
        <w:t>used for manufacturing soap</w:t>
      </w:r>
      <w:r>
        <w:rPr>
          <w:spacing w:val="-3"/>
        </w:rPr>
        <w:t> </w:t>
      </w:r>
      <w:r>
        <w:rPr/>
        <w:t>and medicinal</w:t>
      </w:r>
      <w:r>
        <w:rPr>
          <w:spacing w:val="-3"/>
        </w:rPr>
        <w:t> </w:t>
      </w:r>
      <w:r>
        <w:rPr/>
        <w:t>applications</w:t>
      </w:r>
      <w:r>
        <w:rPr>
          <w:spacing w:val="-5"/>
        </w:rPr>
        <w:t> </w:t>
      </w:r>
      <w:r>
        <w:rPr/>
        <w:t>(Jongschaap </w:t>
      </w:r>
      <w:r>
        <w:rPr>
          <w:i/>
        </w:rPr>
        <w:t>et</w:t>
      </w:r>
      <w:r>
        <w:rPr>
          <w:i/>
          <w:spacing w:val="-3"/>
        </w:rPr>
        <w:t> </w:t>
      </w:r>
      <w:r>
        <w:rPr>
          <w:i/>
        </w:rPr>
        <w:t>al., </w:t>
      </w:r>
      <w:r>
        <w:rPr/>
        <w:t>2007). The toxic components present in the seeds of </w:t>
      </w:r>
      <w:r>
        <w:rPr>
          <w:i/>
        </w:rPr>
        <w:t>J</w:t>
      </w:r>
      <w:r>
        <w:rPr/>
        <w:t>. </w:t>
      </w:r>
      <w:r>
        <w:rPr>
          <w:i/>
        </w:rPr>
        <w:t>curcas </w:t>
      </w:r>
      <w:r>
        <w:rPr/>
        <w:t>are: phorbol esters (diterpenes), tannins, phytates, saponins, curcin, trypsin inhibitors and lectins. It is therefore noteworthy that only two of these toxic components in the seed have been reported in the oil; phorbol ester and curcin (King </w:t>
      </w:r>
      <w:r>
        <w:rPr>
          <w:i/>
        </w:rPr>
        <w:t>et al</w:t>
      </w:r>
      <w:r>
        <w:rPr/>
        <w:t>, 2009).</w:t>
      </w:r>
    </w:p>
    <w:p>
      <w:pPr>
        <w:pStyle w:val="BodyText"/>
      </w:pPr>
    </w:p>
    <w:p>
      <w:pPr>
        <w:pStyle w:val="BodyText"/>
        <w:spacing w:before="6"/>
      </w:pPr>
    </w:p>
    <w:p>
      <w:pPr>
        <w:pStyle w:val="ListParagraph"/>
        <w:numPr>
          <w:ilvl w:val="2"/>
          <w:numId w:val="16"/>
        </w:numPr>
        <w:tabs>
          <w:tab w:pos="1747" w:val="left" w:leader="none"/>
        </w:tabs>
        <w:spacing w:line="240" w:lineRule="auto" w:before="0" w:after="0"/>
        <w:ind w:left="1747" w:right="0" w:hanging="719"/>
        <w:jc w:val="both"/>
        <w:rPr>
          <w:b/>
          <w:sz w:val="24"/>
        </w:rPr>
      </w:pPr>
      <w:r>
        <w:rPr>
          <w:b/>
          <w:sz w:val="24"/>
        </w:rPr>
        <w:t>Phorbol</w:t>
      </w:r>
      <w:r>
        <w:rPr>
          <w:b/>
          <w:spacing w:val="-9"/>
          <w:sz w:val="24"/>
        </w:rPr>
        <w:t> </w:t>
      </w:r>
      <w:r>
        <w:rPr>
          <w:b/>
          <w:sz w:val="24"/>
        </w:rPr>
        <w:t>esters</w:t>
      </w:r>
      <w:r>
        <w:rPr>
          <w:b/>
          <w:spacing w:val="-1"/>
          <w:sz w:val="24"/>
        </w:rPr>
        <w:t> </w:t>
      </w:r>
      <w:r>
        <w:rPr>
          <w:b/>
          <w:sz w:val="24"/>
        </w:rPr>
        <w:t>in </w:t>
      </w:r>
      <w:r>
        <w:rPr>
          <w:b/>
          <w:i/>
          <w:sz w:val="24"/>
        </w:rPr>
        <w:t>Jatropha</w:t>
      </w:r>
      <w:r>
        <w:rPr>
          <w:b/>
          <w:i/>
          <w:spacing w:val="-1"/>
          <w:sz w:val="24"/>
        </w:rPr>
        <w:t> </w:t>
      </w:r>
      <w:r>
        <w:rPr>
          <w:b/>
          <w:i/>
          <w:sz w:val="24"/>
        </w:rPr>
        <w:t>cursas</w:t>
      </w:r>
      <w:r>
        <w:rPr>
          <w:b/>
          <w:i/>
          <w:spacing w:val="-3"/>
          <w:sz w:val="24"/>
        </w:rPr>
        <w:t> </w:t>
      </w:r>
      <w:r>
        <w:rPr>
          <w:b/>
          <w:sz w:val="24"/>
        </w:rPr>
        <w:t>seed</w:t>
      </w:r>
      <w:r>
        <w:rPr>
          <w:b/>
          <w:spacing w:val="-1"/>
          <w:sz w:val="24"/>
        </w:rPr>
        <w:t> </w:t>
      </w:r>
      <w:r>
        <w:rPr>
          <w:b/>
          <w:spacing w:val="-5"/>
          <w:sz w:val="24"/>
        </w:rPr>
        <w:t>oil</w:t>
      </w:r>
    </w:p>
    <w:p>
      <w:pPr>
        <w:pStyle w:val="BodyText"/>
        <w:spacing w:line="480" w:lineRule="auto" w:before="271"/>
        <w:ind w:left="1028" w:right="804" w:firstLine="57"/>
        <w:jc w:val="both"/>
      </w:pPr>
      <w:r>
        <w:rPr/>
        <w:t>Phorbol esters present in </w:t>
      </w:r>
      <w:r>
        <w:rPr>
          <w:i/>
        </w:rPr>
        <w:t>Jatropha </w:t>
      </w:r>
      <w:r>
        <w:rPr/>
        <w:t>seed have been identified as the main toxic agent responsible for </w:t>
      </w:r>
      <w:r>
        <w:rPr>
          <w:i/>
        </w:rPr>
        <w:t>Jatropha </w:t>
      </w:r>
      <w:r>
        <w:rPr/>
        <w:t>toxicity (Adolf </w:t>
      </w:r>
      <w:r>
        <w:rPr>
          <w:i/>
        </w:rPr>
        <w:t>et al</w:t>
      </w:r>
      <w:r>
        <w:rPr/>
        <w:t>., 1984; Makkar </w:t>
      </w:r>
      <w:r>
        <w:rPr>
          <w:i/>
        </w:rPr>
        <w:t>et al</w:t>
      </w:r>
      <w:r>
        <w:rPr/>
        <w:t>., 1997). The concentration of phorbol esters varies from 2 to 3 mg</w:t>
      </w:r>
      <w:r>
        <w:rPr>
          <w:i/>
        </w:rPr>
        <w:t>/</w:t>
      </w:r>
      <w:r>
        <w:rPr/>
        <w:t>g kernel meal and from 2 to 4 mg</w:t>
      </w:r>
      <w:r>
        <w:rPr>
          <w:i/>
        </w:rPr>
        <w:t>/</w:t>
      </w:r>
      <w:r>
        <w:rPr/>
        <w:t>g oil in different provenances of </w:t>
      </w:r>
      <w:r>
        <w:rPr>
          <w:i/>
        </w:rPr>
        <w:t>J. curcas </w:t>
      </w:r>
      <w:r>
        <w:rPr/>
        <w:t>(Makkar </w:t>
      </w:r>
      <w:r>
        <w:rPr>
          <w:i/>
        </w:rPr>
        <w:t>et al</w:t>
      </w:r>
      <w:r>
        <w:rPr/>
        <w:t>., 1997; Devappa </w:t>
      </w:r>
      <w:r>
        <w:rPr>
          <w:i/>
        </w:rPr>
        <w:t>et al</w:t>
      </w:r>
      <w:r>
        <w:rPr/>
        <w:t>., </w:t>
      </w:r>
      <w:r>
        <w:rPr>
          <w:spacing w:val="-2"/>
        </w:rPr>
        <w:t>2010).</w:t>
      </w:r>
    </w:p>
    <w:p>
      <w:pPr>
        <w:spacing w:after="0" w:line="480" w:lineRule="auto"/>
        <w:jc w:val="both"/>
        <w:sectPr>
          <w:pgSz w:w="11910" w:h="16840"/>
          <w:pgMar w:header="0" w:footer="1012" w:top="1340" w:bottom="1200" w:left="960" w:right="620"/>
        </w:sectPr>
      </w:pPr>
    </w:p>
    <w:p>
      <w:pPr>
        <w:pStyle w:val="ListParagraph"/>
        <w:numPr>
          <w:ilvl w:val="2"/>
          <w:numId w:val="16"/>
        </w:numPr>
        <w:tabs>
          <w:tab w:pos="1747" w:val="left" w:leader="none"/>
        </w:tabs>
        <w:spacing w:line="240" w:lineRule="auto" w:before="64" w:after="0"/>
        <w:ind w:left="1747" w:right="0" w:hanging="719"/>
        <w:jc w:val="both"/>
        <w:rPr>
          <w:b/>
          <w:sz w:val="24"/>
        </w:rPr>
      </w:pPr>
      <w:r>
        <w:rPr>
          <w:b/>
          <w:sz w:val="24"/>
        </w:rPr>
        <w:t>Curcin</w:t>
      </w:r>
      <w:r>
        <w:rPr>
          <w:b/>
          <w:spacing w:val="-3"/>
          <w:sz w:val="24"/>
        </w:rPr>
        <w:t> </w:t>
      </w:r>
      <w:r>
        <w:rPr>
          <w:b/>
          <w:sz w:val="24"/>
        </w:rPr>
        <w:t>in</w:t>
      </w:r>
      <w:r>
        <w:rPr>
          <w:b/>
          <w:spacing w:val="-1"/>
          <w:sz w:val="24"/>
        </w:rPr>
        <w:t> </w:t>
      </w:r>
      <w:r>
        <w:rPr>
          <w:b/>
          <w:i/>
          <w:sz w:val="24"/>
        </w:rPr>
        <w:t>Jatropha</w:t>
      </w:r>
      <w:r>
        <w:rPr>
          <w:b/>
          <w:i/>
          <w:spacing w:val="-1"/>
          <w:sz w:val="24"/>
        </w:rPr>
        <w:t> </w:t>
      </w:r>
      <w:r>
        <w:rPr>
          <w:b/>
          <w:i/>
          <w:sz w:val="24"/>
        </w:rPr>
        <w:t>cursas</w:t>
      </w:r>
      <w:r>
        <w:rPr>
          <w:b/>
          <w:i/>
          <w:spacing w:val="-4"/>
          <w:sz w:val="24"/>
        </w:rPr>
        <w:t> </w:t>
      </w:r>
      <w:r>
        <w:rPr>
          <w:b/>
          <w:sz w:val="24"/>
        </w:rPr>
        <w:t>seed</w:t>
      </w:r>
      <w:r>
        <w:rPr>
          <w:b/>
          <w:spacing w:val="-2"/>
          <w:sz w:val="24"/>
        </w:rPr>
        <w:t> </w:t>
      </w:r>
      <w:r>
        <w:rPr>
          <w:b/>
          <w:spacing w:val="-5"/>
          <w:sz w:val="24"/>
        </w:rPr>
        <w:t>oil</w:t>
      </w:r>
    </w:p>
    <w:p>
      <w:pPr>
        <w:pStyle w:val="BodyText"/>
        <w:spacing w:line="480" w:lineRule="auto" w:before="271"/>
        <w:ind w:left="1028" w:right="805"/>
        <w:jc w:val="both"/>
      </w:pPr>
      <w:r>
        <w:rPr/>
        <w:t>Curcin is a toxalbumin belonging to a group of proteins called ribosome-inactivating proteins (RIP), which inhibit prokaryotic and eukaryotic ribosome by specific modification of the larger rRNA. It is heat labile, and can be positively identified by precipitation reactions with sera containing known antibodies (Kingsbury, 1964).</w:t>
      </w:r>
      <w:r>
        <w:rPr>
          <w:spacing w:val="40"/>
        </w:rPr>
        <w:t> </w:t>
      </w:r>
      <w:r>
        <w:rPr/>
        <w:t>Curcin is said to be highly irritant and is contained in </w:t>
      </w:r>
      <w:r>
        <w:rPr>
          <w:i/>
        </w:rPr>
        <w:t>J. curcas </w:t>
      </w:r>
      <w:r>
        <w:rPr/>
        <w:t>oil.</w:t>
      </w:r>
    </w:p>
    <w:p>
      <w:pPr>
        <w:pStyle w:val="BodyText"/>
      </w:pPr>
    </w:p>
    <w:p>
      <w:pPr>
        <w:pStyle w:val="BodyText"/>
        <w:spacing w:before="6"/>
      </w:pPr>
    </w:p>
    <w:p>
      <w:pPr>
        <w:pStyle w:val="ListParagraph"/>
        <w:numPr>
          <w:ilvl w:val="1"/>
          <w:numId w:val="16"/>
        </w:numPr>
        <w:tabs>
          <w:tab w:pos="1747" w:val="left" w:leader="none"/>
        </w:tabs>
        <w:spacing w:line="240" w:lineRule="auto" w:before="0" w:after="0"/>
        <w:ind w:left="1747" w:right="0" w:hanging="719"/>
        <w:jc w:val="both"/>
        <w:rPr>
          <w:b/>
          <w:sz w:val="24"/>
        </w:rPr>
      </w:pPr>
      <w:r>
        <w:rPr>
          <w:b/>
          <w:sz w:val="24"/>
        </w:rPr>
        <w:t>Methods</w:t>
      </w:r>
      <w:r>
        <w:rPr>
          <w:b/>
          <w:spacing w:val="-5"/>
          <w:sz w:val="24"/>
        </w:rPr>
        <w:t> </w:t>
      </w:r>
      <w:r>
        <w:rPr>
          <w:b/>
          <w:sz w:val="24"/>
        </w:rPr>
        <w:t>of</w:t>
      </w:r>
      <w:r>
        <w:rPr>
          <w:b/>
          <w:spacing w:val="-3"/>
          <w:sz w:val="24"/>
        </w:rPr>
        <w:t> </w:t>
      </w:r>
      <w:r>
        <w:rPr>
          <w:b/>
          <w:sz w:val="24"/>
        </w:rPr>
        <w:t>Detoxification</w:t>
      </w:r>
      <w:r>
        <w:rPr>
          <w:b/>
          <w:spacing w:val="1"/>
          <w:sz w:val="24"/>
        </w:rPr>
        <w:t> </w:t>
      </w:r>
      <w:r>
        <w:rPr>
          <w:b/>
          <w:sz w:val="24"/>
        </w:rPr>
        <w:t>of</w:t>
      </w:r>
      <w:r>
        <w:rPr>
          <w:b/>
          <w:spacing w:val="1"/>
          <w:sz w:val="24"/>
        </w:rPr>
        <w:t> </w:t>
      </w:r>
      <w:r>
        <w:rPr>
          <w:b/>
          <w:i/>
          <w:sz w:val="24"/>
        </w:rPr>
        <w:t>Jatropha</w:t>
      </w:r>
      <w:r>
        <w:rPr>
          <w:b/>
          <w:i/>
          <w:spacing w:val="1"/>
          <w:sz w:val="24"/>
        </w:rPr>
        <w:t> </w:t>
      </w:r>
      <w:r>
        <w:rPr>
          <w:b/>
          <w:i/>
          <w:sz w:val="24"/>
        </w:rPr>
        <w:t>curcas</w:t>
      </w:r>
      <w:r>
        <w:rPr>
          <w:b/>
          <w:i/>
          <w:spacing w:val="-2"/>
          <w:sz w:val="24"/>
        </w:rPr>
        <w:t> </w:t>
      </w:r>
      <w:r>
        <w:rPr>
          <w:b/>
          <w:spacing w:val="-5"/>
          <w:sz w:val="24"/>
        </w:rPr>
        <w:t>Oil</w:t>
      </w:r>
    </w:p>
    <w:p>
      <w:pPr>
        <w:pStyle w:val="BodyText"/>
        <w:spacing w:line="480" w:lineRule="auto" w:before="272"/>
        <w:ind w:left="1028" w:right="806"/>
        <w:jc w:val="both"/>
      </w:pPr>
      <w:r>
        <w:rPr/>
        <w:t>Various methods aimed at totally destroying or reducing antinutrients in the treatment</w:t>
      </w:r>
      <w:r>
        <w:rPr>
          <w:spacing w:val="40"/>
        </w:rPr>
        <w:t> </w:t>
      </w:r>
      <w:r>
        <w:rPr/>
        <w:t>of </w:t>
      </w:r>
      <w:r>
        <w:rPr>
          <w:i/>
        </w:rPr>
        <w:t>J. curcas </w:t>
      </w:r>
      <w:r>
        <w:rPr/>
        <w:t>oil have been employed namely: physical and conventional edible oil refining methods.</w:t>
      </w:r>
    </w:p>
    <w:p>
      <w:pPr>
        <w:pStyle w:val="BodyText"/>
      </w:pPr>
    </w:p>
    <w:p>
      <w:pPr>
        <w:pStyle w:val="BodyText"/>
        <w:spacing w:before="5"/>
      </w:pPr>
    </w:p>
    <w:p>
      <w:pPr>
        <w:pStyle w:val="Heading2"/>
        <w:numPr>
          <w:ilvl w:val="2"/>
          <w:numId w:val="16"/>
        </w:numPr>
        <w:tabs>
          <w:tab w:pos="1747" w:val="left" w:leader="none"/>
        </w:tabs>
        <w:spacing w:line="240" w:lineRule="auto" w:before="1" w:after="0"/>
        <w:ind w:left="1747" w:right="0" w:hanging="719"/>
        <w:jc w:val="both"/>
      </w:pPr>
      <w:bookmarkStart w:name="_TOC_250018" w:id="38"/>
      <w:r>
        <w:rPr/>
        <w:t>Physical</w:t>
      </w:r>
      <w:r>
        <w:rPr>
          <w:spacing w:val="-5"/>
        </w:rPr>
        <w:t> </w:t>
      </w:r>
      <w:bookmarkEnd w:id="38"/>
      <w:r>
        <w:rPr>
          <w:spacing w:val="-2"/>
        </w:rPr>
        <w:t>method</w:t>
      </w:r>
    </w:p>
    <w:p>
      <w:pPr>
        <w:pStyle w:val="BodyText"/>
        <w:spacing w:line="480" w:lineRule="auto" w:before="271"/>
        <w:ind w:left="1028" w:right="803"/>
        <w:jc w:val="both"/>
      </w:pPr>
      <w:r>
        <w:rPr/>
        <w:t>This is a method</w:t>
      </w:r>
      <w:r>
        <w:rPr>
          <w:spacing w:val="-1"/>
        </w:rPr>
        <w:t> </w:t>
      </w:r>
      <w:r>
        <w:rPr/>
        <w:t>for detoxifying phorbol</w:t>
      </w:r>
      <w:r>
        <w:rPr>
          <w:spacing w:val="-9"/>
        </w:rPr>
        <w:t> </w:t>
      </w:r>
      <w:r>
        <w:rPr/>
        <w:t>esters in</w:t>
      </w:r>
      <w:r>
        <w:rPr>
          <w:spacing w:val="-1"/>
        </w:rPr>
        <w:t> </w:t>
      </w:r>
      <w:r>
        <w:rPr/>
        <w:t>plant products</w:t>
      </w:r>
      <w:r>
        <w:rPr>
          <w:spacing w:val="-7"/>
        </w:rPr>
        <w:t> </w:t>
      </w:r>
      <w:r>
        <w:rPr/>
        <w:t>or materials</w:t>
      </w:r>
      <w:r>
        <w:rPr>
          <w:spacing w:val="-3"/>
        </w:rPr>
        <w:t> </w:t>
      </w:r>
      <w:r>
        <w:rPr/>
        <w:t>containing phorbol ester which comprises treating the plant products or materials with short wavelength U.V. light irradiation sufficient to detoxify or degrade the phorbol esters in the plant products or material. </w:t>
      </w:r>
      <w:r>
        <w:rPr>
          <w:i/>
        </w:rPr>
        <w:t>J. curcas </w:t>
      </w:r>
      <w:r>
        <w:rPr/>
        <w:t>oil was exposed to about 6,000 W-sec/cm</w:t>
      </w:r>
      <w:r>
        <w:rPr>
          <w:vertAlign w:val="superscript"/>
        </w:rPr>
        <w:t>2</w:t>
      </w:r>
      <w:r>
        <w:rPr>
          <w:vertAlign w:val="baseline"/>
        </w:rPr>
        <w:t> to 7,500 W-sec/cm</w:t>
      </w:r>
      <w:r>
        <w:rPr>
          <w:vertAlign w:val="superscript"/>
        </w:rPr>
        <w:t>2</w:t>
      </w:r>
      <w:r>
        <w:rPr>
          <w:vertAlign w:val="baseline"/>
        </w:rPr>
        <w:t> irradiation level of U.V. light at 254 nm wavelength for 3 min after which the level of phorbol esters was found to have been reduced by about 98% of its level in the undetoxified oil (Hong </w:t>
      </w:r>
      <w:r>
        <w:rPr>
          <w:i/>
          <w:vertAlign w:val="baseline"/>
        </w:rPr>
        <w:t>et al</w:t>
      </w:r>
      <w:r>
        <w:rPr>
          <w:vertAlign w:val="baseline"/>
        </w:rPr>
        <w:t>., 2012).</w:t>
      </w:r>
    </w:p>
    <w:p>
      <w:pPr>
        <w:spacing w:after="0" w:line="480" w:lineRule="auto"/>
        <w:jc w:val="both"/>
        <w:sectPr>
          <w:pgSz w:w="11910" w:h="16840"/>
          <w:pgMar w:header="0" w:footer="1012" w:top="1340" w:bottom="1200" w:left="960" w:right="620"/>
        </w:sectPr>
      </w:pPr>
    </w:p>
    <w:p>
      <w:pPr>
        <w:pStyle w:val="Heading2"/>
        <w:numPr>
          <w:ilvl w:val="2"/>
          <w:numId w:val="16"/>
        </w:numPr>
        <w:tabs>
          <w:tab w:pos="1747" w:val="left" w:leader="none"/>
        </w:tabs>
        <w:spacing w:line="240" w:lineRule="auto" w:before="64" w:after="0"/>
        <w:ind w:left="1747" w:right="0" w:hanging="719"/>
        <w:jc w:val="both"/>
      </w:pPr>
      <w:bookmarkStart w:name="_TOC_250017" w:id="39"/>
      <w:r>
        <w:rPr/>
        <w:t>Conventional</w:t>
      </w:r>
      <w:r>
        <w:rPr>
          <w:spacing w:val="-5"/>
        </w:rPr>
        <w:t> </w:t>
      </w:r>
      <w:r>
        <w:rPr/>
        <w:t>edible</w:t>
      </w:r>
      <w:r>
        <w:rPr>
          <w:spacing w:val="-1"/>
        </w:rPr>
        <w:t> </w:t>
      </w:r>
      <w:r>
        <w:rPr/>
        <w:t>oil</w:t>
      </w:r>
      <w:r>
        <w:rPr>
          <w:spacing w:val="-4"/>
        </w:rPr>
        <w:t> </w:t>
      </w:r>
      <w:r>
        <w:rPr/>
        <w:t>refining</w:t>
      </w:r>
      <w:r>
        <w:rPr>
          <w:spacing w:val="1"/>
        </w:rPr>
        <w:t> </w:t>
      </w:r>
      <w:bookmarkEnd w:id="39"/>
      <w:r>
        <w:rPr>
          <w:spacing w:val="-2"/>
        </w:rPr>
        <w:t>methods</w:t>
      </w:r>
    </w:p>
    <w:p>
      <w:pPr>
        <w:pStyle w:val="BodyText"/>
        <w:spacing w:line="480" w:lineRule="auto" w:before="271"/>
        <w:ind w:left="1028" w:right="803"/>
        <w:jc w:val="both"/>
      </w:pPr>
      <w:r>
        <w:rPr/>
        <w:t>This comprises of four processes namely: degumming, deacidification, bleaching or decolourization and deodorization (Bokisch, 1993 and O‟Brian, 1998). It has been reported that the use</w:t>
      </w:r>
      <w:r>
        <w:rPr>
          <w:spacing w:val="-1"/>
        </w:rPr>
        <w:t> </w:t>
      </w:r>
      <w:r>
        <w:rPr/>
        <w:t>of</w:t>
      </w:r>
      <w:r>
        <w:rPr>
          <w:spacing w:val="-3"/>
        </w:rPr>
        <w:t> </w:t>
      </w:r>
      <w:r>
        <w:rPr/>
        <w:t>this method yielded about 50% reduction in the level</w:t>
      </w:r>
      <w:r>
        <w:rPr>
          <w:spacing w:val="-5"/>
        </w:rPr>
        <w:t> </w:t>
      </w:r>
      <w:r>
        <w:rPr/>
        <w:t>of</w:t>
      </w:r>
      <w:r>
        <w:rPr>
          <w:spacing w:val="-3"/>
        </w:rPr>
        <w:t> </w:t>
      </w:r>
      <w:r>
        <w:rPr/>
        <w:t>phorbol esters in </w:t>
      </w:r>
      <w:r>
        <w:rPr>
          <w:i/>
        </w:rPr>
        <w:t>J. curcas </w:t>
      </w:r>
      <w:r>
        <w:rPr/>
        <w:t>oil treated by this method in Austria (Haas and Mittelbach, 2000).</w:t>
      </w:r>
    </w:p>
    <w:p>
      <w:pPr>
        <w:pStyle w:val="BodyText"/>
      </w:pPr>
    </w:p>
    <w:p>
      <w:pPr>
        <w:pStyle w:val="BodyText"/>
        <w:spacing w:before="1"/>
      </w:pPr>
    </w:p>
    <w:p>
      <w:pPr>
        <w:pStyle w:val="ListParagraph"/>
        <w:numPr>
          <w:ilvl w:val="3"/>
          <w:numId w:val="16"/>
        </w:numPr>
        <w:tabs>
          <w:tab w:pos="2468" w:val="left" w:leader="none"/>
        </w:tabs>
        <w:spacing w:line="240" w:lineRule="auto" w:before="0" w:after="0"/>
        <w:ind w:left="2468" w:right="0" w:hanging="1440"/>
        <w:jc w:val="both"/>
        <w:rPr>
          <w:i/>
          <w:sz w:val="24"/>
        </w:rPr>
      </w:pPr>
      <w:r>
        <w:rPr>
          <w:i/>
          <w:spacing w:val="-2"/>
          <w:sz w:val="24"/>
        </w:rPr>
        <w:t>Degumming</w:t>
      </w:r>
    </w:p>
    <w:p>
      <w:pPr>
        <w:pStyle w:val="BodyText"/>
        <w:rPr>
          <w:i/>
        </w:rPr>
      </w:pPr>
    </w:p>
    <w:p>
      <w:pPr>
        <w:pStyle w:val="BodyText"/>
        <w:spacing w:line="480" w:lineRule="auto" w:before="1"/>
        <w:ind w:left="1028" w:right="805"/>
        <w:jc w:val="both"/>
      </w:pPr>
      <w:r>
        <w:rPr/>
        <w:t>The degumming processes convert the phosphatides to hydrated gums, which are insoluble in oil and readily separated as sludge by settling, filtering, or centrifugal action. Hydratable phosphatides can be precipitated by adding water to the oil, nonhydratable ones must be destroyed by adding acids. This process was reported to have no reducing effect on the level of phorbol esters in </w:t>
      </w:r>
      <w:r>
        <w:rPr>
          <w:i/>
        </w:rPr>
        <w:t>J. curcas </w:t>
      </w:r>
      <w:r>
        <w:rPr/>
        <w:t>oil (Haas and Mittelbach, 2000; Ahmed and Salimon, 2009).</w:t>
      </w:r>
    </w:p>
    <w:p>
      <w:pPr>
        <w:pStyle w:val="BodyText"/>
      </w:pPr>
    </w:p>
    <w:p>
      <w:pPr>
        <w:pStyle w:val="BodyText"/>
        <w:spacing w:before="1"/>
      </w:pPr>
    </w:p>
    <w:p>
      <w:pPr>
        <w:pStyle w:val="ListParagraph"/>
        <w:numPr>
          <w:ilvl w:val="3"/>
          <w:numId w:val="16"/>
        </w:numPr>
        <w:tabs>
          <w:tab w:pos="2468" w:val="left" w:leader="none"/>
        </w:tabs>
        <w:spacing w:line="240" w:lineRule="auto" w:before="0" w:after="0"/>
        <w:ind w:left="2468" w:right="0" w:hanging="1440"/>
        <w:jc w:val="both"/>
        <w:rPr>
          <w:i/>
          <w:sz w:val="24"/>
        </w:rPr>
      </w:pPr>
      <w:r>
        <w:rPr>
          <w:i/>
          <w:spacing w:val="-2"/>
          <w:sz w:val="24"/>
        </w:rPr>
        <w:t>Deacidification</w:t>
      </w:r>
    </w:p>
    <w:p>
      <w:pPr>
        <w:pStyle w:val="BodyText"/>
        <w:rPr>
          <w:i/>
        </w:rPr>
      </w:pPr>
    </w:p>
    <w:p>
      <w:pPr>
        <w:pStyle w:val="BodyText"/>
        <w:spacing w:line="480" w:lineRule="auto"/>
        <w:ind w:left="1028" w:right="795"/>
        <w:jc w:val="both"/>
      </w:pPr>
      <w:r>
        <w:rPr/>
        <w:t>Free fatty acids (FFA) are removed by neutralization with alkali hydroxides leading to soaps which can be removed. The addition of an alkali solution to a crude oil brings about a number of chemical and physical reactions. The alkali combines with the FFA present to form soaps; the phosphatides and gums absorb alkali and are coagulated through hydration or degradation. This process of deacidification of oil has been reported to have brought about a reduction in the level of</w:t>
      </w:r>
      <w:r>
        <w:rPr>
          <w:spacing w:val="-3"/>
        </w:rPr>
        <w:t> </w:t>
      </w:r>
      <w:r>
        <w:rPr/>
        <w:t>phorbol esters in </w:t>
      </w:r>
      <w:r>
        <w:rPr>
          <w:i/>
        </w:rPr>
        <w:t>J. curcas </w:t>
      </w:r>
      <w:r>
        <w:rPr/>
        <w:t>oil (Haas and</w:t>
      </w:r>
      <w:r>
        <w:rPr>
          <w:spacing w:val="40"/>
        </w:rPr>
        <w:t> </w:t>
      </w:r>
      <w:r>
        <w:rPr/>
        <w:t>Mittelbach, 2000; Ahmed and Salimon, 2009 ).</w:t>
      </w:r>
    </w:p>
    <w:p>
      <w:pPr>
        <w:spacing w:after="0" w:line="480" w:lineRule="auto"/>
        <w:jc w:val="both"/>
        <w:sectPr>
          <w:pgSz w:w="11910" w:h="16840"/>
          <w:pgMar w:header="0" w:footer="1012" w:top="1340" w:bottom="1200" w:left="960" w:right="620"/>
        </w:sectPr>
      </w:pPr>
    </w:p>
    <w:p>
      <w:pPr>
        <w:pStyle w:val="ListParagraph"/>
        <w:numPr>
          <w:ilvl w:val="3"/>
          <w:numId w:val="16"/>
        </w:numPr>
        <w:tabs>
          <w:tab w:pos="2468" w:val="left" w:leader="none"/>
        </w:tabs>
        <w:spacing w:line="240" w:lineRule="auto" w:before="79" w:after="0"/>
        <w:ind w:left="2468" w:right="0" w:hanging="1440"/>
        <w:jc w:val="left"/>
        <w:rPr>
          <w:i/>
          <w:sz w:val="24"/>
        </w:rPr>
      </w:pPr>
      <w:r>
        <w:rPr>
          <w:i/>
          <w:spacing w:val="-2"/>
          <w:sz w:val="24"/>
        </w:rPr>
        <w:t>Bleaching</w:t>
      </w:r>
    </w:p>
    <w:p>
      <w:pPr>
        <w:pStyle w:val="BodyText"/>
        <w:rPr>
          <w:i/>
        </w:rPr>
      </w:pPr>
    </w:p>
    <w:p>
      <w:pPr>
        <w:pStyle w:val="BodyText"/>
        <w:spacing w:line="480" w:lineRule="auto"/>
        <w:ind w:left="1028" w:right="813"/>
        <w:jc w:val="both"/>
      </w:pPr>
      <w:r>
        <w:rPr/>
        <w:t>Undesirable coloured impurities are removed by bleaching with an adsorptive reagent; the undesirable compounds are adsorbed and can be removed together with the adsorbent by filtration (Haas and Mittelbach, 2000; Ahmed and Salimon, 2009).</w:t>
      </w:r>
    </w:p>
    <w:p>
      <w:pPr>
        <w:pStyle w:val="BodyText"/>
      </w:pPr>
    </w:p>
    <w:p>
      <w:pPr>
        <w:pStyle w:val="BodyText"/>
        <w:spacing w:before="1"/>
      </w:pPr>
    </w:p>
    <w:p>
      <w:pPr>
        <w:pStyle w:val="ListParagraph"/>
        <w:numPr>
          <w:ilvl w:val="3"/>
          <w:numId w:val="16"/>
        </w:numPr>
        <w:tabs>
          <w:tab w:pos="2468" w:val="left" w:leader="none"/>
        </w:tabs>
        <w:spacing w:line="240" w:lineRule="auto" w:before="0" w:after="0"/>
        <w:ind w:left="2468" w:right="0" w:hanging="1440"/>
        <w:jc w:val="left"/>
        <w:rPr>
          <w:i/>
          <w:sz w:val="24"/>
        </w:rPr>
      </w:pPr>
      <w:r>
        <w:rPr>
          <w:i/>
          <w:spacing w:val="-2"/>
          <w:sz w:val="24"/>
        </w:rPr>
        <w:t>Deodorization</w:t>
      </w:r>
    </w:p>
    <w:p>
      <w:pPr>
        <w:pStyle w:val="BodyText"/>
        <w:rPr>
          <w:i/>
        </w:rPr>
      </w:pPr>
    </w:p>
    <w:p>
      <w:pPr>
        <w:pStyle w:val="BodyText"/>
        <w:spacing w:line="480" w:lineRule="auto" w:before="1"/>
        <w:ind w:left="1028" w:right="799"/>
        <w:jc w:val="both"/>
      </w:pPr>
      <w:r>
        <w:rPr/>
        <w:t>Undesirable volatile and odoriferous materials are removed by steam distillation at reduced pressure and high temperature for about 2 h (Haas and Mittelbach, 2000; Ahmed and Salimon, 2009).</w:t>
      </w:r>
    </w:p>
    <w:p>
      <w:pPr>
        <w:spacing w:after="0" w:line="480" w:lineRule="auto"/>
        <w:jc w:val="both"/>
        <w:sectPr>
          <w:pgSz w:w="11910" w:h="16840"/>
          <w:pgMar w:header="0" w:footer="1012" w:top="1320" w:bottom="1200" w:left="960" w:right="620"/>
        </w:sectPr>
      </w:pPr>
    </w:p>
    <w:p>
      <w:pPr>
        <w:pStyle w:val="Heading1"/>
        <w:spacing w:line="480" w:lineRule="auto"/>
        <w:ind w:left="3616" w:right="2663" w:firstLine="624"/>
        <w:jc w:val="left"/>
      </w:pPr>
      <w:r>
        <w:rPr/>
        <w:t>CHAPTER THREE MATERIALS</w:t>
      </w:r>
      <w:r>
        <w:rPr>
          <w:spacing w:val="-15"/>
        </w:rPr>
        <w:t> </w:t>
      </w:r>
      <w:r>
        <w:rPr/>
        <w:t>AND</w:t>
      </w:r>
      <w:r>
        <w:rPr>
          <w:spacing w:val="-15"/>
        </w:rPr>
        <w:t> </w:t>
      </w:r>
      <w:r>
        <w:rPr/>
        <w:t>METHODS</w:t>
      </w:r>
    </w:p>
    <w:p>
      <w:pPr>
        <w:pStyle w:val="BodyText"/>
        <w:rPr>
          <w:b/>
        </w:rPr>
      </w:pPr>
    </w:p>
    <w:p>
      <w:pPr>
        <w:pStyle w:val="BodyText"/>
        <w:spacing w:before="1"/>
        <w:rPr>
          <w:b/>
        </w:rPr>
      </w:pPr>
    </w:p>
    <w:p>
      <w:pPr>
        <w:pStyle w:val="Heading2"/>
        <w:numPr>
          <w:ilvl w:val="1"/>
          <w:numId w:val="17"/>
        </w:numPr>
        <w:tabs>
          <w:tab w:pos="5143" w:val="left" w:leader="none"/>
        </w:tabs>
        <w:spacing w:line="240" w:lineRule="auto" w:before="0" w:after="0"/>
        <w:ind w:left="5143" w:right="0" w:hanging="720"/>
        <w:jc w:val="left"/>
      </w:pPr>
      <w:bookmarkStart w:name="_TOC_250016" w:id="40"/>
      <w:bookmarkEnd w:id="40"/>
      <w:r>
        <w:rPr>
          <w:spacing w:val="-2"/>
        </w:rPr>
        <w:t>Materials</w:t>
      </w:r>
    </w:p>
    <w:p>
      <w:pPr>
        <w:pStyle w:val="BodyText"/>
        <w:rPr>
          <w:b/>
        </w:rPr>
      </w:pPr>
    </w:p>
    <w:p>
      <w:pPr>
        <w:pStyle w:val="Heading2"/>
        <w:numPr>
          <w:ilvl w:val="2"/>
          <w:numId w:val="17"/>
        </w:numPr>
        <w:tabs>
          <w:tab w:pos="1747" w:val="left" w:leader="none"/>
        </w:tabs>
        <w:spacing w:line="240" w:lineRule="auto" w:before="0" w:after="0"/>
        <w:ind w:left="1747" w:right="0" w:hanging="719"/>
        <w:jc w:val="both"/>
      </w:pPr>
      <w:bookmarkStart w:name="_TOC_250015" w:id="41"/>
      <w:r>
        <w:rPr/>
        <w:t>Collection</w:t>
      </w:r>
      <w:r>
        <w:rPr>
          <w:spacing w:val="-1"/>
        </w:rPr>
        <w:t> </w:t>
      </w:r>
      <w:r>
        <w:rPr/>
        <w:t>of</w:t>
      </w:r>
      <w:r>
        <w:rPr>
          <w:spacing w:val="-5"/>
        </w:rPr>
        <w:t> </w:t>
      </w:r>
      <w:r>
        <w:rPr/>
        <w:t>plant </w:t>
      </w:r>
      <w:bookmarkEnd w:id="41"/>
      <w:r>
        <w:rPr>
          <w:spacing w:val="-2"/>
        </w:rPr>
        <w:t>materials</w:t>
      </w:r>
    </w:p>
    <w:p>
      <w:pPr>
        <w:pStyle w:val="BodyText"/>
        <w:spacing w:line="480" w:lineRule="auto" w:before="271"/>
        <w:ind w:left="1028" w:right="796"/>
        <w:jc w:val="both"/>
      </w:pPr>
      <w:r>
        <w:rPr>
          <w:i/>
        </w:rPr>
        <w:t>Jatropha curcas </w:t>
      </w:r>
      <w:r>
        <w:rPr/>
        <w:t>seeds were collected from the Institute for Agricultural Research</w:t>
      </w:r>
      <w:r>
        <w:rPr>
          <w:spacing w:val="40"/>
        </w:rPr>
        <w:t> </w:t>
      </w:r>
      <w:r>
        <w:rPr/>
        <w:t>(IAR), Ahmadu Bello University (A.B.U.), Zaria in September 2014 during the rainy season. The seeds were authenticated by Mr. Namadi Sanusi at the herbarium section, Department of Biological Sciences, A.B.U., Zaria and the voucher specimen number 22873 was obtained.</w:t>
      </w:r>
    </w:p>
    <w:p>
      <w:pPr>
        <w:pStyle w:val="BodyText"/>
      </w:pPr>
    </w:p>
    <w:p>
      <w:pPr>
        <w:pStyle w:val="BodyText"/>
        <w:spacing w:before="6"/>
      </w:pPr>
    </w:p>
    <w:p>
      <w:pPr>
        <w:pStyle w:val="Heading2"/>
        <w:numPr>
          <w:ilvl w:val="2"/>
          <w:numId w:val="17"/>
        </w:numPr>
        <w:tabs>
          <w:tab w:pos="1747" w:val="left" w:leader="none"/>
        </w:tabs>
        <w:spacing w:line="240" w:lineRule="auto" w:before="1" w:after="0"/>
        <w:ind w:left="1747" w:right="0" w:hanging="719"/>
        <w:jc w:val="both"/>
      </w:pPr>
      <w:bookmarkStart w:name="_TOC_250014" w:id="42"/>
      <w:r>
        <w:rPr/>
        <w:t>Experimental</w:t>
      </w:r>
      <w:r>
        <w:rPr>
          <w:spacing w:val="-5"/>
        </w:rPr>
        <w:t> </w:t>
      </w:r>
      <w:bookmarkEnd w:id="42"/>
      <w:r>
        <w:rPr>
          <w:spacing w:val="-2"/>
        </w:rPr>
        <w:t>animals</w:t>
      </w:r>
    </w:p>
    <w:p>
      <w:pPr>
        <w:pStyle w:val="BodyText"/>
        <w:spacing w:line="480" w:lineRule="auto" w:before="271"/>
        <w:ind w:left="1028" w:right="800"/>
        <w:jc w:val="both"/>
      </w:pPr>
      <w:r>
        <w:rPr/>
        <w:t>Three</w:t>
      </w:r>
      <w:r>
        <w:rPr>
          <w:spacing w:val="-1"/>
        </w:rPr>
        <w:t> </w:t>
      </w:r>
      <w:r>
        <w:rPr/>
        <w:t>day-old chicks</w:t>
      </w:r>
      <w:r>
        <w:rPr>
          <w:spacing w:val="-2"/>
        </w:rPr>
        <w:t> </w:t>
      </w:r>
      <w:r>
        <w:rPr/>
        <w:t>weighing 25-35 g (Ranger cockerels, also known</w:t>
      </w:r>
      <w:r>
        <w:rPr>
          <w:spacing w:val="-6"/>
        </w:rPr>
        <w:t> </w:t>
      </w:r>
      <w:r>
        <w:rPr/>
        <w:t>as</w:t>
      </w:r>
      <w:r>
        <w:rPr>
          <w:spacing w:val="-2"/>
        </w:rPr>
        <w:t> </w:t>
      </w:r>
      <w:r>
        <w:rPr/>
        <w:t>Shika</w:t>
      </w:r>
      <w:r>
        <w:rPr>
          <w:spacing w:val="-1"/>
        </w:rPr>
        <w:t> </w:t>
      </w:r>
      <w:r>
        <w:rPr/>
        <w:t>Brown) were obtained from National Animal Production Research Institute (NAPRI) A.B.U., Shika, Zaria. They were housed in a room at the animal house, Department of Pharmacology and Therapeutics, Ahmadu Bello University, Zaria. The chicks were placed on vital starter mash chick feed (Vital feeds, Jos, Nigeria) and water </w:t>
      </w:r>
      <w:r>
        <w:rPr>
          <w:i/>
        </w:rPr>
        <w:t>ad libitum </w:t>
      </w:r>
      <w:r>
        <w:rPr/>
        <w:t>for three days before the commencement of the experiment.</w:t>
      </w:r>
    </w:p>
    <w:p>
      <w:pPr>
        <w:pStyle w:val="BodyText"/>
      </w:pPr>
    </w:p>
    <w:p>
      <w:pPr>
        <w:pStyle w:val="BodyText"/>
        <w:spacing w:before="1"/>
      </w:pPr>
    </w:p>
    <w:p>
      <w:pPr>
        <w:pStyle w:val="BodyText"/>
        <w:spacing w:line="480" w:lineRule="auto"/>
        <w:ind w:left="1028" w:right="802"/>
        <w:jc w:val="both"/>
      </w:pPr>
      <w:r>
        <w:rPr/>
        <w:t>Male mice</w:t>
      </w:r>
      <w:r>
        <w:rPr>
          <w:spacing w:val="-2"/>
        </w:rPr>
        <w:t> </w:t>
      </w:r>
      <w:r>
        <w:rPr/>
        <w:t>weighing</w:t>
      </w:r>
      <w:r>
        <w:rPr>
          <w:spacing w:val="-1"/>
        </w:rPr>
        <w:t> </w:t>
      </w:r>
      <w:r>
        <w:rPr/>
        <w:t>approximately</w:t>
      </w:r>
      <w:r>
        <w:rPr>
          <w:spacing w:val="-6"/>
        </w:rPr>
        <w:t> </w:t>
      </w:r>
      <w:r>
        <w:rPr/>
        <w:t>20-30</w:t>
      </w:r>
      <w:r>
        <w:rPr>
          <w:spacing w:val="-1"/>
        </w:rPr>
        <w:t> </w:t>
      </w:r>
      <w:r>
        <w:rPr/>
        <w:t>g</w:t>
      </w:r>
      <w:r>
        <w:rPr>
          <w:spacing w:val="-1"/>
        </w:rPr>
        <w:t> </w:t>
      </w:r>
      <w:r>
        <w:rPr/>
        <w:t>and</w:t>
      </w:r>
      <w:r>
        <w:rPr>
          <w:spacing w:val="-1"/>
        </w:rPr>
        <w:t> </w:t>
      </w:r>
      <w:r>
        <w:rPr/>
        <w:t>rats</w:t>
      </w:r>
      <w:r>
        <w:rPr>
          <w:spacing w:val="-3"/>
        </w:rPr>
        <w:t> </w:t>
      </w:r>
      <w:r>
        <w:rPr/>
        <w:t>weighing approximately</w:t>
      </w:r>
      <w:r>
        <w:rPr>
          <w:spacing w:val="-6"/>
        </w:rPr>
        <w:t> </w:t>
      </w:r>
      <w:r>
        <w:rPr/>
        <w:t>140-220</w:t>
      </w:r>
      <w:r>
        <w:rPr>
          <w:spacing w:val="-1"/>
        </w:rPr>
        <w:t> </w:t>
      </w:r>
      <w:r>
        <w:rPr/>
        <w:t>g for the study were obtained from the animal house, Department of Pharmacology and Therapeutics, Ahmadu Bello University, Zaria. The animals were maintained in a well ventilated room, fed on laboratory animal feeds (Vital feeds, Jos, Nigeria) and granted access</w:t>
      </w:r>
      <w:r>
        <w:rPr>
          <w:spacing w:val="29"/>
        </w:rPr>
        <w:t> </w:t>
      </w:r>
      <w:r>
        <w:rPr/>
        <w:t>to</w:t>
      </w:r>
      <w:r>
        <w:rPr>
          <w:spacing w:val="39"/>
        </w:rPr>
        <w:t> </w:t>
      </w:r>
      <w:r>
        <w:rPr/>
        <w:t>water</w:t>
      </w:r>
      <w:r>
        <w:rPr>
          <w:spacing w:val="32"/>
        </w:rPr>
        <w:t> </w:t>
      </w:r>
      <w:r>
        <w:rPr>
          <w:i/>
        </w:rPr>
        <w:t>ad</w:t>
      </w:r>
      <w:r>
        <w:rPr>
          <w:i/>
          <w:spacing w:val="34"/>
        </w:rPr>
        <w:t> </w:t>
      </w:r>
      <w:r>
        <w:rPr>
          <w:i/>
        </w:rPr>
        <w:t>libitum</w:t>
      </w:r>
      <w:r>
        <w:rPr/>
        <w:t>.</w:t>
      </w:r>
      <w:r>
        <w:rPr>
          <w:spacing w:val="32"/>
        </w:rPr>
        <w:t> </w:t>
      </w:r>
      <w:r>
        <w:rPr/>
        <w:t>They</w:t>
      </w:r>
      <w:r>
        <w:rPr>
          <w:spacing w:val="24"/>
        </w:rPr>
        <w:t> </w:t>
      </w:r>
      <w:r>
        <w:rPr/>
        <w:t>were</w:t>
      </w:r>
      <w:r>
        <w:rPr>
          <w:spacing w:val="33"/>
        </w:rPr>
        <w:t> </w:t>
      </w:r>
      <w:r>
        <w:rPr/>
        <w:t>kept</w:t>
      </w:r>
      <w:r>
        <w:rPr>
          <w:spacing w:val="39"/>
        </w:rPr>
        <w:t> </w:t>
      </w:r>
      <w:r>
        <w:rPr/>
        <w:t>in</w:t>
      </w:r>
      <w:r>
        <w:rPr>
          <w:spacing w:val="28"/>
        </w:rPr>
        <w:t> </w:t>
      </w:r>
      <w:r>
        <w:rPr/>
        <w:t>clean</w:t>
      </w:r>
      <w:r>
        <w:rPr>
          <w:spacing w:val="29"/>
        </w:rPr>
        <w:t> </w:t>
      </w:r>
      <w:r>
        <w:rPr/>
        <w:t>aluminum</w:t>
      </w:r>
      <w:r>
        <w:rPr>
          <w:spacing w:val="25"/>
        </w:rPr>
        <w:t> </w:t>
      </w:r>
      <w:r>
        <w:rPr/>
        <w:t>cages</w:t>
      </w:r>
      <w:r>
        <w:rPr>
          <w:spacing w:val="31"/>
        </w:rPr>
        <w:t> </w:t>
      </w:r>
      <w:r>
        <w:rPr/>
        <w:t>and</w:t>
      </w:r>
      <w:r>
        <w:rPr>
          <w:spacing w:val="34"/>
        </w:rPr>
        <w:t> </w:t>
      </w:r>
      <w:r>
        <w:rPr/>
        <w:t>allowed</w:t>
      </w:r>
      <w:r>
        <w:rPr>
          <w:spacing w:val="34"/>
        </w:rPr>
        <w:t> </w:t>
      </w:r>
      <w:r>
        <w:rPr>
          <w:spacing w:val="-5"/>
        </w:rPr>
        <w:t>to</w:t>
      </w:r>
    </w:p>
    <w:p>
      <w:pPr>
        <w:spacing w:after="0" w:line="480" w:lineRule="auto"/>
        <w:jc w:val="both"/>
        <w:sectPr>
          <w:pgSz w:w="11910" w:h="16840"/>
          <w:pgMar w:header="0" w:footer="1012" w:top="1340" w:bottom="1200" w:left="960" w:right="620"/>
        </w:sectPr>
      </w:pPr>
    </w:p>
    <w:p>
      <w:pPr>
        <w:pStyle w:val="BodyText"/>
        <w:spacing w:line="480" w:lineRule="auto" w:before="79"/>
        <w:ind w:left="1028" w:right="817"/>
        <w:jc w:val="both"/>
      </w:pPr>
      <w:r>
        <w:rPr/>
        <w:t>acclimatize to laboratory conditions for one week before the commencement of the </w:t>
      </w:r>
      <w:r>
        <w:rPr>
          <w:spacing w:val="-2"/>
        </w:rPr>
        <w:t>experiment.</w:t>
      </w:r>
    </w:p>
    <w:p>
      <w:pPr>
        <w:pStyle w:val="BodyText"/>
      </w:pPr>
    </w:p>
    <w:p>
      <w:pPr>
        <w:pStyle w:val="BodyText"/>
        <w:spacing w:before="6"/>
      </w:pPr>
    </w:p>
    <w:p>
      <w:pPr>
        <w:pStyle w:val="Heading2"/>
        <w:numPr>
          <w:ilvl w:val="2"/>
          <w:numId w:val="17"/>
        </w:numPr>
        <w:tabs>
          <w:tab w:pos="1747" w:val="left" w:leader="none"/>
        </w:tabs>
        <w:spacing w:line="240" w:lineRule="auto" w:before="0" w:after="0"/>
        <w:ind w:left="1747" w:right="0" w:hanging="719"/>
        <w:jc w:val="both"/>
      </w:pPr>
      <w:bookmarkStart w:name="_TOC_250013" w:id="43"/>
      <w:r>
        <w:rPr/>
        <w:t>Ethics</w:t>
      </w:r>
      <w:bookmarkEnd w:id="43"/>
      <w:r>
        <w:rPr>
          <w:spacing w:val="-2"/>
        </w:rPr>
        <w:t> statement</w:t>
      </w:r>
    </w:p>
    <w:p>
      <w:pPr>
        <w:pStyle w:val="BodyText"/>
        <w:spacing w:line="480" w:lineRule="auto" w:before="271"/>
        <w:ind w:left="1028" w:right="801"/>
        <w:jc w:val="both"/>
      </w:pPr>
      <w:r>
        <w:rPr/>
        <w:t>The care and use of animals in this study was carried out according to the international ethical standards (Institute of Laboratory Animal Research, 1996). Protocols were presented in a seminar to academic staff and postgraduate students and approved by the Ethics Committee in the</w:t>
      </w:r>
      <w:r>
        <w:rPr>
          <w:spacing w:val="-1"/>
        </w:rPr>
        <w:t> </w:t>
      </w:r>
      <w:r>
        <w:rPr/>
        <w:t>Department of</w:t>
      </w:r>
      <w:r>
        <w:rPr>
          <w:spacing w:val="-8"/>
        </w:rPr>
        <w:t> </w:t>
      </w:r>
      <w:r>
        <w:rPr/>
        <w:t>Pharmacology</w:t>
      </w:r>
      <w:r>
        <w:rPr>
          <w:spacing w:val="-10"/>
        </w:rPr>
        <w:t> </w:t>
      </w:r>
      <w:r>
        <w:rPr/>
        <w:t>and Therapeutics, Ahmadu Bello University, Zaria.</w:t>
      </w:r>
    </w:p>
    <w:p>
      <w:pPr>
        <w:pStyle w:val="BodyText"/>
      </w:pPr>
    </w:p>
    <w:p>
      <w:pPr>
        <w:pStyle w:val="BodyText"/>
        <w:spacing w:before="6"/>
      </w:pPr>
    </w:p>
    <w:p>
      <w:pPr>
        <w:pStyle w:val="Heading2"/>
        <w:numPr>
          <w:ilvl w:val="2"/>
          <w:numId w:val="17"/>
        </w:numPr>
        <w:tabs>
          <w:tab w:pos="1747" w:val="left" w:leader="none"/>
        </w:tabs>
        <w:spacing w:line="240" w:lineRule="auto" w:before="0" w:after="0"/>
        <w:ind w:left="1747" w:right="0" w:hanging="719"/>
        <w:jc w:val="both"/>
      </w:pPr>
      <w:bookmarkStart w:name="_TOC_250012" w:id="44"/>
      <w:r>
        <w:rPr/>
        <w:t>Chemicals,</w:t>
      </w:r>
      <w:r>
        <w:rPr>
          <w:spacing w:val="-3"/>
        </w:rPr>
        <w:t> </w:t>
      </w:r>
      <w:r>
        <w:rPr/>
        <w:t>solvents</w:t>
      </w:r>
      <w:r>
        <w:rPr>
          <w:spacing w:val="-3"/>
        </w:rPr>
        <w:t> </w:t>
      </w:r>
      <w:r>
        <w:rPr/>
        <w:t>and</w:t>
      </w:r>
      <w:bookmarkEnd w:id="44"/>
      <w:r>
        <w:rPr>
          <w:spacing w:val="-2"/>
        </w:rPr>
        <w:t> drugs</w:t>
      </w:r>
    </w:p>
    <w:p>
      <w:pPr>
        <w:pStyle w:val="BodyText"/>
        <w:spacing w:line="480" w:lineRule="auto" w:before="272"/>
        <w:ind w:left="1028" w:right="796"/>
        <w:jc w:val="both"/>
      </w:pPr>
      <w:r>
        <w:rPr/>
        <w:t>Pentazocine (Ranbaxy, India), petroleum ether (Guandong Guanghua, China), sodium hydroxide (NaOH), sodium thiosulphate (Na</w:t>
      </w:r>
      <w:r>
        <w:rPr>
          <w:vertAlign w:val="subscript"/>
        </w:rPr>
        <w:t>2</w:t>
      </w:r>
      <w:r>
        <w:rPr>
          <w:vertAlign w:val="baseline"/>
        </w:rPr>
        <w:t>S</w:t>
      </w:r>
      <w:r>
        <w:rPr>
          <w:vertAlign w:val="subscript"/>
        </w:rPr>
        <w:t>2</w:t>
      </w:r>
      <w:r>
        <w:rPr>
          <w:vertAlign w:val="baseline"/>
        </w:rPr>
        <w:t>O</w:t>
      </w:r>
      <w:r>
        <w:rPr>
          <w:vertAlign w:val="subscript"/>
        </w:rPr>
        <w:t>3</w:t>
      </w:r>
      <w:r>
        <w:rPr>
          <w:vertAlign w:val="baseline"/>
        </w:rPr>
        <w:t>), sulphuric acid (H</w:t>
      </w:r>
      <w:r>
        <w:rPr>
          <w:vertAlign w:val="subscript"/>
        </w:rPr>
        <w:t>2</w:t>
      </w:r>
      <w:r>
        <w:rPr>
          <w:vertAlign w:val="baseline"/>
        </w:rPr>
        <w:t>SO</w:t>
      </w:r>
      <w:r>
        <w:rPr>
          <w:vertAlign w:val="subscript"/>
        </w:rPr>
        <w:t>4</w:t>
      </w:r>
      <w:r>
        <w:rPr>
          <w:vertAlign w:val="baseline"/>
        </w:rPr>
        <w:t>), hydrochloric acid (HCl), potassium hydroxide (KOH), potassium iodide (KI) (BDH chemicals, England), chloroform, glacial acetic acid, methanol, orthophosphoric acid (Guandong Guanghua, China),</w:t>
      </w:r>
      <w:r>
        <w:rPr>
          <w:spacing w:val="40"/>
          <w:vertAlign w:val="baseline"/>
        </w:rPr>
        <w:t> </w:t>
      </w:r>
      <w:r>
        <w:rPr>
          <w:vertAlign w:val="baseline"/>
        </w:rPr>
        <w:t>pharmaceutical grade bentonite (Sigma Aldrich, St. Loius USA), Olive oil (Andralucia, Spain), tonsil (W.R. Grace, USA).</w:t>
      </w:r>
    </w:p>
    <w:p>
      <w:pPr>
        <w:pStyle w:val="BodyText"/>
      </w:pPr>
    </w:p>
    <w:p>
      <w:pPr>
        <w:pStyle w:val="BodyText"/>
        <w:spacing w:before="6"/>
      </w:pPr>
    </w:p>
    <w:p>
      <w:pPr>
        <w:pStyle w:val="Heading2"/>
        <w:numPr>
          <w:ilvl w:val="1"/>
          <w:numId w:val="17"/>
        </w:numPr>
        <w:tabs>
          <w:tab w:pos="5191" w:val="left" w:leader="none"/>
        </w:tabs>
        <w:spacing w:line="240" w:lineRule="auto" w:before="0" w:after="0"/>
        <w:ind w:left="5191" w:right="0" w:hanging="720"/>
        <w:jc w:val="left"/>
      </w:pPr>
      <w:bookmarkStart w:name="_TOC_250011" w:id="45"/>
      <w:bookmarkEnd w:id="45"/>
      <w:r>
        <w:rPr>
          <w:spacing w:val="-2"/>
        </w:rPr>
        <w:t>Methods</w:t>
      </w:r>
    </w:p>
    <w:p>
      <w:pPr>
        <w:pStyle w:val="BodyText"/>
        <w:rPr>
          <w:b/>
        </w:rPr>
      </w:pPr>
    </w:p>
    <w:p>
      <w:pPr>
        <w:pStyle w:val="Heading2"/>
        <w:numPr>
          <w:ilvl w:val="2"/>
          <w:numId w:val="17"/>
        </w:numPr>
        <w:tabs>
          <w:tab w:pos="1747" w:val="left" w:leader="none"/>
        </w:tabs>
        <w:spacing w:line="240" w:lineRule="auto" w:before="0" w:after="0"/>
        <w:ind w:left="1747" w:right="0" w:hanging="719"/>
        <w:jc w:val="both"/>
      </w:pPr>
      <w:bookmarkStart w:name="_TOC_250010" w:id="46"/>
      <w:r>
        <w:rPr/>
        <w:t>Extraction</w:t>
      </w:r>
      <w:r>
        <w:rPr>
          <w:spacing w:val="-3"/>
        </w:rPr>
        <w:t> </w:t>
      </w:r>
      <w:r>
        <w:rPr/>
        <w:t>of</w:t>
      </w:r>
      <w:r>
        <w:rPr>
          <w:spacing w:val="-3"/>
        </w:rPr>
        <w:t> </w:t>
      </w:r>
      <w:r>
        <w:rPr/>
        <w:t>seed</w:t>
      </w:r>
      <w:r>
        <w:rPr>
          <w:spacing w:val="-2"/>
        </w:rPr>
        <w:t> </w:t>
      </w:r>
      <w:r>
        <w:rPr/>
        <w:t>oils</w:t>
      </w:r>
      <w:r>
        <w:rPr>
          <w:spacing w:val="-2"/>
        </w:rPr>
        <w:t> </w:t>
      </w:r>
      <w:r>
        <w:rPr/>
        <w:t>and</w:t>
      </w:r>
      <w:r>
        <w:rPr>
          <w:spacing w:val="-2"/>
        </w:rPr>
        <w:t> </w:t>
      </w:r>
      <w:r>
        <w:rPr/>
        <w:t>determination of</w:t>
      </w:r>
      <w:r>
        <w:rPr>
          <w:spacing w:val="-3"/>
        </w:rPr>
        <w:t> </w:t>
      </w:r>
      <w:bookmarkEnd w:id="46"/>
      <w:r>
        <w:rPr>
          <w:spacing w:val="-2"/>
        </w:rPr>
        <w:t>yield</w:t>
      </w:r>
    </w:p>
    <w:p>
      <w:pPr>
        <w:pStyle w:val="BodyText"/>
        <w:spacing w:line="480" w:lineRule="auto" w:before="272"/>
        <w:ind w:left="1028" w:right="795"/>
        <w:jc w:val="both"/>
      </w:pPr>
      <w:r>
        <w:rPr/>
        <w:t>Seeds of </w:t>
      </w:r>
      <w:r>
        <w:rPr>
          <w:i/>
        </w:rPr>
        <w:t>J. curcas </w:t>
      </w:r>
      <w:r>
        <w:rPr/>
        <w:t>were collected, washed, air-dried under shade and pulverized into coarse powder using clean mortar and pestle. The coarse powder was weighed and divided into two equal</w:t>
      </w:r>
      <w:r>
        <w:rPr>
          <w:spacing w:val="-7"/>
        </w:rPr>
        <w:t> </w:t>
      </w:r>
      <w:r>
        <w:rPr/>
        <w:t>portions of</w:t>
      </w:r>
      <w:r>
        <w:rPr>
          <w:spacing w:val="-1"/>
        </w:rPr>
        <w:t> </w:t>
      </w:r>
      <w:r>
        <w:rPr/>
        <w:t>500 g each, after which</w:t>
      </w:r>
      <w:r>
        <w:rPr>
          <w:spacing w:val="-3"/>
        </w:rPr>
        <w:t> </w:t>
      </w:r>
      <w:r>
        <w:rPr/>
        <w:t>the oil content of</w:t>
      </w:r>
      <w:r>
        <w:rPr>
          <w:spacing w:val="-6"/>
        </w:rPr>
        <w:t> </w:t>
      </w:r>
      <w:r>
        <w:rPr/>
        <w:t>a portion of the weighed powdered seeds was extracted with petroleum ether (60-80</w:t>
      </w:r>
      <w:r>
        <w:rPr>
          <w:vertAlign w:val="superscript"/>
        </w:rPr>
        <w:t>o</w:t>
      </w:r>
      <w:r>
        <w:rPr>
          <w:vertAlign w:val="baseline"/>
        </w:rPr>
        <w:t>C) for 24 h using</w:t>
      </w:r>
      <w:r>
        <w:rPr>
          <w:spacing w:val="50"/>
          <w:w w:val="150"/>
          <w:vertAlign w:val="baseline"/>
        </w:rPr>
        <w:t> </w:t>
      </w:r>
      <w:r>
        <w:rPr>
          <w:vertAlign w:val="baseline"/>
        </w:rPr>
        <w:t>a</w:t>
      </w:r>
      <w:r>
        <w:rPr>
          <w:spacing w:val="77"/>
          <w:vertAlign w:val="baseline"/>
        </w:rPr>
        <w:t> </w:t>
      </w:r>
      <w:r>
        <w:rPr>
          <w:vertAlign w:val="baseline"/>
        </w:rPr>
        <w:t>Soxhlet</w:t>
      </w:r>
      <w:r>
        <w:rPr>
          <w:spacing w:val="53"/>
          <w:w w:val="150"/>
          <w:vertAlign w:val="baseline"/>
        </w:rPr>
        <w:t> </w:t>
      </w:r>
      <w:r>
        <w:rPr>
          <w:vertAlign w:val="baseline"/>
        </w:rPr>
        <w:t>apparatus.</w:t>
      </w:r>
      <w:r>
        <w:rPr>
          <w:spacing w:val="50"/>
          <w:w w:val="150"/>
          <w:vertAlign w:val="baseline"/>
        </w:rPr>
        <w:t> </w:t>
      </w:r>
      <w:r>
        <w:rPr>
          <w:vertAlign w:val="baseline"/>
        </w:rPr>
        <w:t>Residual</w:t>
      </w:r>
      <w:r>
        <w:rPr>
          <w:spacing w:val="73"/>
          <w:vertAlign w:val="baseline"/>
        </w:rPr>
        <w:t> </w:t>
      </w:r>
      <w:r>
        <w:rPr>
          <w:vertAlign w:val="baseline"/>
        </w:rPr>
        <w:t>solvent</w:t>
      </w:r>
      <w:r>
        <w:rPr>
          <w:spacing w:val="57"/>
          <w:w w:val="150"/>
          <w:vertAlign w:val="baseline"/>
        </w:rPr>
        <w:t> </w:t>
      </w:r>
      <w:r>
        <w:rPr>
          <w:vertAlign w:val="baseline"/>
        </w:rPr>
        <w:t>in</w:t>
      </w:r>
      <w:r>
        <w:rPr>
          <w:spacing w:val="78"/>
          <w:vertAlign w:val="baseline"/>
        </w:rPr>
        <w:t> </w:t>
      </w:r>
      <w:r>
        <w:rPr>
          <w:vertAlign w:val="baseline"/>
        </w:rPr>
        <w:t>the</w:t>
      </w:r>
      <w:r>
        <w:rPr>
          <w:spacing w:val="77"/>
          <w:vertAlign w:val="baseline"/>
        </w:rPr>
        <w:t> </w:t>
      </w:r>
      <w:r>
        <w:rPr>
          <w:vertAlign w:val="baseline"/>
        </w:rPr>
        <w:t>extracted</w:t>
      </w:r>
      <w:r>
        <w:rPr>
          <w:spacing w:val="73"/>
          <w:vertAlign w:val="baseline"/>
        </w:rPr>
        <w:t> </w:t>
      </w:r>
      <w:r>
        <w:rPr>
          <w:vertAlign w:val="baseline"/>
        </w:rPr>
        <w:t>oil</w:t>
      </w:r>
      <w:r>
        <w:rPr>
          <w:spacing w:val="73"/>
          <w:vertAlign w:val="baseline"/>
        </w:rPr>
        <w:t> </w:t>
      </w:r>
      <w:r>
        <w:rPr>
          <w:vertAlign w:val="baseline"/>
        </w:rPr>
        <w:t>was</w:t>
      </w:r>
      <w:r>
        <w:rPr>
          <w:spacing w:val="50"/>
          <w:w w:val="150"/>
          <w:vertAlign w:val="baseline"/>
        </w:rPr>
        <w:t> </w:t>
      </w:r>
      <w:r>
        <w:rPr>
          <w:vertAlign w:val="baseline"/>
        </w:rPr>
        <w:t>allowed</w:t>
      </w:r>
      <w:r>
        <w:rPr>
          <w:spacing w:val="78"/>
          <w:vertAlign w:val="baseline"/>
        </w:rPr>
        <w:t> </w:t>
      </w:r>
      <w:r>
        <w:rPr>
          <w:spacing w:val="-5"/>
          <w:vertAlign w:val="baseline"/>
        </w:rPr>
        <w:t>to</w:t>
      </w:r>
    </w:p>
    <w:p>
      <w:pPr>
        <w:spacing w:after="0" w:line="480" w:lineRule="auto"/>
        <w:jc w:val="both"/>
        <w:sectPr>
          <w:pgSz w:w="11910" w:h="16840"/>
          <w:pgMar w:header="0" w:footer="1012" w:top="1320" w:bottom="1200" w:left="960" w:right="620"/>
        </w:sectPr>
      </w:pPr>
    </w:p>
    <w:p>
      <w:pPr>
        <w:pStyle w:val="BodyText"/>
        <w:spacing w:line="480" w:lineRule="auto" w:before="79"/>
        <w:ind w:left="1028" w:right="812"/>
        <w:jc w:val="both"/>
      </w:pPr>
      <w:r>
        <w:rPr/>
        <w:t>evaporate. The oil content of the second portion of the weighed powdered seeds was extracted mechanically using a hand operated hydraulic screw press.</w:t>
      </w:r>
    </w:p>
    <w:p>
      <w:pPr>
        <w:pStyle w:val="BodyText"/>
        <w:spacing w:line="480" w:lineRule="auto" w:before="1"/>
        <w:ind w:left="1028" w:right="798"/>
        <w:jc w:val="both"/>
      </w:pPr>
      <w:r>
        <w:rPr/>
        <w:t>Portions of the oils were used for qualitative phytochemical screening, test for the presence or absence of heavy metals, phorbol esters and analgesic activity. Solutions of the seed oils were obtained by dissolving appropriate quantities of</w:t>
      </w:r>
      <w:r>
        <w:rPr>
          <w:spacing w:val="-1"/>
        </w:rPr>
        <w:t> </w:t>
      </w:r>
      <w:r>
        <w:rPr/>
        <w:t>the oil in olive oil to obtain stock solutions of the oils for the individual experiments.</w:t>
      </w:r>
    </w:p>
    <w:p>
      <w:pPr>
        <w:pStyle w:val="BodyText"/>
      </w:pPr>
    </w:p>
    <w:p>
      <w:pPr>
        <w:pStyle w:val="BodyText"/>
        <w:spacing w:before="5"/>
      </w:pPr>
    </w:p>
    <w:p>
      <w:pPr>
        <w:pStyle w:val="Heading2"/>
        <w:numPr>
          <w:ilvl w:val="2"/>
          <w:numId w:val="17"/>
        </w:numPr>
        <w:tabs>
          <w:tab w:pos="1748" w:val="left" w:leader="none"/>
        </w:tabs>
        <w:spacing w:line="240" w:lineRule="auto" w:before="0" w:after="0"/>
        <w:ind w:left="1748" w:right="0" w:hanging="720"/>
        <w:jc w:val="left"/>
      </w:pPr>
      <w:bookmarkStart w:name="_TOC_250009" w:id="47"/>
      <w:r>
        <w:rPr/>
        <w:t>Determination</w:t>
      </w:r>
      <w:r>
        <w:rPr>
          <w:spacing w:val="-1"/>
        </w:rPr>
        <w:t> </w:t>
      </w:r>
      <w:r>
        <w:rPr/>
        <w:t>of</w:t>
      </w:r>
      <w:r>
        <w:rPr>
          <w:spacing w:val="-5"/>
        </w:rPr>
        <w:t> </w:t>
      </w:r>
      <w:r>
        <w:rPr/>
        <w:t>physicochemical</w:t>
      </w:r>
      <w:r>
        <w:rPr>
          <w:spacing w:val="-6"/>
        </w:rPr>
        <w:t> </w:t>
      </w:r>
      <w:bookmarkEnd w:id="47"/>
      <w:r>
        <w:rPr>
          <w:spacing w:val="-2"/>
        </w:rPr>
        <w:t>properties</w:t>
      </w:r>
    </w:p>
    <w:p>
      <w:pPr>
        <w:pStyle w:val="ListParagraph"/>
        <w:numPr>
          <w:ilvl w:val="3"/>
          <w:numId w:val="17"/>
        </w:numPr>
        <w:tabs>
          <w:tab w:pos="1747" w:val="left" w:leader="none"/>
        </w:tabs>
        <w:spacing w:line="240" w:lineRule="auto" w:before="272" w:after="0"/>
        <w:ind w:left="1747" w:right="0" w:hanging="719"/>
        <w:jc w:val="left"/>
        <w:rPr>
          <w:i/>
          <w:sz w:val="24"/>
        </w:rPr>
      </w:pPr>
      <w:r>
        <w:rPr>
          <w:i/>
          <w:sz w:val="24"/>
        </w:rPr>
        <w:t>Determination</w:t>
      </w:r>
      <w:r>
        <w:rPr>
          <w:i/>
          <w:spacing w:val="-1"/>
          <w:sz w:val="24"/>
        </w:rPr>
        <w:t> </w:t>
      </w:r>
      <w:r>
        <w:rPr>
          <w:i/>
          <w:sz w:val="24"/>
        </w:rPr>
        <w:t>of </w:t>
      </w:r>
      <w:r>
        <w:rPr>
          <w:i/>
          <w:spacing w:val="-2"/>
          <w:sz w:val="24"/>
        </w:rPr>
        <w:t>density</w:t>
      </w:r>
    </w:p>
    <w:p>
      <w:pPr>
        <w:pStyle w:val="BodyText"/>
        <w:rPr>
          <w:i/>
        </w:rPr>
      </w:pPr>
    </w:p>
    <w:p>
      <w:pPr>
        <w:pStyle w:val="BodyText"/>
        <w:spacing w:line="480" w:lineRule="auto"/>
        <w:ind w:left="1028" w:right="810"/>
        <w:jc w:val="both"/>
      </w:pPr>
      <w:r>
        <w:rPr/>
        <w:t>The</w:t>
      </w:r>
      <w:r>
        <w:rPr>
          <w:spacing w:val="-1"/>
        </w:rPr>
        <w:t> </w:t>
      </w:r>
      <w:r>
        <w:rPr/>
        <w:t>density</w:t>
      </w:r>
      <w:r>
        <w:rPr>
          <w:spacing w:val="-5"/>
        </w:rPr>
        <w:t> </w:t>
      </w:r>
      <w:r>
        <w:rPr/>
        <w:t>of</w:t>
      </w:r>
      <w:r>
        <w:rPr>
          <w:spacing w:val="-8"/>
        </w:rPr>
        <w:t> </w:t>
      </w:r>
      <w:r>
        <w:rPr/>
        <w:t>each</w:t>
      </w:r>
      <w:r>
        <w:rPr>
          <w:spacing w:val="-5"/>
        </w:rPr>
        <w:t> </w:t>
      </w:r>
      <w:r>
        <w:rPr/>
        <w:t>oil</w:t>
      </w:r>
      <w:r>
        <w:rPr>
          <w:spacing w:val="-5"/>
        </w:rPr>
        <w:t> </w:t>
      </w:r>
      <w:r>
        <w:rPr/>
        <w:t>sample</w:t>
      </w:r>
      <w:r>
        <w:rPr>
          <w:spacing w:val="-1"/>
        </w:rPr>
        <w:t> </w:t>
      </w:r>
      <w:r>
        <w:rPr/>
        <w:t>was</w:t>
      </w:r>
      <w:r>
        <w:rPr>
          <w:spacing w:val="-2"/>
        </w:rPr>
        <w:t> </w:t>
      </w:r>
      <w:r>
        <w:rPr/>
        <w:t>determined using a</w:t>
      </w:r>
      <w:r>
        <w:rPr>
          <w:spacing w:val="-1"/>
        </w:rPr>
        <w:t> </w:t>
      </w:r>
      <w:r>
        <w:rPr/>
        <w:t>density bottle. The</w:t>
      </w:r>
      <w:r>
        <w:rPr>
          <w:spacing w:val="-1"/>
        </w:rPr>
        <w:t> </w:t>
      </w:r>
      <w:r>
        <w:rPr/>
        <w:t>density bottle was</w:t>
      </w:r>
      <w:r>
        <w:rPr>
          <w:spacing w:val="-4"/>
        </w:rPr>
        <w:t> </w:t>
      </w:r>
      <w:r>
        <w:rPr/>
        <w:t>weighed</w:t>
      </w:r>
      <w:r>
        <w:rPr>
          <w:spacing w:val="-2"/>
        </w:rPr>
        <w:t> </w:t>
      </w:r>
      <w:r>
        <w:rPr/>
        <w:t>empty</w:t>
      </w:r>
      <w:r>
        <w:rPr>
          <w:spacing w:val="-9"/>
        </w:rPr>
        <w:t> </w:t>
      </w:r>
      <w:r>
        <w:rPr/>
        <w:t>with</w:t>
      </w:r>
      <w:r>
        <w:rPr>
          <w:spacing w:val="-7"/>
        </w:rPr>
        <w:t> </w:t>
      </w:r>
      <w:r>
        <w:rPr/>
        <w:t>an</w:t>
      </w:r>
      <w:r>
        <w:rPr>
          <w:spacing w:val="-7"/>
        </w:rPr>
        <w:t> </w:t>
      </w:r>
      <w:r>
        <w:rPr/>
        <w:t>electronic</w:t>
      </w:r>
      <w:r>
        <w:rPr>
          <w:spacing w:val="-3"/>
        </w:rPr>
        <w:t> </w:t>
      </w:r>
      <w:r>
        <w:rPr/>
        <w:t>weighing</w:t>
      </w:r>
      <w:r>
        <w:rPr>
          <w:spacing w:val="-2"/>
        </w:rPr>
        <w:t> </w:t>
      </w:r>
      <w:r>
        <w:rPr/>
        <w:t>balance. The</w:t>
      </w:r>
      <w:r>
        <w:rPr>
          <w:spacing w:val="-3"/>
        </w:rPr>
        <w:t> </w:t>
      </w:r>
      <w:r>
        <w:rPr/>
        <w:t>bottle</w:t>
      </w:r>
      <w:r>
        <w:rPr>
          <w:spacing w:val="-3"/>
        </w:rPr>
        <w:t> </w:t>
      </w:r>
      <w:r>
        <w:rPr/>
        <w:t>was</w:t>
      </w:r>
      <w:r>
        <w:rPr>
          <w:spacing w:val="-4"/>
        </w:rPr>
        <w:t> </w:t>
      </w:r>
      <w:r>
        <w:rPr/>
        <w:t>then</w:t>
      </w:r>
      <w:r>
        <w:rPr>
          <w:spacing w:val="-2"/>
        </w:rPr>
        <w:t> </w:t>
      </w:r>
      <w:r>
        <w:rPr/>
        <w:t>filled</w:t>
      </w:r>
      <w:r>
        <w:rPr>
          <w:spacing w:val="-2"/>
        </w:rPr>
        <w:t> </w:t>
      </w:r>
      <w:r>
        <w:rPr/>
        <w:t>with the oil of known volume after which the weight of both the bottle and the oil were determined (AOAC, 1990).</w:t>
      </w:r>
    </w:p>
    <w:p>
      <w:pPr>
        <w:pStyle w:val="BodyText"/>
      </w:pPr>
    </w:p>
    <w:p>
      <w:pPr>
        <w:pStyle w:val="BodyText"/>
        <w:spacing w:before="1"/>
      </w:pPr>
    </w:p>
    <w:p>
      <w:pPr>
        <w:pStyle w:val="BodyText"/>
        <w:tabs>
          <w:tab w:pos="3251" w:val="left" w:leader="none"/>
        </w:tabs>
        <w:ind w:left="1090"/>
        <w:jc w:val="both"/>
      </w:pPr>
      <w:r>
        <w:rPr/>
        <w:t>Density</w:t>
      </w:r>
      <w:r>
        <w:rPr>
          <w:spacing w:val="-8"/>
        </w:rPr>
        <w:t> </w:t>
      </w:r>
      <w:r>
        <w:rPr>
          <w:spacing w:val="-2"/>
        </w:rPr>
        <w:t>(g/ml):</w:t>
      </w:r>
      <w:r>
        <w:rPr/>
        <w:tab/>
        <w:t>=</w:t>
      </w:r>
      <w:r>
        <w:rPr>
          <w:spacing w:val="59"/>
        </w:rPr>
        <w:t> </w:t>
      </w:r>
      <w:r>
        <w:rPr>
          <w:u w:val="single"/>
        </w:rPr>
        <w:t>W</w:t>
      </w:r>
      <w:r>
        <w:rPr>
          <w:u w:val="single"/>
          <w:vertAlign w:val="subscript"/>
        </w:rPr>
        <w:t>2</w:t>
      </w:r>
      <w:r>
        <w:rPr>
          <w:spacing w:val="2"/>
          <w:u w:val="single"/>
          <w:vertAlign w:val="baseline"/>
        </w:rPr>
        <w:t> </w:t>
      </w:r>
      <w:r>
        <w:rPr>
          <w:u w:val="single"/>
          <w:vertAlign w:val="baseline"/>
        </w:rPr>
        <w:t>– </w:t>
      </w:r>
      <w:r>
        <w:rPr>
          <w:spacing w:val="-5"/>
          <w:u w:val="single"/>
          <w:vertAlign w:val="baseline"/>
        </w:rPr>
        <w:t>W</w:t>
      </w:r>
      <w:r>
        <w:rPr>
          <w:spacing w:val="-5"/>
          <w:u w:val="single"/>
          <w:vertAlign w:val="subscript"/>
        </w:rPr>
        <w:t>1</w:t>
      </w:r>
    </w:p>
    <w:p>
      <w:pPr>
        <w:pStyle w:val="BodyText"/>
        <w:spacing w:before="137"/>
        <w:ind w:right="2335"/>
        <w:jc w:val="center"/>
      </w:pPr>
      <w:r>
        <w:rPr>
          <w:spacing w:val="-10"/>
        </w:rPr>
        <w:t>V</w:t>
      </w:r>
    </w:p>
    <w:p>
      <w:pPr>
        <w:pStyle w:val="BodyText"/>
      </w:pPr>
    </w:p>
    <w:p>
      <w:pPr>
        <w:pStyle w:val="BodyText"/>
        <w:spacing w:before="137"/>
      </w:pPr>
    </w:p>
    <w:p>
      <w:pPr>
        <w:pStyle w:val="BodyText"/>
        <w:spacing w:line="480" w:lineRule="auto"/>
        <w:ind w:left="1028" w:right="3629"/>
      </w:pPr>
      <w:r>
        <w:rPr/>
        <w:t>Where W</w:t>
      </w:r>
      <w:r>
        <w:rPr>
          <w:vertAlign w:val="subscript"/>
        </w:rPr>
        <w:t>2</w:t>
      </w:r>
      <w:r>
        <w:rPr>
          <w:vertAlign w:val="baseline"/>
        </w:rPr>
        <w:t>=</w:t>
      </w:r>
      <w:r>
        <w:rPr>
          <w:spacing w:val="-4"/>
          <w:vertAlign w:val="baseline"/>
        </w:rPr>
        <w:t> </w:t>
      </w:r>
      <w:r>
        <w:rPr>
          <w:vertAlign w:val="baseline"/>
        </w:rPr>
        <w:t>weight of</w:t>
      </w:r>
      <w:r>
        <w:rPr>
          <w:spacing w:val="-10"/>
          <w:vertAlign w:val="baseline"/>
        </w:rPr>
        <w:t> </w:t>
      </w:r>
      <w:r>
        <w:rPr>
          <w:vertAlign w:val="baseline"/>
        </w:rPr>
        <w:t>oil</w:t>
      </w:r>
      <w:r>
        <w:rPr>
          <w:spacing w:val="-11"/>
          <w:vertAlign w:val="baseline"/>
        </w:rPr>
        <w:t> </w:t>
      </w:r>
      <w:r>
        <w:rPr>
          <w:vertAlign w:val="baseline"/>
        </w:rPr>
        <w:t>+</w:t>
      </w:r>
      <w:r>
        <w:rPr>
          <w:spacing w:val="-4"/>
          <w:vertAlign w:val="baseline"/>
        </w:rPr>
        <w:t> </w:t>
      </w:r>
      <w:r>
        <w:rPr>
          <w:vertAlign w:val="baseline"/>
        </w:rPr>
        <w:t>weight</w:t>
      </w:r>
      <w:r>
        <w:rPr>
          <w:spacing w:val="-3"/>
          <w:vertAlign w:val="baseline"/>
        </w:rPr>
        <w:t> </w:t>
      </w:r>
      <w:r>
        <w:rPr>
          <w:vertAlign w:val="baseline"/>
        </w:rPr>
        <w:t>of</w:t>
      </w:r>
      <w:r>
        <w:rPr>
          <w:spacing w:val="-10"/>
          <w:vertAlign w:val="baseline"/>
        </w:rPr>
        <w:t> </w:t>
      </w:r>
      <w:r>
        <w:rPr>
          <w:vertAlign w:val="baseline"/>
        </w:rPr>
        <w:t>density</w:t>
      </w:r>
      <w:r>
        <w:rPr>
          <w:spacing w:val="-3"/>
          <w:vertAlign w:val="baseline"/>
        </w:rPr>
        <w:t> </w:t>
      </w:r>
      <w:r>
        <w:rPr>
          <w:vertAlign w:val="baseline"/>
        </w:rPr>
        <w:t>bottle (g) W</w:t>
      </w:r>
      <w:r>
        <w:rPr>
          <w:vertAlign w:val="subscript"/>
        </w:rPr>
        <w:t>1</w:t>
      </w:r>
      <w:r>
        <w:rPr>
          <w:vertAlign w:val="baseline"/>
        </w:rPr>
        <w:t>= weight of empty density bottle (g)</w:t>
      </w:r>
    </w:p>
    <w:p>
      <w:pPr>
        <w:pStyle w:val="BodyText"/>
        <w:spacing w:before="1"/>
        <w:ind w:left="1028"/>
      </w:pPr>
      <w:r>
        <w:rPr/>
        <w:t>V</w:t>
      </w:r>
      <w:r>
        <w:rPr>
          <w:spacing w:val="-3"/>
        </w:rPr>
        <w:t> </w:t>
      </w:r>
      <w:r>
        <w:rPr/>
        <w:t>= Volume of</w:t>
      </w:r>
      <w:r>
        <w:rPr>
          <w:spacing w:val="-7"/>
        </w:rPr>
        <w:t> </w:t>
      </w:r>
      <w:r>
        <w:rPr/>
        <w:t>oil</w:t>
      </w:r>
      <w:r>
        <w:rPr>
          <w:spacing w:val="-5"/>
        </w:rPr>
        <w:t> </w:t>
      </w:r>
      <w:r>
        <w:rPr>
          <w:spacing w:val="-4"/>
        </w:rPr>
        <w:t>(ml).</w:t>
      </w:r>
    </w:p>
    <w:p>
      <w:pPr>
        <w:pStyle w:val="BodyText"/>
      </w:pPr>
    </w:p>
    <w:p>
      <w:pPr>
        <w:pStyle w:val="BodyText"/>
      </w:pPr>
    </w:p>
    <w:p>
      <w:pPr>
        <w:pStyle w:val="BodyText"/>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Determination of specific </w:t>
      </w:r>
      <w:r>
        <w:rPr>
          <w:i/>
          <w:spacing w:val="-2"/>
          <w:sz w:val="24"/>
        </w:rPr>
        <w:t>gravity</w:t>
      </w:r>
    </w:p>
    <w:p>
      <w:pPr>
        <w:pStyle w:val="BodyText"/>
        <w:rPr>
          <w:i/>
        </w:rPr>
      </w:pPr>
    </w:p>
    <w:p>
      <w:pPr>
        <w:pStyle w:val="BodyText"/>
        <w:spacing w:line="480" w:lineRule="auto"/>
        <w:ind w:left="1028" w:right="805"/>
        <w:jc w:val="both"/>
      </w:pPr>
      <w:r>
        <w:rPr/>
        <w:t>The specific gravity of</w:t>
      </w:r>
      <w:r>
        <w:rPr>
          <w:spacing w:val="-1"/>
        </w:rPr>
        <w:t> </w:t>
      </w:r>
      <w:r>
        <w:rPr/>
        <w:t>each oil sample was determined using the specific gravity bottle at 25</w:t>
      </w:r>
      <w:r>
        <w:rPr>
          <w:vertAlign w:val="superscript"/>
        </w:rPr>
        <w:t>o</w:t>
      </w:r>
      <w:r>
        <w:rPr>
          <w:vertAlign w:val="baseline"/>
        </w:rPr>
        <w:t>C. The specific gravity bottle was weighed empty (W</w:t>
      </w:r>
      <w:r>
        <w:rPr>
          <w:vertAlign w:val="subscript"/>
        </w:rPr>
        <w:t>1</w:t>
      </w:r>
      <w:r>
        <w:rPr>
          <w:vertAlign w:val="baseline"/>
        </w:rPr>
        <w:t>) after which the oil was carefully poured into the bottle which was then re-weighed (W</w:t>
      </w:r>
      <w:r>
        <w:rPr>
          <w:vertAlign w:val="subscript"/>
        </w:rPr>
        <w:t>2</w:t>
      </w:r>
      <w:r>
        <w:rPr>
          <w:vertAlign w:val="baseline"/>
        </w:rPr>
        <w:t>). The same step was repeated with distilled water (AOAC, 1990).</w:t>
      </w:r>
    </w:p>
    <w:p>
      <w:pPr>
        <w:spacing w:after="0" w:line="480" w:lineRule="auto"/>
        <w:jc w:val="both"/>
        <w:sectPr>
          <w:pgSz w:w="11910" w:h="16840"/>
          <w:pgMar w:header="0" w:footer="1012" w:top="1320" w:bottom="1200" w:left="960" w:right="620"/>
        </w:sectPr>
      </w:pPr>
    </w:p>
    <w:p>
      <w:pPr>
        <w:pStyle w:val="BodyText"/>
        <w:tabs>
          <w:tab w:pos="2530" w:val="left" w:leader="none"/>
        </w:tabs>
        <w:spacing w:before="79"/>
        <w:ind w:left="1028"/>
      </w:pPr>
      <w:r>
        <w:rPr>
          <w:spacing w:val="-2"/>
        </w:rPr>
        <w:t>Calculations:</w:t>
      </w:r>
      <w:r>
        <w:rPr/>
        <w:tab/>
        <w:t>Weight</w:t>
      </w:r>
      <w:r>
        <w:rPr>
          <w:spacing w:val="3"/>
        </w:rPr>
        <w:t> </w:t>
      </w:r>
      <w:r>
        <w:rPr/>
        <w:t>=</w:t>
      </w:r>
      <w:r>
        <w:rPr>
          <w:spacing w:val="-3"/>
        </w:rPr>
        <w:t> </w:t>
      </w:r>
      <w:r>
        <w:rPr/>
        <w:t>W</w:t>
      </w:r>
      <w:r>
        <w:rPr>
          <w:vertAlign w:val="subscript"/>
        </w:rPr>
        <w:t>2</w:t>
      </w:r>
      <w:r>
        <w:rPr>
          <w:vertAlign w:val="baseline"/>
        </w:rPr>
        <w:t> –</w:t>
      </w:r>
      <w:r>
        <w:rPr>
          <w:spacing w:val="-1"/>
          <w:vertAlign w:val="baseline"/>
        </w:rPr>
        <w:t> </w:t>
      </w:r>
      <w:r>
        <w:rPr>
          <w:spacing w:val="-5"/>
          <w:vertAlign w:val="baseline"/>
        </w:rPr>
        <w:t>W</w:t>
      </w:r>
      <w:r>
        <w:rPr>
          <w:spacing w:val="-5"/>
          <w:vertAlign w:val="subscript"/>
        </w:rPr>
        <w:t>1</w:t>
      </w:r>
    </w:p>
    <w:p>
      <w:pPr>
        <w:pStyle w:val="BodyText"/>
      </w:pPr>
    </w:p>
    <w:p>
      <w:pPr>
        <w:pStyle w:val="BodyText"/>
        <w:spacing w:line="480" w:lineRule="auto"/>
        <w:ind w:left="1028" w:right="2663"/>
      </w:pPr>
      <w:r>
        <w:rPr/>
        <w:t>Where W</w:t>
      </w:r>
      <w:r>
        <w:rPr>
          <w:vertAlign w:val="subscript"/>
        </w:rPr>
        <w:t>2</w:t>
      </w:r>
      <w:r>
        <w:rPr>
          <w:vertAlign w:val="baseline"/>
        </w:rPr>
        <w:t>=</w:t>
      </w:r>
      <w:r>
        <w:rPr>
          <w:spacing w:val="-4"/>
          <w:vertAlign w:val="baseline"/>
        </w:rPr>
        <w:t> </w:t>
      </w:r>
      <w:r>
        <w:rPr>
          <w:vertAlign w:val="baseline"/>
        </w:rPr>
        <w:t>weight of</w:t>
      </w:r>
      <w:r>
        <w:rPr>
          <w:spacing w:val="-11"/>
          <w:vertAlign w:val="baseline"/>
        </w:rPr>
        <w:t> </w:t>
      </w:r>
      <w:r>
        <w:rPr>
          <w:vertAlign w:val="baseline"/>
        </w:rPr>
        <w:t>oil</w:t>
      </w:r>
      <w:r>
        <w:rPr>
          <w:spacing w:val="-8"/>
          <w:vertAlign w:val="baseline"/>
        </w:rPr>
        <w:t> </w:t>
      </w:r>
      <w:r>
        <w:rPr>
          <w:vertAlign w:val="baseline"/>
        </w:rPr>
        <w:t>sample</w:t>
      </w:r>
      <w:r>
        <w:rPr>
          <w:spacing w:val="-4"/>
          <w:vertAlign w:val="baseline"/>
        </w:rPr>
        <w:t> </w:t>
      </w:r>
      <w:r>
        <w:rPr>
          <w:vertAlign w:val="baseline"/>
        </w:rPr>
        <w:t>+</w:t>
      </w:r>
      <w:r>
        <w:rPr>
          <w:spacing w:val="-4"/>
          <w:vertAlign w:val="baseline"/>
        </w:rPr>
        <w:t> </w:t>
      </w:r>
      <w:r>
        <w:rPr>
          <w:vertAlign w:val="baseline"/>
        </w:rPr>
        <w:t>weight of</w:t>
      </w:r>
      <w:r>
        <w:rPr>
          <w:spacing w:val="-11"/>
          <w:vertAlign w:val="baseline"/>
        </w:rPr>
        <w:t> </w:t>
      </w:r>
      <w:r>
        <w:rPr>
          <w:vertAlign w:val="baseline"/>
        </w:rPr>
        <w:t>specific</w:t>
      </w:r>
      <w:r>
        <w:rPr>
          <w:spacing w:val="-4"/>
          <w:vertAlign w:val="baseline"/>
        </w:rPr>
        <w:t> </w:t>
      </w:r>
      <w:r>
        <w:rPr>
          <w:vertAlign w:val="baseline"/>
        </w:rPr>
        <w:t>gravity</w:t>
      </w:r>
      <w:r>
        <w:rPr>
          <w:spacing w:val="-8"/>
          <w:vertAlign w:val="baseline"/>
        </w:rPr>
        <w:t> </w:t>
      </w:r>
      <w:r>
        <w:rPr>
          <w:vertAlign w:val="baseline"/>
        </w:rPr>
        <w:t>bottle W</w:t>
      </w:r>
      <w:r>
        <w:rPr>
          <w:vertAlign w:val="subscript"/>
        </w:rPr>
        <w:t>1</w:t>
      </w:r>
      <w:r>
        <w:rPr>
          <w:vertAlign w:val="baseline"/>
        </w:rPr>
        <w:t>= weight of empty specific gravity bottle</w:t>
      </w:r>
    </w:p>
    <w:p>
      <w:pPr>
        <w:pStyle w:val="BodyText"/>
        <w:tabs>
          <w:tab w:pos="3909" w:val="left" w:leader="none"/>
        </w:tabs>
        <w:spacing w:before="1"/>
        <w:ind w:left="1028"/>
      </w:pPr>
      <w:r>
        <w:rPr/>
        <w:t>Specific</w:t>
      </w:r>
      <w:r>
        <w:rPr>
          <w:spacing w:val="1"/>
        </w:rPr>
        <w:t> </w:t>
      </w:r>
      <w:r>
        <w:rPr/>
        <w:t>gravity</w:t>
      </w:r>
      <w:r>
        <w:rPr>
          <w:spacing w:val="-8"/>
        </w:rPr>
        <w:t> </w:t>
      </w:r>
      <w:r>
        <w:rPr/>
        <w:t>of</w:t>
      </w:r>
      <w:r>
        <w:rPr>
          <w:spacing w:val="-6"/>
        </w:rPr>
        <w:t> </w:t>
      </w:r>
      <w:r>
        <w:rPr/>
        <w:t>oil</w:t>
      </w:r>
      <w:r>
        <w:rPr>
          <w:spacing w:val="-3"/>
        </w:rPr>
        <w:t> </w:t>
      </w:r>
      <w:r>
        <w:rPr>
          <w:spacing w:val="-10"/>
        </w:rPr>
        <w:t>=</w:t>
      </w:r>
      <w:r>
        <w:rPr/>
        <w:tab/>
      </w:r>
      <w:r>
        <w:rPr>
          <w:u w:val="single"/>
        </w:rPr>
        <w:t>Weight</w:t>
      </w:r>
      <w:r>
        <w:rPr>
          <w:spacing w:val="1"/>
          <w:u w:val="single"/>
        </w:rPr>
        <w:t> </w:t>
      </w:r>
      <w:r>
        <w:rPr>
          <w:u w:val="single"/>
        </w:rPr>
        <w:t>of</w:t>
      </w:r>
      <w:r>
        <w:rPr>
          <w:spacing w:val="-9"/>
          <w:u w:val="single"/>
        </w:rPr>
        <w:t> </w:t>
      </w:r>
      <w:r>
        <w:rPr>
          <w:u w:val="single"/>
        </w:rPr>
        <w:t>oil</w:t>
      </w:r>
      <w:r>
        <w:rPr>
          <w:spacing w:val="-5"/>
          <w:u w:val="single"/>
        </w:rPr>
        <w:t> </w:t>
      </w:r>
      <w:r>
        <w:rPr>
          <w:u w:val="single"/>
        </w:rPr>
        <w:t>held</w:t>
      </w:r>
      <w:r>
        <w:rPr>
          <w:spacing w:val="2"/>
          <w:u w:val="single"/>
        </w:rPr>
        <w:t> </w:t>
      </w:r>
      <w:r>
        <w:rPr>
          <w:u w:val="single"/>
        </w:rPr>
        <w:t>in</w:t>
      </w:r>
      <w:r>
        <w:rPr>
          <w:spacing w:val="-6"/>
          <w:u w:val="single"/>
        </w:rPr>
        <w:t> </w:t>
      </w:r>
      <w:r>
        <w:rPr>
          <w:u w:val="single"/>
        </w:rPr>
        <w:t>specific</w:t>
      </w:r>
      <w:r>
        <w:rPr>
          <w:spacing w:val="-2"/>
          <w:u w:val="single"/>
        </w:rPr>
        <w:t> </w:t>
      </w:r>
      <w:r>
        <w:rPr>
          <w:u w:val="single"/>
        </w:rPr>
        <w:t>gravity</w:t>
      </w:r>
      <w:r>
        <w:rPr>
          <w:spacing w:val="-5"/>
          <w:u w:val="single"/>
        </w:rPr>
        <w:t> </w:t>
      </w:r>
      <w:r>
        <w:rPr>
          <w:spacing w:val="-2"/>
          <w:u w:val="single"/>
        </w:rPr>
        <w:t>bottle</w:t>
      </w:r>
    </w:p>
    <w:p>
      <w:pPr>
        <w:pStyle w:val="BodyText"/>
        <w:spacing w:before="137"/>
        <w:ind w:left="3909"/>
      </w:pPr>
      <w:r>
        <w:rPr/>
        <w:t>Weight</w:t>
      </w:r>
      <w:r>
        <w:rPr>
          <w:spacing w:val="2"/>
        </w:rPr>
        <w:t> </w:t>
      </w:r>
      <w:r>
        <w:rPr/>
        <w:t>of</w:t>
      </w:r>
      <w:r>
        <w:rPr>
          <w:spacing w:val="-9"/>
        </w:rPr>
        <w:t> </w:t>
      </w:r>
      <w:r>
        <w:rPr/>
        <w:t>water</w:t>
      </w:r>
      <w:r>
        <w:rPr>
          <w:spacing w:val="-5"/>
        </w:rPr>
        <w:t> </w:t>
      </w:r>
      <w:r>
        <w:rPr/>
        <w:t>held</w:t>
      </w:r>
      <w:r>
        <w:rPr>
          <w:spacing w:val="2"/>
        </w:rPr>
        <w:t> </w:t>
      </w:r>
      <w:r>
        <w:rPr/>
        <w:t>in</w:t>
      </w:r>
      <w:r>
        <w:rPr>
          <w:spacing w:val="-2"/>
        </w:rPr>
        <w:t> </w:t>
      </w:r>
      <w:r>
        <w:rPr/>
        <w:t>same</w:t>
      </w:r>
      <w:r>
        <w:rPr>
          <w:spacing w:val="-3"/>
        </w:rPr>
        <w:t> </w:t>
      </w:r>
      <w:r>
        <w:rPr/>
        <w:t>specific</w:t>
      </w:r>
      <w:r>
        <w:rPr>
          <w:spacing w:val="-3"/>
        </w:rPr>
        <w:t> </w:t>
      </w:r>
      <w:r>
        <w:rPr/>
        <w:t>gravity</w:t>
      </w:r>
      <w:r>
        <w:rPr>
          <w:spacing w:val="-1"/>
        </w:rPr>
        <w:t> </w:t>
      </w:r>
      <w:r>
        <w:rPr>
          <w:spacing w:val="-2"/>
        </w:rPr>
        <w:t>bottle.</w:t>
      </w:r>
    </w:p>
    <w:p>
      <w:pPr>
        <w:pStyle w:val="BodyText"/>
      </w:pPr>
    </w:p>
    <w:p>
      <w:pPr>
        <w:pStyle w:val="BodyText"/>
        <w:spacing w:before="142"/>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Determination</w:t>
      </w:r>
      <w:r>
        <w:rPr>
          <w:i/>
          <w:spacing w:val="-2"/>
          <w:sz w:val="24"/>
        </w:rPr>
        <w:t> </w:t>
      </w:r>
      <w:r>
        <w:rPr>
          <w:i/>
          <w:sz w:val="24"/>
        </w:rPr>
        <w:t>of</w:t>
      </w:r>
      <w:r>
        <w:rPr>
          <w:i/>
          <w:spacing w:val="-1"/>
          <w:sz w:val="24"/>
        </w:rPr>
        <w:t> </w:t>
      </w:r>
      <w:r>
        <w:rPr>
          <w:i/>
          <w:sz w:val="24"/>
        </w:rPr>
        <w:t>refractive</w:t>
      </w:r>
      <w:r>
        <w:rPr>
          <w:i/>
          <w:spacing w:val="-1"/>
          <w:sz w:val="24"/>
        </w:rPr>
        <w:t> </w:t>
      </w:r>
      <w:r>
        <w:rPr>
          <w:i/>
          <w:spacing w:val="-4"/>
          <w:sz w:val="24"/>
        </w:rPr>
        <w:t>index</w:t>
      </w:r>
    </w:p>
    <w:p>
      <w:pPr>
        <w:pStyle w:val="BodyText"/>
        <w:rPr>
          <w:i/>
        </w:rPr>
      </w:pPr>
    </w:p>
    <w:p>
      <w:pPr>
        <w:pStyle w:val="BodyText"/>
        <w:spacing w:line="480" w:lineRule="auto"/>
        <w:ind w:left="1028"/>
      </w:pPr>
      <w:r>
        <w:rPr/>
        <w:t>The</w:t>
      </w:r>
      <w:r>
        <w:rPr>
          <w:spacing w:val="28"/>
        </w:rPr>
        <w:t> </w:t>
      </w:r>
      <w:r>
        <w:rPr/>
        <w:t>refractive</w:t>
      </w:r>
      <w:r>
        <w:rPr>
          <w:spacing w:val="32"/>
        </w:rPr>
        <w:t> </w:t>
      </w:r>
      <w:r>
        <w:rPr/>
        <w:t>indexes</w:t>
      </w:r>
      <w:r>
        <w:rPr>
          <w:spacing w:val="26"/>
        </w:rPr>
        <w:t> </w:t>
      </w:r>
      <w:r>
        <w:rPr/>
        <w:t>of the</w:t>
      </w:r>
      <w:r>
        <w:rPr>
          <w:spacing w:val="28"/>
        </w:rPr>
        <w:t> </w:t>
      </w:r>
      <w:r>
        <w:rPr/>
        <w:t>oils</w:t>
      </w:r>
      <w:r>
        <w:rPr>
          <w:spacing w:val="27"/>
        </w:rPr>
        <w:t> </w:t>
      </w:r>
      <w:r>
        <w:rPr/>
        <w:t>were</w:t>
      </w:r>
      <w:r>
        <w:rPr>
          <w:spacing w:val="28"/>
        </w:rPr>
        <w:t> </w:t>
      </w:r>
      <w:r>
        <w:rPr/>
        <w:t>determined</w:t>
      </w:r>
      <w:r>
        <w:rPr>
          <w:spacing w:val="28"/>
        </w:rPr>
        <w:t> </w:t>
      </w:r>
      <w:r>
        <w:rPr/>
        <w:t>using</w:t>
      </w:r>
      <w:r>
        <w:rPr>
          <w:spacing w:val="28"/>
        </w:rPr>
        <w:t> </w:t>
      </w:r>
      <w:r>
        <w:rPr/>
        <w:t>an</w:t>
      </w:r>
      <w:r>
        <w:rPr>
          <w:spacing w:val="28"/>
        </w:rPr>
        <w:t> </w:t>
      </w:r>
      <w:r>
        <w:rPr/>
        <w:t>Abbe</w:t>
      </w:r>
      <w:r>
        <w:rPr>
          <w:spacing w:val="28"/>
        </w:rPr>
        <w:t> </w:t>
      </w:r>
      <w:r>
        <w:rPr/>
        <w:t>refractometer</w:t>
      </w:r>
      <w:r>
        <w:rPr>
          <w:spacing w:val="30"/>
        </w:rPr>
        <w:t> </w:t>
      </w:r>
      <w:r>
        <w:rPr/>
        <w:t>with temperature control set at 25</w:t>
      </w:r>
      <w:r>
        <w:rPr>
          <w:vertAlign w:val="superscript"/>
        </w:rPr>
        <w:t>o</w:t>
      </w:r>
      <w:r>
        <w:rPr>
          <w:vertAlign w:val="baseline"/>
        </w:rPr>
        <w:t>C (AOAC, 1990).</w:t>
      </w:r>
    </w:p>
    <w:p>
      <w:pPr>
        <w:pStyle w:val="BodyText"/>
        <w:spacing w:before="272"/>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Determination of</w:t>
      </w:r>
      <w:r>
        <w:rPr>
          <w:i/>
          <w:spacing w:val="-1"/>
          <w:sz w:val="24"/>
        </w:rPr>
        <w:t> </w:t>
      </w:r>
      <w:r>
        <w:rPr>
          <w:i/>
          <w:sz w:val="24"/>
        </w:rPr>
        <w:t>free fatty </w:t>
      </w:r>
      <w:r>
        <w:rPr>
          <w:i/>
          <w:spacing w:val="-2"/>
          <w:sz w:val="24"/>
        </w:rPr>
        <w:t>acids</w:t>
      </w:r>
    </w:p>
    <w:p>
      <w:pPr>
        <w:pStyle w:val="BodyText"/>
        <w:rPr>
          <w:i/>
        </w:rPr>
      </w:pPr>
    </w:p>
    <w:p>
      <w:pPr>
        <w:pStyle w:val="BodyText"/>
        <w:spacing w:line="480" w:lineRule="auto"/>
        <w:ind w:left="1028" w:right="806"/>
        <w:jc w:val="both"/>
      </w:pPr>
      <w:r>
        <w:rPr/>
        <w:t>One (1) g of</w:t>
      </w:r>
      <w:r>
        <w:rPr>
          <w:spacing w:val="-3"/>
        </w:rPr>
        <w:t> </w:t>
      </w:r>
      <w:r>
        <w:rPr/>
        <w:t>each oil sample was placed in a 250 ml conical flask and warmed. Twenty five (25) ml of methanol was added with thorough stirring followed by addition of 2 drops</w:t>
      </w:r>
      <w:r>
        <w:rPr>
          <w:spacing w:val="-1"/>
        </w:rPr>
        <w:t> </w:t>
      </w:r>
      <w:r>
        <w:rPr/>
        <w:t>of</w:t>
      </w:r>
      <w:r>
        <w:rPr>
          <w:spacing w:val="-2"/>
        </w:rPr>
        <w:t> </w:t>
      </w:r>
      <w:r>
        <w:rPr/>
        <w:t>phenolphthalein indicator and a drop of</w:t>
      </w:r>
      <w:r>
        <w:rPr>
          <w:spacing w:val="-2"/>
        </w:rPr>
        <w:t> </w:t>
      </w:r>
      <w:r>
        <w:rPr/>
        <w:t>0.14M sodium hydroxide. The content was titrated with 0.14M sodium hydroxide until a</w:t>
      </w:r>
      <w:r>
        <w:rPr>
          <w:spacing w:val="18"/>
        </w:rPr>
        <w:t> </w:t>
      </w:r>
      <w:r>
        <w:rPr/>
        <w:t>light pink colour which persisted for</w:t>
      </w:r>
      <w:r>
        <w:rPr>
          <w:spacing w:val="40"/>
        </w:rPr>
        <w:t> </w:t>
      </w:r>
      <w:r>
        <w:rPr/>
        <w:t>1 min was seen. The titre was recorded and used to calculate the free fatty</w:t>
      </w:r>
      <w:r>
        <w:rPr>
          <w:spacing w:val="-5"/>
        </w:rPr>
        <w:t> </w:t>
      </w:r>
      <w:r>
        <w:rPr/>
        <w:t>acids (FFA).</w:t>
      </w:r>
    </w:p>
    <w:p>
      <w:pPr>
        <w:pStyle w:val="BodyText"/>
      </w:pPr>
    </w:p>
    <w:p>
      <w:pPr>
        <w:pStyle w:val="BodyText"/>
        <w:spacing w:before="1"/>
      </w:pPr>
    </w:p>
    <w:p>
      <w:pPr>
        <w:pStyle w:val="BodyText"/>
        <w:ind w:left="1028"/>
      </w:pPr>
      <w:r>
        <w:rPr/>
        <w:t>FFA</w:t>
      </w:r>
      <w:r>
        <w:rPr>
          <w:spacing w:val="-6"/>
        </w:rPr>
        <w:t> </w:t>
      </w:r>
      <w:r>
        <w:rPr/>
        <w:t>(as</w:t>
      </w:r>
      <w:r>
        <w:rPr>
          <w:spacing w:val="-1"/>
        </w:rPr>
        <w:t> </w:t>
      </w:r>
      <w:r>
        <w:rPr/>
        <w:t>oleic)</w:t>
      </w:r>
      <w:r>
        <w:rPr>
          <w:spacing w:val="1"/>
        </w:rPr>
        <w:t> </w:t>
      </w:r>
      <w:r>
        <w:rPr/>
        <w:t>=</w:t>
      </w:r>
      <w:r>
        <w:rPr>
          <w:spacing w:val="2"/>
        </w:rPr>
        <w:t> </w:t>
      </w:r>
      <w:r>
        <w:rPr>
          <w:u w:val="single"/>
        </w:rPr>
        <w:t>Titre x</w:t>
      </w:r>
      <w:r>
        <w:rPr>
          <w:spacing w:val="-3"/>
          <w:u w:val="single"/>
        </w:rPr>
        <w:t> </w:t>
      </w:r>
      <w:r>
        <w:rPr>
          <w:u w:val="single"/>
        </w:rPr>
        <w:t>M</w:t>
      </w:r>
      <w:r>
        <w:rPr>
          <w:spacing w:val="-1"/>
          <w:u w:val="single"/>
        </w:rPr>
        <w:t> </w:t>
      </w:r>
      <w:r>
        <w:rPr>
          <w:u w:val="single"/>
        </w:rPr>
        <w:t>x</w:t>
      </w:r>
      <w:r>
        <w:rPr>
          <w:spacing w:val="-4"/>
          <w:u w:val="single"/>
        </w:rPr>
        <w:t> 28.2</w:t>
      </w:r>
    </w:p>
    <w:p>
      <w:pPr>
        <w:pStyle w:val="BodyText"/>
        <w:spacing w:before="142"/>
        <w:ind w:left="2468"/>
      </w:pPr>
      <w:r>
        <w:rPr/>
        <w:t>Weight</w:t>
      </w:r>
      <w:r>
        <w:rPr>
          <w:spacing w:val="4"/>
        </w:rPr>
        <w:t> </w:t>
      </w:r>
      <w:r>
        <w:rPr/>
        <w:t>of</w:t>
      </w:r>
      <w:r>
        <w:rPr>
          <w:spacing w:val="-8"/>
        </w:rPr>
        <w:t> </w:t>
      </w:r>
      <w:r>
        <w:rPr/>
        <w:t>oil</w:t>
      </w:r>
      <w:r>
        <w:rPr>
          <w:spacing w:val="-4"/>
        </w:rPr>
        <w:t> </w:t>
      </w:r>
      <w:r>
        <w:rPr>
          <w:spacing w:val="-2"/>
        </w:rPr>
        <w:t>sample.</w:t>
      </w:r>
    </w:p>
    <w:p>
      <w:pPr>
        <w:pStyle w:val="BodyText"/>
        <w:spacing w:before="274"/>
      </w:pPr>
    </w:p>
    <w:p>
      <w:pPr>
        <w:pStyle w:val="BodyText"/>
        <w:ind w:left="1028"/>
      </w:pPr>
      <w:r>
        <w:rPr/>
        <w:t>And</w:t>
      </w:r>
      <w:r>
        <w:rPr>
          <w:spacing w:val="-1"/>
        </w:rPr>
        <w:t> </w:t>
      </w:r>
      <w:r>
        <w:rPr/>
        <w:t>M</w:t>
      </w:r>
      <w:r>
        <w:rPr>
          <w:spacing w:val="2"/>
        </w:rPr>
        <w:t> </w:t>
      </w:r>
      <w:r>
        <w:rPr/>
        <w:t>is</w:t>
      </w:r>
      <w:r>
        <w:rPr>
          <w:spacing w:val="-2"/>
        </w:rPr>
        <w:t> </w:t>
      </w:r>
      <w:r>
        <w:rPr/>
        <w:t>the</w:t>
      </w:r>
      <w:r>
        <w:rPr>
          <w:spacing w:val="4"/>
        </w:rPr>
        <w:t> </w:t>
      </w:r>
      <w:r>
        <w:rPr/>
        <w:t>molarity</w:t>
      </w:r>
      <w:r>
        <w:rPr>
          <w:spacing w:val="-10"/>
        </w:rPr>
        <w:t> </w:t>
      </w:r>
      <w:r>
        <w:rPr/>
        <w:t>of</w:t>
      </w:r>
      <w:r>
        <w:rPr>
          <w:spacing w:val="-7"/>
        </w:rPr>
        <w:t> </w:t>
      </w:r>
      <w:r>
        <w:rPr/>
        <w:t>the</w:t>
      </w:r>
      <w:r>
        <w:rPr>
          <w:spacing w:val="4"/>
        </w:rPr>
        <w:t> </w:t>
      </w:r>
      <w:r>
        <w:rPr>
          <w:spacing w:val="-4"/>
        </w:rPr>
        <w:t>base.</w:t>
      </w:r>
    </w:p>
    <w:p>
      <w:pPr>
        <w:pStyle w:val="BodyText"/>
      </w:pPr>
    </w:p>
    <w:p>
      <w:pPr>
        <w:pStyle w:val="BodyText"/>
      </w:pPr>
    </w:p>
    <w:p>
      <w:pPr>
        <w:pStyle w:val="BodyText"/>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Determination of</w:t>
      </w:r>
      <w:r>
        <w:rPr>
          <w:i/>
          <w:spacing w:val="1"/>
          <w:sz w:val="24"/>
        </w:rPr>
        <w:t> </w:t>
      </w:r>
      <w:r>
        <w:rPr>
          <w:i/>
          <w:sz w:val="24"/>
        </w:rPr>
        <w:t>acid</w:t>
      </w:r>
      <w:r>
        <w:rPr>
          <w:i/>
          <w:spacing w:val="1"/>
          <w:sz w:val="24"/>
        </w:rPr>
        <w:t> </w:t>
      </w:r>
      <w:r>
        <w:rPr>
          <w:i/>
          <w:spacing w:val="-2"/>
          <w:sz w:val="24"/>
        </w:rPr>
        <w:t>value</w:t>
      </w:r>
    </w:p>
    <w:p>
      <w:pPr>
        <w:pStyle w:val="BodyText"/>
        <w:rPr>
          <w:i/>
        </w:rPr>
      </w:pPr>
    </w:p>
    <w:p>
      <w:pPr>
        <w:pStyle w:val="BodyText"/>
        <w:spacing w:line="480" w:lineRule="auto"/>
        <w:ind w:left="1028" w:right="3629"/>
      </w:pPr>
      <w:r>
        <w:rPr/>
        <w:t>The</w:t>
      </w:r>
      <w:r>
        <w:rPr>
          <w:spacing w:val="-5"/>
        </w:rPr>
        <w:t> </w:t>
      </w:r>
      <w:r>
        <w:rPr/>
        <w:t>acid value</w:t>
      </w:r>
      <w:r>
        <w:rPr>
          <w:spacing w:val="-5"/>
        </w:rPr>
        <w:t> </w:t>
      </w:r>
      <w:r>
        <w:rPr/>
        <w:t>was</w:t>
      </w:r>
      <w:r>
        <w:rPr>
          <w:spacing w:val="-6"/>
        </w:rPr>
        <w:t> </w:t>
      </w:r>
      <w:r>
        <w:rPr/>
        <w:t>calculated from</w:t>
      </w:r>
      <w:r>
        <w:rPr>
          <w:spacing w:val="-12"/>
        </w:rPr>
        <w:t> </w:t>
      </w:r>
      <w:r>
        <w:rPr/>
        <w:t>the</w:t>
      </w:r>
      <w:r>
        <w:rPr>
          <w:spacing w:val="-5"/>
        </w:rPr>
        <w:t> </w:t>
      </w:r>
      <w:r>
        <w:rPr/>
        <w:t>FFA</w:t>
      </w:r>
      <w:r>
        <w:rPr>
          <w:spacing w:val="-10"/>
        </w:rPr>
        <w:t> </w:t>
      </w:r>
      <w:r>
        <w:rPr/>
        <w:t>as</w:t>
      </w:r>
      <w:r>
        <w:rPr>
          <w:spacing w:val="-2"/>
        </w:rPr>
        <w:t> </w:t>
      </w:r>
      <w:r>
        <w:rPr/>
        <w:t>follows: Acid Value (mg/g) = %FFA (as oleic) x 1.99.</w:t>
      </w:r>
    </w:p>
    <w:p>
      <w:pPr>
        <w:spacing w:after="0" w:line="480" w:lineRule="auto"/>
        <w:sectPr>
          <w:pgSz w:w="11910" w:h="16840"/>
          <w:pgMar w:header="0" w:footer="1012" w:top="1320" w:bottom="1200" w:left="960" w:right="620"/>
        </w:sectPr>
      </w:pPr>
    </w:p>
    <w:p>
      <w:pPr>
        <w:pStyle w:val="ListParagraph"/>
        <w:numPr>
          <w:ilvl w:val="3"/>
          <w:numId w:val="17"/>
        </w:numPr>
        <w:tabs>
          <w:tab w:pos="1747" w:val="left" w:leader="none"/>
        </w:tabs>
        <w:spacing w:line="240" w:lineRule="auto" w:before="79" w:after="0"/>
        <w:ind w:left="1747" w:right="0" w:hanging="719"/>
        <w:jc w:val="left"/>
        <w:rPr>
          <w:i/>
          <w:sz w:val="24"/>
        </w:rPr>
      </w:pPr>
      <w:r>
        <w:rPr>
          <w:i/>
          <w:sz w:val="24"/>
        </w:rPr>
        <w:t>Determination</w:t>
      </w:r>
      <w:r>
        <w:rPr>
          <w:i/>
          <w:spacing w:val="-2"/>
          <w:sz w:val="24"/>
        </w:rPr>
        <w:t> </w:t>
      </w:r>
      <w:r>
        <w:rPr>
          <w:i/>
          <w:sz w:val="24"/>
        </w:rPr>
        <w:t>of</w:t>
      </w:r>
      <w:r>
        <w:rPr>
          <w:i/>
          <w:spacing w:val="-1"/>
          <w:sz w:val="24"/>
        </w:rPr>
        <w:t> </w:t>
      </w:r>
      <w:r>
        <w:rPr>
          <w:i/>
          <w:sz w:val="24"/>
        </w:rPr>
        <w:t>peroxide</w:t>
      </w:r>
      <w:r>
        <w:rPr>
          <w:i/>
          <w:spacing w:val="-2"/>
          <w:sz w:val="24"/>
        </w:rPr>
        <w:t> value</w:t>
      </w:r>
    </w:p>
    <w:p>
      <w:pPr>
        <w:pStyle w:val="BodyText"/>
        <w:rPr>
          <w:i/>
        </w:rPr>
      </w:pPr>
    </w:p>
    <w:p>
      <w:pPr>
        <w:pStyle w:val="BodyText"/>
        <w:spacing w:line="480" w:lineRule="auto"/>
        <w:ind w:left="1028" w:right="804"/>
        <w:jc w:val="both"/>
      </w:pPr>
      <w:r>
        <w:rPr/>
        <w:t>Four (4) g</w:t>
      </w:r>
      <w:r>
        <w:rPr>
          <w:spacing w:val="-5"/>
        </w:rPr>
        <w:t> </w:t>
      </w:r>
      <w:r>
        <w:rPr/>
        <w:t>of</w:t>
      </w:r>
      <w:r>
        <w:rPr>
          <w:spacing w:val="-8"/>
        </w:rPr>
        <w:t> </w:t>
      </w:r>
      <w:r>
        <w:rPr/>
        <w:t>each</w:t>
      </w:r>
      <w:r>
        <w:rPr>
          <w:spacing w:val="-5"/>
        </w:rPr>
        <w:t> </w:t>
      </w:r>
      <w:r>
        <w:rPr/>
        <w:t>oil</w:t>
      </w:r>
      <w:r>
        <w:rPr>
          <w:spacing w:val="-5"/>
        </w:rPr>
        <w:t> </w:t>
      </w:r>
      <w:r>
        <w:rPr/>
        <w:t>sample</w:t>
      </w:r>
      <w:r>
        <w:rPr>
          <w:spacing w:val="-1"/>
        </w:rPr>
        <w:t> </w:t>
      </w:r>
      <w:r>
        <w:rPr/>
        <w:t>was</w:t>
      </w:r>
      <w:r>
        <w:rPr>
          <w:spacing w:val="-2"/>
        </w:rPr>
        <w:t> </w:t>
      </w:r>
      <w:r>
        <w:rPr/>
        <w:t>weighed into a</w:t>
      </w:r>
      <w:r>
        <w:rPr>
          <w:spacing w:val="-1"/>
        </w:rPr>
        <w:t> </w:t>
      </w:r>
      <w:r>
        <w:rPr/>
        <w:t>250 ml</w:t>
      </w:r>
      <w:r>
        <w:rPr>
          <w:spacing w:val="-9"/>
        </w:rPr>
        <w:t> </w:t>
      </w:r>
      <w:r>
        <w:rPr/>
        <w:t>conical</w:t>
      </w:r>
      <w:r>
        <w:rPr>
          <w:spacing w:val="-5"/>
        </w:rPr>
        <w:t> </w:t>
      </w:r>
      <w:r>
        <w:rPr/>
        <w:t>flask to which</w:t>
      </w:r>
      <w:r>
        <w:rPr>
          <w:spacing w:val="-5"/>
        </w:rPr>
        <w:t> </w:t>
      </w:r>
      <w:r>
        <w:rPr/>
        <w:t>30 ml</w:t>
      </w:r>
      <w:r>
        <w:rPr>
          <w:spacing w:val="-5"/>
        </w:rPr>
        <w:t> </w:t>
      </w:r>
      <w:r>
        <w:rPr/>
        <w:t>of glacial acetic acid / chloroform (3:2) was added. The contents were shaken until they dissolved. One (1) ml of 5% KI solution was then added followed by addition of 0.5ml of 1% starch indicator. This was titrated with 0.1M Na</w:t>
      </w:r>
      <w:r>
        <w:rPr>
          <w:vertAlign w:val="subscript"/>
        </w:rPr>
        <w:t>2</w:t>
      </w:r>
      <w:r>
        <w:rPr>
          <w:vertAlign w:val="baseline"/>
        </w:rPr>
        <w:t>S</w:t>
      </w:r>
      <w:r>
        <w:rPr>
          <w:vertAlign w:val="subscript"/>
        </w:rPr>
        <w:t>2</w:t>
      </w:r>
      <w:r>
        <w:rPr>
          <w:vertAlign w:val="baseline"/>
        </w:rPr>
        <w:t>O</w:t>
      </w:r>
      <w:r>
        <w:rPr>
          <w:vertAlign w:val="subscript"/>
        </w:rPr>
        <w:t>3</w:t>
      </w:r>
      <w:r>
        <w:rPr>
          <w:vertAlign w:val="baseline"/>
        </w:rPr>
        <w:t> until the dark colour just disappeared. Blank determinations were also carried out (British Standard Institute</w:t>
      </w:r>
      <w:r>
        <w:rPr>
          <w:spacing w:val="40"/>
          <w:vertAlign w:val="baseline"/>
        </w:rPr>
        <w:t> </w:t>
      </w:r>
      <w:r>
        <w:rPr>
          <w:vertAlign w:val="baseline"/>
        </w:rPr>
        <w:t>684). The peroxide value was calculated thus:</w:t>
      </w:r>
    </w:p>
    <w:p>
      <w:pPr>
        <w:pStyle w:val="BodyText"/>
        <w:spacing w:before="2"/>
        <w:ind w:left="1028"/>
        <w:jc w:val="both"/>
      </w:pPr>
      <w:r>
        <w:rPr/>
        <w:t>Peroxide</w:t>
      </w:r>
      <w:r>
        <w:rPr>
          <w:spacing w:val="-1"/>
        </w:rPr>
        <w:t> </w:t>
      </w:r>
      <w:r>
        <w:rPr/>
        <w:t>value</w:t>
      </w:r>
      <w:r>
        <w:rPr>
          <w:spacing w:val="63"/>
        </w:rPr>
        <w:t> </w:t>
      </w:r>
      <w:r>
        <w:rPr/>
        <w:t>(mEq/kg)</w:t>
      </w:r>
      <w:r>
        <w:rPr>
          <w:spacing w:val="4"/>
        </w:rPr>
        <w:t> </w:t>
      </w:r>
      <w:r>
        <w:rPr/>
        <w:t>=</w:t>
      </w:r>
      <w:r>
        <w:rPr>
          <w:spacing w:val="43"/>
        </w:rPr>
        <w:t>  </w:t>
      </w:r>
      <w:r>
        <w:rPr>
          <w:u w:val="single"/>
        </w:rPr>
        <w:t>(S</w:t>
      </w:r>
      <w:r>
        <w:rPr>
          <w:spacing w:val="3"/>
          <w:u w:val="single"/>
        </w:rPr>
        <w:t> </w:t>
      </w:r>
      <w:r>
        <w:rPr>
          <w:u w:val="single"/>
        </w:rPr>
        <w:t>–</w:t>
      </w:r>
      <w:r>
        <w:rPr>
          <w:spacing w:val="-3"/>
          <w:u w:val="single"/>
        </w:rPr>
        <w:t> </w:t>
      </w:r>
      <w:r>
        <w:rPr>
          <w:u w:val="single"/>
        </w:rPr>
        <w:t>B)</w:t>
      </w:r>
      <w:r>
        <w:rPr>
          <w:spacing w:val="2"/>
          <w:u w:val="single"/>
        </w:rPr>
        <w:t> </w:t>
      </w:r>
      <w:r>
        <w:rPr>
          <w:u w:val="single"/>
        </w:rPr>
        <w:t>x</w:t>
      </w:r>
      <w:r>
        <w:rPr>
          <w:spacing w:val="-4"/>
          <w:u w:val="single"/>
        </w:rPr>
        <w:t> </w:t>
      </w:r>
      <w:r>
        <w:rPr>
          <w:u w:val="single"/>
        </w:rPr>
        <w:t>10,000</w:t>
      </w:r>
      <w:r>
        <w:rPr>
          <w:spacing w:val="-3"/>
          <w:u w:val="single"/>
        </w:rPr>
        <w:t> </w:t>
      </w:r>
      <w:r>
        <w:rPr>
          <w:u w:val="single"/>
        </w:rPr>
        <w:t>x</w:t>
      </w:r>
      <w:r>
        <w:rPr>
          <w:spacing w:val="-3"/>
          <w:u w:val="single"/>
        </w:rPr>
        <w:t> </w:t>
      </w:r>
      <w:r>
        <w:rPr>
          <w:spacing w:val="-10"/>
          <w:u w:val="single"/>
        </w:rPr>
        <w:t>M</w:t>
      </w:r>
    </w:p>
    <w:p>
      <w:pPr>
        <w:pStyle w:val="BodyText"/>
        <w:spacing w:before="137"/>
        <w:ind w:right="841"/>
        <w:jc w:val="center"/>
      </w:pPr>
      <w:r>
        <w:rPr>
          <w:spacing w:val="-10"/>
        </w:rPr>
        <w:t>W</w:t>
      </w:r>
    </w:p>
    <w:p>
      <w:pPr>
        <w:pStyle w:val="BodyText"/>
      </w:pPr>
    </w:p>
    <w:p>
      <w:pPr>
        <w:pStyle w:val="BodyText"/>
        <w:spacing w:line="480" w:lineRule="auto"/>
        <w:ind w:left="1028" w:right="798"/>
        <w:jc w:val="both"/>
      </w:pPr>
      <w:r>
        <w:rPr/>
        <w:t>Where B = blank titre, S = sample titre, M = molarity of Na</w:t>
      </w:r>
      <w:r>
        <w:rPr>
          <w:vertAlign w:val="subscript"/>
        </w:rPr>
        <w:t>2</w:t>
      </w:r>
      <w:r>
        <w:rPr>
          <w:vertAlign w:val="baseline"/>
        </w:rPr>
        <w:t>S</w:t>
      </w:r>
      <w:r>
        <w:rPr>
          <w:vertAlign w:val="subscript"/>
        </w:rPr>
        <w:t>2</w:t>
      </w:r>
      <w:r>
        <w:rPr>
          <w:vertAlign w:val="baseline"/>
        </w:rPr>
        <w:t>O</w:t>
      </w:r>
      <w:r>
        <w:rPr>
          <w:vertAlign w:val="subscript"/>
        </w:rPr>
        <w:t>3</w:t>
      </w:r>
      <w:r>
        <w:rPr>
          <w:vertAlign w:val="baseline"/>
        </w:rPr>
        <w:t>,</w:t>
      </w:r>
      <w:r>
        <w:rPr>
          <w:spacing w:val="-1"/>
          <w:vertAlign w:val="baseline"/>
        </w:rPr>
        <w:t> </w:t>
      </w:r>
      <w:r>
        <w:rPr>
          <w:vertAlign w:val="baseline"/>
        </w:rPr>
        <w:t>and W = weight of </w:t>
      </w:r>
      <w:r>
        <w:rPr>
          <w:spacing w:val="-4"/>
          <w:vertAlign w:val="baseline"/>
        </w:rPr>
        <w:t>oil.</w:t>
      </w:r>
    </w:p>
    <w:p>
      <w:pPr>
        <w:pStyle w:val="BodyText"/>
      </w:pPr>
    </w:p>
    <w:p>
      <w:pPr>
        <w:pStyle w:val="BodyText"/>
      </w:pPr>
    </w:p>
    <w:p>
      <w:pPr>
        <w:pStyle w:val="ListParagraph"/>
        <w:numPr>
          <w:ilvl w:val="3"/>
          <w:numId w:val="17"/>
        </w:numPr>
        <w:tabs>
          <w:tab w:pos="1752" w:val="left" w:leader="none"/>
        </w:tabs>
        <w:spacing w:line="240" w:lineRule="auto" w:before="1" w:after="0"/>
        <w:ind w:left="1752" w:right="0" w:hanging="724"/>
        <w:jc w:val="left"/>
        <w:rPr>
          <w:i/>
          <w:sz w:val="24"/>
        </w:rPr>
      </w:pPr>
      <w:r>
        <w:rPr>
          <w:i/>
          <w:sz w:val="24"/>
        </w:rPr>
        <w:t>Determination</w:t>
      </w:r>
      <w:r>
        <w:rPr>
          <w:i/>
          <w:spacing w:val="-3"/>
          <w:sz w:val="24"/>
        </w:rPr>
        <w:t> </w:t>
      </w:r>
      <w:r>
        <w:rPr>
          <w:i/>
          <w:sz w:val="24"/>
        </w:rPr>
        <w:t>of</w:t>
      </w:r>
      <w:r>
        <w:rPr>
          <w:i/>
          <w:spacing w:val="-1"/>
          <w:sz w:val="24"/>
        </w:rPr>
        <w:t> </w:t>
      </w:r>
      <w:r>
        <w:rPr>
          <w:i/>
          <w:sz w:val="24"/>
        </w:rPr>
        <w:t>saponification</w:t>
      </w:r>
      <w:r>
        <w:rPr>
          <w:i/>
          <w:spacing w:val="-5"/>
          <w:sz w:val="24"/>
        </w:rPr>
        <w:t> </w:t>
      </w:r>
      <w:r>
        <w:rPr>
          <w:i/>
          <w:spacing w:val="-2"/>
          <w:sz w:val="24"/>
        </w:rPr>
        <w:t>value</w:t>
      </w:r>
    </w:p>
    <w:p>
      <w:pPr>
        <w:pStyle w:val="BodyText"/>
        <w:spacing w:line="480" w:lineRule="auto" w:before="276"/>
        <w:ind w:left="1028" w:right="809"/>
        <w:jc w:val="both"/>
      </w:pPr>
      <w:r>
        <w:rPr/>
        <w:t>Two (2) g of each oil sample was weighed into a conical flask and 25 ml of 0.5M ethanol KOH solution was added. A reflux condenser was fitted to each of the conical flasks and the mixture was refluxed for 30 min, while swirling until it simmered. The mixture was titrated with 0.5M HCl using phenolphthalein as indicator. Blank determinations were carried out under the same conditions (British Standard Institute 684). The saponification value was calculated thus.</w:t>
      </w:r>
    </w:p>
    <w:p>
      <w:pPr>
        <w:pStyle w:val="BodyText"/>
      </w:pPr>
    </w:p>
    <w:p>
      <w:pPr>
        <w:pStyle w:val="BodyText"/>
        <w:spacing w:before="1"/>
      </w:pPr>
    </w:p>
    <w:p>
      <w:pPr>
        <w:pStyle w:val="BodyText"/>
        <w:tabs>
          <w:tab w:pos="4941" w:val="left" w:leader="none"/>
        </w:tabs>
        <w:ind w:left="1748"/>
      </w:pPr>
      <w:r>
        <w:rPr/>
        <w:t>Saponification</w:t>
      </w:r>
      <w:r>
        <w:rPr>
          <w:spacing w:val="-9"/>
        </w:rPr>
        <w:t> </w:t>
      </w:r>
      <w:r>
        <w:rPr/>
        <w:t>value</w:t>
      </w:r>
      <w:r>
        <w:rPr>
          <w:spacing w:val="-2"/>
        </w:rPr>
        <w:t> </w:t>
      </w:r>
      <w:r>
        <w:rPr/>
        <w:t>(mg/g) </w:t>
      </w:r>
      <w:r>
        <w:rPr>
          <w:spacing w:val="-10"/>
        </w:rPr>
        <w:t>=</w:t>
      </w:r>
      <w:r>
        <w:rPr/>
        <w:tab/>
      </w:r>
      <w:r>
        <w:rPr>
          <w:u w:val="single"/>
        </w:rPr>
        <w:t>(B</w:t>
      </w:r>
      <w:r>
        <w:rPr>
          <w:spacing w:val="-1"/>
          <w:u w:val="single"/>
        </w:rPr>
        <w:t> </w:t>
      </w:r>
      <w:r>
        <w:rPr>
          <w:u w:val="single"/>
        </w:rPr>
        <w:t>–</w:t>
      </w:r>
      <w:r>
        <w:rPr>
          <w:spacing w:val="-4"/>
          <w:u w:val="single"/>
        </w:rPr>
        <w:t> </w:t>
      </w:r>
      <w:r>
        <w:rPr>
          <w:u w:val="single"/>
        </w:rPr>
        <w:t>S)</w:t>
      </w:r>
      <w:r>
        <w:rPr>
          <w:spacing w:val="3"/>
          <w:u w:val="single"/>
        </w:rPr>
        <w:t> </w:t>
      </w:r>
      <w:r>
        <w:rPr>
          <w:u w:val="single"/>
        </w:rPr>
        <w:t>x</w:t>
      </w:r>
      <w:r>
        <w:rPr>
          <w:spacing w:val="-3"/>
          <w:u w:val="single"/>
        </w:rPr>
        <w:t> </w:t>
      </w:r>
      <w:r>
        <w:rPr>
          <w:spacing w:val="-5"/>
          <w:u w:val="single"/>
        </w:rPr>
        <w:t>12</w:t>
      </w:r>
    </w:p>
    <w:p>
      <w:pPr>
        <w:pStyle w:val="BodyText"/>
        <w:spacing w:before="137"/>
        <w:ind w:left="1087"/>
        <w:jc w:val="center"/>
      </w:pPr>
      <w:r>
        <w:rPr>
          <w:spacing w:val="-10"/>
        </w:rPr>
        <w:t>W</w:t>
      </w:r>
    </w:p>
    <w:p>
      <w:pPr>
        <w:pStyle w:val="BodyText"/>
      </w:pPr>
    </w:p>
    <w:p>
      <w:pPr>
        <w:pStyle w:val="BodyText"/>
        <w:spacing w:before="2"/>
      </w:pPr>
    </w:p>
    <w:p>
      <w:pPr>
        <w:pStyle w:val="BodyText"/>
        <w:spacing w:before="1"/>
        <w:ind w:left="1028"/>
        <w:jc w:val="both"/>
      </w:pPr>
      <w:r>
        <w:rPr/>
        <w:t>Where</w:t>
      </w:r>
      <w:r>
        <w:rPr>
          <w:spacing w:val="-1"/>
        </w:rPr>
        <w:t> </w:t>
      </w:r>
      <w:r>
        <w:rPr/>
        <w:t>B</w:t>
      </w:r>
      <w:r>
        <w:rPr>
          <w:spacing w:val="-1"/>
        </w:rPr>
        <w:t> </w:t>
      </w:r>
      <w:r>
        <w:rPr/>
        <w:t>=</w:t>
      </w:r>
      <w:r>
        <w:rPr>
          <w:spacing w:val="-1"/>
        </w:rPr>
        <w:t> </w:t>
      </w:r>
      <w:r>
        <w:rPr/>
        <w:t>blank</w:t>
      </w:r>
      <w:r>
        <w:rPr>
          <w:spacing w:val="1"/>
        </w:rPr>
        <w:t> </w:t>
      </w:r>
      <w:r>
        <w:rPr/>
        <w:t>titre,</w:t>
      </w:r>
      <w:r>
        <w:rPr>
          <w:spacing w:val="-2"/>
        </w:rPr>
        <w:t> </w:t>
      </w:r>
      <w:r>
        <w:rPr/>
        <w:t>S</w:t>
      </w:r>
      <w:r>
        <w:rPr>
          <w:spacing w:val="1"/>
        </w:rPr>
        <w:t> </w:t>
      </w:r>
      <w:r>
        <w:rPr/>
        <w:t>=</w:t>
      </w:r>
      <w:r>
        <w:rPr>
          <w:spacing w:val="-5"/>
        </w:rPr>
        <w:t> </w:t>
      </w:r>
      <w:r>
        <w:rPr/>
        <w:t>sample</w:t>
      </w:r>
      <w:r>
        <w:rPr>
          <w:spacing w:val="-1"/>
        </w:rPr>
        <w:t> </w:t>
      </w:r>
      <w:r>
        <w:rPr/>
        <w:t>titre,</w:t>
      </w:r>
      <w:r>
        <w:rPr>
          <w:spacing w:val="3"/>
        </w:rPr>
        <w:t> </w:t>
      </w:r>
      <w:r>
        <w:rPr/>
        <w:t>and</w:t>
      </w:r>
      <w:r>
        <w:rPr>
          <w:spacing w:val="62"/>
        </w:rPr>
        <w:t> </w:t>
      </w:r>
      <w:r>
        <w:rPr/>
        <w:t>W</w:t>
      </w:r>
      <w:r>
        <w:rPr>
          <w:spacing w:val="-5"/>
        </w:rPr>
        <w:t> </w:t>
      </w:r>
      <w:r>
        <w:rPr/>
        <w:t>=</w:t>
      </w:r>
      <w:r>
        <w:rPr>
          <w:spacing w:val="-1"/>
        </w:rPr>
        <w:t> </w:t>
      </w:r>
      <w:r>
        <w:rPr/>
        <w:t>weight</w:t>
      </w:r>
      <w:r>
        <w:rPr>
          <w:spacing w:val="1"/>
        </w:rPr>
        <w:t> </w:t>
      </w:r>
      <w:r>
        <w:rPr/>
        <w:t>of</w:t>
      </w:r>
      <w:r>
        <w:rPr>
          <w:spacing w:val="-7"/>
        </w:rPr>
        <w:t> </w:t>
      </w:r>
      <w:r>
        <w:rPr>
          <w:spacing w:val="-4"/>
        </w:rPr>
        <w:t>oil.</w:t>
      </w:r>
    </w:p>
    <w:p>
      <w:pPr>
        <w:spacing w:after="0"/>
        <w:jc w:val="both"/>
        <w:sectPr>
          <w:pgSz w:w="11910" w:h="16840"/>
          <w:pgMar w:header="0" w:footer="1012" w:top="1320" w:bottom="1200" w:left="960" w:right="620"/>
        </w:sectPr>
      </w:pPr>
    </w:p>
    <w:p>
      <w:pPr>
        <w:pStyle w:val="ListParagraph"/>
        <w:numPr>
          <w:ilvl w:val="2"/>
          <w:numId w:val="17"/>
        </w:numPr>
        <w:tabs>
          <w:tab w:pos="1747" w:val="left" w:leader="none"/>
        </w:tabs>
        <w:spacing w:line="240" w:lineRule="auto" w:before="64" w:after="0"/>
        <w:ind w:left="1747" w:right="0" w:hanging="719"/>
        <w:jc w:val="both"/>
        <w:rPr>
          <w:b/>
          <w:sz w:val="24"/>
        </w:rPr>
      </w:pPr>
      <w:r>
        <w:rPr>
          <w:b/>
          <w:sz w:val="24"/>
        </w:rPr>
        <w:t>Detoxification of</w:t>
      </w:r>
      <w:r>
        <w:rPr>
          <w:b/>
          <w:spacing w:val="-2"/>
          <w:sz w:val="24"/>
        </w:rPr>
        <w:t> </w:t>
      </w:r>
      <w:r>
        <w:rPr>
          <w:b/>
          <w:i/>
          <w:sz w:val="24"/>
        </w:rPr>
        <w:t>Jatropha</w:t>
      </w:r>
      <w:r>
        <w:rPr>
          <w:b/>
          <w:i/>
          <w:spacing w:val="-1"/>
          <w:sz w:val="24"/>
        </w:rPr>
        <w:t> </w:t>
      </w:r>
      <w:r>
        <w:rPr>
          <w:b/>
          <w:i/>
          <w:sz w:val="24"/>
        </w:rPr>
        <w:t>curcas</w:t>
      </w:r>
      <w:r>
        <w:rPr>
          <w:b/>
          <w:i/>
          <w:spacing w:val="-1"/>
          <w:sz w:val="24"/>
        </w:rPr>
        <w:t> </w:t>
      </w:r>
      <w:r>
        <w:rPr>
          <w:b/>
          <w:spacing w:val="-5"/>
          <w:sz w:val="24"/>
        </w:rPr>
        <w:t>oil</w:t>
      </w:r>
    </w:p>
    <w:p>
      <w:pPr>
        <w:pStyle w:val="BodyText"/>
        <w:spacing w:line="480" w:lineRule="auto" w:before="271"/>
        <w:ind w:left="1028" w:right="799"/>
        <w:jc w:val="both"/>
      </w:pPr>
      <w:r>
        <w:rPr/>
        <w:t>The detoxification processes used for </w:t>
      </w:r>
      <w:r>
        <w:rPr>
          <w:i/>
        </w:rPr>
        <w:t>J</w:t>
      </w:r>
      <w:r>
        <w:rPr/>
        <w:t>. </w:t>
      </w:r>
      <w:r>
        <w:rPr>
          <w:i/>
        </w:rPr>
        <w:t>curcas </w:t>
      </w:r>
      <w:r>
        <w:rPr/>
        <w:t>seed oil comprised of the four major conventional edible oil treatment methods described by Bokisch (1993) with modifications, namely: Degumming, Deacidification, Bleaching (decolourization) and Deodorization in a stepwise sequence.</w:t>
      </w:r>
      <w:r>
        <w:rPr>
          <w:spacing w:val="40"/>
        </w:rPr>
        <w:t> </w:t>
      </w:r>
      <w:r>
        <w:rPr/>
        <w:t>Three detoxifications were carried out: solvent extracted oil synthetically detoxified (SDSE), mechanically extracted oil synthetically detoxified (SDME) and mechanically extracted oil detoxified with more natural materials (NDME).</w:t>
      </w:r>
    </w:p>
    <w:p>
      <w:pPr>
        <w:pStyle w:val="BodyText"/>
      </w:pPr>
    </w:p>
    <w:p>
      <w:pPr>
        <w:pStyle w:val="BodyText"/>
        <w:spacing w:before="2"/>
      </w:pPr>
    </w:p>
    <w:p>
      <w:pPr>
        <w:pStyle w:val="ListParagraph"/>
        <w:numPr>
          <w:ilvl w:val="3"/>
          <w:numId w:val="17"/>
        </w:numPr>
        <w:tabs>
          <w:tab w:pos="1747" w:val="left" w:leader="none"/>
        </w:tabs>
        <w:spacing w:line="240" w:lineRule="auto" w:before="0" w:after="0"/>
        <w:ind w:left="1747" w:right="0" w:hanging="719"/>
        <w:jc w:val="both"/>
        <w:rPr>
          <w:i/>
          <w:sz w:val="24"/>
        </w:rPr>
      </w:pPr>
      <w:r>
        <w:rPr>
          <w:i/>
          <w:sz w:val="24"/>
        </w:rPr>
        <w:t>Degumming</w:t>
      </w:r>
      <w:r>
        <w:rPr>
          <w:i/>
          <w:spacing w:val="-1"/>
          <w:sz w:val="24"/>
        </w:rPr>
        <w:t> </w:t>
      </w:r>
      <w:r>
        <w:rPr>
          <w:i/>
          <w:sz w:val="24"/>
        </w:rPr>
        <w:t>of the</w:t>
      </w:r>
      <w:r>
        <w:rPr>
          <w:i/>
          <w:spacing w:val="1"/>
          <w:sz w:val="24"/>
        </w:rPr>
        <w:t> </w:t>
      </w:r>
      <w:r>
        <w:rPr>
          <w:i/>
          <w:spacing w:val="-4"/>
          <w:sz w:val="24"/>
        </w:rPr>
        <w:t>oils</w:t>
      </w:r>
    </w:p>
    <w:p>
      <w:pPr>
        <w:pStyle w:val="BodyText"/>
        <w:rPr>
          <w:i/>
        </w:rPr>
      </w:pPr>
    </w:p>
    <w:p>
      <w:pPr>
        <w:pStyle w:val="BodyText"/>
        <w:spacing w:line="480" w:lineRule="auto"/>
        <w:ind w:left="1028" w:right="800"/>
        <w:jc w:val="both"/>
      </w:pPr>
      <w:r>
        <w:rPr/>
        <w:t>Four hundred and twenty five (425) ml solvent extracted and 325 ml mechanically extracted </w:t>
      </w:r>
      <w:r>
        <w:rPr>
          <w:i/>
        </w:rPr>
        <w:t>J</w:t>
      </w:r>
      <w:r>
        <w:rPr/>
        <w:t>. </w:t>
      </w:r>
      <w:r>
        <w:rPr>
          <w:i/>
        </w:rPr>
        <w:t>curcas </w:t>
      </w:r>
      <w:r>
        <w:rPr/>
        <w:t>seed oils were separately heated to 80°C on a hot plate under constant stirring with magnetic stirrer at 100 rpm in a beaker. To each oil sample, distilled water which was first heated to approximately 90°C was added at 3% of the volume of the oil before 0.2% of </w:t>
      </w:r>
      <w:r>
        <w:rPr>
          <w:i/>
        </w:rPr>
        <w:t>ortho</w:t>
      </w:r>
      <w:r>
        <w:rPr/>
        <w:t>-phosphoric acid (90%, p.a.) was added. The mixture was further stirred for 1 h. After cooling, the formed milky-white precipitate (for the solvent extracted) and brown precipitate (for the mechanically extracted) were separated by centrifugation for 0.5 h at 3,500 rpm. The degummed oils were dried at 100°C for 0.5 h under reduced pressure with the use of a rotary evaporator. For degumming with more natural materials, the same process was repeated, but starting with 28.2 ml of</w:t>
      </w:r>
      <w:r>
        <w:rPr>
          <w:spacing w:val="-2"/>
        </w:rPr>
        <w:t> </w:t>
      </w:r>
      <w:r>
        <w:rPr/>
        <w:t>the mechanically extracted oil and replacement of</w:t>
      </w:r>
      <w:r>
        <w:rPr>
          <w:spacing w:val="-2"/>
        </w:rPr>
        <w:t> </w:t>
      </w:r>
      <w:r>
        <w:rPr/>
        <w:t>the </w:t>
      </w:r>
      <w:r>
        <w:rPr>
          <w:i/>
        </w:rPr>
        <w:t>ortho</w:t>
      </w:r>
      <w:r>
        <w:rPr/>
        <w:t>-phosphoric acid with distilled water.</w:t>
      </w:r>
    </w:p>
    <w:p>
      <w:pPr>
        <w:spacing w:after="0" w:line="480" w:lineRule="auto"/>
        <w:jc w:val="both"/>
        <w:sectPr>
          <w:pgSz w:w="11910" w:h="16840"/>
          <w:pgMar w:header="0" w:footer="1012" w:top="1340" w:bottom="1200" w:left="960" w:right="620"/>
        </w:sectPr>
      </w:pPr>
    </w:p>
    <w:p>
      <w:pPr>
        <w:pStyle w:val="ListParagraph"/>
        <w:numPr>
          <w:ilvl w:val="3"/>
          <w:numId w:val="17"/>
        </w:numPr>
        <w:tabs>
          <w:tab w:pos="1747" w:val="left" w:leader="none"/>
        </w:tabs>
        <w:spacing w:line="240" w:lineRule="auto" w:before="79" w:after="0"/>
        <w:ind w:left="1747" w:right="0" w:hanging="719"/>
        <w:jc w:val="left"/>
        <w:rPr>
          <w:i/>
          <w:sz w:val="24"/>
        </w:rPr>
      </w:pPr>
      <w:r>
        <w:rPr>
          <w:i/>
          <w:sz w:val="24"/>
        </w:rPr>
        <w:t>Deacidification</w:t>
      </w:r>
      <w:r>
        <w:rPr>
          <w:i/>
          <w:spacing w:val="-6"/>
          <w:sz w:val="24"/>
        </w:rPr>
        <w:t> </w:t>
      </w:r>
      <w:r>
        <w:rPr>
          <w:i/>
          <w:sz w:val="24"/>
        </w:rPr>
        <w:t>(neutralisation)</w:t>
      </w:r>
      <w:r>
        <w:rPr>
          <w:i/>
          <w:spacing w:val="1"/>
          <w:sz w:val="24"/>
        </w:rPr>
        <w:t> </w:t>
      </w:r>
      <w:r>
        <w:rPr>
          <w:i/>
          <w:sz w:val="24"/>
        </w:rPr>
        <w:t>of the</w:t>
      </w:r>
      <w:r>
        <w:rPr>
          <w:i/>
          <w:spacing w:val="-1"/>
          <w:sz w:val="24"/>
        </w:rPr>
        <w:t> </w:t>
      </w:r>
      <w:r>
        <w:rPr>
          <w:i/>
          <w:sz w:val="24"/>
        </w:rPr>
        <w:t>degummed</w:t>
      </w:r>
      <w:r>
        <w:rPr>
          <w:i/>
          <w:spacing w:val="-5"/>
          <w:sz w:val="24"/>
        </w:rPr>
        <w:t> </w:t>
      </w:r>
      <w:r>
        <w:rPr>
          <w:i/>
          <w:spacing w:val="-4"/>
          <w:sz w:val="24"/>
        </w:rPr>
        <w:t>oils</w:t>
      </w:r>
    </w:p>
    <w:p>
      <w:pPr>
        <w:pStyle w:val="BodyText"/>
        <w:rPr>
          <w:i/>
        </w:rPr>
      </w:pPr>
    </w:p>
    <w:p>
      <w:pPr>
        <w:pStyle w:val="BodyText"/>
        <w:spacing w:line="480" w:lineRule="auto"/>
        <w:ind w:left="1028" w:right="807"/>
        <w:jc w:val="both"/>
      </w:pPr>
      <w:r>
        <w:rPr/>
        <w:t>Free fatty acids were determined as described above, prior to this deacidification or neutralization stage. Known weights of the oils were heated to 70°C under constant stirring at 100 rpm in a beaker. These were respectively, 360 ml, 275 ml and 26 ml for SDSE, SDME and NDME. Then 2.5M aqueous NaOH was added to each of the oils to neutralize the free fatty acids. The appropriate amount of NaOH solution to neutralize the free fatty acids was calculated by the following equation:</w:t>
      </w:r>
    </w:p>
    <w:p>
      <w:pPr>
        <w:pStyle w:val="BodyText"/>
        <w:spacing w:before="2"/>
        <w:ind w:left="1028"/>
        <w:jc w:val="both"/>
      </w:pPr>
      <w:r>
        <w:rPr>
          <w:i/>
        </w:rPr>
        <w:t>L</w:t>
      </w:r>
      <w:r>
        <w:rPr>
          <w:i/>
          <w:spacing w:val="3"/>
        </w:rPr>
        <w:t> </w:t>
      </w:r>
      <w:r>
        <w:rPr/>
        <w:t>=</w:t>
      </w:r>
      <w:r>
        <w:rPr>
          <w:spacing w:val="69"/>
        </w:rPr>
        <w:t>   </w:t>
      </w:r>
      <w:r>
        <w:rPr>
          <w:u w:val="single"/>
        </w:rPr>
        <w:t>d</w:t>
      </w:r>
      <w:r>
        <w:rPr>
          <w:spacing w:val="2"/>
          <w:u w:val="single"/>
        </w:rPr>
        <w:t> </w:t>
      </w:r>
      <w:r>
        <w:rPr>
          <w:u w:val="single"/>
        </w:rPr>
        <w:t>x</w:t>
      </w:r>
      <w:r>
        <w:rPr>
          <w:spacing w:val="-3"/>
          <w:u w:val="single"/>
        </w:rPr>
        <w:t> </w:t>
      </w:r>
      <w:r>
        <w:rPr>
          <w:u w:val="single"/>
        </w:rPr>
        <w:t>FFA</w:t>
      </w:r>
      <w:r>
        <w:rPr>
          <w:spacing w:val="-4"/>
          <w:u w:val="single"/>
        </w:rPr>
        <w:t> </w:t>
      </w:r>
      <w:r>
        <w:rPr>
          <w:u w:val="single"/>
        </w:rPr>
        <w:t>x</w:t>
      </w:r>
      <w:r>
        <w:rPr>
          <w:spacing w:val="-1"/>
          <w:u w:val="single"/>
        </w:rPr>
        <w:t> </w:t>
      </w:r>
      <w:r>
        <w:rPr>
          <w:spacing w:val="-2"/>
          <w:u w:val="single"/>
        </w:rPr>
        <w:t>10,000</w:t>
      </w:r>
    </w:p>
    <w:p>
      <w:pPr>
        <w:pStyle w:val="BodyText"/>
        <w:spacing w:before="137"/>
        <w:ind w:left="2291"/>
      </w:pPr>
      <w:r>
        <w:rPr/>
        <w:t>M x</w:t>
      </w:r>
      <w:r>
        <w:rPr>
          <w:spacing w:val="-3"/>
        </w:rPr>
        <w:t> </w:t>
      </w:r>
      <w:r>
        <w:rPr>
          <w:spacing w:val="-10"/>
        </w:rPr>
        <w:t>N</w:t>
      </w:r>
    </w:p>
    <w:p>
      <w:pPr>
        <w:pStyle w:val="BodyText"/>
      </w:pPr>
    </w:p>
    <w:p>
      <w:pPr>
        <w:pStyle w:val="BodyText"/>
        <w:spacing w:before="137"/>
      </w:pPr>
    </w:p>
    <w:p>
      <w:pPr>
        <w:pStyle w:val="BodyText"/>
        <w:spacing w:line="480" w:lineRule="auto"/>
        <w:ind w:left="1090" w:right="2896" w:hanging="63"/>
        <w:jc w:val="both"/>
      </w:pPr>
      <w:r>
        <w:rPr/>
        <w:t>Where</w:t>
      </w:r>
      <w:r>
        <w:rPr>
          <w:spacing w:val="-4"/>
        </w:rPr>
        <w:t> </w:t>
      </w:r>
      <w:r>
        <w:rPr>
          <w:i/>
        </w:rPr>
        <w:t>L</w:t>
      </w:r>
      <w:r>
        <w:rPr/>
        <w:t>=</w:t>
      </w:r>
      <w:r>
        <w:rPr>
          <w:spacing w:val="-4"/>
        </w:rPr>
        <w:t> </w:t>
      </w:r>
      <w:r>
        <w:rPr/>
        <w:t>appropriate</w:t>
      </w:r>
      <w:r>
        <w:rPr>
          <w:spacing w:val="-4"/>
        </w:rPr>
        <w:t> </w:t>
      </w:r>
      <w:r>
        <w:rPr/>
        <w:t>volume</w:t>
      </w:r>
      <w:r>
        <w:rPr>
          <w:spacing w:val="-4"/>
        </w:rPr>
        <w:t> </w:t>
      </w:r>
      <w:r>
        <w:rPr/>
        <w:t>of</w:t>
      </w:r>
      <w:r>
        <w:rPr>
          <w:spacing w:val="-10"/>
        </w:rPr>
        <w:t> </w:t>
      </w:r>
      <w:r>
        <w:rPr/>
        <w:t>N-molar</w:t>
      </w:r>
      <w:r>
        <w:rPr>
          <w:spacing w:val="-2"/>
        </w:rPr>
        <w:t> </w:t>
      </w:r>
      <w:r>
        <w:rPr/>
        <w:t>aqueous</w:t>
      </w:r>
      <w:r>
        <w:rPr>
          <w:spacing w:val="-5"/>
        </w:rPr>
        <w:t> </w:t>
      </w:r>
      <w:r>
        <w:rPr/>
        <w:t>NaOH</w:t>
      </w:r>
      <w:r>
        <w:rPr>
          <w:spacing w:val="-4"/>
        </w:rPr>
        <w:t> </w:t>
      </w:r>
      <w:r>
        <w:rPr/>
        <w:t>solution d= density of the oil</w:t>
      </w:r>
    </w:p>
    <w:p>
      <w:pPr>
        <w:pStyle w:val="BodyText"/>
        <w:ind w:left="1028"/>
        <w:jc w:val="both"/>
      </w:pPr>
      <w:r>
        <w:rPr/>
        <w:t>FFA= free</w:t>
      </w:r>
      <w:r>
        <w:rPr>
          <w:spacing w:val="2"/>
        </w:rPr>
        <w:t> </w:t>
      </w:r>
      <w:r>
        <w:rPr/>
        <w:t>fatty</w:t>
      </w:r>
      <w:r>
        <w:rPr>
          <w:spacing w:val="-11"/>
        </w:rPr>
        <w:t> </w:t>
      </w:r>
      <w:r>
        <w:rPr/>
        <w:t>acids in</w:t>
      </w:r>
      <w:r>
        <w:rPr>
          <w:spacing w:val="-6"/>
        </w:rPr>
        <w:t> </w:t>
      </w:r>
      <w:r>
        <w:rPr/>
        <w:t>the</w:t>
      </w:r>
      <w:r>
        <w:rPr>
          <w:spacing w:val="-2"/>
        </w:rPr>
        <w:t> </w:t>
      </w:r>
      <w:r>
        <w:rPr>
          <w:spacing w:val="-5"/>
        </w:rPr>
        <w:t>oil</w:t>
      </w:r>
    </w:p>
    <w:p>
      <w:pPr>
        <w:pStyle w:val="BodyText"/>
      </w:pPr>
    </w:p>
    <w:p>
      <w:pPr>
        <w:pStyle w:val="BodyText"/>
        <w:ind w:left="1028"/>
        <w:jc w:val="both"/>
      </w:pPr>
      <w:r>
        <w:rPr/>
        <w:t>M</w:t>
      </w:r>
      <w:r>
        <w:rPr>
          <w:spacing w:val="-3"/>
        </w:rPr>
        <w:t> </w:t>
      </w:r>
      <w:r>
        <w:rPr/>
        <w:t>=</w:t>
      </w:r>
      <w:r>
        <w:rPr>
          <w:spacing w:val="-2"/>
        </w:rPr>
        <w:t> </w:t>
      </w:r>
      <w:r>
        <w:rPr/>
        <w:t>average</w:t>
      </w:r>
      <w:r>
        <w:rPr>
          <w:spacing w:val="3"/>
        </w:rPr>
        <w:t> </w:t>
      </w:r>
      <w:r>
        <w:rPr/>
        <w:t>molecular weight of</w:t>
      </w:r>
      <w:r>
        <w:rPr>
          <w:spacing w:val="-9"/>
        </w:rPr>
        <w:t> </w:t>
      </w:r>
      <w:r>
        <w:rPr/>
        <w:t>the</w:t>
      </w:r>
      <w:r>
        <w:rPr>
          <w:spacing w:val="3"/>
        </w:rPr>
        <w:t> </w:t>
      </w:r>
      <w:r>
        <w:rPr/>
        <w:t>fatty</w:t>
      </w:r>
      <w:r>
        <w:rPr>
          <w:spacing w:val="-10"/>
        </w:rPr>
        <w:t> </w:t>
      </w:r>
      <w:r>
        <w:rPr/>
        <w:t>acids</w:t>
      </w:r>
      <w:r>
        <w:rPr>
          <w:spacing w:val="-2"/>
        </w:rPr>
        <w:t> (278)</w:t>
      </w:r>
    </w:p>
    <w:p>
      <w:pPr>
        <w:pStyle w:val="BodyText"/>
      </w:pPr>
    </w:p>
    <w:p>
      <w:pPr>
        <w:pStyle w:val="BodyText"/>
        <w:ind w:left="1028"/>
        <w:jc w:val="both"/>
      </w:pPr>
      <w:r>
        <w:rPr/>
        <w:t>N</w:t>
      </w:r>
      <w:r>
        <w:rPr>
          <w:spacing w:val="-3"/>
        </w:rPr>
        <w:t> </w:t>
      </w:r>
      <w:r>
        <w:rPr/>
        <w:t>=</w:t>
      </w:r>
      <w:r>
        <w:rPr>
          <w:spacing w:val="-1"/>
        </w:rPr>
        <w:t> </w:t>
      </w:r>
      <w:r>
        <w:rPr/>
        <w:t>concentration</w:t>
      </w:r>
      <w:r>
        <w:rPr>
          <w:spacing w:val="-4"/>
        </w:rPr>
        <w:t> </w:t>
      </w:r>
      <w:r>
        <w:rPr/>
        <w:t>of</w:t>
      </w:r>
      <w:r>
        <w:rPr>
          <w:spacing w:val="-8"/>
        </w:rPr>
        <w:t> </w:t>
      </w:r>
      <w:r>
        <w:rPr/>
        <w:t>the</w:t>
      </w:r>
      <w:r>
        <w:rPr>
          <w:spacing w:val="-1"/>
        </w:rPr>
        <w:t> </w:t>
      </w:r>
      <w:r>
        <w:rPr/>
        <w:t>aqueous</w:t>
      </w:r>
      <w:r>
        <w:rPr>
          <w:spacing w:val="-1"/>
        </w:rPr>
        <w:t> </w:t>
      </w:r>
      <w:r>
        <w:rPr/>
        <w:t>NaOH</w:t>
      </w:r>
      <w:r>
        <w:rPr>
          <w:spacing w:val="-1"/>
        </w:rPr>
        <w:t> </w:t>
      </w:r>
      <w:r>
        <w:rPr/>
        <w:t>solution</w:t>
      </w:r>
      <w:r>
        <w:rPr>
          <w:spacing w:val="-4"/>
        </w:rPr>
        <w:t> </w:t>
      </w:r>
      <w:r>
        <w:rPr>
          <w:spacing w:val="-2"/>
        </w:rPr>
        <w:t>(mol/dm</w:t>
      </w:r>
      <w:r>
        <w:rPr>
          <w:spacing w:val="-2"/>
          <w:vertAlign w:val="superscript"/>
        </w:rPr>
        <w:t>3</w:t>
      </w:r>
      <w:r>
        <w:rPr>
          <w:spacing w:val="-2"/>
          <w:vertAlign w:val="baseline"/>
        </w:rPr>
        <w:t>).</w:t>
      </w:r>
    </w:p>
    <w:p>
      <w:pPr>
        <w:pStyle w:val="BodyText"/>
      </w:pPr>
    </w:p>
    <w:p>
      <w:pPr>
        <w:pStyle w:val="BodyText"/>
      </w:pPr>
    </w:p>
    <w:p>
      <w:pPr>
        <w:pStyle w:val="BodyText"/>
        <w:spacing w:before="1"/>
      </w:pPr>
    </w:p>
    <w:p>
      <w:pPr>
        <w:pStyle w:val="BodyText"/>
        <w:spacing w:line="480" w:lineRule="auto"/>
        <w:ind w:left="1028" w:right="799"/>
        <w:jc w:val="both"/>
      </w:pPr>
      <w:r>
        <w:rPr/>
        <w:t>The mixture was stirred for 60 min and allowed to</w:t>
      </w:r>
      <w:r>
        <w:rPr>
          <w:spacing w:val="19"/>
        </w:rPr>
        <w:t> </w:t>
      </w:r>
      <w:r>
        <w:rPr/>
        <w:t>cool, then centrifuged at 3,500 rpm</w:t>
      </w:r>
      <w:r>
        <w:rPr>
          <w:spacing w:val="40"/>
        </w:rPr>
        <w:t> </w:t>
      </w:r>
      <w:r>
        <w:rPr/>
        <w:t>to separate the formed precipitate. Alternatively, unripe plantain peel ash extract which was obtained by ashing unripe plantain peel and extracting it with distilled water for 48 h, was used as alkali in place of NaOH (Onyegbado </w:t>
      </w:r>
      <w:r>
        <w:rPr>
          <w:i/>
        </w:rPr>
        <w:t>et al</w:t>
      </w:r>
      <w:r>
        <w:rPr/>
        <w:t>., 2002 and Olabanji </w:t>
      </w:r>
      <w:r>
        <w:rPr>
          <w:i/>
        </w:rPr>
        <w:t>et al</w:t>
      </w:r>
      <w:r>
        <w:rPr/>
        <w:t>., 2012). The soaps derived from this stage were harvested, examined and weighed.</w:t>
      </w:r>
    </w:p>
    <w:p>
      <w:pPr>
        <w:pStyle w:val="BodyText"/>
      </w:pPr>
    </w:p>
    <w:p>
      <w:pPr>
        <w:pStyle w:val="BodyText"/>
        <w:spacing w:before="1"/>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Decolourisation</w:t>
      </w:r>
      <w:r>
        <w:rPr>
          <w:i/>
          <w:spacing w:val="-2"/>
          <w:sz w:val="24"/>
        </w:rPr>
        <w:t> </w:t>
      </w:r>
      <w:r>
        <w:rPr>
          <w:i/>
          <w:sz w:val="24"/>
        </w:rPr>
        <w:t>(bleaching)</w:t>
      </w:r>
      <w:r>
        <w:rPr>
          <w:i/>
          <w:spacing w:val="1"/>
          <w:sz w:val="24"/>
        </w:rPr>
        <w:t> </w:t>
      </w:r>
      <w:r>
        <w:rPr>
          <w:i/>
          <w:sz w:val="24"/>
        </w:rPr>
        <w:t>of</w:t>
      </w:r>
      <w:r>
        <w:rPr>
          <w:i/>
          <w:spacing w:val="3"/>
          <w:sz w:val="24"/>
        </w:rPr>
        <w:t> </w:t>
      </w:r>
      <w:r>
        <w:rPr>
          <w:i/>
          <w:sz w:val="24"/>
        </w:rPr>
        <w:t>the</w:t>
      </w:r>
      <w:r>
        <w:rPr>
          <w:i/>
          <w:spacing w:val="-6"/>
          <w:sz w:val="24"/>
        </w:rPr>
        <w:t> </w:t>
      </w:r>
      <w:r>
        <w:rPr>
          <w:i/>
          <w:spacing w:val="-4"/>
          <w:sz w:val="24"/>
        </w:rPr>
        <w:t>oils</w:t>
      </w:r>
    </w:p>
    <w:p>
      <w:pPr>
        <w:pStyle w:val="BodyText"/>
        <w:rPr>
          <w:i/>
        </w:rPr>
      </w:pPr>
    </w:p>
    <w:p>
      <w:pPr>
        <w:pStyle w:val="BodyText"/>
        <w:spacing w:line="480" w:lineRule="auto"/>
        <w:ind w:left="1028" w:right="814"/>
        <w:jc w:val="both"/>
      </w:pPr>
      <w:r>
        <w:rPr/>
        <w:t>Known volumes of the neutralized oils (225 ml of SDSE and 210 ml of SDME) were stirred at 100 rpm in a beaker at 80°C. After adding 2% of the bleaching reagent the mixture</w:t>
      </w:r>
      <w:r>
        <w:rPr>
          <w:spacing w:val="9"/>
        </w:rPr>
        <w:t> </w:t>
      </w:r>
      <w:r>
        <w:rPr/>
        <w:t>was</w:t>
      </w:r>
      <w:r>
        <w:rPr>
          <w:spacing w:val="10"/>
        </w:rPr>
        <w:t> </w:t>
      </w:r>
      <w:r>
        <w:rPr/>
        <w:t>stirred</w:t>
      </w:r>
      <w:r>
        <w:rPr>
          <w:spacing w:val="12"/>
        </w:rPr>
        <w:t> </w:t>
      </w:r>
      <w:r>
        <w:rPr/>
        <w:t>for</w:t>
      </w:r>
      <w:r>
        <w:rPr>
          <w:spacing w:val="15"/>
        </w:rPr>
        <w:t> </w:t>
      </w:r>
      <w:r>
        <w:rPr/>
        <w:t>0.5</w:t>
      </w:r>
      <w:r>
        <w:rPr>
          <w:spacing w:val="12"/>
        </w:rPr>
        <w:t> </w:t>
      </w:r>
      <w:r>
        <w:rPr/>
        <w:t>h</w:t>
      </w:r>
      <w:r>
        <w:rPr>
          <w:spacing w:val="7"/>
        </w:rPr>
        <w:t> </w:t>
      </w:r>
      <w:r>
        <w:rPr/>
        <w:t>and</w:t>
      </w:r>
      <w:r>
        <w:rPr>
          <w:spacing w:val="12"/>
        </w:rPr>
        <w:t> </w:t>
      </w:r>
      <w:r>
        <w:rPr/>
        <w:t>allowed</w:t>
      </w:r>
      <w:r>
        <w:rPr>
          <w:spacing w:val="13"/>
        </w:rPr>
        <w:t> </w:t>
      </w:r>
      <w:r>
        <w:rPr/>
        <w:t>to</w:t>
      </w:r>
      <w:r>
        <w:rPr>
          <w:spacing w:val="17"/>
        </w:rPr>
        <w:t> </w:t>
      </w:r>
      <w:r>
        <w:rPr/>
        <w:t>cool,</w:t>
      </w:r>
      <w:r>
        <w:rPr>
          <w:spacing w:val="14"/>
        </w:rPr>
        <w:t> </w:t>
      </w:r>
      <w:r>
        <w:rPr/>
        <w:t>whereupon,</w:t>
      </w:r>
      <w:r>
        <w:rPr>
          <w:spacing w:val="14"/>
        </w:rPr>
        <w:t> </w:t>
      </w:r>
      <w:r>
        <w:rPr/>
        <w:t>the</w:t>
      </w:r>
      <w:r>
        <w:rPr>
          <w:spacing w:val="11"/>
        </w:rPr>
        <w:t> </w:t>
      </w:r>
      <w:r>
        <w:rPr/>
        <w:t>bleaching</w:t>
      </w:r>
      <w:r>
        <w:rPr>
          <w:spacing w:val="13"/>
        </w:rPr>
        <w:t> </w:t>
      </w:r>
      <w:r>
        <w:rPr/>
        <w:t>agent</w:t>
      </w:r>
      <w:r>
        <w:rPr>
          <w:spacing w:val="17"/>
        </w:rPr>
        <w:t> </w:t>
      </w:r>
      <w:r>
        <w:rPr>
          <w:spacing w:val="-5"/>
        </w:rPr>
        <w:t>was</w:t>
      </w:r>
    </w:p>
    <w:p>
      <w:pPr>
        <w:spacing w:after="0" w:line="480" w:lineRule="auto"/>
        <w:jc w:val="both"/>
        <w:sectPr>
          <w:pgSz w:w="11910" w:h="16840"/>
          <w:pgMar w:header="0" w:footer="1012" w:top="1320" w:bottom="1200" w:left="960" w:right="620"/>
        </w:sectPr>
      </w:pPr>
    </w:p>
    <w:p>
      <w:pPr>
        <w:pStyle w:val="BodyText"/>
        <w:spacing w:line="480" w:lineRule="auto" w:before="79"/>
        <w:ind w:left="1028" w:right="810"/>
        <w:jc w:val="both"/>
      </w:pPr>
      <w:r>
        <w:rPr/>
        <w:t>separated by suction filtration. The bleaching reagent used was Tonsil standard, a</w:t>
      </w:r>
      <w:r>
        <w:rPr>
          <w:spacing w:val="40"/>
        </w:rPr>
        <w:t> </w:t>
      </w:r>
      <w:r>
        <w:rPr/>
        <w:t>Trisyl-Type bleaching substance based on silica gel (Grace Worms, Germany). For the NDME (16 ml), 2% pharmaceutical grade bentonite was used as the bleaching reagent (Haas and Mittelbach, 2000; Ahmed and Salimon, 2009).</w:t>
      </w:r>
    </w:p>
    <w:p>
      <w:pPr>
        <w:pStyle w:val="BodyText"/>
      </w:pPr>
    </w:p>
    <w:p>
      <w:pPr>
        <w:pStyle w:val="BodyText"/>
        <w:spacing w:before="1"/>
      </w:pPr>
    </w:p>
    <w:p>
      <w:pPr>
        <w:pStyle w:val="ListParagraph"/>
        <w:numPr>
          <w:ilvl w:val="3"/>
          <w:numId w:val="17"/>
        </w:numPr>
        <w:tabs>
          <w:tab w:pos="1747" w:val="left" w:leader="none"/>
        </w:tabs>
        <w:spacing w:line="240" w:lineRule="auto" w:before="0" w:after="0"/>
        <w:ind w:left="1747" w:right="0" w:hanging="719"/>
        <w:jc w:val="both"/>
        <w:rPr>
          <w:i/>
          <w:sz w:val="24"/>
        </w:rPr>
      </w:pPr>
      <w:r>
        <w:rPr>
          <w:i/>
          <w:sz w:val="24"/>
        </w:rPr>
        <w:t>Deodorization</w:t>
      </w:r>
      <w:r>
        <w:rPr>
          <w:i/>
          <w:spacing w:val="-3"/>
          <w:sz w:val="24"/>
        </w:rPr>
        <w:t> </w:t>
      </w:r>
      <w:r>
        <w:rPr>
          <w:i/>
          <w:sz w:val="24"/>
        </w:rPr>
        <w:t>of</w:t>
      </w:r>
      <w:r>
        <w:rPr>
          <w:i/>
          <w:spacing w:val="5"/>
          <w:sz w:val="24"/>
        </w:rPr>
        <w:t> </w:t>
      </w:r>
      <w:r>
        <w:rPr>
          <w:i/>
          <w:sz w:val="24"/>
        </w:rPr>
        <w:t>the</w:t>
      </w:r>
      <w:r>
        <w:rPr>
          <w:i/>
          <w:spacing w:val="-6"/>
          <w:sz w:val="24"/>
        </w:rPr>
        <w:t> </w:t>
      </w:r>
      <w:r>
        <w:rPr>
          <w:i/>
          <w:spacing w:val="-4"/>
          <w:sz w:val="24"/>
        </w:rPr>
        <w:t>oils</w:t>
      </w:r>
    </w:p>
    <w:p>
      <w:pPr>
        <w:pStyle w:val="BodyText"/>
        <w:rPr>
          <w:i/>
        </w:rPr>
      </w:pPr>
    </w:p>
    <w:p>
      <w:pPr>
        <w:pStyle w:val="BodyText"/>
        <w:spacing w:line="480" w:lineRule="auto" w:before="1"/>
        <w:ind w:left="1028" w:right="797"/>
        <w:jc w:val="both"/>
      </w:pPr>
      <w:r>
        <w:rPr/>
        <w:t>Known volumes of the bleached oils (140 ml of SDSE, 138 ml of SDME and 14 ml of NDME) were heated to75°C and left under steam using a steam</w:t>
      </w:r>
      <w:r>
        <w:rPr>
          <w:spacing w:val="-4"/>
        </w:rPr>
        <w:t> </w:t>
      </w:r>
      <w:r>
        <w:rPr/>
        <w:t>distillation setup under vacuum for 2 h, to give the final detoxified </w:t>
      </w:r>
      <w:r>
        <w:rPr>
          <w:i/>
        </w:rPr>
        <w:t>J. curcas </w:t>
      </w:r>
      <w:r>
        <w:rPr/>
        <w:t>oils (Haas and Mittelbach, 2000; Ahmed and Salimon, 2009).</w:t>
      </w:r>
    </w:p>
    <w:p>
      <w:pPr>
        <w:pStyle w:val="BodyText"/>
      </w:pPr>
    </w:p>
    <w:p>
      <w:pPr>
        <w:pStyle w:val="BodyText"/>
        <w:spacing w:before="5"/>
      </w:pPr>
    </w:p>
    <w:p>
      <w:pPr>
        <w:pStyle w:val="Heading2"/>
        <w:numPr>
          <w:ilvl w:val="2"/>
          <w:numId w:val="17"/>
        </w:numPr>
        <w:tabs>
          <w:tab w:pos="1747" w:val="left" w:leader="none"/>
        </w:tabs>
        <w:spacing w:line="240" w:lineRule="auto" w:before="1" w:after="0"/>
        <w:ind w:left="1747" w:right="0" w:hanging="719"/>
        <w:jc w:val="both"/>
      </w:pPr>
      <w:bookmarkStart w:name="_TOC_250008" w:id="48"/>
      <w:r>
        <w:rPr/>
        <w:t>Phytochemical</w:t>
      </w:r>
      <w:r>
        <w:rPr>
          <w:spacing w:val="-7"/>
        </w:rPr>
        <w:t> </w:t>
      </w:r>
      <w:bookmarkEnd w:id="48"/>
      <w:r>
        <w:rPr>
          <w:spacing w:val="-2"/>
        </w:rPr>
        <w:t>screening</w:t>
      </w:r>
    </w:p>
    <w:p>
      <w:pPr>
        <w:pStyle w:val="BodyText"/>
        <w:spacing w:line="480" w:lineRule="auto" w:before="271"/>
        <w:ind w:left="1028" w:right="802"/>
        <w:jc w:val="both"/>
      </w:pPr>
      <w:r>
        <w:rPr/>
        <w:t>The oils were subjected to duplicate qualitative phytochemical</w:t>
      </w:r>
      <w:r>
        <w:rPr>
          <w:spacing w:val="-1"/>
        </w:rPr>
        <w:t> </w:t>
      </w:r>
      <w:r>
        <w:rPr/>
        <w:t>tests for plant secondary metabolites such as alkaloids, cardiac glycosides, flavonoids, phenols, saponins and tannins using standard procedures described by Trease and Evans (1989; 1996).</w:t>
      </w:r>
    </w:p>
    <w:p>
      <w:pPr>
        <w:pStyle w:val="BodyText"/>
      </w:pPr>
    </w:p>
    <w:p>
      <w:pPr>
        <w:pStyle w:val="BodyText"/>
      </w:pPr>
    </w:p>
    <w:p>
      <w:pPr>
        <w:pStyle w:val="ListParagraph"/>
        <w:numPr>
          <w:ilvl w:val="3"/>
          <w:numId w:val="17"/>
        </w:numPr>
        <w:tabs>
          <w:tab w:pos="1747" w:val="left" w:leader="none"/>
        </w:tabs>
        <w:spacing w:line="240" w:lineRule="auto" w:before="0" w:after="0"/>
        <w:ind w:left="1747" w:right="0" w:hanging="719"/>
        <w:jc w:val="both"/>
        <w:rPr>
          <w:i/>
          <w:sz w:val="24"/>
        </w:rPr>
      </w:pPr>
      <w:r>
        <w:rPr>
          <w:i/>
          <w:sz w:val="24"/>
        </w:rPr>
        <w:t>Test</w:t>
      </w:r>
      <w:r>
        <w:rPr>
          <w:i/>
          <w:spacing w:val="2"/>
          <w:sz w:val="24"/>
        </w:rPr>
        <w:t> </w:t>
      </w:r>
      <w:r>
        <w:rPr>
          <w:i/>
          <w:sz w:val="24"/>
        </w:rPr>
        <w:t>for</w:t>
      </w:r>
      <w:r>
        <w:rPr>
          <w:i/>
          <w:spacing w:val="1"/>
          <w:sz w:val="24"/>
        </w:rPr>
        <w:t> </w:t>
      </w:r>
      <w:r>
        <w:rPr>
          <w:i/>
          <w:spacing w:val="-2"/>
          <w:sz w:val="24"/>
        </w:rPr>
        <w:t>alkaloids</w:t>
      </w:r>
    </w:p>
    <w:p>
      <w:pPr>
        <w:pStyle w:val="BodyText"/>
        <w:spacing w:before="1"/>
        <w:rPr>
          <w:i/>
        </w:rPr>
      </w:pPr>
    </w:p>
    <w:p>
      <w:pPr>
        <w:pStyle w:val="ListParagraph"/>
        <w:numPr>
          <w:ilvl w:val="0"/>
          <w:numId w:val="18"/>
        </w:numPr>
        <w:tabs>
          <w:tab w:pos="1746" w:val="left" w:leader="none"/>
        </w:tabs>
        <w:spacing w:line="480" w:lineRule="auto" w:before="0" w:after="0"/>
        <w:ind w:left="1028" w:right="804" w:firstLine="0"/>
        <w:jc w:val="both"/>
        <w:rPr>
          <w:sz w:val="24"/>
        </w:rPr>
      </w:pPr>
      <w:r>
        <w:rPr>
          <w:i/>
          <w:sz w:val="24"/>
        </w:rPr>
        <w:t>Mayer’s</w:t>
      </w:r>
      <w:r>
        <w:rPr>
          <w:i/>
          <w:spacing w:val="-4"/>
          <w:sz w:val="24"/>
        </w:rPr>
        <w:t> </w:t>
      </w:r>
      <w:r>
        <w:rPr>
          <w:i/>
          <w:sz w:val="24"/>
        </w:rPr>
        <w:t>test</w:t>
      </w:r>
      <w:r>
        <w:rPr>
          <w:sz w:val="24"/>
        </w:rPr>
        <w:t>: Few</w:t>
      </w:r>
      <w:r>
        <w:rPr>
          <w:spacing w:val="-2"/>
          <w:sz w:val="24"/>
        </w:rPr>
        <w:t> </w:t>
      </w:r>
      <w:r>
        <w:rPr>
          <w:sz w:val="24"/>
        </w:rPr>
        <w:t>drops</w:t>
      </w:r>
      <w:r>
        <w:rPr>
          <w:spacing w:val="-4"/>
          <w:sz w:val="24"/>
        </w:rPr>
        <w:t> </w:t>
      </w:r>
      <w:r>
        <w:rPr>
          <w:sz w:val="24"/>
        </w:rPr>
        <w:t>of</w:t>
      </w:r>
      <w:r>
        <w:rPr>
          <w:spacing w:val="-4"/>
          <w:sz w:val="24"/>
        </w:rPr>
        <w:t> </w:t>
      </w:r>
      <w:r>
        <w:rPr>
          <w:sz w:val="24"/>
        </w:rPr>
        <w:t>Mayer‟s</w:t>
      </w:r>
      <w:r>
        <w:rPr>
          <w:spacing w:val="-4"/>
          <w:sz w:val="24"/>
        </w:rPr>
        <w:t> </w:t>
      </w:r>
      <w:r>
        <w:rPr>
          <w:sz w:val="24"/>
        </w:rPr>
        <w:t>reagent were added</w:t>
      </w:r>
      <w:r>
        <w:rPr>
          <w:spacing w:val="-1"/>
          <w:sz w:val="24"/>
        </w:rPr>
        <w:t> </w:t>
      </w:r>
      <w:r>
        <w:rPr>
          <w:sz w:val="24"/>
        </w:rPr>
        <w:t>to samples</w:t>
      </w:r>
      <w:r>
        <w:rPr>
          <w:spacing w:val="-3"/>
          <w:sz w:val="24"/>
        </w:rPr>
        <w:t> </w:t>
      </w:r>
      <w:r>
        <w:rPr>
          <w:sz w:val="24"/>
        </w:rPr>
        <w:t>of</w:t>
      </w:r>
      <w:r>
        <w:rPr>
          <w:spacing w:val="-9"/>
          <w:sz w:val="24"/>
        </w:rPr>
        <w:t> </w:t>
      </w:r>
      <w:r>
        <w:rPr>
          <w:sz w:val="24"/>
        </w:rPr>
        <w:t>the oils in test tubes, and a cream precipitate indicated the presence of alkaloid.</w:t>
      </w:r>
    </w:p>
    <w:p>
      <w:pPr>
        <w:pStyle w:val="ListParagraph"/>
        <w:numPr>
          <w:ilvl w:val="0"/>
          <w:numId w:val="18"/>
        </w:numPr>
        <w:tabs>
          <w:tab w:pos="1746" w:val="left" w:leader="none"/>
        </w:tabs>
        <w:spacing w:line="480" w:lineRule="auto" w:before="0" w:after="0"/>
        <w:ind w:left="1028" w:right="801" w:firstLine="0"/>
        <w:jc w:val="both"/>
        <w:rPr>
          <w:sz w:val="24"/>
        </w:rPr>
      </w:pPr>
      <w:r>
        <w:rPr>
          <w:i/>
          <w:sz w:val="24"/>
        </w:rPr>
        <w:t>Dragendorff’s test</w:t>
      </w:r>
      <w:r>
        <w:rPr>
          <w:sz w:val="24"/>
        </w:rPr>
        <w:t>: Few drops of Dragendorff‟s reagent were added to the oils and a red precipitate indicated the presence of alkaloid.</w:t>
      </w:r>
    </w:p>
    <w:p>
      <w:pPr>
        <w:pStyle w:val="BodyText"/>
      </w:pPr>
    </w:p>
    <w:p>
      <w:pPr>
        <w:pStyle w:val="BodyText"/>
      </w:pPr>
    </w:p>
    <w:p>
      <w:pPr>
        <w:pStyle w:val="ListParagraph"/>
        <w:numPr>
          <w:ilvl w:val="3"/>
          <w:numId w:val="17"/>
        </w:numPr>
        <w:tabs>
          <w:tab w:pos="1747" w:val="left" w:leader="none"/>
        </w:tabs>
        <w:spacing w:line="240" w:lineRule="auto" w:before="1" w:after="0"/>
        <w:ind w:left="1747" w:right="0" w:hanging="719"/>
        <w:jc w:val="both"/>
        <w:rPr>
          <w:i/>
          <w:sz w:val="24"/>
        </w:rPr>
      </w:pPr>
      <w:r>
        <w:rPr>
          <w:i/>
          <w:sz w:val="24"/>
        </w:rPr>
        <w:t>Test for cardiac </w:t>
      </w:r>
      <w:r>
        <w:rPr>
          <w:i/>
          <w:spacing w:val="-2"/>
          <w:sz w:val="24"/>
        </w:rPr>
        <w:t>glycosides</w:t>
      </w:r>
    </w:p>
    <w:p>
      <w:pPr>
        <w:pStyle w:val="BodyText"/>
        <w:rPr>
          <w:i/>
        </w:rPr>
      </w:pPr>
    </w:p>
    <w:p>
      <w:pPr>
        <w:pStyle w:val="BodyText"/>
        <w:spacing w:line="480" w:lineRule="auto"/>
        <w:ind w:left="1028" w:right="805"/>
        <w:jc w:val="both"/>
      </w:pPr>
      <w:r>
        <w:rPr>
          <w:i/>
        </w:rPr>
        <w:t>Keller-killiani test</w:t>
      </w:r>
      <w:r>
        <w:rPr/>
        <w:t>: Oils were dissolved in glacial acetic acid containing traces of ferric chloride</w:t>
      </w:r>
      <w:r>
        <w:rPr>
          <w:spacing w:val="9"/>
        </w:rPr>
        <w:t> </w:t>
      </w:r>
      <w:r>
        <w:rPr/>
        <w:t>in a</w:t>
      </w:r>
      <w:r>
        <w:rPr>
          <w:spacing w:val="4"/>
        </w:rPr>
        <w:t> </w:t>
      </w:r>
      <w:r>
        <w:rPr/>
        <w:t>test</w:t>
      </w:r>
      <w:r>
        <w:rPr>
          <w:spacing w:val="1"/>
        </w:rPr>
        <w:t> </w:t>
      </w:r>
      <w:r>
        <w:rPr/>
        <w:t>tube</w:t>
      </w:r>
      <w:r>
        <w:rPr>
          <w:spacing w:val="4"/>
        </w:rPr>
        <w:t> </w:t>
      </w:r>
      <w:r>
        <w:rPr/>
        <w:t>held</w:t>
      </w:r>
      <w:r>
        <w:rPr>
          <w:spacing w:val="4"/>
        </w:rPr>
        <w:t> </w:t>
      </w:r>
      <w:r>
        <w:rPr/>
        <w:t>at</w:t>
      </w:r>
      <w:r>
        <w:rPr>
          <w:spacing w:val="11"/>
        </w:rPr>
        <w:t> </w:t>
      </w:r>
      <w:r>
        <w:rPr/>
        <w:t>an angle</w:t>
      </w:r>
      <w:r>
        <w:rPr>
          <w:spacing w:val="4"/>
        </w:rPr>
        <w:t> </w:t>
      </w:r>
      <w:r>
        <w:rPr/>
        <w:t>of</w:t>
      </w:r>
      <w:r>
        <w:rPr>
          <w:spacing w:val="-2"/>
        </w:rPr>
        <w:t> </w:t>
      </w:r>
      <w:r>
        <w:rPr/>
        <w:t>45</w:t>
      </w:r>
      <w:r>
        <w:rPr>
          <w:vertAlign w:val="superscript"/>
        </w:rPr>
        <w:t>o</w:t>
      </w:r>
      <w:r>
        <w:rPr>
          <w:vertAlign w:val="baseline"/>
        </w:rPr>
        <w:t>.</w:t>
      </w:r>
      <w:r>
        <w:rPr>
          <w:spacing w:val="7"/>
          <w:vertAlign w:val="baseline"/>
        </w:rPr>
        <w:t> </w:t>
      </w:r>
      <w:r>
        <w:rPr>
          <w:vertAlign w:val="baseline"/>
        </w:rPr>
        <w:t>One</w:t>
      </w:r>
      <w:r>
        <w:rPr>
          <w:spacing w:val="8"/>
          <w:vertAlign w:val="baseline"/>
        </w:rPr>
        <w:t> </w:t>
      </w:r>
      <w:r>
        <w:rPr>
          <w:vertAlign w:val="baseline"/>
        </w:rPr>
        <w:t>(1)</w:t>
      </w:r>
      <w:r>
        <w:rPr>
          <w:spacing w:val="2"/>
          <w:vertAlign w:val="baseline"/>
        </w:rPr>
        <w:t> </w:t>
      </w:r>
      <w:r>
        <w:rPr>
          <w:vertAlign w:val="baseline"/>
        </w:rPr>
        <w:t>ml</w:t>
      </w:r>
      <w:r>
        <w:rPr>
          <w:spacing w:val="1"/>
          <w:vertAlign w:val="baseline"/>
        </w:rPr>
        <w:t> </w:t>
      </w:r>
      <w:r>
        <w:rPr>
          <w:vertAlign w:val="baseline"/>
        </w:rPr>
        <w:t>of</w:t>
      </w:r>
      <w:r>
        <w:rPr>
          <w:spacing w:val="-3"/>
          <w:vertAlign w:val="baseline"/>
        </w:rPr>
        <w:t> </w:t>
      </w:r>
      <w:r>
        <w:rPr>
          <w:vertAlign w:val="baseline"/>
        </w:rPr>
        <w:t>concentrated</w:t>
      </w:r>
      <w:r>
        <w:rPr>
          <w:spacing w:val="5"/>
          <w:vertAlign w:val="baseline"/>
        </w:rPr>
        <w:t> </w:t>
      </w:r>
      <w:r>
        <w:rPr>
          <w:vertAlign w:val="baseline"/>
        </w:rPr>
        <w:t>sulphuric</w:t>
      </w:r>
      <w:r>
        <w:rPr>
          <w:spacing w:val="4"/>
          <w:vertAlign w:val="baseline"/>
        </w:rPr>
        <w:t> </w:t>
      </w:r>
      <w:r>
        <w:rPr>
          <w:spacing w:val="-4"/>
          <w:vertAlign w:val="baseline"/>
        </w:rPr>
        <w:t>acid</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t>was added down the side of the tube. A purple ring colour at the interface should indicate cardiac glycosides.</w:t>
      </w:r>
    </w:p>
    <w:p>
      <w:pPr>
        <w:pStyle w:val="BodyText"/>
      </w:pPr>
    </w:p>
    <w:p>
      <w:pPr>
        <w:pStyle w:val="BodyText"/>
        <w:spacing w:before="1"/>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Test</w:t>
      </w:r>
      <w:r>
        <w:rPr>
          <w:i/>
          <w:spacing w:val="2"/>
          <w:sz w:val="24"/>
        </w:rPr>
        <w:t> </w:t>
      </w:r>
      <w:r>
        <w:rPr>
          <w:i/>
          <w:sz w:val="24"/>
        </w:rPr>
        <w:t>for</w:t>
      </w:r>
      <w:r>
        <w:rPr>
          <w:i/>
          <w:spacing w:val="-4"/>
          <w:sz w:val="24"/>
        </w:rPr>
        <w:t> </w:t>
      </w:r>
      <w:r>
        <w:rPr>
          <w:i/>
          <w:spacing w:val="-2"/>
          <w:sz w:val="24"/>
        </w:rPr>
        <w:t>flavonoids</w:t>
      </w:r>
    </w:p>
    <w:p>
      <w:pPr>
        <w:pStyle w:val="BodyText"/>
        <w:rPr>
          <w:i/>
        </w:rPr>
      </w:pPr>
    </w:p>
    <w:p>
      <w:pPr>
        <w:pStyle w:val="BodyText"/>
        <w:spacing w:line="480" w:lineRule="auto"/>
        <w:ind w:left="1028" w:right="802"/>
        <w:jc w:val="both"/>
      </w:pPr>
      <w:r>
        <w:rPr>
          <w:i/>
        </w:rPr>
        <w:t>Sodium hydroxide test</w:t>
      </w:r>
      <w:r>
        <w:rPr/>
        <w:t>: About 0.5 ml</w:t>
      </w:r>
      <w:r>
        <w:rPr>
          <w:spacing w:val="-4"/>
        </w:rPr>
        <w:t> </w:t>
      </w:r>
      <w:r>
        <w:rPr/>
        <w:t>of each oil</w:t>
      </w:r>
      <w:r>
        <w:rPr>
          <w:spacing w:val="-2"/>
        </w:rPr>
        <w:t> </w:t>
      </w:r>
      <w:r>
        <w:rPr/>
        <w:t>was</w:t>
      </w:r>
      <w:r>
        <w:rPr>
          <w:spacing w:val="-1"/>
        </w:rPr>
        <w:t> </w:t>
      </w:r>
      <w:r>
        <w:rPr/>
        <w:t>dissolved in about 5 ml</w:t>
      </w:r>
      <w:r>
        <w:rPr>
          <w:spacing w:val="-4"/>
        </w:rPr>
        <w:t> </w:t>
      </w:r>
      <w:r>
        <w:rPr/>
        <w:t>of</w:t>
      </w:r>
      <w:r>
        <w:rPr>
          <w:spacing w:val="-2"/>
        </w:rPr>
        <w:t> </w:t>
      </w:r>
      <w:r>
        <w:rPr/>
        <w:t>ethanol. Few drops of aqueous NaOH were added to 5 ml of</w:t>
      </w:r>
      <w:r>
        <w:rPr>
          <w:spacing w:val="-2"/>
        </w:rPr>
        <w:t> </w:t>
      </w:r>
      <w:r>
        <w:rPr/>
        <w:t>the solution.</w:t>
      </w:r>
      <w:r>
        <w:rPr>
          <w:spacing w:val="40"/>
        </w:rPr>
        <w:t> </w:t>
      </w:r>
      <w:r>
        <w:rPr/>
        <w:t>A yellow colouration should show the presence of flavonoid.</w:t>
      </w:r>
    </w:p>
    <w:p>
      <w:pPr>
        <w:pStyle w:val="BodyText"/>
      </w:pPr>
    </w:p>
    <w:p>
      <w:pPr>
        <w:pStyle w:val="BodyText"/>
        <w:spacing w:before="1"/>
      </w:pPr>
    </w:p>
    <w:p>
      <w:pPr>
        <w:pStyle w:val="ListParagraph"/>
        <w:numPr>
          <w:ilvl w:val="3"/>
          <w:numId w:val="17"/>
        </w:numPr>
        <w:tabs>
          <w:tab w:pos="1752" w:val="left" w:leader="none"/>
        </w:tabs>
        <w:spacing w:line="240" w:lineRule="auto" w:before="0" w:after="0"/>
        <w:ind w:left="1752" w:right="0" w:hanging="724"/>
        <w:jc w:val="left"/>
        <w:rPr>
          <w:i/>
          <w:sz w:val="24"/>
        </w:rPr>
      </w:pPr>
      <w:r>
        <w:rPr>
          <w:i/>
          <w:sz w:val="24"/>
        </w:rPr>
        <w:t>Test</w:t>
      </w:r>
      <w:r>
        <w:rPr>
          <w:i/>
          <w:spacing w:val="-2"/>
          <w:sz w:val="24"/>
        </w:rPr>
        <w:t> </w:t>
      </w:r>
      <w:r>
        <w:rPr>
          <w:i/>
          <w:sz w:val="24"/>
        </w:rPr>
        <w:t>for</w:t>
      </w:r>
      <w:r>
        <w:rPr>
          <w:i/>
          <w:spacing w:val="1"/>
          <w:sz w:val="24"/>
        </w:rPr>
        <w:t> </w:t>
      </w:r>
      <w:r>
        <w:rPr>
          <w:i/>
          <w:spacing w:val="-2"/>
          <w:sz w:val="24"/>
        </w:rPr>
        <w:t>phenols</w:t>
      </w:r>
    </w:p>
    <w:p>
      <w:pPr>
        <w:pStyle w:val="BodyText"/>
        <w:rPr>
          <w:i/>
        </w:rPr>
      </w:pPr>
    </w:p>
    <w:p>
      <w:pPr>
        <w:pStyle w:val="BodyText"/>
        <w:spacing w:line="480" w:lineRule="auto"/>
        <w:ind w:left="1028" w:right="797"/>
        <w:jc w:val="both"/>
      </w:pPr>
      <w:r>
        <w:rPr/>
        <w:t>One (1) ml of each oil was dissolved in 0.5 ml of water-alcohol mixture and 2 drops of 1% aqueous iron (III) chloride solution was added. A red, blue, green, or purple colouration should show the presence of phenol.</w:t>
      </w:r>
    </w:p>
    <w:p>
      <w:pPr>
        <w:pStyle w:val="BodyText"/>
      </w:pPr>
    </w:p>
    <w:p>
      <w:pPr>
        <w:pStyle w:val="BodyText"/>
        <w:spacing w:before="1"/>
      </w:pPr>
    </w:p>
    <w:p>
      <w:pPr>
        <w:pStyle w:val="ListParagraph"/>
        <w:numPr>
          <w:ilvl w:val="3"/>
          <w:numId w:val="17"/>
        </w:numPr>
        <w:tabs>
          <w:tab w:pos="1752" w:val="left" w:leader="none"/>
        </w:tabs>
        <w:spacing w:line="240" w:lineRule="auto" w:before="0" w:after="0"/>
        <w:ind w:left="1752" w:right="0" w:hanging="724"/>
        <w:jc w:val="left"/>
        <w:rPr>
          <w:i/>
          <w:sz w:val="24"/>
        </w:rPr>
      </w:pPr>
      <w:r>
        <w:rPr>
          <w:i/>
          <w:sz w:val="24"/>
        </w:rPr>
        <w:t>Test</w:t>
      </w:r>
      <w:r>
        <w:rPr>
          <w:i/>
          <w:spacing w:val="-4"/>
          <w:sz w:val="24"/>
        </w:rPr>
        <w:t> </w:t>
      </w:r>
      <w:r>
        <w:rPr>
          <w:i/>
          <w:sz w:val="24"/>
        </w:rPr>
        <w:t>for</w:t>
      </w:r>
      <w:r>
        <w:rPr>
          <w:i/>
          <w:spacing w:val="1"/>
          <w:sz w:val="24"/>
        </w:rPr>
        <w:t> </w:t>
      </w:r>
      <w:r>
        <w:rPr>
          <w:i/>
          <w:spacing w:val="-2"/>
          <w:sz w:val="24"/>
        </w:rPr>
        <w:t>saponins</w:t>
      </w:r>
    </w:p>
    <w:p>
      <w:pPr>
        <w:pStyle w:val="BodyText"/>
        <w:rPr>
          <w:i/>
        </w:rPr>
      </w:pPr>
    </w:p>
    <w:p>
      <w:pPr>
        <w:pStyle w:val="ListParagraph"/>
        <w:numPr>
          <w:ilvl w:val="0"/>
          <w:numId w:val="19"/>
        </w:numPr>
        <w:tabs>
          <w:tab w:pos="1746" w:val="left" w:leader="none"/>
        </w:tabs>
        <w:spacing w:line="480" w:lineRule="auto" w:before="0" w:after="0"/>
        <w:ind w:left="1028" w:right="809" w:firstLine="0"/>
        <w:jc w:val="both"/>
        <w:rPr>
          <w:sz w:val="24"/>
        </w:rPr>
      </w:pPr>
      <w:r>
        <w:rPr>
          <w:i/>
          <w:sz w:val="24"/>
        </w:rPr>
        <w:t>Frothing test</w:t>
      </w:r>
      <w:r>
        <w:rPr>
          <w:sz w:val="24"/>
        </w:rPr>
        <w:t>: About of 0.5 ml of each oil was shaken with 2 ml of distilled</w:t>
      </w:r>
      <w:r>
        <w:rPr>
          <w:spacing w:val="40"/>
          <w:sz w:val="24"/>
        </w:rPr>
        <w:t> </w:t>
      </w:r>
      <w:r>
        <w:rPr>
          <w:sz w:val="24"/>
        </w:rPr>
        <w:t>water in a test tube. Frothing, which should persist on warming should show the presence of saponins.</w:t>
      </w:r>
    </w:p>
    <w:p>
      <w:pPr>
        <w:pStyle w:val="ListParagraph"/>
        <w:numPr>
          <w:ilvl w:val="0"/>
          <w:numId w:val="19"/>
        </w:numPr>
        <w:tabs>
          <w:tab w:pos="1746" w:val="left" w:leader="none"/>
        </w:tabs>
        <w:spacing w:line="480" w:lineRule="auto" w:before="1" w:after="0"/>
        <w:ind w:left="1028" w:right="798" w:firstLine="0"/>
        <w:jc w:val="both"/>
        <w:rPr>
          <w:sz w:val="24"/>
        </w:rPr>
      </w:pPr>
      <w:r>
        <w:rPr>
          <w:i/>
          <w:sz w:val="24"/>
        </w:rPr>
        <w:t>Lieberman-Burchards test</w:t>
      </w:r>
      <w:r>
        <w:rPr>
          <w:sz w:val="24"/>
        </w:rPr>
        <w:t>: Equal volume of acetic anhydride was added to 0.5 ml of each oil in a tube, after which 1 ml of concentrated sulphuric acid was added</w:t>
      </w:r>
      <w:r>
        <w:rPr>
          <w:spacing w:val="40"/>
          <w:sz w:val="24"/>
        </w:rPr>
        <w:t> </w:t>
      </w:r>
      <w:r>
        <w:rPr>
          <w:sz w:val="24"/>
        </w:rPr>
        <w:t>down the side each tube. Red, pink or purple colour should indicate the presence of triterpenes while blue or blue-green should indicate the presence of steroids.</w:t>
      </w:r>
    </w:p>
    <w:p>
      <w:pPr>
        <w:pStyle w:val="BodyText"/>
      </w:pPr>
    </w:p>
    <w:p>
      <w:pPr>
        <w:pStyle w:val="BodyText"/>
      </w:pPr>
    </w:p>
    <w:p>
      <w:pPr>
        <w:pStyle w:val="ListParagraph"/>
        <w:numPr>
          <w:ilvl w:val="3"/>
          <w:numId w:val="17"/>
        </w:numPr>
        <w:tabs>
          <w:tab w:pos="1747" w:val="left" w:leader="none"/>
        </w:tabs>
        <w:spacing w:line="240" w:lineRule="auto" w:before="1" w:after="0"/>
        <w:ind w:left="1747" w:right="0" w:hanging="719"/>
        <w:jc w:val="left"/>
        <w:rPr>
          <w:i/>
          <w:sz w:val="24"/>
        </w:rPr>
      </w:pPr>
      <w:r>
        <w:rPr>
          <w:i/>
          <w:sz w:val="24"/>
        </w:rPr>
        <w:t>Test for</w:t>
      </w:r>
      <w:r>
        <w:rPr>
          <w:i/>
          <w:spacing w:val="1"/>
          <w:sz w:val="24"/>
        </w:rPr>
        <w:t> </w:t>
      </w:r>
      <w:r>
        <w:rPr>
          <w:i/>
          <w:spacing w:val="-2"/>
          <w:sz w:val="24"/>
        </w:rPr>
        <w:t>tannins</w:t>
      </w:r>
    </w:p>
    <w:p>
      <w:pPr>
        <w:pStyle w:val="BodyText"/>
        <w:rPr>
          <w:i/>
        </w:rPr>
      </w:pPr>
    </w:p>
    <w:p>
      <w:pPr>
        <w:pStyle w:val="BodyText"/>
        <w:spacing w:line="480" w:lineRule="auto"/>
        <w:ind w:left="1028" w:right="805"/>
        <w:jc w:val="both"/>
      </w:pPr>
      <w:r>
        <w:rPr>
          <w:i/>
        </w:rPr>
        <w:t>Ferric chloride test</w:t>
      </w:r>
      <w:r>
        <w:rPr/>
        <w:t>: About 0.5 ml of each oil was stirred in 5 ml of ethanol. Few drops of</w:t>
      </w:r>
      <w:r>
        <w:rPr>
          <w:spacing w:val="-1"/>
        </w:rPr>
        <w:t> </w:t>
      </w:r>
      <w:r>
        <w:rPr/>
        <w:t>ferric</w:t>
      </w:r>
      <w:r>
        <w:rPr>
          <w:spacing w:val="4"/>
        </w:rPr>
        <w:t> </w:t>
      </w:r>
      <w:r>
        <w:rPr/>
        <w:t>chloride</w:t>
      </w:r>
      <w:r>
        <w:rPr>
          <w:spacing w:val="4"/>
        </w:rPr>
        <w:t> </w:t>
      </w:r>
      <w:r>
        <w:rPr/>
        <w:t>were</w:t>
      </w:r>
      <w:r>
        <w:rPr>
          <w:spacing w:val="4"/>
        </w:rPr>
        <w:t> </w:t>
      </w:r>
      <w:r>
        <w:rPr/>
        <w:t>added</w:t>
      </w:r>
      <w:r>
        <w:rPr>
          <w:spacing w:val="4"/>
        </w:rPr>
        <w:t> </w:t>
      </w:r>
      <w:r>
        <w:rPr/>
        <w:t>to</w:t>
      </w:r>
      <w:r>
        <w:rPr>
          <w:spacing w:val="5"/>
        </w:rPr>
        <w:t> </w:t>
      </w:r>
      <w:r>
        <w:rPr/>
        <w:t>the</w:t>
      </w:r>
      <w:r>
        <w:rPr>
          <w:spacing w:val="4"/>
        </w:rPr>
        <w:t> </w:t>
      </w:r>
      <w:r>
        <w:rPr/>
        <w:t>solution.</w:t>
      </w:r>
      <w:r>
        <w:rPr>
          <w:spacing w:val="6"/>
        </w:rPr>
        <w:t> </w:t>
      </w:r>
      <w:r>
        <w:rPr/>
        <w:t>The</w:t>
      </w:r>
      <w:r>
        <w:rPr>
          <w:spacing w:val="4"/>
        </w:rPr>
        <w:t> </w:t>
      </w:r>
      <w:r>
        <w:rPr/>
        <w:t>appearance</w:t>
      </w:r>
      <w:r>
        <w:rPr>
          <w:spacing w:val="4"/>
        </w:rPr>
        <w:t> </w:t>
      </w:r>
      <w:r>
        <w:rPr/>
        <w:t>of</w:t>
      </w:r>
      <w:r>
        <w:rPr>
          <w:spacing w:val="-2"/>
        </w:rPr>
        <w:t> </w:t>
      </w:r>
      <w:r>
        <w:rPr/>
        <w:t>a</w:t>
      </w:r>
      <w:r>
        <w:rPr>
          <w:spacing w:val="8"/>
        </w:rPr>
        <w:t> </w:t>
      </w:r>
      <w:r>
        <w:rPr/>
        <w:t>blue-black</w:t>
      </w:r>
      <w:r>
        <w:rPr>
          <w:spacing w:val="4"/>
        </w:rPr>
        <w:t> </w:t>
      </w:r>
      <w:r>
        <w:rPr>
          <w:spacing w:val="-2"/>
        </w:rPr>
        <w:t>precipitate</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t>should indicate hydrolysable tannins while a green precipitate should indicate the presence of condensed tannin.</w:t>
      </w:r>
    </w:p>
    <w:p>
      <w:pPr>
        <w:pStyle w:val="BodyText"/>
      </w:pPr>
    </w:p>
    <w:p>
      <w:pPr>
        <w:pStyle w:val="BodyText"/>
        <w:spacing w:before="6"/>
      </w:pPr>
    </w:p>
    <w:p>
      <w:pPr>
        <w:pStyle w:val="Heading2"/>
        <w:numPr>
          <w:ilvl w:val="2"/>
          <w:numId w:val="17"/>
        </w:numPr>
        <w:tabs>
          <w:tab w:pos="1747" w:val="left" w:leader="none"/>
        </w:tabs>
        <w:spacing w:line="240" w:lineRule="auto" w:before="0" w:after="0"/>
        <w:ind w:left="1747" w:right="0" w:hanging="719"/>
        <w:jc w:val="both"/>
      </w:pPr>
      <w:bookmarkStart w:name="_TOC_250007" w:id="49"/>
      <w:r>
        <w:rPr/>
        <w:t>Acid</w:t>
      </w:r>
      <w:r>
        <w:rPr>
          <w:spacing w:val="-2"/>
        </w:rPr>
        <w:t> </w:t>
      </w:r>
      <w:r>
        <w:rPr/>
        <w:t>digestion of</w:t>
      </w:r>
      <w:r>
        <w:rPr>
          <w:spacing w:val="-3"/>
        </w:rPr>
        <w:t> </w:t>
      </w:r>
      <w:r>
        <w:rPr/>
        <w:t>oil</w:t>
      </w:r>
      <w:r>
        <w:rPr>
          <w:spacing w:val="-5"/>
        </w:rPr>
        <w:t> </w:t>
      </w:r>
      <w:r>
        <w:rPr/>
        <w:t>samples</w:t>
      </w:r>
      <w:r>
        <w:rPr>
          <w:spacing w:val="-3"/>
        </w:rPr>
        <w:t> </w:t>
      </w:r>
      <w:r>
        <w:rPr/>
        <w:t>and determination of</w:t>
      </w:r>
      <w:r>
        <w:rPr>
          <w:spacing w:val="-3"/>
        </w:rPr>
        <w:t> </w:t>
      </w:r>
      <w:bookmarkEnd w:id="49"/>
      <w:r>
        <w:rPr>
          <w:spacing w:val="-2"/>
        </w:rPr>
        <w:t>elements</w:t>
      </w:r>
    </w:p>
    <w:p>
      <w:pPr>
        <w:pStyle w:val="BodyText"/>
        <w:spacing w:line="480" w:lineRule="auto" w:before="271"/>
        <w:ind w:left="1028" w:right="808"/>
        <w:jc w:val="both"/>
      </w:pPr>
      <w:r>
        <w:rPr/>
        <w:t>One (1) g of the </w:t>
      </w:r>
      <w:r>
        <w:rPr>
          <w:i/>
        </w:rPr>
        <w:t>J. curcas </w:t>
      </w:r>
      <w:r>
        <w:rPr/>
        <w:t>seed oil samples were weighed into separate beakers for various mineral analyses. To each beaker, 2 ml of hydrogen peroxide and 7.5 ml of concentrated nitric acid (HNO</w:t>
      </w:r>
      <w:r>
        <w:rPr>
          <w:vertAlign w:val="subscript"/>
        </w:rPr>
        <w:t>3</w:t>
      </w:r>
      <w:r>
        <w:rPr>
          <w:vertAlign w:val="baseline"/>
        </w:rPr>
        <w:t>) were added to form a solution. The sample solutions were then heated at a temperature of 170</w:t>
      </w:r>
      <w:r>
        <w:rPr>
          <w:vertAlign w:val="superscript"/>
        </w:rPr>
        <w:t>o</w:t>
      </w:r>
      <w:r>
        <w:rPr>
          <w:vertAlign w:val="baseline"/>
        </w:rPr>
        <w:t>C in a fume cupboard until it became clear. After cooling to room temperature, 20 ml of deionized water was added to the digested samples</w:t>
      </w:r>
      <w:r>
        <w:rPr>
          <w:spacing w:val="-5"/>
          <w:vertAlign w:val="baseline"/>
        </w:rPr>
        <w:t> </w:t>
      </w:r>
      <w:r>
        <w:rPr>
          <w:vertAlign w:val="baseline"/>
        </w:rPr>
        <w:t>and filtered</w:t>
      </w:r>
      <w:r>
        <w:rPr>
          <w:spacing w:val="-3"/>
          <w:vertAlign w:val="baseline"/>
        </w:rPr>
        <w:t> </w:t>
      </w:r>
      <w:r>
        <w:rPr>
          <w:vertAlign w:val="baseline"/>
        </w:rPr>
        <w:t>using filter</w:t>
      </w:r>
      <w:r>
        <w:rPr>
          <w:spacing w:val="-2"/>
          <w:vertAlign w:val="baseline"/>
        </w:rPr>
        <w:t> </w:t>
      </w:r>
      <w:r>
        <w:rPr>
          <w:vertAlign w:val="baseline"/>
        </w:rPr>
        <w:t>paper</w:t>
      </w:r>
      <w:r>
        <w:rPr>
          <w:spacing w:val="-2"/>
          <w:vertAlign w:val="baseline"/>
        </w:rPr>
        <w:t> </w:t>
      </w:r>
      <w:r>
        <w:rPr>
          <w:vertAlign w:val="baseline"/>
        </w:rPr>
        <w:t>to remove</w:t>
      </w:r>
      <w:r>
        <w:rPr>
          <w:spacing w:val="-4"/>
          <w:vertAlign w:val="baseline"/>
        </w:rPr>
        <w:t> </w:t>
      </w:r>
      <w:r>
        <w:rPr>
          <w:vertAlign w:val="baseline"/>
        </w:rPr>
        <w:t>particles.</w:t>
      </w:r>
      <w:r>
        <w:rPr>
          <w:spacing w:val="-1"/>
          <w:vertAlign w:val="baseline"/>
        </w:rPr>
        <w:t> </w:t>
      </w:r>
      <w:r>
        <w:rPr>
          <w:vertAlign w:val="baseline"/>
        </w:rPr>
        <w:t>The filtrates</w:t>
      </w:r>
      <w:r>
        <w:rPr>
          <w:spacing w:val="-5"/>
          <w:vertAlign w:val="baseline"/>
        </w:rPr>
        <w:t> </w:t>
      </w:r>
      <w:r>
        <w:rPr>
          <w:vertAlign w:val="baseline"/>
        </w:rPr>
        <w:t>were made</w:t>
      </w:r>
      <w:r>
        <w:rPr>
          <w:spacing w:val="-4"/>
          <w:vertAlign w:val="baseline"/>
        </w:rPr>
        <w:t> </w:t>
      </w:r>
      <w:r>
        <w:rPr>
          <w:vertAlign w:val="baseline"/>
        </w:rPr>
        <w:t>up</w:t>
      </w:r>
      <w:r>
        <w:rPr>
          <w:spacing w:val="-3"/>
          <w:vertAlign w:val="baseline"/>
        </w:rPr>
        <w:t> </w:t>
      </w:r>
      <w:r>
        <w:rPr>
          <w:vertAlign w:val="baseline"/>
        </w:rPr>
        <w:t>to 50 ml with deionized water and analyzed using atomic absorption spectrophotometer (Polarized Zeeman Hitachi 2000) for lead, cadmium, copper, iron, calcium and zinc. This procedure used was as described in ETHOS D User Manual (2001).</w:t>
      </w:r>
    </w:p>
    <w:p>
      <w:pPr>
        <w:pStyle w:val="BodyText"/>
      </w:pPr>
    </w:p>
    <w:p>
      <w:pPr>
        <w:pStyle w:val="BodyText"/>
        <w:spacing w:before="7"/>
      </w:pPr>
    </w:p>
    <w:p>
      <w:pPr>
        <w:pStyle w:val="Heading2"/>
        <w:numPr>
          <w:ilvl w:val="2"/>
          <w:numId w:val="17"/>
        </w:numPr>
        <w:tabs>
          <w:tab w:pos="1747" w:val="left" w:leader="none"/>
        </w:tabs>
        <w:spacing w:line="240" w:lineRule="auto" w:before="0" w:after="0"/>
        <w:ind w:left="1747" w:right="0" w:hanging="719"/>
        <w:jc w:val="both"/>
      </w:pPr>
      <w:r>
        <w:rPr/>
        <w:t>Isolation and</w:t>
      </w:r>
      <w:r>
        <w:rPr>
          <w:spacing w:val="-1"/>
        </w:rPr>
        <w:t> </w:t>
      </w:r>
      <w:r>
        <w:rPr/>
        <w:t>estimation</w:t>
      </w:r>
      <w:r>
        <w:rPr>
          <w:spacing w:val="-4"/>
        </w:rPr>
        <w:t> </w:t>
      </w:r>
      <w:r>
        <w:rPr/>
        <w:t>of</w:t>
      </w:r>
      <w:r>
        <w:rPr>
          <w:spacing w:val="-4"/>
        </w:rPr>
        <w:t> </w:t>
      </w:r>
      <w:r>
        <w:rPr/>
        <w:t>phorbol</w:t>
      </w:r>
      <w:r>
        <w:rPr>
          <w:spacing w:val="-6"/>
        </w:rPr>
        <w:t> </w:t>
      </w:r>
      <w:r>
        <w:rPr/>
        <w:t>esters</w:t>
      </w:r>
      <w:r>
        <w:rPr>
          <w:spacing w:val="4"/>
        </w:rPr>
        <w:t> </w:t>
      </w:r>
      <w:r>
        <w:rPr/>
        <w:t>from</w:t>
      </w:r>
      <w:r>
        <w:rPr>
          <w:spacing w:val="-4"/>
        </w:rPr>
        <w:t> </w:t>
      </w:r>
      <w:r>
        <w:rPr>
          <w:i/>
        </w:rPr>
        <w:t>J.</w:t>
      </w:r>
      <w:r>
        <w:rPr>
          <w:i/>
          <w:spacing w:val="2"/>
        </w:rPr>
        <w:t> </w:t>
      </w:r>
      <w:r>
        <w:rPr>
          <w:i/>
        </w:rPr>
        <w:t>curcas</w:t>
      </w:r>
      <w:r>
        <w:rPr>
          <w:i/>
          <w:spacing w:val="-2"/>
        </w:rPr>
        <w:t> </w:t>
      </w:r>
      <w:r>
        <w:rPr>
          <w:spacing w:val="-4"/>
        </w:rPr>
        <w:t>oils</w:t>
      </w:r>
    </w:p>
    <w:p>
      <w:pPr>
        <w:pStyle w:val="BodyText"/>
        <w:spacing w:line="480" w:lineRule="auto" w:before="271"/>
        <w:ind w:left="1028" w:right="799" w:firstLine="57"/>
        <w:jc w:val="both"/>
      </w:pPr>
      <w:r>
        <w:rPr/>
        <w:t>The isolation of phorbol esters from </w:t>
      </w:r>
      <w:r>
        <w:rPr>
          <w:i/>
        </w:rPr>
        <w:t>J. curcas </w:t>
      </w:r>
      <w:r>
        <w:rPr/>
        <w:t>oils (both undetoxified and detoxified), were carried out according to the method described by Gaudani </w:t>
      </w:r>
      <w:r>
        <w:rPr>
          <w:i/>
        </w:rPr>
        <w:t>et al</w:t>
      </w:r>
      <w:r>
        <w:rPr/>
        <w:t>. (2009). Briefly, two hundred and fifty (250) ml of n-hexane was added to 10 g of</w:t>
      </w:r>
      <w:r>
        <w:rPr>
          <w:spacing w:val="-2"/>
        </w:rPr>
        <w:t> </w:t>
      </w:r>
      <w:r>
        <w:rPr/>
        <w:t>the oil to increase the volume and surface area of the oil. The mixture was homogenized by gentle mixing.</w:t>
      </w:r>
      <w:r>
        <w:rPr>
          <w:spacing w:val="40"/>
        </w:rPr>
        <w:t> </w:t>
      </w:r>
      <w:r>
        <w:rPr/>
        <w:t>The mixture</w:t>
      </w:r>
      <w:r>
        <w:rPr>
          <w:spacing w:val="-1"/>
        </w:rPr>
        <w:t> </w:t>
      </w:r>
      <w:r>
        <w:rPr/>
        <w:t>was</w:t>
      </w:r>
      <w:r>
        <w:rPr>
          <w:spacing w:val="-2"/>
        </w:rPr>
        <w:t> </w:t>
      </w:r>
      <w:r>
        <w:rPr/>
        <w:t>transferred into a</w:t>
      </w:r>
      <w:r>
        <w:rPr>
          <w:spacing w:val="-1"/>
        </w:rPr>
        <w:t> </w:t>
      </w:r>
      <w:r>
        <w:rPr/>
        <w:t>separating funnel</w:t>
      </w:r>
      <w:r>
        <w:rPr>
          <w:spacing w:val="-9"/>
        </w:rPr>
        <w:t> </w:t>
      </w:r>
      <w:r>
        <w:rPr/>
        <w:t>and 200 ml</w:t>
      </w:r>
      <w:r>
        <w:rPr>
          <w:spacing w:val="-5"/>
        </w:rPr>
        <w:t> </w:t>
      </w:r>
      <w:r>
        <w:rPr/>
        <w:t>of</w:t>
      </w:r>
      <w:r>
        <w:rPr>
          <w:spacing w:val="-3"/>
        </w:rPr>
        <w:t> </w:t>
      </w:r>
      <w:r>
        <w:rPr/>
        <w:t>methanol</w:t>
      </w:r>
      <w:r>
        <w:rPr>
          <w:spacing w:val="-5"/>
        </w:rPr>
        <w:t> </w:t>
      </w:r>
      <w:r>
        <w:rPr/>
        <w:t>was added dropwise. The mixture was allowed to settle in two layers for 2 h. The lower layer of methanol was collected dropwise into a clean beaker without disturbing the upper layer of n-hexane. The collected</w:t>
      </w:r>
      <w:r>
        <w:rPr>
          <w:spacing w:val="19"/>
        </w:rPr>
        <w:t> </w:t>
      </w:r>
      <w:r>
        <w:rPr/>
        <w:t>methanol extract</w:t>
      </w:r>
      <w:r>
        <w:rPr>
          <w:spacing w:val="19"/>
        </w:rPr>
        <w:t> </w:t>
      </w:r>
      <w:r>
        <w:rPr/>
        <w:t>was kept on a water bath</w:t>
      </w:r>
      <w:r>
        <w:rPr>
          <w:spacing w:val="20"/>
        </w:rPr>
        <w:t> </w:t>
      </w:r>
      <w:r>
        <w:rPr/>
        <w:t>at</w:t>
      </w:r>
      <w:r>
        <w:rPr>
          <w:spacing w:val="19"/>
        </w:rPr>
        <w:t> </w:t>
      </w:r>
      <w:r>
        <w:rPr/>
        <w:t>70</w:t>
      </w:r>
      <w:r>
        <w:rPr>
          <w:vertAlign w:val="superscript"/>
        </w:rPr>
        <w:t>o</w:t>
      </w:r>
      <w:r>
        <w:rPr>
          <w:vertAlign w:val="baseline"/>
        </w:rPr>
        <w:t>C in order to remove the methanol to give the phorbol esters rich fraction. The phorbol ester rich fractions</w:t>
      </w:r>
      <w:r>
        <w:rPr>
          <w:spacing w:val="5"/>
          <w:vertAlign w:val="baseline"/>
        </w:rPr>
        <w:t> </w:t>
      </w:r>
      <w:r>
        <w:rPr>
          <w:vertAlign w:val="baseline"/>
        </w:rPr>
        <w:t>were</w:t>
      </w:r>
      <w:r>
        <w:rPr>
          <w:spacing w:val="10"/>
          <w:vertAlign w:val="baseline"/>
        </w:rPr>
        <w:t> </w:t>
      </w:r>
      <w:r>
        <w:rPr>
          <w:vertAlign w:val="baseline"/>
        </w:rPr>
        <w:t>weighed</w:t>
      </w:r>
      <w:r>
        <w:rPr>
          <w:spacing w:val="10"/>
          <w:vertAlign w:val="baseline"/>
        </w:rPr>
        <w:t> </w:t>
      </w:r>
      <w:r>
        <w:rPr>
          <w:vertAlign w:val="baseline"/>
        </w:rPr>
        <w:t>to</w:t>
      </w:r>
      <w:r>
        <w:rPr>
          <w:spacing w:val="10"/>
          <w:vertAlign w:val="baseline"/>
        </w:rPr>
        <w:t> </w:t>
      </w:r>
      <w:r>
        <w:rPr>
          <w:vertAlign w:val="baseline"/>
        </w:rPr>
        <w:t>estimate</w:t>
      </w:r>
      <w:r>
        <w:rPr>
          <w:spacing w:val="5"/>
          <w:vertAlign w:val="baseline"/>
        </w:rPr>
        <w:t> </w:t>
      </w:r>
      <w:r>
        <w:rPr>
          <w:vertAlign w:val="baseline"/>
        </w:rPr>
        <w:t>the</w:t>
      </w:r>
      <w:r>
        <w:rPr>
          <w:spacing w:val="9"/>
          <w:vertAlign w:val="baseline"/>
        </w:rPr>
        <w:t> </w:t>
      </w:r>
      <w:r>
        <w:rPr>
          <w:vertAlign w:val="baseline"/>
        </w:rPr>
        <w:t>amounts</w:t>
      </w:r>
      <w:r>
        <w:rPr>
          <w:spacing w:val="8"/>
          <w:vertAlign w:val="baseline"/>
        </w:rPr>
        <w:t> </w:t>
      </w:r>
      <w:r>
        <w:rPr>
          <w:vertAlign w:val="baseline"/>
        </w:rPr>
        <w:t>of</w:t>
      </w:r>
      <w:r>
        <w:rPr>
          <w:spacing w:val="7"/>
          <w:vertAlign w:val="baseline"/>
        </w:rPr>
        <w:t> </w:t>
      </w:r>
      <w:r>
        <w:rPr>
          <w:vertAlign w:val="baseline"/>
        </w:rPr>
        <w:t>phorbol</w:t>
      </w:r>
      <w:r>
        <w:rPr>
          <w:spacing w:val="1"/>
          <w:vertAlign w:val="baseline"/>
        </w:rPr>
        <w:t> </w:t>
      </w:r>
      <w:r>
        <w:rPr>
          <w:vertAlign w:val="baseline"/>
        </w:rPr>
        <w:t>esters</w:t>
      </w:r>
      <w:r>
        <w:rPr>
          <w:spacing w:val="8"/>
          <w:vertAlign w:val="baseline"/>
        </w:rPr>
        <w:t> </w:t>
      </w:r>
      <w:r>
        <w:rPr>
          <w:vertAlign w:val="baseline"/>
        </w:rPr>
        <w:t>present</w:t>
      </w:r>
      <w:r>
        <w:rPr>
          <w:spacing w:val="20"/>
          <w:vertAlign w:val="baseline"/>
        </w:rPr>
        <w:t> </w:t>
      </w:r>
      <w:r>
        <w:rPr>
          <w:vertAlign w:val="baseline"/>
        </w:rPr>
        <w:t>in</w:t>
      </w:r>
      <w:r>
        <w:rPr>
          <w:spacing w:val="7"/>
          <w:vertAlign w:val="baseline"/>
        </w:rPr>
        <w:t> </w:t>
      </w:r>
      <w:r>
        <w:rPr>
          <w:vertAlign w:val="baseline"/>
        </w:rPr>
        <w:t>each</w:t>
      </w:r>
      <w:r>
        <w:rPr>
          <w:spacing w:val="5"/>
          <w:vertAlign w:val="baseline"/>
        </w:rPr>
        <w:t> </w:t>
      </w:r>
      <w:r>
        <w:rPr>
          <w:vertAlign w:val="baseline"/>
        </w:rPr>
        <w:t>of</w:t>
      </w:r>
      <w:r>
        <w:rPr>
          <w:spacing w:val="4"/>
          <w:vertAlign w:val="baseline"/>
        </w:rPr>
        <w:t> </w:t>
      </w:r>
      <w:r>
        <w:rPr>
          <w:spacing w:val="-5"/>
          <w:vertAlign w:val="baseline"/>
        </w:rPr>
        <w:t>the</w:t>
      </w:r>
    </w:p>
    <w:p>
      <w:pPr>
        <w:spacing w:after="0" w:line="480" w:lineRule="auto"/>
        <w:jc w:val="both"/>
        <w:sectPr>
          <w:pgSz w:w="11910" w:h="16840"/>
          <w:pgMar w:header="0" w:footer="1012" w:top="1320" w:bottom="1200" w:left="960" w:right="620"/>
        </w:sectPr>
      </w:pPr>
    </w:p>
    <w:p>
      <w:pPr>
        <w:pStyle w:val="BodyText"/>
        <w:spacing w:line="480" w:lineRule="auto" w:before="79"/>
        <w:ind w:left="1028" w:right="805"/>
        <w:jc w:val="both"/>
      </w:pPr>
      <w:r>
        <w:rPr>
          <w:i/>
        </w:rPr>
        <w:t>J. curcas </w:t>
      </w:r>
      <w:r>
        <w:rPr/>
        <w:t>oil samples. The amount of phorbol esters present in the oil was estimated by relating the weight of the phorbol esters rich fraction to the starting oil weight, as a percentage, thus:</w:t>
      </w:r>
    </w:p>
    <w:p>
      <w:pPr>
        <w:pStyle w:val="BodyText"/>
        <w:spacing w:before="1"/>
        <w:ind w:left="1028"/>
        <w:jc w:val="both"/>
      </w:pPr>
      <w:r>
        <w:rPr/>
        <w:t>%</w:t>
      </w:r>
      <w:r>
        <w:rPr>
          <w:spacing w:val="1"/>
        </w:rPr>
        <w:t> </w:t>
      </w:r>
      <w:r>
        <w:rPr/>
        <w:t>Phorbol</w:t>
      </w:r>
      <w:r>
        <w:rPr>
          <w:spacing w:val="-8"/>
        </w:rPr>
        <w:t> </w:t>
      </w:r>
      <w:r>
        <w:rPr/>
        <w:t>esters</w:t>
      </w:r>
      <w:r>
        <w:rPr>
          <w:spacing w:val="-2"/>
        </w:rPr>
        <w:t> </w:t>
      </w:r>
      <w:r>
        <w:rPr/>
        <w:t>in</w:t>
      </w:r>
      <w:r>
        <w:rPr>
          <w:spacing w:val="-4"/>
        </w:rPr>
        <w:t> </w:t>
      </w:r>
      <w:r>
        <w:rPr/>
        <w:t>the</w:t>
      </w:r>
      <w:r>
        <w:rPr>
          <w:spacing w:val="3"/>
        </w:rPr>
        <w:t> </w:t>
      </w:r>
      <w:r>
        <w:rPr/>
        <w:t>oil</w:t>
      </w:r>
      <w:r>
        <w:rPr>
          <w:spacing w:val="-4"/>
        </w:rPr>
        <w:t> </w:t>
      </w:r>
      <w:r>
        <w:rPr/>
        <w:t>= </w:t>
      </w:r>
      <w:r>
        <w:rPr>
          <w:spacing w:val="24"/>
          <w:u w:val="single"/>
        </w:rPr>
        <w:t> </w:t>
      </w:r>
      <w:r>
        <w:rPr>
          <w:u w:val="single"/>
        </w:rPr>
        <w:t>W</w:t>
      </w:r>
      <w:r>
        <w:rPr>
          <w:u w:val="single"/>
          <w:vertAlign w:val="subscript"/>
        </w:rPr>
        <w:t>2</w:t>
      </w:r>
      <w:r>
        <w:rPr>
          <w:spacing w:val="3"/>
          <w:u w:val="single"/>
          <w:vertAlign w:val="baseline"/>
        </w:rPr>
        <w:t> </w:t>
      </w:r>
      <w:r>
        <w:rPr>
          <w:u w:val="single"/>
          <w:vertAlign w:val="baseline"/>
        </w:rPr>
        <w:t>– W</w:t>
      </w:r>
      <w:r>
        <w:rPr>
          <w:u w:val="single"/>
          <w:vertAlign w:val="subscript"/>
        </w:rPr>
        <w:t>1</w:t>
      </w:r>
      <w:r>
        <w:rPr>
          <w:spacing w:val="64"/>
          <w:vertAlign w:val="baseline"/>
        </w:rPr>
        <w:t> </w:t>
      </w:r>
      <w:r>
        <w:rPr>
          <w:vertAlign w:val="baseline"/>
        </w:rPr>
        <w:t>x</w:t>
      </w:r>
      <w:r>
        <w:rPr>
          <w:spacing w:val="56"/>
          <w:vertAlign w:val="baseline"/>
        </w:rPr>
        <w:t> </w:t>
      </w:r>
      <w:r>
        <w:rPr>
          <w:spacing w:val="-5"/>
          <w:vertAlign w:val="baseline"/>
        </w:rPr>
        <w:t>100</w:t>
      </w:r>
    </w:p>
    <w:p>
      <w:pPr>
        <w:pStyle w:val="BodyText"/>
        <w:spacing w:before="137"/>
        <w:ind w:right="1603"/>
        <w:jc w:val="center"/>
      </w:pPr>
      <w:r>
        <w:rPr>
          <w:spacing w:val="-5"/>
        </w:rPr>
        <w:t>W</w:t>
      </w:r>
      <w:r>
        <w:rPr>
          <w:spacing w:val="-5"/>
          <w:vertAlign w:val="subscript"/>
        </w:rPr>
        <w:t>3</w:t>
      </w:r>
    </w:p>
    <w:p>
      <w:pPr>
        <w:pStyle w:val="BodyText"/>
        <w:rPr>
          <w:sz w:val="16"/>
        </w:rPr>
      </w:pPr>
    </w:p>
    <w:p>
      <w:pPr>
        <w:pStyle w:val="BodyText"/>
        <w:rPr>
          <w:sz w:val="16"/>
        </w:rPr>
      </w:pPr>
    </w:p>
    <w:p>
      <w:pPr>
        <w:pStyle w:val="BodyText"/>
        <w:spacing w:before="142"/>
        <w:rPr>
          <w:sz w:val="16"/>
        </w:rPr>
      </w:pPr>
    </w:p>
    <w:p>
      <w:pPr>
        <w:pStyle w:val="BodyText"/>
        <w:ind w:left="1028"/>
      </w:pPr>
      <w:r>
        <w:rPr>
          <w:spacing w:val="-2"/>
        </w:rPr>
        <w:t>Where;</w:t>
      </w:r>
    </w:p>
    <w:p>
      <w:pPr>
        <w:pStyle w:val="BodyText"/>
      </w:pPr>
    </w:p>
    <w:p>
      <w:pPr>
        <w:pStyle w:val="BodyText"/>
        <w:spacing w:line="480" w:lineRule="auto"/>
        <w:ind w:left="1028" w:right="3629"/>
      </w:pPr>
      <w:r>
        <w:rPr/>
        <w:t>W</w:t>
      </w:r>
      <w:r>
        <w:rPr>
          <w:vertAlign w:val="subscript"/>
        </w:rPr>
        <w:t>1</w:t>
      </w:r>
      <w:r>
        <w:rPr>
          <w:spacing w:val="-2"/>
          <w:vertAlign w:val="baseline"/>
        </w:rPr>
        <w:t> </w:t>
      </w:r>
      <w:r>
        <w:rPr>
          <w:vertAlign w:val="baseline"/>
        </w:rPr>
        <w:t>=</w:t>
      </w:r>
      <w:r>
        <w:rPr>
          <w:spacing w:val="-5"/>
          <w:vertAlign w:val="baseline"/>
        </w:rPr>
        <w:t> </w:t>
      </w:r>
      <w:r>
        <w:rPr>
          <w:vertAlign w:val="baseline"/>
        </w:rPr>
        <w:t>weight of</w:t>
      </w:r>
      <w:r>
        <w:rPr>
          <w:spacing w:val="-11"/>
          <w:vertAlign w:val="baseline"/>
        </w:rPr>
        <w:t> </w:t>
      </w:r>
      <w:r>
        <w:rPr>
          <w:vertAlign w:val="baseline"/>
        </w:rPr>
        <w:t>empty</w:t>
      </w:r>
      <w:r>
        <w:rPr>
          <w:spacing w:val="-13"/>
          <w:vertAlign w:val="baseline"/>
        </w:rPr>
        <w:t> </w:t>
      </w:r>
      <w:r>
        <w:rPr>
          <w:vertAlign w:val="baseline"/>
        </w:rPr>
        <w:t>beaker</w:t>
      </w:r>
      <w:r>
        <w:rPr>
          <w:spacing w:val="-3"/>
          <w:vertAlign w:val="baseline"/>
        </w:rPr>
        <w:t> </w:t>
      </w:r>
      <w:r>
        <w:rPr>
          <w:vertAlign w:val="baseline"/>
        </w:rPr>
        <w:t>to</w:t>
      </w:r>
      <w:r>
        <w:rPr>
          <w:spacing w:val="-4"/>
          <w:vertAlign w:val="baseline"/>
        </w:rPr>
        <w:t> </w:t>
      </w:r>
      <w:r>
        <w:rPr>
          <w:vertAlign w:val="baseline"/>
        </w:rPr>
        <w:t>hold</w:t>
      </w:r>
      <w:r>
        <w:rPr>
          <w:spacing w:val="-4"/>
          <w:vertAlign w:val="baseline"/>
        </w:rPr>
        <w:t> </w:t>
      </w:r>
      <w:r>
        <w:rPr>
          <w:vertAlign w:val="baseline"/>
        </w:rPr>
        <w:t>the</w:t>
      </w:r>
      <w:r>
        <w:rPr>
          <w:spacing w:val="-1"/>
          <w:vertAlign w:val="baseline"/>
        </w:rPr>
        <w:t> </w:t>
      </w:r>
      <w:r>
        <w:rPr>
          <w:vertAlign w:val="baseline"/>
        </w:rPr>
        <w:t>methanol</w:t>
      </w:r>
      <w:r>
        <w:rPr>
          <w:spacing w:val="-9"/>
          <w:vertAlign w:val="baseline"/>
        </w:rPr>
        <w:t> </w:t>
      </w:r>
      <w:r>
        <w:rPr>
          <w:vertAlign w:val="baseline"/>
        </w:rPr>
        <w:t>extract W</w:t>
      </w:r>
      <w:r>
        <w:rPr>
          <w:vertAlign w:val="subscript"/>
        </w:rPr>
        <w:t>2</w:t>
      </w:r>
      <w:r>
        <w:rPr>
          <w:vertAlign w:val="baseline"/>
        </w:rPr>
        <w:t> = weight of beaker and the isolated phorbol esters</w:t>
      </w:r>
    </w:p>
    <w:p>
      <w:pPr>
        <w:pStyle w:val="BodyText"/>
        <w:spacing w:before="1"/>
        <w:ind w:left="1028"/>
      </w:pPr>
      <w:r>
        <w:rPr/>
        <w:t>W</w:t>
      </w:r>
      <w:r>
        <w:rPr>
          <w:vertAlign w:val="subscript"/>
        </w:rPr>
        <w:t>3</w:t>
      </w:r>
      <w:r>
        <w:rPr>
          <w:vertAlign w:val="baseline"/>
        </w:rPr>
        <w:t> =</w:t>
      </w:r>
      <w:r>
        <w:rPr>
          <w:spacing w:val="-2"/>
          <w:vertAlign w:val="baseline"/>
        </w:rPr>
        <w:t> </w:t>
      </w:r>
      <w:r>
        <w:rPr>
          <w:vertAlign w:val="baseline"/>
        </w:rPr>
        <w:t>weight</w:t>
      </w:r>
      <w:r>
        <w:rPr>
          <w:spacing w:val="4"/>
          <w:vertAlign w:val="baseline"/>
        </w:rPr>
        <w:t> </w:t>
      </w:r>
      <w:r>
        <w:rPr>
          <w:vertAlign w:val="baseline"/>
        </w:rPr>
        <w:t>of</w:t>
      </w:r>
      <w:r>
        <w:rPr>
          <w:spacing w:val="-6"/>
          <w:vertAlign w:val="baseline"/>
        </w:rPr>
        <w:t> </w:t>
      </w:r>
      <w:r>
        <w:rPr>
          <w:i/>
          <w:vertAlign w:val="baseline"/>
        </w:rPr>
        <w:t>J. curcas</w:t>
      </w:r>
      <w:r>
        <w:rPr>
          <w:i/>
          <w:spacing w:val="-2"/>
          <w:vertAlign w:val="baseline"/>
        </w:rPr>
        <w:t> </w:t>
      </w:r>
      <w:r>
        <w:rPr>
          <w:vertAlign w:val="baseline"/>
        </w:rPr>
        <w:t>oil</w:t>
      </w:r>
      <w:r>
        <w:rPr>
          <w:spacing w:val="-9"/>
          <w:vertAlign w:val="baseline"/>
        </w:rPr>
        <w:t> </w:t>
      </w:r>
      <w:r>
        <w:rPr>
          <w:vertAlign w:val="baseline"/>
        </w:rPr>
        <w:t>at</w:t>
      </w:r>
      <w:r>
        <w:rPr>
          <w:spacing w:val="-1"/>
          <w:vertAlign w:val="baseline"/>
        </w:rPr>
        <w:t> </w:t>
      </w:r>
      <w:r>
        <w:rPr>
          <w:vertAlign w:val="baseline"/>
        </w:rPr>
        <w:t>the</w:t>
      </w:r>
      <w:r>
        <w:rPr>
          <w:spacing w:val="-2"/>
          <w:vertAlign w:val="baseline"/>
        </w:rPr>
        <w:t> </w:t>
      </w:r>
      <w:r>
        <w:rPr>
          <w:vertAlign w:val="baseline"/>
        </w:rPr>
        <w:t>start</w:t>
      </w:r>
      <w:r>
        <w:rPr>
          <w:spacing w:val="-1"/>
          <w:vertAlign w:val="baseline"/>
        </w:rPr>
        <w:t> </w:t>
      </w:r>
      <w:r>
        <w:rPr>
          <w:vertAlign w:val="baseline"/>
        </w:rPr>
        <w:t>(typically,</w:t>
      </w:r>
      <w:r>
        <w:rPr>
          <w:spacing w:val="1"/>
          <w:vertAlign w:val="baseline"/>
        </w:rPr>
        <w:t> </w:t>
      </w:r>
      <w:r>
        <w:rPr>
          <w:vertAlign w:val="baseline"/>
        </w:rPr>
        <w:t>10</w:t>
      </w:r>
      <w:r>
        <w:rPr>
          <w:spacing w:val="-1"/>
          <w:vertAlign w:val="baseline"/>
        </w:rPr>
        <w:t> </w:t>
      </w:r>
      <w:r>
        <w:rPr>
          <w:spacing w:val="-5"/>
          <w:vertAlign w:val="baseline"/>
        </w:rPr>
        <w:t>g).</w:t>
      </w:r>
    </w:p>
    <w:p>
      <w:pPr>
        <w:pStyle w:val="BodyText"/>
      </w:pPr>
    </w:p>
    <w:p>
      <w:pPr>
        <w:pStyle w:val="BodyText"/>
        <w:spacing w:before="271"/>
      </w:pPr>
    </w:p>
    <w:p>
      <w:pPr>
        <w:pStyle w:val="BodyText"/>
        <w:spacing w:line="480" w:lineRule="auto"/>
        <w:ind w:left="1028" w:right="802"/>
        <w:jc w:val="both"/>
      </w:pPr>
      <w:r>
        <w:rPr/>
        <w:t>Attempts to determine the exact amounts of phorbol</w:t>
      </w:r>
      <w:r>
        <w:rPr>
          <w:spacing w:val="-1"/>
        </w:rPr>
        <w:t> </w:t>
      </w:r>
      <w:r>
        <w:rPr/>
        <w:t>esters present in the oils by HPLC method such as that described by Wink </w:t>
      </w:r>
      <w:r>
        <w:rPr>
          <w:i/>
        </w:rPr>
        <w:t>et al. </w:t>
      </w:r>
      <w:r>
        <w:rPr/>
        <w:t>(1997) was foiled by the unavailability of the instrument and its consumables.</w:t>
      </w:r>
    </w:p>
    <w:p>
      <w:pPr>
        <w:pStyle w:val="BodyText"/>
      </w:pPr>
    </w:p>
    <w:p>
      <w:pPr>
        <w:pStyle w:val="BodyText"/>
        <w:spacing w:before="5"/>
      </w:pPr>
    </w:p>
    <w:p>
      <w:pPr>
        <w:pStyle w:val="ListParagraph"/>
        <w:numPr>
          <w:ilvl w:val="2"/>
          <w:numId w:val="17"/>
        </w:numPr>
        <w:tabs>
          <w:tab w:pos="1747" w:val="left" w:leader="none"/>
        </w:tabs>
        <w:spacing w:line="240" w:lineRule="auto" w:before="1" w:after="0"/>
        <w:ind w:left="1747" w:right="0" w:hanging="719"/>
        <w:jc w:val="both"/>
        <w:rPr>
          <w:b/>
          <w:sz w:val="24"/>
        </w:rPr>
      </w:pPr>
      <w:r>
        <w:rPr>
          <w:b/>
          <w:sz w:val="24"/>
        </w:rPr>
        <w:t>Acute</w:t>
      </w:r>
      <w:r>
        <w:rPr>
          <w:b/>
          <w:spacing w:val="-2"/>
          <w:sz w:val="24"/>
        </w:rPr>
        <w:t> </w:t>
      </w:r>
      <w:r>
        <w:rPr>
          <w:b/>
          <w:sz w:val="24"/>
        </w:rPr>
        <w:t>toxicity studies</w:t>
      </w:r>
      <w:r>
        <w:rPr>
          <w:b/>
          <w:spacing w:val="-3"/>
          <w:sz w:val="24"/>
        </w:rPr>
        <w:t> </w:t>
      </w:r>
      <w:r>
        <w:rPr>
          <w:b/>
          <w:sz w:val="24"/>
        </w:rPr>
        <w:t>of</w:t>
      </w:r>
      <w:r>
        <w:rPr>
          <w:b/>
          <w:spacing w:val="-1"/>
          <w:sz w:val="24"/>
        </w:rPr>
        <w:t> </w:t>
      </w:r>
      <w:r>
        <w:rPr>
          <w:b/>
          <w:i/>
          <w:sz w:val="24"/>
        </w:rPr>
        <w:t>J.</w:t>
      </w:r>
      <w:r>
        <w:rPr>
          <w:b/>
          <w:i/>
          <w:spacing w:val="-3"/>
          <w:sz w:val="24"/>
        </w:rPr>
        <w:t> </w:t>
      </w:r>
      <w:r>
        <w:rPr>
          <w:b/>
          <w:i/>
          <w:sz w:val="24"/>
        </w:rPr>
        <w:t>curcas</w:t>
      </w:r>
      <w:r>
        <w:rPr>
          <w:b/>
          <w:i/>
          <w:spacing w:val="-1"/>
          <w:sz w:val="24"/>
        </w:rPr>
        <w:t> </w:t>
      </w:r>
      <w:r>
        <w:rPr>
          <w:b/>
          <w:sz w:val="24"/>
        </w:rPr>
        <w:t>seed </w:t>
      </w:r>
      <w:r>
        <w:rPr>
          <w:b/>
          <w:spacing w:val="-4"/>
          <w:sz w:val="24"/>
        </w:rPr>
        <w:t>oils</w:t>
      </w:r>
    </w:p>
    <w:p>
      <w:pPr>
        <w:pStyle w:val="BodyText"/>
        <w:spacing w:line="480" w:lineRule="auto" w:before="271"/>
        <w:ind w:left="1028" w:right="797"/>
        <w:jc w:val="both"/>
      </w:pPr>
      <w:r>
        <w:rPr/>
        <w:t>The median lethal dose (LD</w:t>
      </w:r>
      <w:r>
        <w:rPr>
          <w:vertAlign w:val="subscript"/>
        </w:rPr>
        <w:t>50</w:t>
      </w:r>
      <w:r>
        <w:rPr>
          <w:vertAlign w:val="baseline"/>
        </w:rPr>
        <w:t>) determination was used as an index to define the acute toxicity</w:t>
      </w:r>
      <w:r>
        <w:rPr>
          <w:spacing w:val="-4"/>
          <w:vertAlign w:val="baseline"/>
        </w:rPr>
        <w:t> </w:t>
      </w:r>
      <w:r>
        <w:rPr>
          <w:vertAlign w:val="baseline"/>
        </w:rPr>
        <w:t>of</w:t>
      </w:r>
      <w:r>
        <w:rPr>
          <w:spacing w:val="-1"/>
          <w:vertAlign w:val="baseline"/>
        </w:rPr>
        <w:t> </w:t>
      </w:r>
      <w:r>
        <w:rPr>
          <w:vertAlign w:val="baseline"/>
        </w:rPr>
        <w:t>undetoxified and detoxified </w:t>
      </w:r>
      <w:r>
        <w:rPr>
          <w:i/>
          <w:vertAlign w:val="baseline"/>
        </w:rPr>
        <w:t>J. curcas </w:t>
      </w:r>
      <w:r>
        <w:rPr>
          <w:vertAlign w:val="baseline"/>
        </w:rPr>
        <w:t>seed oils. The oral</w:t>
      </w:r>
      <w:r>
        <w:rPr>
          <w:spacing w:val="-4"/>
          <w:vertAlign w:val="baseline"/>
        </w:rPr>
        <w:t> </w:t>
      </w:r>
      <w:r>
        <w:rPr>
          <w:vertAlign w:val="baseline"/>
        </w:rPr>
        <w:t>LD</w:t>
      </w:r>
      <w:r>
        <w:rPr>
          <w:vertAlign w:val="subscript"/>
        </w:rPr>
        <w:t>50</w:t>
      </w:r>
      <w:r>
        <w:rPr>
          <w:vertAlign w:val="baseline"/>
        </w:rPr>
        <w:t> of</w:t>
      </w:r>
      <w:r>
        <w:rPr>
          <w:spacing w:val="-2"/>
          <w:vertAlign w:val="baseline"/>
        </w:rPr>
        <w:t> </w:t>
      </w:r>
      <w:r>
        <w:rPr>
          <w:vertAlign w:val="baseline"/>
        </w:rPr>
        <w:t>the seed oil was determined in chicks and mice using the method of Lorke (1983) which comprised of two phases. The chicks or mice were deprived of food for 3 to 4 h prior to administration of the oils respectively. In phase one, chicks or</w:t>
      </w:r>
      <w:r>
        <w:rPr>
          <w:spacing w:val="17"/>
          <w:vertAlign w:val="baseline"/>
        </w:rPr>
        <w:t> </w:t>
      </w:r>
      <w:r>
        <w:rPr>
          <w:vertAlign w:val="baseline"/>
        </w:rPr>
        <w:t>mice were assigned into</w:t>
      </w:r>
      <w:r>
        <w:rPr>
          <w:spacing w:val="40"/>
          <w:vertAlign w:val="baseline"/>
        </w:rPr>
        <w:t> </w:t>
      </w:r>
      <w:r>
        <w:rPr>
          <w:vertAlign w:val="baseline"/>
        </w:rPr>
        <w:t>3 groups of 3 animals each. Groups 1, 2 and 3 were administered orally by gastric lavage, with</w:t>
      </w:r>
      <w:r>
        <w:rPr>
          <w:spacing w:val="-7"/>
          <w:vertAlign w:val="baseline"/>
        </w:rPr>
        <w:t> </w:t>
      </w:r>
      <w:r>
        <w:rPr>
          <w:vertAlign w:val="baseline"/>
        </w:rPr>
        <w:t>10 mg/kg, 100 mg/kg</w:t>
      </w:r>
      <w:r>
        <w:rPr>
          <w:spacing w:val="-2"/>
          <w:vertAlign w:val="baseline"/>
        </w:rPr>
        <w:t> </w:t>
      </w:r>
      <w:r>
        <w:rPr>
          <w:vertAlign w:val="baseline"/>
        </w:rPr>
        <w:t>and</w:t>
      </w:r>
      <w:r>
        <w:rPr>
          <w:spacing w:val="-2"/>
          <w:vertAlign w:val="baseline"/>
        </w:rPr>
        <w:t> </w:t>
      </w:r>
      <w:r>
        <w:rPr>
          <w:vertAlign w:val="baseline"/>
        </w:rPr>
        <w:t>1,000 mg/kg</w:t>
      </w:r>
      <w:r>
        <w:rPr>
          <w:spacing w:val="-2"/>
          <w:vertAlign w:val="baseline"/>
        </w:rPr>
        <w:t> </w:t>
      </w:r>
      <w:r>
        <w:rPr>
          <w:vertAlign w:val="baseline"/>
        </w:rPr>
        <w:t>of</w:t>
      </w:r>
      <w:r>
        <w:rPr>
          <w:spacing w:val="-9"/>
          <w:vertAlign w:val="baseline"/>
        </w:rPr>
        <w:t> </w:t>
      </w:r>
      <w:r>
        <w:rPr>
          <w:vertAlign w:val="baseline"/>
        </w:rPr>
        <w:t>each</w:t>
      </w:r>
      <w:r>
        <w:rPr>
          <w:spacing w:val="-6"/>
          <w:vertAlign w:val="baseline"/>
        </w:rPr>
        <w:t> </w:t>
      </w:r>
      <w:r>
        <w:rPr>
          <w:vertAlign w:val="baseline"/>
        </w:rPr>
        <w:t>seed</w:t>
      </w:r>
      <w:r>
        <w:rPr>
          <w:spacing w:val="-2"/>
          <w:vertAlign w:val="baseline"/>
        </w:rPr>
        <w:t> </w:t>
      </w:r>
      <w:r>
        <w:rPr>
          <w:vertAlign w:val="baseline"/>
        </w:rPr>
        <w:t>oil. The</w:t>
      </w:r>
      <w:r>
        <w:rPr>
          <w:spacing w:val="-3"/>
          <w:vertAlign w:val="baseline"/>
        </w:rPr>
        <w:t> </w:t>
      </w:r>
      <w:r>
        <w:rPr>
          <w:vertAlign w:val="baseline"/>
        </w:rPr>
        <w:t>chicks</w:t>
      </w:r>
      <w:r>
        <w:rPr>
          <w:spacing w:val="-4"/>
          <w:vertAlign w:val="baseline"/>
        </w:rPr>
        <w:t> </w:t>
      </w:r>
      <w:r>
        <w:rPr>
          <w:vertAlign w:val="baseline"/>
        </w:rPr>
        <w:t>or</w:t>
      </w:r>
      <w:r>
        <w:rPr>
          <w:spacing w:val="-1"/>
          <w:vertAlign w:val="baseline"/>
        </w:rPr>
        <w:t> </w:t>
      </w:r>
      <w:r>
        <w:rPr>
          <w:vertAlign w:val="baseline"/>
        </w:rPr>
        <w:t>mice were observed for clinical signs of</w:t>
      </w:r>
      <w:r>
        <w:rPr>
          <w:spacing w:val="-3"/>
          <w:vertAlign w:val="baseline"/>
        </w:rPr>
        <w:t> </w:t>
      </w:r>
      <w:r>
        <w:rPr>
          <w:vertAlign w:val="baseline"/>
        </w:rPr>
        <w:t>toxicity for 2 h and mortality for 24 h. In the second phase, 4 groups of 1 chick or mouse each, were given </w:t>
      </w:r>
      <w:r>
        <w:rPr>
          <w:i/>
          <w:vertAlign w:val="baseline"/>
        </w:rPr>
        <w:t>J. curcas </w:t>
      </w:r>
      <w:r>
        <w:rPr>
          <w:vertAlign w:val="baseline"/>
        </w:rPr>
        <w:t>seed oil orally in geometrically increasing doses based on</w:t>
      </w:r>
      <w:r>
        <w:rPr>
          <w:spacing w:val="-1"/>
          <w:vertAlign w:val="baseline"/>
        </w:rPr>
        <w:t> </w:t>
      </w:r>
      <w:r>
        <w:rPr>
          <w:vertAlign w:val="baseline"/>
        </w:rPr>
        <w:t>results from</w:t>
      </w:r>
      <w:r>
        <w:rPr>
          <w:spacing w:val="-6"/>
          <w:vertAlign w:val="baseline"/>
        </w:rPr>
        <w:t> </w:t>
      </w:r>
      <w:r>
        <w:rPr>
          <w:vertAlign w:val="baseline"/>
        </w:rPr>
        <w:t>phase one (see Appendix I). Since</w:t>
      </w:r>
    </w:p>
    <w:p>
      <w:pPr>
        <w:spacing w:after="0" w:line="480" w:lineRule="auto"/>
        <w:jc w:val="both"/>
        <w:sectPr>
          <w:pgSz w:w="11910" w:h="16840"/>
          <w:pgMar w:header="0" w:footer="1012" w:top="1320" w:bottom="1200" w:left="960" w:right="620"/>
        </w:sectPr>
      </w:pPr>
    </w:p>
    <w:p>
      <w:pPr>
        <w:pStyle w:val="BodyText"/>
        <w:spacing w:line="480" w:lineRule="auto" w:before="79"/>
        <w:ind w:left="1028" w:right="802"/>
        <w:jc w:val="both"/>
      </w:pPr>
      <w:r>
        <w:rPr/>
        <w:t>none of the animals died in the first phase, doses used in the second phase were: 1,600 mg/kg, 2,900 mg/kg and 5,000 mg/kg. The animals were observed for clinical signs of toxicity for 2 h and mortality for 24 h. The LD</w:t>
      </w:r>
      <w:r>
        <w:rPr>
          <w:vertAlign w:val="subscript"/>
        </w:rPr>
        <w:t>50</w:t>
      </w:r>
      <w:r>
        <w:rPr>
          <w:vertAlign w:val="baseline"/>
        </w:rPr>
        <w:t> values for the extracts were calculated as the geometric mean of the highest non-lethal dose multiplied by the lowest lethal </w:t>
      </w:r>
      <w:r>
        <w:rPr>
          <w:spacing w:val="-2"/>
          <w:vertAlign w:val="baseline"/>
        </w:rPr>
        <w:t>dose.</w:t>
      </w:r>
    </w:p>
    <w:p>
      <w:pPr>
        <w:pStyle w:val="BodyText"/>
      </w:pPr>
    </w:p>
    <w:p>
      <w:pPr>
        <w:pStyle w:val="BodyText"/>
        <w:spacing w:before="6"/>
      </w:pPr>
    </w:p>
    <w:p>
      <w:pPr>
        <w:pStyle w:val="ListParagraph"/>
        <w:numPr>
          <w:ilvl w:val="2"/>
          <w:numId w:val="17"/>
        </w:numPr>
        <w:tabs>
          <w:tab w:pos="1747" w:val="left" w:leader="none"/>
        </w:tabs>
        <w:spacing w:line="240" w:lineRule="auto" w:before="0" w:after="0"/>
        <w:ind w:left="1747" w:right="0" w:hanging="719"/>
        <w:jc w:val="both"/>
        <w:rPr>
          <w:b/>
          <w:sz w:val="24"/>
        </w:rPr>
      </w:pPr>
      <w:r>
        <w:rPr>
          <w:b/>
          <w:sz w:val="24"/>
        </w:rPr>
        <w:t>Sub-acute</w:t>
      </w:r>
      <w:r>
        <w:rPr>
          <w:b/>
          <w:spacing w:val="-6"/>
          <w:sz w:val="24"/>
        </w:rPr>
        <w:t> </w:t>
      </w:r>
      <w:r>
        <w:rPr>
          <w:b/>
          <w:sz w:val="24"/>
        </w:rPr>
        <w:t>toxicity</w:t>
      </w:r>
      <w:r>
        <w:rPr>
          <w:b/>
          <w:spacing w:val="1"/>
          <w:sz w:val="24"/>
        </w:rPr>
        <w:t> </w:t>
      </w:r>
      <w:r>
        <w:rPr>
          <w:b/>
          <w:sz w:val="24"/>
        </w:rPr>
        <w:t>of </w:t>
      </w:r>
      <w:r>
        <w:rPr>
          <w:b/>
          <w:i/>
          <w:sz w:val="24"/>
        </w:rPr>
        <w:t>J.</w:t>
      </w:r>
      <w:r>
        <w:rPr>
          <w:b/>
          <w:i/>
          <w:spacing w:val="-2"/>
          <w:sz w:val="24"/>
        </w:rPr>
        <w:t> </w:t>
      </w:r>
      <w:r>
        <w:rPr>
          <w:b/>
          <w:i/>
          <w:sz w:val="24"/>
        </w:rPr>
        <w:t>curcas </w:t>
      </w:r>
      <w:r>
        <w:rPr>
          <w:b/>
          <w:spacing w:val="-4"/>
          <w:sz w:val="24"/>
        </w:rPr>
        <w:t>oils</w:t>
      </w:r>
    </w:p>
    <w:p>
      <w:pPr>
        <w:pStyle w:val="BodyText"/>
        <w:spacing w:line="480" w:lineRule="auto" w:before="272"/>
        <w:ind w:left="1028" w:right="796"/>
        <w:jc w:val="both"/>
      </w:pPr>
      <w:r>
        <w:rPr/>
        <w:t>The sub-acute toxic effects</w:t>
      </w:r>
      <w:r>
        <w:rPr>
          <w:spacing w:val="-2"/>
        </w:rPr>
        <w:t> </w:t>
      </w:r>
      <w:r>
        <w:rPr/>
        <w:t>of</w:t>
      </w:r>
      <w:r>
        <w:rPr>
          <w:spacing w:val="-7"/>
        </w:rPr>
        <w:t> </w:t>
      </w:r>
      <w:r>
        <w:rPr/>
        <w:t>undetoxified and detoxified </w:t>
      </w:r>
      <w:r>
        <w:rPr>
          <w:i/>
        </w:rPr>
        <w:t>J. curcas </w:t>
      </w:r>
      <w:r>
        <w:rPr/>
        <w:t>oils in rodents</w:t>
      </w:r>
      <w:r>
        <w:rPr>
          <w:spacing w:val="-2"/>
        </w:rPr>
        <w:t> </w:t>
      </w:r>
      <w:r>
        <w:rPr/>
        <w:t>were determined using male albino rats. Thirty five (35) rats were divided into 7 groups of 5 rats each. Six (6) groups of the rats received oral daily doses of 125 mg/kg, 250 mg/kg and 500 mg/kg of</w:t>
      </w:r>
      <w:r>
        <w:rPr>
          <w:spacing w:val="-2"/>
        </w:rPr>
        <w:t> </w:t>
      </w:r>
      <w:r>
        <w:rPr/>
        <w:t>the oils, with the groups 1-3 receiving the undetoxified mechanically extracted oil while groups 4-6 received the detoxified oil at the same doses, all for 14 days. Rats in group 7 served as the control</w:t>
      </w:r>
      <w:r>
        <w:rPr>
          <w:spacing w:val="-1"/>
        </w:rPr>
        <w:t> </w:t>
      </w:r>
      <w:r>
        <w:rPr/>
        <w:t>and received equivalent volumes of olive oil which was used as the vehicle for the test oils for the 14 days. Weight changes, other physical toxicity symptoms and mortality among the various animal groups were observed (daily for 2 h</w:t>
      </w:r>
      <w:r>
        <w:rPr>
          <w:spacing w:val="-5"/>
        </w:rPr>
        <w:t> </w:t>
      </w:r>
      <w:r>
        <w:rPr/>
        <w:t>post treatment) and recorded. The</w:t>
      </w:r>
      <w:r>
        <w:rPr>
          <w:spacing w:val="-1"/>
        </w:rPr>
        <w:t> </w:t>
      </w:r>
      <w:r>
        <w:rPr/>
        <w:t>animals</w:t>
      </w:r>
      <w:r>
        <w:rPr>
          <w:spacing w:val="-2"/>
        </w:rPr>
        <w:t> </w:t>
      </w:r>
      <w:r>
        <w:rPr/>
        <w:t>were</w:t>
      </w:r>
      <w:r>
        <w:rPr>
          <w:spacing w:val="-1"/>
        </w:rPr>
        <w:t> </w:t>
      </w:r>
      <w:r>
        <w:rPr/>
        <w:t>sacrificed on</w:t>
      </w:r>
      <w:r>
        <w:rPr>
          <w:spacing w:val="-5"/>
        </w:rPr>
        <w:t> </w:t>
      </w:r>
      <w:r>
        <w:rPr/>
        <w:t>the 15</w:t>
      </w:r>
      <w:r>
        <w:rPr>
          <w:vertAlign w:val="superscript"/>
        </w:rPr>
        <w:t>th</w:t>
      </w:r>
      <w:r>
        <w:rPr>
          <w:vertAlign w:val="baseline"/>
        </w:rPr>
        <w:t> day of the experiment and blood samples were collected for hematological and biochemical</w:t>
      </w:r>
      <w:r>
        <w:rPr>
          <w:spacing w:val="-6"/>
          <w:vertAlign w:val="baseline"/>
        </w:rPr>
        <w:t> </w:t>
      </w:r>
      <w:r>
        <w:rPr>
          <w:vertAlign w:val="baseline"/>
        </w:rPr>
        <w:t>analyses.</w:t>
      </w:r>
      <w:r>
        <w:rPr>
          <w:spacing w:val="-1"/>
          <w:vertAlign w:val="baseline"/>
        </w:rPr>
        <w:t> </w:t>
      </w:r>
      <w:r>
        <w:rPr>
          <w:vertAlign w:val="baseline"/>
        </w:rPr>
        <w:t>Some</w:t>
      </w:r>
      <w:r>
        <w:rPr>
          <w:spacing w:val="-4"/>
          <w:vertAlign w:val="baseline"/>
        </w:rPr>
        <w:t> </w:t>
      </w:r>
      <w:r>
        <w:rPr>
          <w:vertAlign w:val="baseline"/>
        </w:rPr>
        <w:t>organs</w:t>
      </w:r>
      <w:r>
        <w:rPr>
          <w:spacing w:val="-5"/>
          <w:vertAlign w:val="baseline"/>
        </w:rPr>
        <w:t> </w:t>
      </w:r>
      <w:r>
        <w:rPr>
          <w:vertAlign w:val="baseline"/>
        </w:rPr>
        <w:t>(liver,</w:t>
      </w:r>
      <w:r>
        <w:rPr>
          <w:spacing w:val="-1"/>
          <w:vertAlign w:val="baseline"/>
        </w:rPr>
        <w:t> </w:t>
      </w:r>
      <w:r>
        <w:rPr>
          <w:vertAlign w:val="baseline"/>
        </w:rPr>
        <w:t>kidney</w:t>
      </w:r>
      <w:r>
        <w:rPr>
          <w:spacing w:val="-7"/>
          <w:vertAlign w:val="baseline"/>
        </w:rPr>
        <w:t> </w:t>
      </w:r>
      <w:r>
        <w:rPr>
          <w:vertAlign w:val="baseline"/>
        </w:rPr>
        <w:t>and intestine) were</w:t>
      </w:r>
      <w:r>
        <w:rPr>
          <w:spacing w:val="-4"/>
          <w:vertAlign w:val="baseline"/>
        </w:rPr>
        <w:t> </w:t>
      </w:r>
      <w:r>
        <w:rPr>
          <w:vertAlign w:val="baseline"/>
        </w:rPr>
        <w:t>also harvested</w:t>
      </w:r>
      <w:r>
        <w:rPr>
          <w:spacing w:val="-2"/>
          <w:vertAlign w:val="baseline"/>
        </w:rPr>
        <w:t> </w:t>
      </w:r>
      <w:r>
        <w:rPr>
          <w:vertAlign w:val="baseline"/>
        </w:rPr>
        <w:t>and weighed before histological analyses.</w:t>
      </w:r>
    </w:p>
    <w:p>
      <w:pPr>
        <w:pStyle w:val="BodyText"/>
      </w:pPr>
    </w:p>
    <w:p>
      <w:pPr>
        <w:pStyle w:val="BodyText"/>
        <w:spacing w:before="2"/>
      </w:pPr>
    </w:p>
    <w:p>
      <w:pPr>
        <w:pStyle w:val="ListParagraph"/>
        <w:numPr>
          <w:ilvl w:val="3"/>
          <w:numId w:val="17"/>
        </w:numPr>
        <w:tabs>
          <w:tab w:pos="1747" w:val="left" w:leader="none"/>
        </w:tabs>
        <w:spacing w:line="240" w:lineRule="auto" w:before="1" w:after="0"/>
        <w:ind w:left="1747" w:right="0" w:hanging="719"/>
        <w:jc w:val="both"/>
        <w:rPr>
          <w:i/>
          <w:sz w:val="24"/>
        </w:rPr>
      </w:pPr>
      <w:r>
        <w:rPr>
          <w:i/>
          <w:sz w:val="24"/>
        </w:rPr>
        <w:t>Haematological</w:t>
      </w:r>
      <w:r>
        <w:rPr>
          <w:i/>
          <w:spacing w:val="-1"/>
          <w:sz w:val="24"/>
        </w:rPr>
        <w:t> </w:t>
      </w:r>
      <w:r>
        <w:rPr>
          <w:i/>
          <w:spacing w:val="-2"/>
          <w:sz w:val="24"/>
        </w:rPr>
        <w:t>parameters</w:t>
      </w:r>
    </w:p>
    <w:p>
      <w:pPr>
        <w:pStyle w:val="BodyText"/>
        <w:spacing w:line="480" w:lineRule="auto" w:before="276"/>
        <w:ind w:left="1028" w:right="800"/>
        <w:jc w:val="both"/>
      </w:pPr>
      <w:r>
        <w:rPr/>
        <w:t>Following 14 days treatment, blood samples were collected from rats by cardiac puncture into EDTA tubes for analysis. Standard operating procedures as described by Afia and Momoh (2006) using the BC-3200 Auto-Haematology Analyzer was used to conduct</w:t>
      </w:r>
      <w:r>
        <w:rPr>
          <w:spacing w:val="11"/>
        </w:rPr>
        <w:t> </w:t>
      </w:r>
      <w:r>
        <w:rPr/>
        <w:t>assays</w:t>
      </w:r>
      <w:r>
        <w:rPr>
          <w:spacing w:val="11"/>
        </w:rPr>
        <w:t> </w:t>
      </w:r>
      <w:r>
        <w:rPr/>
        <w:t>for</w:t>
      </w:r>
      <w:r>
        <w:rPr>
          <w:spacing w:val="5"/>
        </w:rPr>
        <w:t> </w:t>
      </w:r>
      <w:r>
        <w:rPr/>
        <w:t>the</w:t>
      </w:r>
      <w:r>
        <w:rPr>
          <w:spacing w:val="7"/>
        </w:rPr>
        <w:t> </w:t>
      </w:r>
      <w:r>
        <w:rPr/>
        <w:t>haematological parameters.</w:t>
      </w:r>
      <w:r>
        <w:rPr>
          <w:spacing w:val="10"/>
        </w:rPr>
        <w:t> </w:t>
      </w:r>
      <w:r>
        <w:rPr/>
        <w:t>White</w:t>
      </w:r>
      <w:r>
        <w:rPr>
          <w:spacing w:val="12"/>
        </w:rPr>
        <w:t> </w:t>
      </w:r>
      <w:r>
        <w:rPr/>
        <w:t>blood</w:t>
      </w:r>
      <w:r>
        <w:rPr>
          <w:spacing w:val="9"/>
        </w:rPr>
        <w:t> </w:t>
      </w:r>
      <w:r>
        <w:rPr/>
        <w:t>cells</w:t>
      </w:r>
      <w:r>
        <w:rPr>
          <w:spacing w:val="6"/>
        </w:rPr>
        <w:t> </w:t>
      </w:r>
      <w:r>
        <w:rPr/>
        <w:t>(WBC),</w:t>
      </w:r>
      <w:r>
        <w:rPr>
          <w:spacing w:val="10"/>
        </w:rPr>
        <w:t> </w:t>
      </w:r>
      <w:r>
        <w:rPr/>
        <w:t>red</w:t>
      </w:r>
      <w:r>
        <w:rPr>
          <w:spacing w:val="9"/>
        </w:rPr>
        <w:t> </w:t>
      </w:r>
      <w:r>
        <w:rPr>
          <w:spacing w:val="-2"/>
        </w:rPr>
        <w:t>blood</w:t>
      </w:r>
    </w:p>
    <w:p>
      <w:pPr>
        <w:spacing w:after="0" w:line="480" w:lineRule="auto"/>
        <w:jc w:val="both"/>
        <w:sectPr>
          <w:pgSz w:w="11910" w:h="16840"/>
          <w:pgMar w:header="0" w:footer="1012" w:top="1320" w:bottom="1200" w:left="960" w:right="620"/>
        </w:sectPr>
      </w:pPr>
    </w:p>
    <w:p>
      <w:pPr>
        <w:pStyle w:val="BodyText"/>
        <w:spacing w:line="480" w:lineRule="auto" w:before="79"/>
        <w:ind w:left="1028" w:right="811"/>
        <w:jc w:val="both"/>
      </w:pPr>
      <w:r>
        <w:rPr/>
        <w:t>cells</w:t>
      </w:r>
      <w:r>
        <w:rPr>
          <w:spacing w:val="-2"/>
        </w:rPr>
        <w:t> </w:t>
      </w:r>
      <w:r>
        <w:rPr/>
        <w:t>(RBC), mean</w:t>
      </w:r>
      <w:r>
        <w:rPr>
          <w:spacing w:val="-4"/>
        </w:rPr>
        <w:t> </w:t>
      </w:r>
      <w:r>
        <w:rPr/>
        <w:t>cell volume (MCV), mean</w:t>
      </w:r>
      <w:r>
        <w:rPr>
          <w:spacing w:val="-4"/>
        </w:rPr>
        <w:t> </w:t>
      </w:r>
      <w:r>
        <w:rPr/>
        <w:t>cell haemoglobin concentration</w:t>
      </w:r>
      <w:r>
        <w:rPr>
          <w:spacing w:val="-4"/>
        </w:rPr>
        <w:t> </w:t>
      </w:r>
      <w:r>
        <w:rPr/>
        <w:t>(MCHC), platelet (PLT) and haemoglobin (HGB) were then calculated.</w:t>
      </w:r>
    </w:p>
    <w:p>
      <w:pPr>
        <w:pStyle w:val="BodyText"/>
      </w:pPr>
    </w:p>
    <w:p>
      <w:pPr>
        <w:pStyle w:val="BodyText"/>
        <w:spacing w:before="1"/>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Liver</w:t>
      </w:r>
      <w:r>
        <w:rPr>
          <w:i/>
          <w:spacing w:val="-1"/>
          <w:sz w:val="24"/>
        </w:rPr>
        <w:t> </w:t>
      </w:r>
      <w:r>
        <w:rPr>
          <w:i/>
          <w:sz w:val="24"/>
        </w:rPr>
        <w:t>and</w:t>
      </w:r>
      <w:r>
        <w:rPr>
          <w:i/>
          <w:spacing w:val="1"/>
          <w:sz w:val="24"/>
        </w:rPr>
        <w:t> </w:t>
      </w:r>
      <w:r>
        <w:rPr>
          <w:i/>
          <w:sz w:val="24"/>
        </w:rPr>
        <w:t>kidney</w:t>
      </w:r>
      <w:r>
        <w:rPr>
          <w:i/>
          <w:spacing w:val="1"/>
          <w:sz w:val="24"/>
        </w:rPr>
        <w:t> </w:t>
      </w:r>
      <w:r>
        <w:rPr>
          <w:i/>
          <w:spacing w:val="-2"/>
          <w:sz w:val="24"/>
        </w:rPr>
        <w:t>parameters</w:t>
      </w:r>
    </w:p>
    <w:p>
      <w:pPr>
        <w:pStyle w:val="BodyText"/>
        <w:rPr>
          <w:i/>
        </w:rPr>
      </w:pPr>
    </w:p>
    <w:p>
      <w:pPr>
        <w:pStyle w:val="BodyText"/>
        <w:spacing w:line="480" w:lineRule="auto"/>
        <w:ind w:left="1028" w:right="804"/>
        <w:jc w:val="both"/>
      </w:pPr>
      <w:r>
        <w:rPr/>
        <w:t>The blood samples from the rats were collected by cardiac puncture into non- heparinized tubes for analysis of liver and kidney parameters. Standard operating procedures (Afia and Momoh, 2006) were used to conduct assays for the following: Alanine transaminase (ALT), aspartate transaminase (AST), alkaline phosphatase (ALP), creatinine and urea were then calculated.</w:t>
      </w:r>
    </w:p>
    <w:p>
      <w:pPr>
        <w:pStyle w:val="BodyText"/>
      </w:pPr>
    </w:p>
    <w:p>
      <w:pPr>
        <w:pStyle w:val="BodyText"/>
        <w:spacing w:before="1"/>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Histopathological</w:t>
      </w:r>
      <w:r>
        <w:rPr>
          <w:i/>
          <w:spacing w:val="-2"/>
          <w:sz w:val="24"/>
        </w:rPr>
        <w:t> </w:t>
      </w:r>
      <w:r>
        <w:rPr>
          <w:i/>
          <w:sz w:val="24"/>
        </w:rPr>
        <w:t>examination</w:t>
      </w:r>
      <w:r>
        <w:rPr>
          <w:i/>
          <w:spacing w:val="-1"/>
          <w:sz w:val="24"/>
        </w:rPr>
        <w:t> </w:t>
      </w:r>
      <w:r>
        <w:rPr>
          <w:i/>
          <w:sz w:val="24"/>
        </w:rPr>
        <w:t>of</w:t>
      </w:r>
      <w:r>
        <w:rPr>
          <w:i/>
          <w:spacing w:val="4"/>
          <w:sz w:val="24"/>
        </w:rPr>
        <w:t> </w:t>
      </w:r>
      <w:r>
        <w:rPr>
          <w:i/>
          <w:spacing w:val="-2"/>
          <w:sz w:val="24"/>
        </w:rPr>
        <w:t>organs</w:t>
      </w:r>
    </w:p>
    <w:p>
      <w:pPr>
        <w:pStyle w:val="BodyText"/>
        <w:spacing w:before="1"/>
        <w:rPr>
          <w:i/>
        </w:rPr>
      </w:pPr>
    </w:p>
    <w:p>
      <w:pPr>
        <w:pStyle w:val="BodyText"/>
        <w:spacing w:line="480" w:lineRule="auto"/>
        <w:ind w:left="1028" w:right="807"/>
        <w:jc w:val="both"/>
      </w:pPr>
      <w:r>
        <w:rPr/>
        <w:t>Each</w:t>
      </w:r>
      <w:r>
        <w:rPr>
          <w:spacing w:val="-2"/>
        </w:rPr>
        <w:t> </w:t>
      </w:r>
      <w:r>
        <w:rPr/>
        <w:t>tissue (liver, kidney</w:t>
      </w:r>
      <w:r>
        <w:rPr>
          <w:spacing w:val="-2"/>
        </w:rPr>
        <w:t> </w:t>
      </w:r>
      <w:r>
        <w:rPr/>
        <w:t>and intestine) was fixed in 10% phosphate buffered formalin, thereafter they were dehydrated with graded doses of xylene, embedded in molten paraffin wax and sectioned at 5 µm with a microtome. The sectioned tissues were</w:t>
      </w:r>
      <w:r>
        <w:rPr>
          <w:spacing w:val="40"/>
        </w:rPr>
        <w:t> </w:t>
      </w:r>
      <w:r>
        <w:rPr/>
        <w:t>placed on glass slides and stained with Haematoxylin and Eosin (H and E) stain. The tissues were observed under light microscope for pathological changes in structure and pictures</w:t>
      </w:r>
      <w:r>
        <w:rPr>
          <w:spacing w:val="-3"/>
        </w:rPr>
        <w:t> </w:t>
      </w:r>
      <w:r>
        <w:rPr/>
        <w:t>were</w:t>
      </w:r>
      <w:r>
        <w:rPr>
          <w:spacing w:val="-2"/>
        </w:rPr>
        <w:t> </w:t>
      </w:r>
      <w:r>
        <w:rPr/>
        <w:t>taken</w:t>
      </w:r>
      <w:r>
        <w:rPr>
          <w:spacing w:val="-6"/>
        </w:rPr>
        <w:t> </w:t>
      </w:r>
      <w:r>
        <w:rPr/>
        <w:t>with</w:t>
      </w:r>
      <w:r>
        <w:rPr>
          <w:spacing w:val="-6"/>
        </w:rPr>
        <w:t> </w:t>
      </w:r>
      <w:r>
        <w:rPr/>
        <w:t>digital</w:t>
      </w:r>
      <w:r>
        <w:rPr>
          <w:spacing w:val="-6"/>
        </w:rPr>
        <w:t> </w:t>
      </w:r>
      <w:r>
        <w:rPr/>
        <w:t>camera attached</w:t>
      </w:r>
      <w:r>
        <w:rPr>
          <w:spacing w:val="-1"/>
        </w:rPr>
        <w:t> </w:t>
      </w:r>
      <w:r>
        <w:rPr/>
        <w:t>to</w:t>
      </w:r>
      <w:r>
        <w:rPr>
          <w:spacing w:val="-1"/>
        </w:rPr>
        <w:t> </w:t>
      </w:r>
      <w:r>
        <w:rPr/>
        <w:t>the</w:t>
      </w:r>
      <w:r>
        <w:rPr>
          <w:spacing w:val="-2"/>
        </w:rPr>
        <w:t> </w:t>
      </w:r>
      <w:r>
        <w:rPr/>
        <w:t>eye</w:t>
      </w:r>
      <w:r>
        <w:rPr>
          <w:spacing w:val="-2"/>
        </w:rPr>
        <w:t> </w:t>
      </w:r>
      <w:r>
        <w:rPr/>
        <w:t>piece</w:t>
      </w:r>
      <w:r>
        <w:rPr>
          <w:spacing w:val="-2"/>
        </w:rPr>
        <w:t> </w:t>
      </w:r>
      <w:r>
        <w:rPr/>
        <w:t>of</w:t>
      </w:r>
      <w:r>
        <w:rPr>
          <w:spacing w:val="-9"/>
        </w:rPr>
        <w:t> </w:t>
      </w:r>
      <w:r>
        <w:rPr/>
        <w:t>the light microscope (Ganter and Jolles, 1970; Lucia </w:t>
      </w:r>
      <w:r>
        <w:rPr>
          <w:i/>
        </w:rPr>
        <w:t>et al</w:t>
      </w:r>
      <w:r>
        <w:rPr/>
        <w:t>., 2008).</w:t>
      </w:r>
    </w:p>
    <w:p>
      <w:pPr>
        <w:pStyle w:val="BodyText"/>
        <w:spacing w:before="143"/>
      </w:pPr>
    </w:p>
    <w:p>
      <w:pPr>
        <w:pStyle w:val="Heading2"/>
        <w:numPr>
          <w:ilvl w:val="2"/>
          <w:numId w:val="17"/>
        </w:numPr>
        <w:tabs>
          <w:tab w:pos="1748" w:val="left" w:leader="none"/>
        </w:tabs>
        <w:spacing w:line="240" w:lineRule="auto" w:before="0" w:after="0"/>
        <w:ind w:left="1748" w:right="0" w:hanging="720"/>
        <w:jc w:val="left"/>
      </w:pPr>
      <w:bookmarkStart w:name="_TOC_250006" w:id="50"/>
      <w:r>
        <w:rPr/>
        <w:t>Pharmacological</w:t>
      </w:r>
      <w:r>
        <w:rPr>
          <w:spacing w:val="-10"/>
        </w:rPr>
        <w:t> </w:t>
      </w:r>
      <w:bookmarkEnd w:id="50"/>
      <w:r>
        <w:rPr>
          <w:spacing w:val="-2"/>
        </w:rPr>
        <w:t>studies</w:t>
      </w:r>
    </w:p>
    <w:p>
      <w:pPr>
        <w:pStyle w:val="BodyText"/>
        <w:rPr>
          <w:b/>
        </w:rPr>
      </w:pPr>
    </w:p>
    <w:p>
      <w:pPr>
        <w:pStyle w:val="BodyText"/>
        <w:spacing w:before="132"/>
        <w:rPr>
          <w:b/>
        </w:rPr>
      </w:pPr>
    </w:p>
    <w:p>
      <w:pPr>
        <w:pStyle w:val="ListParagraph"/>
        <w:numPr>
          <w:ilvl w:val="3"/>
          <w:numId w:val="17"/>
        </w:numPr>
        <w:tabs>
          <w:tab w:pos="1747" w:val="left" w:leader="none"/>
        </w:tabs>
        <w:spacing w:line="240" w:lineRule="auto" w:before="0" w:after="0"/>
        <w:ind w:left="1747" w:right="0" w:hanging="719"/>
        <w:jc w:val="left"/>
        <w:rPr>
          <w:i/>
          <w:sz w:val="24"/>
        </w:rPr>
      </w:pPr>
      <w:r>
        <w:rPr>
          <w:i/>
          <w:sz w:val="24"/>
        </w:rPr>
        <w:t>Analgesic</w:t>
      </w:r>
      <w:r>
        <w:rPr>
          <w:i/>
          <w:spacing w:val="-1"/>
          <w:sz w:val="24"/>
        </w:rPr>
        <w:t> </w:t>
      </w:r>
      <w:r>
        <w:rPr>
          <w:i/>
          <w:sz w:val="24"/>
        </w:rPr>
        <w:t>Activity:</w:t>
      </w:r>
      <w:r>
        <w:rPr>
          <w:i/>
          <w:spacing w:val="-3"/>
          <w:sz w:val="24"/>
        </w:rPr>
        <w:t> </w:t>
      </w:r>
      <w:r>
        <w:rPr>
          <w:i/>
          <w:sz w:val="24"/>
        </w:rPr>
        <w:t>Hot Plate </w:t>
      </w:r>
      <w:r>
        <w:rPr>
          <w:i/>
          <w:spacing w:val="-2"/>
          <w:sz w:val="24"/>
        </w:rPr>
        <w:t>Method</w:t>
      </w:r>
    </w:p>
    <w:p>
      <w:pPr>
        <w:pStyle w:val="BodyText"/>
        <w:rPr>
          <w:i/>
        </w:rPr>
      </w:pPr>
    </w:p>
    <w:p>
      <w:pPr>
        <w:pStyle w:val="BodyText"/>
        <w:spacing w:line="480" w:lineRule="auto"/>
        <w:ind w:left="1028" w:right="796"/>
        <w:jc w:val="both"/>
      </w:pPr>
      <w:r>
        <w:rPr/>
        <w:t>Male albino mice (20-30 g) were randomly distributed into 8 groups of 5 mice each. Mice in groups 1-3 received doses of 125 mg/kg, 250 mg/kg and 500 mg/kg of undetoxified mechanically extracted </w:t>
      </w:r>
      <w:r>
        <w:rPr>
          <w:i/>
        </w:rPr>
        <w:t>J. curcas </w:t>
      </w:r>
      <w:r>
        <w:rPr/>
        <w:t>oil while groups 4-6 received the equivalent</w:t>
      </w:r>
      <w:r>
        <w:rPr>
          <w:spacing w:val="5"/>
        </w:rPr>
        <w:t> </w:t>
      </w:r>
      <w:r>
        <w:rPr/>
        <w:t>detoxified</w:t>
      </w:r>
      <w:r>
        <w:rPr>
          <w:spacing w:val="4"/>
        </w:rPr>
        <w:t> </w:t>
      </w:r>
      <w:r>
        <w:rPr/>
        <w:t>oil.</w:t>
      </w:r>
      <w:r>
        <w:rPr>
          <w:spacing w:val="2"/>
        </w:rPr>
        <w:t> </w:t>
      </w:r>
      <w:r>
        <w:rPr/>
        <w:t>Positive</w:t>
      </w:r>
      <w:r>
        <w:rPr>
          <w:spacing w:val="3"/>
        </w:rPr>
        <w:t> </w:t>
      </w:r>
      <w:r>
        <w:rPr/>
        <w:t>control (group</w:t>
      </w:r>
      <w:r>
        <w:rPr>
          <w:spacing w:val="1"/>
        </w:rPr>
        <w:t> </w:t>
      </w:r>
      <w:r>
        <w:rPr/>
        <w:t>7)</w:t>
      </w:r>
      <w:r>
        <w:rPr>
          <w:spacing w:val="2"/>
        </w:rPr>
        <w:t> </w:t>
      </w:r>
      <w:r>
        <w:rPr/>
        <w:t>and</w:t>
      </w:r>
      <w:r>
        <w:rPr>
          <w:spacing w:val="10"/>
        </w:rPr>
        <w:t> </w:t>
      </w:r>
      <w:r>
        <w:rPr/>
        <w:t>negative control</w:t>
      </w:r>
      <w:r>
        <w:rPr>
          <w:spacing w:val="-7"/>
        </w:rPr>
        <w:t> </w:t>
      </w:r>
      <w:r>
        <w:rPr/>
        <w:t>(group 8)</w:t>
      </w:r>
      <w:r>
        <w:rPr>
          <w:spacing w:val="3"/>
        </w:rPr>
        <w:t> </w:t>
      </w:r>
      <w:r>
        <w:rPr>
          <w:spacing w:val="-4"/>
        </w:rPr>
        <w:t>were</w:t>
      </w:r>
    </w:p>
    <w:p>
      <w:pPr>
        <w:spacing w:after="0" w:line="480" w:lineRule="auto"/>
        <w:jc w:val="both"/>
        <w:sectPr>
          <w:pgSz w:w="11910" w:h="16840"/>
          <w:pgMar w:header="0" w:footer="1012" w:top="1320" w:bottom="1200" w:left="960" w:right="620"/>
        </w:sectPr>
      </w:pPr>
    </w:p>
    <w:p>
      <w:pPr>
        <w:pStyle w:val="BodyText"/>
        <w:spacing w:line="480" w:lineRule="auto" w:before="79"/>
        <w:ind w:left="1028" w:right="795"/>
        <w:jc w:val="both"/>
      </w:pPr>
      <w:r>
        <w:rPr/>
        <w:t>treated with pentazocine (10 mg/kg) and equivalent volumes of vehicular olive oil respectively. Each mouse was placed on hot plate kept at a temperature of</w:t>
      </w:r>
      <w:r>
        <w:rPr>
          <w:spacing w:val="-2"/>
        </w:rPr>
        <w:t> </w:t>
      </w:r>
      <w:r>
        <w:rPr/>
        <w:t>55±0.5</w:t>
      </w:r>
      <w:r>
        <w:rPr>
          <w:vertAlign w:val="superscript"/>
        </w:rPr>
        <w:t>o</w:t>
      </w:r>
      <w:r>
        <w:rPr>
          <w:vertAlign w:val="baseline"/>
        </w:rPr>
        <w:t>C, at 0, 30, 60, 90 and 120 min after oral administration of the oils, reaction time was recorded when animals licked their fore or hind paw or jumped off the hot plate (Eddy and Leimback, 1953; Kulkarni, 1999; Toma </w:t>
      </w:r>
      <w:r>
        <w:rPr>
          <w:i/>
          <w:vertAlign w:val="baseline"/>
        </w:rPr>
        <w:t>et al</w:t>
      </w:r>
      <w:r>
        <w:rPr>
          <w:vertAlign w:val="baseline"/>
        </w:rPr>
        <w:t>., 2003). A cut-off period of 15 s was observed in order to avoid damage to the paw.</w:t>
      </w:r>
    </w:p>
    <w:p>
      <w:pPr>
        <w:pStyle w:val="BodyText"/>
      </w:pPr>
    </w:p>
    <w:p>
      <w:pPr>
        <w:pStyle w:val="BodyText"/>
        <w:spacing w:before="1"/>
      </w:pPr>
    </w:p>
    <w:p>
      <w:pPr>
        <w:pStyle w:val="ListParagraph"/>
        <w:numPr>
          <w:ilvl w:val="3"/>
          <w:numId w:val="17"/>
        </w:numPr>
        <w:tabs>
          <w:tab w:pos="1747" w:val="left" w:leader="none"/>
        </w:tabs>
        <w:spacing w:line="240" w:lineRule="auto" w:before="1" w:after="0"/>
        <w:ind w:left="1747" w:right="0" w:hanging="719"/>
        <w:jc w:val="left"/>
        <w:rPr>
          <w:i/>
          <w:sz w:val="24"/>
        </w:rPr>
      </w:pPr>
      <w:r>
        <w:rPr>
          <w:i/>
          <w:sz w:val="24"/>
        </w:rPr>
        <w:t>Analgesic</w:t>
      </w:r>
      <w:r>
        <w:rPr>
          <w:i/>
          <w:spacing w:val="-2"/>
          <w:sz w:val="24"/>
        </w:rPr>
        <w:t> </w:t>
      </w:r>
      <w:r>
        <w:rPr>
          <w:i/>
          <w:sz w:val="24"/>
        </w:rPr>
        <w:t>activity: Formalin</w:t>
      </w:r>
      <w:r>
        <w:rPr>
          <w:i/>
          <w:spacing w:val="4"/>
          <w:sz w:val="24"/>
        </w:rPr>
        <w:t> </w:t>
      </w:r>
      <w:r>
        <w:rPr>
          <w:i/>
          <w:sz w:val="24"/>
        </w:rPr>
        <w:t>induced</w:t>
      </w:r>
      <w:r>
        <w:rPr>
          <w:i/>
          <w:spacing w:val="-1"/>
          <w:sz w:val="24"/>
        </w:rPr>
        <w:t> </w:t>
      </w:r>
      <w:r>
        <w:rPr>
          <w:i/>
          <w:sz w:val="24"/>
        </w:rPr>
        <w:t>pain</w:t>
      </w:r>
      <w:r>
        <w:rPr>
          <w:i/>
          <w:spacing w:val="-5"/>
          <w:sz w:val="24"/>
        </w:rPr>
        <w:t> </w:t>
      </w:r>
      <w:r>
        <w:rPr>
          <w:i/>
          <w:spacing w:val="-2"/>
          <w:sz w:val="24"/>
        </w:rPr>
        <w:t>method</w:t>
      </w:r>
    </w:p>
    <w:p>
      <w:pPr>
        <w:pStyle w:val="BodyText"/>
        <w:rPr>
          <w:i/>
        </w:rPr>
      </w:pPr>
    </w:p>
    <w:p>
      <w:pPr>
        <w:pStyle w:val="BodyText"/>
        <w:spacing w:line="480" w:lineRule="auto"/>
        <w:ind w:left="1028" w:right="796"/>
        <w:jc w:val="both"/>
      </w:pPr>
      <w:r>
        <w:rPr/>
        <w:t>Eight (8) groups of 5 male albino mice were used. Three (3) groups were pretreated</w:t>
      </w:r>
      <w:r>
        <w:rPr>
          <w:spacing w:val="40"/>
        </w:rPr>
        <w:t> </w:t>
      </w:r>
      <w:r>
        <w:rPr/>
        <w:t>with undetoxified </w:t>
      </w:r>
      <w:r>
        <w:rPr>
          <w:i/>
        </w:rPr>
        <w:t>J. curcas </w:t>
      </w:r>
      <w:r>
        <w:rPr/>
        <w:t>oil at 125, 250 and 500 mg/kg, per oral while the other 3 groups were pretreated with detoxified </w:t>
      </w:r>
      <w:r>
        <w:rPr>
          <w:i/>
        </w:rPr>
        <w:t>J. curcas </w:t>
      </w:r>
      <w:r>
        <w:rPr/>
        <w:t>oil</w:t>
      </w:r>
      <w:r>
        <w:rPr>
          <w:spacing w:val="-4"/>
        </w:rPr>
        <w:t> </w:t>
      </w:r>
      <w:r>
        <w:rPr/>
        <w:t>through the same route and at same doses (as the undetoxified), 1 h before subcutaneous injection of 0.025 ml of 0.5% formalin into the</w:t>
      </w:r>
      <w:r>
        <w:rPr>
          <w:spacing w:val="-1"/>
        </w:rPr>
        <w:t> </w:t>
      </w:r>
      <w:r>
        <w:rPr/>
        <w:t>dorsal</w:t>
      </w:r>
      <w:r>
        <w:rPr>
          <w:spacing w:val="-5"/>
        </w:rPr>
        <w:t> </w:t>
      </w:r>
      <w:r>
        <w:rPr/>
        <w:t>surface of</w:t>
      </w:r>
      <w:r>
        <w:rPr>
          <w:spacing w:val="-8"/>
        </w:rPr>
        <w:t> </w:t>
      </w:r>
      <w:r>
        <w:rPr/>
        <w:t>the</w:t>
      </w:r>
      <w:r>
        <w:rPr>
          <w:spacing w:val="-1"/>
        </w:rPr>
        <w:t> </w:t>
      </w:r>
      <w:r>
        <w:rPr/>
        <w:t>right hind paw. Animals in positive</w:t>
      </w:r>
      <w:r>
        <w:rPr>
          <w:spacing w:val="-1"/>
        </w:rPr>
        <w:t> </w:t>
      </w:r>
      <w:r>
        <w:rPr/>
        <w:t>control</w:t>
      </w:r>
      <w:r>
        <w:rPr>
          <w:spacing w:val="-9"/>
        </w:rPr>
        <w:t> </w:t>
      </w:r>
      <w:r>
        <w:rPr/>
        <w:t>group were pretreated with pentazocine (10 mg/kg, intraperitoneally), 30 min before the subcutaneous formalin injection. The vehicle group (negative control) was pretreated with olive oil (10 ml/kg, per oral) at an interval</w:t>
      </w:r>
      <w:r>
        <w:rPr>
          <w:spacing w:val="-5"/>
        </w:rPr>
        <w:t> </w:t>
      </w:r>
      <w:r>
        <w:rPr/>
        <w:t>of 1 h before the formalin injection. All animals were observed from 0 to 5 min (first phase) and from 15 to 30 min (second phase) and each was scored according to a pain scale of 0-3; where zero (0) indicated that mice walked or stood firmly on injected paw, one (1) indicated that the injected</w:t>
      </w:r>
      <w:r>
        <w:rPr>
          <w:spacing w:val="40"/>
        </w:rPr>
        <w:t> </w:t>
      </w:r>
      <w:r>
        <w:rPr/>
        <w:t>paw was partially raised or favoured, two (2) indicated that the injected paw was fully raised or favoured and three (3) indicated that the injected paw was licked. Pain responses were indicated by elevation or favoring of the paw or excessive licking and biting of the injected paw (Shibata </w:t>
      </w:r>
      <w:r>
        <w:rPr>
          <w:i/>
        </w:rPr>
        <w:t>et al</w:t>
      </w:r>
      <w:r>
        <w:rPr/>
        <w:t>., 1989).</w:t>
      </w:r>
    </w:p>
    <w:p>
      <w:pPr>
        <w:spacing w:after="0" w:line="480" w:lineRule="auto"/>
        <w:jc w:val="both"/>
        <w:sectPr>
          <w:pgSz w:w="11910" w:h="16840"/>
          <w:pgMar w:header="0" w:footer="1012" w:top="1320" w:bottom="1200" w:left="960" w:right="620"/>
        </w:sectPr>
      </w:pPr>
    </w:p>
    <w:p>
      <w:pPr>
        <w:pStyle w:val="ListParagraph"/>
        <w:numPr>
          <w:ilvl w:val="3"/>
          <w:numId w:val="17"/>
        </w:numPr>
        <w:tabs>
          <w:tab w:pos="1752" w:val="left" w:leader="none"/>
        </w:tabs>
        <w:spacing w:line="240" w:lineRule="auto" w:before="79" w:after="0"/>
        <w:ind w:left="1752" w:right="0" w:hanging="724"/>
        <w:jc w:val="both"/>
        <w:rPr>
          <w:i/>
          <w:sz w:val="24"/>
        </w:rPr>
      </w:pPr>
      <w:r>
        <w:rPr>
          <w:i/>
          <w:sz w:val="24"/>
        </w:rPr>
        <w:t>Laxative </w:t>
      </w:r>
      <w:r>
        <w:rPr>
          <w:i/>
          <w:spacing w:val="-2"/>
          <w:sz w:val="24"/>
        </w:rPr>
        <w:t>studies</w:t>
      </w:r>
    </w:p>
    <w:p>
      <w:pPr>
        <w:pStyle w:val="BodyText"/>
        <w:rPr>
          <w:i/>
        </w:rPr>
      </w:pPr>
    </w:p>
    <w:p>
      <w:pPr>
        <w:pStyle w:val="BodyText"/>
        <w:spacing w:before="3"/>
        <w:rPr>
          <w:i/>
        </w:rPr>
      </w:pPr>
    </w:p>
    <w:p>
      <w:pPr>
        <w:pStyle w:val="BodyText"/>
        <w:spacing w:line="480" w:lineRule="auto"/>
        <w:ind w:left="1028" w:right="796" w:firstLine="62"/>
        <w:jc w:val="both"/>
      </w:pPr>
      <w:r>
        <w:rPr/>
        <w:t>A</w:t>
      </w:r>
      <w:r>
        <w:rPr>
          <w:spacing w:val="-5"/>
        </w:rPr>
        <w:t> </w:t>
      </w:r>
      <w:r>
        <w:rPr/>
        <w:t>total</w:t>
      </w:r>
      <w:r>
        <w:rPr>
          <w:spacing w:val="-8"/>
        </w:rPr>
        <w:t> </w:t>
      </w:r>
      <w:r>
        <w:rPr/>
        <w:t>of</w:t>
      </w:r>
      <w:r>
        <w:rPr>
          <w:spacing w:val="-7"/>
        </w:rPr>
        <w:t> </w:t>
      </w:r>
      <w:r>
        <w:rPr/>
        <w:t>30 male mice were randomly</w:t>
      </w:r>
      <w:r>
        <w:rPr>
          <w:spacing w:val="-4"/>
        </w:rPr>
        <w:t> </w:t>
      </w:r>
      <w:r>
        <w:rPr/>
        <w:t>distributed into six</w:t>
      </w:r>
      <w:r>
        <w:rPr>
          <w:spacing w:val="-4"/>
        </w:rPr>
        <w:t> </w:t>
      </w:r>
      <w:r>
        <w:rPr/>
        <w:t>groups</w:t>
      </w:r>
      <w:r>
        <w:rPr>
          <w:spacing w:val="-6"/>
        </w:rPr>
        <w:t> </w:t>
      </w:r>
      <w:r>
        <w:rPr/>
        <w:t>of</w:t>
      </w:r>
      <w:r>
        <w:rPr>
          <w:spacing w:val="-2"/>
        </w:rPr>
        <w:t> </w:t>
      </w:r>
      <w:r>
        <w:rPr/>
        <w:t>five animals each. The mice which were fasted for 12 h prior to the time of</w:t>
      </w:r>
      <w:r>
        <w:rPr>
          <w:spacing w:val="-2"/>
        </w:rPr>
        <w:t> </w:t>
      </w:r>
      <w:r>
        <w:rPr/>
        <w:t>the experiment were placed in individual cages lined with adsorbent paper. Group 1 which served as negative control received normal saline (10 ml/kg), group 2 received 0.5 ml castor oil, group 3 and 4 received 0.5 and 1 ml of undetoxified </w:t>
      </w:r>
      <w:r>
        <w:rPr>
          <w:i/>
        </w:rPr>
        <w:t>J</w:t>
      </w:r>
      <w:r>
        <w:rPr/>
        <w:t>. </w:t>
      </w:r>
      <w:r>
        <w:rPr>
          <w:i/>
        </w:rPr>
        <w:t>curcas </w:t>
      </w:r>
      <w:r>
        <w:rPr/>
        <w:t>oil respectively while group 5 and 6 received 0.5 and 1 ml of detoxified </w:t>
      </w:r>
      <w:r>
        <w:rPr>
          <w:i/>
        </w:rPr>
        <w:t>J</w:t>
      </w:r>
      <w:r>
        <w:rPr/>
        <w:t>. </w:t>
      </w:r>
      <w:r>
        <w:rPr>
          <w:i/>
        </w:rPr>
        <w:t>curcas </w:t>
      </w:r>
      <w:r>
        <w:rPr/>
        <w:t>oil respectively, each administration was done orally by gavage. Each mouse was observed for the frequency of diarrhoea droppings on the adsorbent paper placed in their individual cages for 4 h (Izzo </w:t>
      </w:r>
      <w:r>
        <w:rPr>
          <w:i/>
        </w:rPr>
        <w:t>et al</w:t>
      </w:r>
      <w:r>
        <w:rPr/>
        <w:t>., 1992; Mukherjee </w:t>
      </w:r>
      <w:r>
        <w:rPr>
          <w:i/>
        </w:rPr>
        <w:t>et al</w:t>
      </w:r>
      <w:r>
        <w:rPr/>
        <w:t>., 1995; Karim </w:t>
      </w:r>
      <w:r>
        <w:rPr>
          <w:i/>
        </w:rPr>
        <w:t>et al</w:t>
      </w:r>
      <w:r>
        <w:rPr/>
        <w:t>., 2010).</w:t>
      </w:r>
    </w:p>
    <w:p>
      <w:pPr>
        <w:pStyle w:val="BodyText"/>
      </w:pPr>
    </w:p>
    <w:p>
      <w:pPr>
        <w:pStyle w:val="BodyText"/>
        <w:spacing w:before="2"/>
      </w:pPr>
    </w:p>
    <w:p>
      <w:pPr>
        <w:pStyle w:val="Heading2"/>
        <w:numPr>
          <w:ilvl w:val="2"/>
          <w:numId w:val="17"/>
        </w:numPr>
        <w:tabs>
          <w:tab w:pos="1747" w:val="left" w:leader="none"/>
        </w:tabs>
        <w:spacing w:line="240" w:lineRule="auto" w:before="0" w:after="0"/>
        <w:ind w:left="1747" w:right="0" w:hanging="719"/>
        <w:jc w:val="both"/>
      </w:pPr>
      <w:r>
        <w:rPr/>
        <w:t>Statistical</w:t>
      </w:r>
      <w:r>
        <w:rPr>
          <w:spacing w:val="-2"/>
        </w:rPr>
        <w:t> analyses</w:t>
      </w:r>
    </w:p>
    <w:p>
      <w:pPr>
        <w:pStyle w:val="BodyText"/>
        <w:spacing w:line="480" w:lineRule="auto" w:before="271"/>
        <w:ind w:left="1028" w:right="803" w:firstLine="57"/>
        <w:jc w:val="both"/>
      </w:pPr>
      <w:r>
        <w:rPr/>
        <w:t>The statistical analyses of the data was done using SPSS version 20 software. Data for the body weight, haematological and biochemical parameters as well as analgesic activity data were analysed using one way analysis of variance (ANOVA) followed by Dunnet and Bonferroni</w:t>
      </w:r>
      <w:r>
        <w:rPr>
          <w:spacing w:val="-3"/>
        </w:rPr>
        <w:t> </w:t>
      </w:r>
      <w:r>
        <w:rPr/>
        <w:t>tests as post hoc. Data were analyzed by</w:t>
      </w:r>
      <w:r>
        <w:rPr>
          <w:spacing w:val="-1"/>
        </w:rPr>
        <w:t> </w:t>
      </w:r>
      <w:r>
        <w:rPr/>
        <w:t>comparing various test groups with the normal saline/olive oil (negative control) and standard drug (positive control) groups. Values</w:t>
      </w:r>
      <w:r>
        <w:rPr>
          <w:spacing w:val="-3"/>
        </w:rPr>
        <w:t> </w:t>
      </w:r>
      <w:r>
        <w:rPr/>
        <w:t>of</w:t>
      </w:r>
      <w:r>
        <w:rPr>
          <w:spacing w:val="-9"/>
        </w:rPr>
        <w:t> </w:t>
      </w:r>
      <w:r>
        <w:rPr/>
        <w:t>P≤0.05</w:t>
      </w:r>
      <w:r>
        <w:rPr>
          <w:spacing w:val="-1"/>
        </w:rPr>
        <w:t> </w:t>
      </w:r>
      <w:r>
        <w:rPr/>
        <w:t>were</w:t>
      </w:r>
      <w:r>
        <w:rPr>
          <w:spacing w:val="-2"/>
        </w:rPr>
        <w:t> </w:t>
      </w:r>
      <w:r>
        <w:rPr/>
        <w:t>considered statistically</w:t>
      </w:r>
      <w:r>
        <w:rPr>
          <w:spacing w:val="-6"/>
        </w:rPr>
        <w:t> </w:t>
      </w:r>
      <w:r>
        <w:rPr/>
        <w:t>significant. The</w:t>
      </w:r>
      <w:r>
        <w:rPr>
          <w:spacing w:val="-2"/>
        </w:rPr>
        <w:t> </w:t>
      </w:r>
      <w:r>
        <w:rPr/>
        <w:t>research results were calculated as mean ± standard error of the mean (SEM) and percentages. Data were presented as tables or charts, as appropriate.</w:t>
      </w:r>
    </w:p>
    <w:p>
      <w:pPr>
        <w:spacing w:after="0" w:line="480" w:lineRule="auto"/>
        <w:jc w:val="both"/>
        <w:sectPr>
          <w:pgSz w:w="11910" w:h="16840"/>
          <w:pgMar w:header="0" w:footer="1012" w:top="1320" w:bottom="1200" w:left="960" w:right="620"/>
        </w:sectPr>
      </w:pPr>
    </w:p>
    <w:p>
      <w:pPr>
        <w:pStyle w:val="Heading1"/>
        <w:spacing w:line="480" w:lineRule="auto"/>
        <w:ind w:left="3804"/>
      </w:pPr>
      <w:r>
        <w:rPr/>
        <w:t>CHAPTER</w:t>
      </w:r>
      <w:r>
        <w:rPr>
          <w:spacing w:val="-15"/>
        </w:rPr>
        <w:t> </w:t>
      </w:r>
      <w:r>
        <w:rPr/>
        <w:t>FOUR </w:t>
      </w:r>
      <w:r>
        <w:rPr>
          <w:spacing w:val="-2"/>
        </w:rPr>
        <w:t>RESULTS</w:t>
      </w:r>
    </w:p>
    <w:p>
      <w:pPr>
        <w:pStyle w:val="BodyText"/>
        <w:rPr>
          <w:b/>
        </w:rPr>
      </w:pPr>
    </w:p>
    <w:p>
      <w:pPr>
        <w:pStyle w:val="BodyText"/>
        <w:spacing w:before="1"/>
        <w:rPr>
          <w:b/>
        </w:rPr>
      </w:pPr>
    </w:p>
    <w:p>
      <w:pPr>
        <w:pStyle w:val="Heading2"/>
        <w:numPr>
          <w:ilvl w:val="1"/>
          <w:numId w:val="20"/>
        </w:numPr>
        <w:tabs>
          <w:tab w:pos="1747" w:val="left" w:leader="none"/>
        </w:tabs>
        <w:spacing w:line="240" w:lineRule="auto" w:before="0" w:after="0"/>
        <w:ind w:left="1747" w:right="0" w:hanging="719"/>
        <w:jc w:val="both"/>
      </w:pPr>
      <w:r>
        <w:rPr/>
        <w:t>Oil</w:t>
      </w:r>
      <w:r>
        <w:rPr>
          <w:spacing w:val="-6"/>
        </w:rPr>
        <w:t> </w:t>
      </w:r>
      <w:r>
        <w:rPr/>
        <w:t>Yield from</w:t>
      </w:r>
      <w:r>
        <w:rPr>
          <w:spacing w:val="-3"/>
        </w:rPr>
        <w:t> </w:t>
      </w:r>
      <w:r>
        <w:rPr/>
        <w:t>Both</w:t>
      </w:r>
      <w:r>
        <w:rPr>
          <w:spacing w:val="-1"/>
        </w:rPr>
        <w:t> </w:t>
      </w:r>
      <w:r>
        <w:rPr/>
        <w:t>Extraction </w:t>
      </w:r>
      <w:r>
        <w:rPr>
          <w:spacing w:val="-2"/>
        </w:rPr>
        <w:t>Methods</w:t>
      </w:r>
    </w:p>
    <w:p>
      <w:pPr>
        <w:pStyle w:val="BodyText"/>
        <w:spacing w:line="480" w:lineRule="auto" w:before="271"/>
        <w:ind w:left="1028" w:right="806"/>
        <w:jc w:val="both"/>
      </w:pPr>
      <w:r>
        <w:rPr/>
        <w:t>The solvent extracted oil was light yellow while that from the mechanical extraction process was dark brown. Yields of 49.1% and 14.9% w/w were</w:t>
      </w:r>
      <w:r>
        <w:rPr>
          <w:spacing w:val="-2"/>
        </w:rPr>
        <w:t> </w:t>
      </w:r>
      <w:r>
        <w:rPr/>
        <w:t>obtained for the solvent and mechanically extracted oils respectively (Table 4.1).</w:t>
      </w:r>
    </w:p>
    <w:p>
      <w:pPr>
        <w:pStyle w:val="BodyText"/>
      </w:pPr>
    </w:p>
    <w:p>
      <w:pPr>
        <w:pStyle w:val="BodyText"/>
        <w:spacing w:before="6"/>
      </w:pPr>
    </w:p>
    <w:p>
      <w:pPr>
        <w:pStyle w:val="Heading2"/>
        <w:spacing w:line="360" w:lineRule="auto"/>
        <w:ind w:left="1090" w:right="1853" w:hanging="63"/>
        <w:jc w:val="left"/>
      </w:pPr>
      <w:r>
        <w:rPr/>
        <w:t>Table</w:t>
      </w:r>
      <w:r>
        <w:rPr>
          <w:spacing w:val="-5"/>
        </w:rPr>
        <w:t> </w:t>
      </w:r>
      <w:r>
        <w:rPr/>
        <w:t>4.1:</w:t>
      </w:r>
      <w:r>
        <w:rPr>
          <w:spacing w:val="-1"/>
        </w:rPr>
        <w:t> </w:t>
      </w:r>
      <w:r>
        <w:rPr/>
        <w:t>Percentage</w:t>
      </w:r>
      <w:r>
        <w:rPr>
          <w:spacing w:val="-4"/>
        </w:rPr>
        <w:t> </w:t>
      </w:r>
      <w:r>
        <w:rPr/>
        <w:t>Yield</w:t>
      </w:r>
      <w:r>
        <w:rPr>
          <w:spacing w:val="-3"/>
        </w:rPr>
        <w:t> </w:t>
      </w:r>
      <w:r>
        <w:rPr/>
        <w:t>of</w:t>
      </w:r>
      <w:r>
        <w:rPr>
          <w:spacing w:val="-7"/>
        </w:rPr>
        <w:t> </w:t>
      </w:r>
      <w:r>
        <w:rPr>
          <w:i/>
        </w:rPr>
        <w:t>Jatropha</w:t>
      </w:r>
      <w:r>
        <w:rPr>
          <w:i/>
          <w:spacing w:val="-3"/>
        </w:rPr>
        <w:t> </w:t>
      </w:r>
      <w:r>
        <w:rPr>
          <w:i/>
        </w:rPr>
        <w:t>curcas</w:t>
      </w:r>
      <w:r>
        <w:rPr>
          <w:i/>
          <w:spacing w:val="-1"/>
        </w:rPr>
        <w:t> </w:t>
      </w:r>
      <w:r>
        <w:rPr/>
        <w:t>Seed</w:t>
      </w:r>
      <w:r>
        <w:rPr>
          <w:spacing w:val="-4"/>
        </w:rPr>
        <w:t> </w:t>
      </w:r>
      <w:r>
        <w:rPr/>
        <w:t>Oils</w:t>
      </w:r>
      <w:r>
        <w:rPr>
          <w:spacing w:val="-5"/>
        </w:rPr>
        <w:t> </w:t>
      </w:r>
      <w:r>
        <w:rPr/>
        <w:t>Extracted</w:t>
      </w:r>
      <w:r>
        <w:rPr>
          <w:spacing w:val="-2"/>
        </w:rPr>
        <w:t> </w:t>
      </w:r>
      <w:r>
        <w:rPr/>
        <w:t>with Solvent and Hand Operated Mechanical Hydraulic Screw Press</w:t>
      </w:r>
    </w:p>
    <w:p>
      <w:pPr>
        <w:pStyle w:val="BodyText"/>
        <w:spacing w:before="188" w:after="1"/>
        <w:rPr>
          <w:b/>
          <w:sz w:val="20"/>
        </w:rPr>
      </w:pPr>
    </w:p>
    <w:tbl>
      <w:tblPr>
        <w:tblW w:w="0" w:type="auto"/>
        <w:jc w:val="left"/>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1"/>
        <w:gridCol w:w="2471"/>
        <w:gridCol w:w="1769"/>
        <w:gridCol w:w="848"/>
      </w:tblGrid>
      <w:tr>
        <w:trPr>
          <w:trHeight w:val="561" w:hRule="atLeast"/>
        </w:trPr>
        <w:tc>
          <w:tcPr>
            <w:tcW w:w="2571" w:type="dxa"/>
            <w:tcBorders>
              <w:top w:val="single" w:sz="4" w:space="0" w:color="000000"/>
              <w:bottom w:val="single" w:sz="4" w:space="0" w:color="000000"/>
            </w:tcBorders>
          </w:tcPr>
          <w:p>
            <w:pPr>
              <w:pStyle w:val="TableParagraph"/>
              <w:spacing w:line="273" w:lineRule="exact"/>
              <w:ind w:left="117"/>
              <w:rPr>
                <w:sz w:val="24"/>
              </w:rPr>
            </w:pPr>
            <w:r>
              <w:rPr>
                <w:sz w:val="24"/>
              </w:rPr>
              <w:t>Extraction</w:t>
            </w:r>
            <w:r>
              <w:rPr>
                <w:spacing w:val="-4"/>
                <w:sz w:val="24"/>
              </w:rPr>
              <w:t> </w:t>
            </w:r>
            <w:r>
              <w:rPr>
                <w:spacing w:val="-2"/>
                <w:sz w:val="24"/>
              </w:rPr>
              <w:t>method</w:t>
            </w:r>
          </w:p>
        </w:tc>
        <w:tc>
          <w:tcPr>
            <w:tcW w:w="2471" w:type="dxa"/>
            <w:tcBorders>
              <w:top w:val="single" w:sz="4" w:space="0" w:color="000000"/>
              <w:bottom w:val="single" w:sz="4" w:space="0" w:color="000000"/>
            </w:tcBorders>
          </w:tcPr>
          <w:p>
            <w:pPr>
              <w:pStyle w:val="TableParagraph"/>
              <w:spacing w:line="273" w:lineRule="exact"/>
              <w:ind w:right="272"/>
              <w:jc w:val="right"/>
              <w:rPr>
                <w:sz w:val="24"/>
              </w:rPr>
            </w:pPr>
            <w:r>
              <w:rPr>
                <w:sz w:val="24"/>
              </w:rPr>
              <w:t>Weight</w:t>
            </w:r>
            <w:r>
              <w:rPr>
                <w:spacing w:val="4"/>
                <w:sz w:val="24"/>
              </w:rPr>
              <w:t> </w:t>
            </w:r>
            <w:r>
              <w:rPr>
                <w:sz w:val="24"/>
              </w:rPr>
              <w:t>of</w:t>
            </w:r>
            <w:r>
              <w:rPr>
                <w:spacing w:val="-8"/>
                <w:sz w:val="24"/>
              </w:rPr>
              <w:t> </w:t>
            </w:r>
            <w:r>
              <w:rPr>
                <w:spacing w:val="-2"/>
                <w:sz w:val="24"/>
              </w:rPr>
              <w:t>powdered</w:t>
            </w:r>
          </w:p>
          <w:p>
            <w:pPr>
              <w:pStyle w:val="TableParagraph"/>
              <w:spacing w:line="266" w:lineRule="exact" w:before="3"/>
              <w:ind w:right="282"/>
              <w:jc w:val="right"/>
              <w:rPr>
                <w:sz w:val="24"/>
              </w:rPr>
            </w:pPr>
            <w:r>
              <w:rPr>
                <w:sz w:val="24"/>
              </w:rPr>
              <w:t>material</w:t>
            </w:r>
            <w:r>
              <w:rPr>
                <w:spacing w:val="-10"/>
                <w:sz w:val="24"/>
              </w:rPr>
              <w:t> </w:t>
            </w:r>
            <w:r>
              <w:rPr>
                <w:spacing w:val="-5"/>
                <w:sz w:val="24"/>
              </w:rPr>
              <w:t>(g)</w:t>
            </w:r>
          </w:p>
        </w:tc>
        <w:tc>
          <w:tcPr>
            <w:tcW w:w="1769" w:type="dxa"/>
            <w:tcBorders>
              <w:top w:val="single" w:sz="4" w:space="0" w:color="000000"/>
              <w:bottom w:val="single" w:sz="4" w:space="0" w:color="000000"/>
            </w:tcBorders>
          </w:tcPr>
          <w:p>
            <w:pPr>
              <w:pStyle w:val="TableParagraph"/>
              <w:spacing w:line="273" w:lineRule="exact"/>
              <w:ind w:left="275"/>
              <w:rPr>
                <w:sz w:val="24"/>
              </w:rPr>
            </w:pPr>
            <w:r>
              <w:rPr>
                <w:sz w:val="24"/>
              </w:rPr>
              <w:t>Weight</w:t>
            </w:r>
            <w:r>
              <w:rPr>
                <w:spacing w:val="4"/>
                <w:sz w:val="24"/>
              </w:rPr>
              <w:t> </w:t>
            </w:r>
            <w:r>
              <w:rPr>
                <w:sz w:val="24"/>
              </w:rPr>
              <w:t>of</w:t>
            </w:r>
            <w:r>
              <w:rPr>
                <w:spacing w:val="-8"/>
                <w:sz w:val="24"/>
              </w:rPr>
              <w:t> </w:t>
            </w:r>
            <w:r>
              <w:rPr>
                <w:spacing w:val="-5"/>
                <w:sz w:val="24"/>
              </w:rPr>
              <w:t>oil</w:t>
            </w:r>
          </w:p>
          <w:p>
            <w:pPr>
              <w:pStyle w:val="TableParagraph"/>
              <w:spacing w:line="266" w:lineRule="exact" w:before="3"/>
              <w:ind w:left="381"/>
              <w:rPr>
                <w:sz w:val="24"/>
              </w:rPr>
            </w:pPr>
            <w:r>
              <w:rPr>
                <w:sz w:val="24"/>
              </w:rPr>
              <w:t>obtained</w:t>
            </w:r>
            <w:r>
              <w:rPr>
                <w:spacing w:val="-6"/>
                <w:sz w:val="24"/>
              </w:rPr>
              <w:t> </w:t>
            </w:r>
            <w:r>
              <w:rPr>
                <w:spacing w:val="-5"/>
                <w:sz w:val="24"/>
              </w:rPr>
              <w:t>(g)</w:t>
            </w:r>
          </w:p>
        </w:tc>
        <w:tc>
          <w:tcPr>
            <w:tcW w:w="848" w:type="dxa"/>
            <w:tcBorders>
              <w:top w:val="single" w:sz="4" w:space="0" w:color="000000"/>
              <w:bottom w:val="single" w:sz="4" w:space="0" w:color="000000"/>
            </w:tcBorders>
          </w:tcPr>
          <w:p>
            <w:pPr>
              <w:pStyle w:val="TableParagraph"/>
              <w:spacing w:line="273" w:lineRule="exact"/>
              <w:ind w:right="101"/>
              <w:jc w:val="right"/>
              <w:rPr>
                <w:sz w:val="24"/>
              </w:rPr>
            </w:pPr>
            <w:r>
              <w:rPr>
                <w:spacing w:val="-2"/>
                <w:sz w:val="24"/>
              </w:rPr>
              <w:t>Yield</w:t>
            </w:r>
          </w:p>
          <w:p>
            <w:pPr>
              <w:pStyle w:val="TableParagraph"/>
              <w:spacing w:line="266" w:lineRule="exact" w:before="3"/>
              <w:ind w:right="96"/>
              <w:jc w:val="right"/>
              <w:rPr>
                <w:sz w:val="24"/>
              </w:rPr>
            </w:pPr>
            <w:r>
              <w:rPr>
                <w:spacing w:val="-5"/>
                <w:sz w:val="24"/>
              </w:rPr>
              <w:t>(%)</w:t>
            </w:r>
          </w:p>
        </w:tc>
      </w:tr>
      <w:tr>
        <w:trPr>
          <w:trHeight w:val="790" w:hRule="atLeast"/>
        </w:trPr>
        <w:tc>
          <w:tcPr>
            <w:tcW w:w="2571" w:type="dxa"/>
            <w:tcBorders>
              <w:top w:val="single" w:sz="4" w:space="0" w:color="000000"/>
            </w:tcBorders>
          </w:tcPr>
          <w:p>
            <w:pPr>
              <w:pStyle w:val="TableParagraph"/>
              <w:spacing w:line="242" w:lineRule="auto" w:before="111"/>
              <w:ind w:left="117" w:right="776"/>
              <w:rPr>
                <w:sz w:val="24"/>
              </w:rPr>
            </w:pPr>
            <w:r>
              <w:rPr>
                <w:spacing w:val="-2"/>
                <w:sz w:val="24"/>
              </w:rPr>
              <w:t>Solvent </w:t>
            </w:r>
            <w:r>
              <w:rPr>
                <w:sz w:val="24"/>
              </w:rPr>
              <w:t>(petroleum</w:t>
            </w:r>
            <w:r>
              <w:rPr>
                <w:spacing w:val="-15"/>
                <w:sz w:val="24"/>
              </w:rPr>
              <w:t> </w:t>
            </w:r>
            <w:r>
              <w:rPr>
                <w:sz w:val="24"/>
              </w:rPr>
              <w:t>ether)</w:t>
            </w:r>
          </w:p>
        </w:tc>
        <w:tc>
          <w:tcPr>
            <w:tcW w:w="2471" w:type="dxa"/>
            <w:tcBorders>
              <w:top w:val="single" w:sz="4" w:space="0" w:color="000000"/>
            </w:tcBorders>
          </w:tcPr>
          <w:p>
            <w:pPr>
              <w:pStyle w:val="TableParagraph"/>
              <w:spacing w:before="111"/>
              <w:ind w:right="274"/>
              <w:jc w:val="right"/>
              <w:rPr>
                <w:sz w:val="24"/>
              </w:rPr>
            </w:pPr>
            <w:r>
              <w:rPr>
                <w:spacing w:val="-5"/>
                <w:sz w:val="24"/>
              </w:rPr>
              <w:t>500</w:t>
            </w:r>
          </w:p>
        </w:tc>
        <w:tc>
          <w:tcPr>
            <w:tcW w:w="1769" w:type="dxa"/>
            <w:tcBorders>
              <w:top w:val="single" w:sz="4" w:space="0" w:color="000000"/>
            </w:tcBorders>
          </w:tcPr>
          <w:p>
            <w:pPr>
              <w:pStyle w:val="TableParagraph"/>
              <w:spacing w:before="111"/>
              <w:ind w:right="215"/>
              <w:jc w:val="right"/>
              <w:rPr>
                <w:sz w:val="24"/>
              </w:rPr>
            </w:pPr>
            <w:r>
              <w:rPr>
                <w:spacing w:val="-2"/>
                <w:sz w:val="24"/>
              </w:rPr>
              <w:t>245.7</w:t>
            </w:r>
          </w:p>
        </w:tc>
        <w:tc>
          <w:tcPr>
            <w:tcW w:w="848" w:type="dxa"/>
            <w:tcBorders>
              <w:top w:val="single" w:sz="4" w:space="0" w:color="000000"/>
            </w:tcBorders>
          </w:tcPr>
          <w:p>
            <w:pPr>
              <w:pStyle w:val="TableParagraph"/>
              <w:spacing w:before="111"/>
              <w:ind w:right="96"/>
              <w:jc w:val="right"/>
              <w:rPr>
                <w:sz w:val="24"/>
              </w:rPr>
            </w:pPr>
            <w:r>
              <w:rPr>
                <w:spacing w:val="-4"/>
                <w:sz w:val="24"/>
              </w:rPr>
              <w:t>49.1</w:t>
            </w:r>
          </w:p>
        </w:tc>
      </w:tr>
      <w:tr>
        <w:trPr>
          <w:trHeight w:val="793" w:hRule="atLeast"/>
        </w:trPr>
        <w:tc>
          <w:tcPr>
            <w:tcW w:w="2571" w:type="dxa"/>
            <w:tcBorders>
              <w:bottom w:val="single" w:sz="4" w:space="0" w:color="000000"/>
            </w:tcBorders>
          </w:tcPr>
          <w:p>
            <w:pPr>
              <w:pStyle w:val="TableParagraph"/>
              <w:spacing w:before="113"/>
              <w:ind w:left="117"/>
              <w:rPr>
                <w:sz w:val="24"/>
              </w:rPr>
            </w:pPr>
            <w:r>
              <w:rPr>
                <w:spacing w:val="-2"/>
                <w:sz w:val="24"/>
              </w:rPr>
              <w:t>Mechanical</w:t>
            </w:r>
          </w:p>
          <w:p>
            <w:pPr>
              <w:pStyle w:val="TableParagraph"/>
              <w:spacing w:before="3"/>
              <w:ind w:left="117"/>
              <w:rPr>
                <w:sz w:val="24"/>
              </w:rPr>
            </w:pPr>
            <w:r>
              <w:rPr>
                <w:sz w:val="24"/>
              </w:rPr>
              <w:t>(hydraulic</w:t>
            </w:r>
            <w:r>
              <w:rPr>
                <w:spacing w:val="-4"/>
                <w:sz w:val="24"/>
              </w:rPr>
              <w:t> </w:t>
            </w:r>
            <w:r>
              <w:rPr>
                <w:sz w:val="24"/>
              </w:rPr>
              <w:t>screw</w:t>
            </w:r>
            <w:r>
              <w:rPr>
                <w:spacing w:val="-3"/>
                <w:sz w:val="24"/>
              </w:rPr>
              <w:t> </w:t>
            </w:r>
            <w:r>
              <w:rPr>
                <w:spacing w:val="-2"/>
                <w:sz w:val="24"/>
              </w:rPr>
              <w:t>press)</w:t>
            </w:r>
          </w:p>
        </w:tc>
        <w:tc>
          <w:tcPr>
            <w:tcW w:w="2471" w:type="dxa"/>
            <w:tcBorders>
              <w:bottom w:val="single" w:sz="4" w:space="0" w:color="000000"/>
            </w:tcBorders>
          </w:tcPr>
          <w:p>
            <w:pPr>
              <w:pStyle w:val="TableParagraph"/>
              <w:spacing w:before="113"/>
              <w:ind w:right="274"/>
              <w:jc w:val="right"/>
              <w:rPr>
                <w:sz w:val="24"/>
              </w:rPr>
            </w:pPr>
            <w:r>
              <w:rPr>
                <w:spacing w:val="-5"/>
                <w:sz w:val="24"/>
              </w:rPr>
              <w:t>500</w:t>
            </w:r>
          </w:p>
        </w:tc>
        <w:tc>
          <w:tcPr>
            <w:tcW w:w="1769" w:type="dxa"/>
            <w:tcBorders>
              <w:bottom w:val="single" w:sz="4" w:space="0" w:color="000000"/>
            </w:tcBorders>
          </w:tcPr>
          <w:p>
            <w:pPr>
              <w:pStyle w:val="TableParagraph"/>
              <w:spacing w:before="113"/>
              <w:ind w:right="215"/>
              <w:jc w:val="right"/>
              <w:rPr>
                <w:sz w:val="24"/>
              </w:rPr>
            </w:pPr>
            <w:r>
              <w:rPr>
                <w:spacing w:val="-4"/>
                <w:sz w:val="24"/>
              </w:rPr>
              <w:t>74.5</w:t>
            </w:r>
          </w:p>
        </w:tc>
        <w:tc>
          <w:tcPr>
            <w:tcW w:w="848" w:type="dxa"/>
            <w:tcBorders>
              <w:bottom w:val="single" w:sz="4" w:space="0" w:color="000000"/>
            </w:tcBorders>
          </w:tcPr>
          <w:p>
            <w:pPr>
              <w:pStyle w:val="TableParagraph"/>
              <w:spacing w:before="113"/>
              <w:ind w:right="96"/>
              <w:jc w:val="right"/>
              <w:rPr>
                <w:sz w:val="24"/>
              </w:rPr>
            </w:pPr>
            <w:r>
              <w:rPr>
                <w:spacing w:val="-4"/>
                <w:sz w:val="24"/>
              </w:rPr>
              <w:t>14.9</w:t>
            </w:r>
          </w:p>
        </w:tc>
      </w:tr>
    </w:tbl>
    <w:p>
      <w:pPr>
        <w:spacing w:after="0"/>
        <w:jc w:val="right"/>
        <w:rPr>
          <w:sz w:val="24"/>
        </w:rPr>
        <w:sectPr>
          <w:pgSz w:w="11910" w:h="16840"/>
          <w:pgMar w:header="0" w:footer="1012" w:top="1340" w:bottom="1200" w:left="960" w:right="620"/>
        </w:sectPr>
      </w:pPr>
    </w:p>
    <w:p>
      <w:pPr>
        <w:pStyle w:val="ListParagraph"/>
        <w:numPr>
          <w:ilvl w:val="1"/>
          <w:numId w:val="20"/>
        </w:numPr>
        <w:tabs>
          <w:tab w:pos="1747" w:val="left" w:leader="none"/>
        </w:tabs>
        <w:spacing w:line="240" w:lineRule="auto" w:before="64" w:after="0"/>
        <w:ind w:left="1747" w:right="0" w:hanging="719"/>
        <w:jc w:val="both"/>
        <w:rPr>
          <w:b/>
          <w:sz w:val="24"/>
        </w:rPr>
      </w:pPr>
      <w:r>
        <w:rPr>
          <w:b/>
          <w:sz w:val="24"/>
        </w:rPr>
        <w:t>Physicochemical</w:t>
      </w:r>
      <w:r>
        <w:rPr>
          <w:b/>
          <w:spacing w:val="-6"/>
          <w:sz w:val="24"/>
        </w:rPr>
        <w:t> </w:t>
      </w:r>
      <w:r>
        <w:rPr>
          <w:b/>
          <w:sz w:val="24"/>
        </w:rPr>
        <w:t>Properties</w:t>
      </w:r>
      <w:r>
        <w:rPr>
          <w:b/>
          <w:spacing w:val="-2"/>
          <w:sz w:val="24"/>
        </w:rPr>
        <w:t> </w:t>
      </w:r>
      <w:r>
        <w:rPr>
          <w:b/>
          <w:sz w:val="24"/>
        </w:rPr>
        <w:t>of</w:t>
      </w:r>
      <w:r>
        <w:rPr>
          <w:b/>
          <w:spacing w:val="-5"/>
          <w:sz w:val="24"/>
        </w:rPr>
        <w:t> </w:t>
      </w:r>
      <w:r>
        <w:rPr>
          <w:b/>
          <w:i/>
          <w:sz w:val="24"/>
        </w:rPr>
        <w:t>J.</w:t>
      </w:r>
      <w:r>
        <w:rPr>
          <w:b/>
          <w:i/>
          <w:spacing w:val="1"/>
          <w:sz w:val="24"/>
        </w:rPr>
        <w:t> </w:t>
      </w:r>
      <w:r>
        <w:rPr>
          <w:b/>
          <w:i/>
          <w:sz w:val="24"/>
        </w:rPr>
        <w:t>curcas</w:t>
      </w:r>
      <w:r>
        <w:rPr>
          <w:b/>
          <w:i/>
          <w:spacing w:val="-2"/>
          <w:sz w:val="24"/>
        </w:rPr>
        <w:t> </w:t>
      </w:r>
      <w:r>
        <w:rPr>
          <w:b/>
          <w:spacing w:val="-4"/>
          <w:sz w:val="24"/>
        </w:rPr>
        <w:t>Oils</w:t>
      </w:r>
    </w:p>
    <w:p>
      <w:pPr>
        <w:pStyle w:val="BodyText"/>
        <w:spacing w:line="480" w:lineRule="auto" w:before="271"/>
        <w:ind w:left="1028" w:right="802"/>
        <w:jc w:val="both"/>
      </w:pPr>
      <w:r>
        <w:rPr/>
        <w:t>The</w:t>
      </w:r>
      <w:r>
        <w:rPr>
          <w:spacing w:val="-4"/>
        </w:rPr>
        <w:t> </w:t>
      </w:r>
      <w:r>
        <w:rPr/>
        <w:t>physicochemical</w:t>
      </w:r>
      <w:r>
        <w:rPr>
          <w:spacing w:val="-5"/>
        </w:rPr>
        <w:t> </w:t>
      </w:r>
      <w:r>
        <w:rPr/>
        <w:t>properties</w:t>
      </w:r>
      <w:r>
        <w:rPr>
          <w:spacing w:val="-5"/>
        </w:rPr>
        <w:t> </w:t>
      </w:r>
      <w:r>
        <w:rPr/>
        <w:t>determined for</w:t>
      </w:r>
      <w:r>
        <w:rPr>
          <w:spacing w:val="-2"/>
        </w:rPr>
        <w:t> </w:t>
      </w:r>
      <w:r>
        <w:rPr/>
        <w:t>both</w:t>
      </w:r>
      <w:r>
        <w:rPr>
          <w:spacing w:val="-7"/>
        </w:rPr>
        <w:t> </w:t>
      </w:r>
      <w:r>
        <w:rPr/>
        <w:t>solvent extracted</w:t>
      </w:r>
      <w:r>
        <w:rPr>
          <w:spacing w:val="-2"/>
        </w:rPr>
        <w:t> </w:t>
      </w:r>
      <w:r>
        <w:rPr/>
        <w:t>and mechanically extracted </w:t>
      </w:r>
      <w:r>
        <w:rPr>
          <w:i/>
        </w:rPr>
        <w:t>J</w:t>
      </w:r>
      <w:r>
        <w:rPr/>
        <w:t>. </w:t>
      </w:r>
      <w:r>
        <w:rPr>
          <w:i/>
        </w:rPr>
        <w:t>curcas </w:t>
      </w:r>
      <w:r>
        <w:rPr/>
        <w:t>oils were density, specific gravity, refractive index, free fatty acids, acid value,</w:t>
      </w:r>
      <w:r>
        <w:rPr>
          <w:spacing w:val="-1"/>
        </w:rPr>
        <w:t> </w:t>
      </w:r>
      <w:r>
        <w:rPr/>
        <w:t>peroxide value</w:t>
      </w:r>
      <w:r>
        <w:rPr>
          <w:spacing w:val="-3"/>
        </w:rPr>
        <w:t> </w:t>
      </w:r>
      <w:r>
        <w:rPr/>
        <w:t>and saponification</w:t>
      </w:r>
      <w:r>
        <w:rPr>
          <w:spacing w:val="-2"/>
        </w:rPr>
        <w:t> </w:t>
      </w:r>
      <w:r>
        <w:rPr/>
        <w:t>value.</w:t>
      </w:r>
      <w:r>
        <w:rPr>
          <w:spacing w:val="-1"/>
        </w:rPr>
        <w:t> </w:t>
      </w:r>
      <w:r>
        <w:rPr/>
        <w:t>Both</w:t>
      </w:r>
      <w:r>
        <w:rPr>
          <w:spacing w:val="-7"/>
        </w:rPr>
        <w:t> </w:t>
      </w:r>
      <w:r>
        <w:rPr/>
        <w:t>oils</w:t>
      </w:r>
      <w:r>
        <w:rPr>
          <w:spacing w:val="-1"/>
        </w:rPr>
        <w:t> </w:t>
      </w:r>
      <w:r>
        <w:rPr/>
        <w:t>showed</w:t>
      </w:r>
      <w:r>
        <w:rPr>
          <w:spacing w:val="-2"/>
        </w:rPr>
        <w:t> </w:t>
      </w:r>
      <w:r>
        <w:rPr/>
        <w:t>similar values</w:t>
      </w:r>
      <w:r>
        <w:rPr>
          <w:spacing w:val="-1"/>
        </w:rPr>
        <w:t> </w:t>
      </w:r>
      <w:r>
        <w:rPr/>
        <w:t>for all the determined physicochemical properties with no significant differences (Table </w:t>
      </w:r>
      <w:r>
        <w:rPr>
          <w:spacing w:val="-2"/>
        </w:rPr>
        <w:t>4.2).</w:t>
      </w:r>
    </w:p>
    <w:p>
      <w:pPr>
        <w:pStyle w:val="BodyText"/>
      </w:pPr>
    </w:p>
    <w:p>
      <w:pPr>
        <w:pStyle w:val="BodyText"/>
      </w:pPr>
    </w:p>
    <w:p>
      <w:pPr>
        <w:pStyle w:val="BodyText"/>
        <w:spacing w:before="9"/>
      </w:pPr>
    </w:p>
    <w:p>
      <w:pPr>
        <w:pStyle w:val="Heading2"/>
        <w:ind w:left="1028" w:firstLine="0"/>
      </w:pPr>
      <w:r>
        <w:rPr/>
        <w:t>Table</w:t>
      </w:r>
      <w:r>
        <w:rPr>
          <w:spacing w:val="-5"/>
        </w:rPr>
        <w:t> </w:t>
      </w:r>
      <w:r>
        <w:rPr/>
        <w:t>4.2:</w:t>
      </w:r>
      <w:r>
        <w:rPr>
          <w:spacing w:val="1"/>
        </w:rPr>
        <w:t> </w:t>
      </w:r>
      <w:r>
        <w:rPr/>
        <w:t>Physicochemical</w:t>
      </w:r>
      <w:r>
        <w:rPr>
          <w:spacing w:val="-5"/>
        </w:rPr>
        <w:t> </w:t>
      </w:r>
      <w:r>
        <w:rPr/>
        <w:t>Properties</w:t>
      </w:r>
      <w:r>
        <w:rPr>
          <w:spacing w:val="-2"/>
        </w:rPr>
        <w:t> </w:t>
      </w:r>
      <w:r>
        <w:rPr/>
        <w:t>of</w:t>
      </w:r>
      <w:r>
        <w:rPr>
          <w:spacing w:val="-4"/>
        </w:rPr>
        <w:t> </w:t>
      </w:r>
      <w:r>
        <w:rPr/>
        <w:t>Solvent and</w:t>
      </w:r>
      <w:r>
        <w:rPr>
          <w:spacing w:val="-10"/>
        </w:rPr>
        <w:t> </w:t>
      </w:r>
      <w:r>
        <w:rPr/>
        <w:t>Mechanically</w:t>
      </w:r>
      <w:r>
        <w:rPr>
          <w:spacing w:val="-1"/>
        </w:rPr>
        <w:t> </w:t>
      </w:r>
      <w:r>
        <w:rPr>
          <w:spacing w:val="-2"/>
        </w:rPr>
        <w:t>Extracted</w:t>
      </w:r>
    </w:p>
    <w:p>
      <w:pPr>
        <w:pStyle w:val="Heading3"/>
        <w:ind w:left="2468"/>
        <w:jc w:val="left"/>
        <w:rPr>
          <w:i w:val="0"/>
        </w:rPr>
      </w:pPr>
      <w:r>
        <w:rPr/>
        <w:t>Jatropha</w:t>
      </w:r>
      <w:r>
        <w:rPr>
          <w:spacing w:val="-3"/>
        </w:rPr>
        <w:t> </w:t>
      </w:r>
      <w:r>
        <w:rPr/>
        <w:t>curcas</w:t>
      </w:r>
      <w:r>
        <w:rPr>
          <w:spacing w:val="-3"/>
        </w:rPr>
        <w:t> </w:t>
      </w:r>
      <w:r>
        <w:rPr>
          <w:i w:val="0"/>
          <w:spacing w:val="-4"/>
        </w:rPr>
        <w:t>Oils</w:t>
      </w:r>
    </w:p>
    <w:p>
      <w:pPr>
        <w:pStyle w:val="BodyText"/>
        <w:rPr>
          <w:b/>
          <w:sz w:val="20"/>
        </w:rPr>
      </w:pPr>
    </w:p>
    <w:p>
      <w:pPr>
        <w:pStyle w:val="BodyText"/>
        <w:spacing w:before="93"/>
        <w:rPr>
          <w:b/>
          <w:sz w:val="20"/>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2"/>
        <w:gridCol w:w="2267"/>
        <w:gridCol w:w="1731"/>
      </w:tblGrid>
      <w:tr>
        <w:trPr>
          <w:trHeight w:val="565" w:hRule="atLeast"/>
        </w:trPr>
        <w:tc>
          <w:tcPr>
            <w:tcW w:w="3102" w:type="dxa"/>
            <w:tcBorders>
              <w:top w:val="single" w:sz="4" w:space="0" w:color="000000"/>
              <w:bottom w:val="single" w:sz="4" w:space="0" w:color="000000"/>
            </w:tcBorders>
          </w:tcPr>
          <w:p>
            <w:pPr>
              <w:pStyle w:val="TableParagraph"/>
              <w:spacing w:line="273" w:lineRule="exact"/>
              <w:ind w:left="117"/>
              <w:rPr>
                <w:sz w:val="24"/>
              </w:rPr>
            </w:pPr>
            <w:r>
              <w:rPr>
                <w:sz w:val="24"/>
              </w:rPr>
              <w:t>Physicochemical</w:t>
            </w:r>
            <w:r>
              <w:rPr>
                <w:spacing w:val="-15"/>
                <w:sz w:val="24"/>
              </w:rPr>
              <w:t> </w:t>
            </w:r>
            <w:r>
              <w:rPr>
                <w:spacing w:val="-2"/>
                <w:sz w:val="24"/>
              </w:rPr>
              <w:t>properties</w:t>
            </w:r>
          </w:p>
        </w:tc>
        <w:tc>
          <w:tcPr>
            <w:tcW w:w="2267" w:type="dxa"/>
            <w:tcBorders>
              <w:top w:val="single" w:sz="4" w:space="0" w:color="000000"/>
              <w:bottom w:val="single" w:sz="4" w:space="0" w:color="000000"/>
            </w:tcBorders>
          </w:tcPr>
          <w:p>
            <w:pPr>
              <w:pStyle w:val="TableParagraph"/>
              <w:spacing w:line="273" w:lineRule="exact"/>
              <w:ind w:right="291"/>
              <w:jc w:val="right"/>
              <w:rPr>
                <w:sz w:val="24"/>
              </w:rPr>
            </w:pPr>
            <w:r>
              <w:rPr>
                <w:sz w:val="24"/>
              </w:rPr>
              <w:t>Solvent</w:t>
            </w:r>
            <w:r>
              <w:rPr>
                <w:spacing w:val="-1"/>
                <w:sz w:val="24"/>
              </w:rPr>
              <w:t> </w:t>
            </w:r>
            <w:r>
              <w:rPr>
                <w:spacing w:val="-2"/>
                <w:sz w:val="24"/>
              </w:rPr>
              <w:t>extracted</w:t>
            </w:r>
          </w:p>
          <w:p>
            <w:pPr>
              <w:pStyle w:val="TableParagraph"/>
              <w:spacing w:line="271" w:lineRule="exact" w:before="2"/>
              <w:ind w:right="290"/>
              <w:jc w:val="right"/>
              <w:rPr>
                <w:sz w:val="24"/>
              </w:rPr>
            </w:pPr>
            <w:r>
              <w:rPr>
                <w:spacing w:val="-5"/>
                <w:sz w:val="24"/>
              </w:rPr>
              <w:t>oil</w:t>
            </w:r>
          </w:p>
        </w:tc>
        <w:tc>
          <w:tcPr>
            <w:tcW w:w="1731" w:type="dxa"/>
            <w:tcBorders>
              <w:top w:val="single" w:sz="4" w:space="0" w:color="000000"/>
              <w:bottom w:val="single" w:sz="4" w:space="0" w:color="000000"/>
            </w:tcBorders>
          </w:tcPr>
          <w:p>
            <w:pPr>
              <w:pStyle w:val="TableParagraph"/>
              <w:spacing w:line="273" w:lineRule="exact"/>
              <w:ind w:left="323"/>
              <w:rPr>
                <w:sz w:val="24"/>
              </w:rPr>
            </w:pPr>
            <w:r>
              <w:rPr>
                <w:spacing w:val="-2"/>
                <w:sz w:val="24"/>
              </w:rPr>
              <w:t>Mechanically</w:t>
            </w:r>
          </w:p>
          <w:p>
            <w:pPr>
              <w:pStyle w:val="TableParagraph"/>
              <w:spacing w:line="271" w:lineRule="exact" w:before="2"/>
              <w:ind w:left="434"/>
              <w:rPr>
                <w:sz w:val="24"/>
              </w:rPr>
            </w:pPr>
            <w:r>
              <w:rPr>
                <w:sz w:val="24"/>
              </w:rPr>
              <w:t>extracted</w:t>
            </w:r>
            <w:r>
              <w:rPr>
                <w:spacing w:val="-1"/>
                <w:sz w:val="24"/>
              </w:rPr>
              <w:t> </w:t>
            </w:r>
            <w:r>
              <w:rPr>
                <w:spacing w:val="-5"/>
                <w:sz w:val="24"/>
              </w:rPr>
              <w:t>oil</w:t>
            </w:r>
          </w:p>
        </w:tc>
      </w:tr>
      <w:tr>
        <w:trPr>
          <w:trHeight w:val="430" w:hRule="atLeast"/>
        </w:trPr>
        <w:tc>
          <w:tcPr>
            <w:tcW w:w="3102" w:type="dxa"/>
            <w:tcBorders>
              <w:top w:val="single" w:sz="4" w:space="0" w:color="000000"/>
            </w:tcBorders>
          </w:tcPr>
          <w:p>
            <w:pPr>
              <w:pStyle w:val="TableParagraph"/>
              <w:spacing w:before="49"/>
              <w:ind w:left="117"/>
              <w:rPr>
                <w:sz w:val="24"/>
              </w:rPr>
            </w:pPr>
            <w:r>
              <w:rPr>
                <w:sz w:val="24"/>
              </w:rPr>
              <w:t>Density</w:t>
            </w:r>
            <w:r>
              <w:rPr>
                <w:spacing w:val="-9"/>
                <w:sz w:val="24"/>
              </w:rPr>
              <w:t> </w:t>
            </w:r>
            <w:r>
              <w:rPr>
                <w:spacing w:val="-2"/>
                <w:sz w:val="24"/>
              </w:rPr>
              <w:t>(g/ml)</w:t>
            </w:r>
          </w:p>
        </w:tc>
        <w:tc>
          <w:tcPr>
            <w:tcW w:w="2267" w:type="dxa"/>
            <w:tcBorders>
              <w:top w:val="single" w:sz="4" w:space="0" w:color="000000"/>
            </w:tcBorders>
          </w:tcPr>
          <w:p>
            <w:pPr>
              <w:pStyle w:val="TableParagraph"/>
              <w:spacing w:before="49"/>
              <w:ind w:right="290"/>
              <w:jc w:val="right"/>
              <w:rPr>
                <w:sz w:val="24"/>
              </w:rPr>
            </w:pPr>
            <w:r>
              <w:rPr>
                <w:sz w:val="24"/>
              </w:rPr>
              <w:t>0.91</w:t>
            </w:r>
            <w:r>
              <w:rPr>
                <w:spacing w:val="3"/>
                <w:sz w:val="24"/>
              </w:rPr>
              <w:t> </w:t>
            </w:r>
            <w:r>
              <w:rPr>
                <w:sz w:val="24"/>
              </w:rPr>
              <w:t>±</w:t>
            </w:r>
            <w:r>
              <w:rPr>
                <w:spacing w:val="1"/>
                <w:sz w:val="24"/>
              </w:rPr>
              <w:t> </w:t>
            </w:r>
            <w:r>
              <w:rPr>
                <w:spacing w:val="-4"/>
                <w:sz w:val="24"/>
              </w:rPr>
              <w:t>0.00</w:t>
            </w:r>
          </w:p>
        </w:tc>
        <w:tc>
          <w:tcPr>
            <w:tcW w:w="1731" w:type="dxa"/>
            <w:tcBorders>
              <w:top w:val="single" w:sz="4" w:space="0" w:color="000000"/>
            </w:tcBorders>
          </w:tcPr>
          <w:p>
            <w:pPr>
              <w:pStyle w:val="TableParagraph"/>
              <w:spacing w:before="49"/>
              <w:ind w:right="100"/>
              <w:jc w:val="right"/>
              <w:rPr>
                <w:sz w:val="24"/>
              </w:rPr>
            </w:pPr>
            <w:r>
              <w:rPr>
                <w:sz w:val="24"/>
              </w:rPr>
              <w:t>0.91</w:t>
            </w:r>
            <w:r>
              <w:rPr>
                <w:spacing w:val="3"/>
                <w:sz w:val="24"/>
              </w:rPr>
              <w:t> </w:t>
            </w:r>
            <w:r>
              <w:rPr>
                <w:sz w:val="24"/>
              </w:rPr>
              <w:t>±</w:t>
            </w:r>
            <w:r>
              <w:rPr>
                <w:spacing w:val="1"/>
                <w:sz w:val="24"/>
              </w:rPr>
              <w:t> </w:t>
            </w:r>
            <w:r>
              <w:rPr>
                <w:spacing w:val="-4"/>
                <w:sz w:val="24"/>
              </w:rPr>
              <w:t>0.00</w:t>
            </w:r>
          </w:p>
        </w:tc>
      </w:tr>
      <w:tr>
        <w:trPr>
          <w:trHeight w:val="532" w:hRule="atLeast"/>
        </w:trPr>
        <w:tc>
          <w:tcPr>
            <w:tcW w:w="3102" w:type="dxa"/>
          </w:tcPr>
          <w:p>
            <w:pPr>
              <w:pStyle w:val="TableParagraph"/>
              <w:spacing w:before="152"/>
              <w:ind w:left="117"/>
              <w:rPr>
                <w:sz w:val="24"/>
              </w:rPr>
            </w:pPr>
            <w:r>
              <w:rPr>
                <w:sz w:val="24"/>
              </w:rPr>
              <w:t>Specific</w:t>
            </w:r>
            <w:r>
              <w:rPr>
                <w:spacing w:val="-6"/>
                <w:sz w:val="24"/>
              </w:rPr>
              <w:t> </w:t>
            </w:r>
            <w:r>
              <w:rPr>
                <w:spacing w:val="-2"/>
                <w:sz w:val="24"/>
              </w:rPr>
              <w:t>gravity</w:t>
            </w:r>
          </w:p>
        </w:tc>
        <w:tc>
          <w:tcPr>
            <w:tcW w:w="2267" w:type="dxa"/>
          </w:tcPr>
          <w:p>
            <w:pPr>
              <w:pStyle w:val="TableParagraph"/>
              <w:spacing w:before="94"/>
              <w:ind w:right="290"/>
              <w:jc w:val="right"/>
              <w:rPr>
                <w:sz w:val="24"/>
              </w:rPr>
            </w:pPr>
            <w:r>
              <w:rPr>
                <w:sz w:val="24"/>
              </w:rPr>
              <w:t>0.91</w:t>
            </w:r>
            <w:r>
              <w:rPr>
                <w:spacing w:val="3"/>
                <w:sz w:val="24"/>
              </w:rPr>
              <w:t> </w:t>
            </w:r>
            <w:r>
              <w:rPr>
                <w:sz w:val="24"/>
              </w:rPr>
              <w:t>±</w:t>
            </w:r>
            <w:r>
              <w:rPr>
                <w:spacing w:val="1"/>
                <w:sz w:val="24"/>
              </w:rPr>
              <w:t> </w:t>
            </w:r>
            <w:r>
              <w:rPr>
                <w:spacing w:val="-4"/>
                <w:sz w:val="24"/>
              </w:rPr>
              <w:t>0.00</w:t>
            </w:r>
          </w:p>
        </w:tc>
        <w:tc>
          <w:tcPr>
            <w:tcW w:w="1731" w:type="dxa"/>
          </w:tcPr>
          <w:p>
            <w:pPr>
              <w:pStyle w:val="TableParagraph"/>
              <w:spacing w:before="94"/>
              <w:ind w:right="105"/>
              <w:jc w:val="right"/>
              <w:rPr>
                <w:sz w:val="24"/>
              </w:rPr>
            </w:pPr>
            <w:r>
              <w:rPr>
                <w:sz w:val="24"/>
              </w:rPr>
              <w:t>0.91</w:t>
            </w:r>
            <w:r>
              <w:rPr>
                <w:spacing w:val="3"/>
                <w:sz w:val="24"/>
              </w:rPr>
              <w:t> </w:t>
            </w:r>
            <w:r>
              <w:rPr>
                <w:sz w:val="24"/>
              </w:rPr>
              <w:t>±</w:t>
            </w:r>
            <w:r>
              <w:rPr>
                <w:spacing w:val="1"/>
                <w:sz w:val="24"/>
              </w:rPr>
              <w:t> </w:t>
            </w:r>
            <w:r>
              <w:rPr>
                <w:spacing w:val="-4"/>
                <w:sz w:val="24"/>
              </w:rPr>
              <w:t>0.00</w:t>
            </w:r>
          </w:p>
        </w:tc>
      </w:tr>
      <w:tr>
        <w:trPr>
          <w:trHeight w:val="535" w:hRule="atLeast"/>
        </w:trPr>
        <w:tc>
          <w:tcPr>
            <w:tcW w:w="3102" w:type="dxa"/>
          </w:tcPr>
          <w:p>
            <w:pPr>
              <w:pStyle w:val="TableParagraph"/>
              <w:spacing w:before="152"/>
              <w:ind w:left="117"/>
              <w:rPr>
                <w:sz w:val="24"/>
              </w:rPr>
            </w:pPr>
            <w:r>
              <w:rPr>
                <w:sz w:val="24"/>
              </w:rPr>
              <w:t>Refractive</w:t>
            </w:r>
            <w:r>
              <w:rPr>
                <w:spacing w:val="-3"/>
                <w:sz w:val="24"/>
              </w:rPr>
              <w:t> </w:t>
            </w:r>
            <w:r>
              <w:rPr>
                <w:spacing w:val="-4"/>
                <w:sz w:val="24"/>
              </w:rPr>
              <w:t>index</w:t>
            </w:r>
          </w:p>
        </w:tc>
        <w:tc>
          <w:tcPr>
            <w:tcW w:w="2267" w:type="dxa"/>
          </w:tcPr>
          <w:p>
            <w:pPr>
              <w:pStyle w:val="TableParagraph"/>
              <w:spacing w:before="94"/>
              <w:ind w:right="290"/>
              <w:jc w:val="right"/>
              <w:rPr>
                <w:sz w:val="24"/>
              </w:rPr>
            </w:pPr>
            <w:r>
              <w:rPr>
                <w:sz w:val="24"/>
              </w:rPr>
              <w:t>1.46</w:t>
            </w:r>
            <w:r>
              <w:rPr>
                <w:spacing w:val="3"/>
                <w:sz w:val="24"/>
              </w:rPr>
              <w:t> </w:t>
            </w:r>
            <w:r>
              <w:rPr>
                <w:sz w:val="24"/>
              </w:rPr>
              <w:t>±</w:t>
            </w:r>
            <w:r>
              <w:rPr>
                <w:spacing w:val="1"/>
                <w:sz w:val="24"/>
              </w:rPr>
              <w:t> </w:t>
            </w:r>
            <w:r>
              <w:rPr>
                <w:spacing w:val="-4"/>
                <w:sz w:val="24"/>
              </w:rPr>
              <w:t>0.00</w:t>
            </w:r>
          </w:p>
        </w:tc>
        <w:tc>
          <w:tcPr>
            <w:tcW w:w="1731" w:type="dxa"/>
          </w:tcPr>
          <w:p>
            <w:pPr>
              <w:pStyle w:val="TableParagraph"/>
              <w:spacing w:before="94"/>
              <w:ind w:right="104"/>
              <w:jc w:val="right"/>
              <w:rPr>
                <w:sz w:val="24"/>
              </w:rPr>
            </w:pPr>
            <w:r>
              <w:rPr>
                <w:sz w:val="24"/>
              </w:rPr>
              <w:t>1.47</w:t>
            </w:r>
            <w:r>
              <w:rPr>
                <w:spacing w:val="3"/>
                <w:sz w:val="24"/>
              </w:rPr>
              <w:t> </w:t>
            </w:r>
            <w:r>
              <w:rPr>
                <w:sz w:val="24"/>
              </w:rPr>
              <w:t>±</w:t>
            </w:r>
            <w:r>
              <w:rPr>
                <w:spacing w:val="1"/>
                <w:sz w:val="24"/>
              </w:rPr>
              <w:t> </w:t>
            </w:r>
            <w:r>
              <w:rPr>
                <w:spacing w:val="-4"/>
                <w:sz w:val="24"/>
              </w:rPr>
              <w:t>0.00</w:t>
            </w:r>
          </w:p>
        </w:tc>
      </w:tr>
      <w:tr>
        <w:trPr>
          <w:trHeight w:val="535" w:hRule="atLeast"/>
        </w:trPr>
        <w:tc>
          <w:tcPr>
            <w:tcW w:w="3102" w:type="dxa"/>
          </w:tcPr>
          <w:p>
            <w:pPr>
              <w:pStyle w:val="TableParagraph"/>
              <w:spacing w:before="154"/>
              <w:ind w:left="117"/>
              <w:rPr>
                <w:sz w:val="24"/>
              </w:rPr>
            </w:pPr>
            <w:r>
              <w:rPr>
                <w:sz w:val="24"/>
              </w:rPr>
              <w:t>Free</w:t>
            </w:r>
            <w:r>
              <w:rPr>
                <w:spacing w:val="3"/>
                <w:sz w:val="24"/>
              </w:rPr>
              <w:t> </w:t>
            </w:r>
            <w:r>
              <w:rPr>
                <w:sz w:val="24"/>
              </w:rPr>
              <w:t>fatty</w:t>
            </w:r>
            <w:r>
              <w:rPr>
                <w:spacing w:val="-9"/>
                <w:sz w:val="24"/>
              </w:rPr>
              <w:t> </w:t>
            </w:r>
            <w:r>
              <w:rPr>
                <w:sz w:val="24"/>
              </w:rPr>
              <w:t>acids </w:t>
            </w:r>
            <w:r>
              <w:rPr>
                <w:spacing w:val="-2"/>
                <w:sz w:val="24"/>
              </w:rPr>
              <w:t>(mg/g)</w:t>
            </w:r>
          </w:p>
        </w:tc>
        <w:tc>
          <w:tcPr>
            <w:tcW w:w="2267" w:type="dxa"/>
          </w:tcPr>
          <w:p>
            <w:pPr>
              <w:pStyle w:val="TableParagraph"/>
              <w:spacing w:before="97"/>
              <w:ind w:right="290"/>
              <w:jc w:val="right"/>
              <w:rPr>
                <w:sz w:val="24"/>
              </w:rPr>
            </w:pPr>
            <w:r>
              <w:rPr>
                <w:sz w:val="24"/>
              </w:rPr>
              <w:t>16.47</w:t>
            </w:r>
            <w:r>
              <w:rPr>
                <w:spacing w:val="3"/>
                <w:sz w:val="24"/>
              </w:rPr>
              <w:t> </w:t>
            </w:r>
            <w:r>
              <w:rPr>
                <w:sz w:val="24"/>
              </w:rPr>
              <w:t>±</w:t>
            </w:r>
            <w:r>
              <w:rPr>
                <w:spacing w:val="1"/>
                <w:sz w:val="24"/>
              </w:rPr>
              <w:t> </w:t>
            </w:r>
            <w:r>
              <w:rPr>
                <w:spacing w:val="-4"/>
                <w:sz w:val="24"/>
              </w:rPr>
              <w:t>2.67</w:t>
            </w:r>
          </w:p>
        </w:tc>
        <w:tc>
          <w:tcPr>
            <w:tcW w:w="1731" w:type="dxa"/>
          </w:tcPr>
          <w:p>
            <w:pPr>
              <w:pStyle w:val="TableParagraph"/>
              <w:spacing w:before="97"/>
              <w:ind w:right="105"/>
              <w:jc w:val="right"/>
              <w:rPr>
                <w:sz w:val="24"/>
              </w:rPr>
            </w:pPr>
            <w:r>
              <w:rPr>
                <w:sz w:val="24"/>
              </w:rPr>
              <w:t>15.07</w:t>
            </w:r>
            <w:r>
              <w:rPr>
                <w:spacing w:val="2"/>
                <w:sz w:val="24"/>
              </w:rPr>
              <w:t> </w:t>
            </w:r>
            <w:r>
              <w:rPr>
                <w:sz w:val="24"/>
              </w:rPr>
              <w:t>±</w:t>
            </w:r>
            <w:r>
              <w:rPr>
                <w:spacing w:val="1"/>
                <w:sz w:val="24"/>
              </w:rPr>
              <w:t> </w:t>
            </w:r>
            <w:r>
              <w:rPr>
                <w:spacing w:val="-4"/>
                <w:sz w:val="24"/>
              </w:rPr>
              <w:t>0.03</w:t>
            </w:r>
          </w:p>
        </w:tc>
      </w:tr>
      <w:tr>
        <w:trPr>
          <w:trHeight w:val="532" w:hRule="atLeast"/>
        </w:trPr>
        <w:tc>
          <w:tcPr>
            <w:tcW w:w="3102" w:type="dxa"/>
          </w:tcPr>
          <w:p>
            <w:pPr>
              <w:pStyle w:val="TableParagraph"/>
              <w:spacing w:before="152"/>
              <w:ind w:left="117"/>
              <w:rPr>
                <w:sz w:val="24"/>
              </w:rPr>
            </w:pPr>
            <w:r>
              <w:rPr>
                <w:sz w:val="24"/>
              </w:rPr>
              <w:t>Acid</w:t>
            </w:r>
            <w:r>
              <w:rPr>
                <w:spacing w:val="-2"/>
                <w:sz w:val="24"/>
              </w:rPr>
              <w:t> </w:t>
            </w:r>
            <w:r>
              <w:rPr>
                <w:sz w:val="24"/>
              </w:rPr>
              <w:t>value</w:t>
            </w:r>
            <w:r>
              <w:rPr>
                <w:spacing w:val="-6"/>
                <w:sz w:val="24"/>
              </w:rPr>
              <w:t> </w:t>
            </w:r>
            <w:r>
              <w:rPr>
                <w:spacing w:val="-2"/>
                <w:sz w:val="24"/>
              </w:rPr>
              <w:t>(mg/g)</w:t>
            </w:r>
          </w:p>
        </w:tc>
        <w:tc>
          <w:tcPr>
            <w:tcW w:w="2267" w:type="dxa"/>
          </w:tcPr>
          <w:p>
            <w:pPr>
              <w:pStyle w:val="TableParagraph"/>
              <w:spacing w:before="94"/>
              <w:ind w:right="289"/>
              <w:jc w:val="right"/>
              <w:rPr>
                <w:sz w:val="24"/>
              </w:rPr>
            </w:pPr>
            <w:r>
              <w:rPr>
                <w:sz w:val="24"/>
              </w:rPr>
              <w:t>32.80</w:t>
            </w:r>
            <w:r>
              <w:rPr>
                <w:spacing w:val="3"/>
                <w:sz w:val="24"/>
              </w:rPr>
              <w:t> </w:t>
            </w:r>
            <w:r>
              <w:rPr>
                <w:sz w:val="24"/>
              </w:rPr>
              <w:t>±</w:t>
            </w:r>
            <w:r>
              <w:rPr>
                <w:spacing w:val="1"/>
                <w:sz w:val="24"/>
              </w:rPr>
              <w:t> </w:t>
            </w:r>
            <w:r>
              <w:rPr>
                <w:spacing w:val="-4"/>
                <w:sz w:val="24"/>
              </w:rPr>
              <w:t>5.30</w:t>
            </w:r>
          </w:p>
        </w:tc>
        <w:tc>
          <w:tcPr>
            <w:tcW w:w="1731" w:type="dxa"/>
          </w:tcPr>
          <w:p>
            <w:pPr>
              <w:pStyle w:val="TableParagraph"/>
              <w:spacing w:before="94"/>
              <w:ind w:right="104"/>
              <w:jc w:val="right"/>
              <w:rPr>
                <w:sz w:val="24"/>
              </w:rPr>
            </w:pPr>
            <w:r>
              <w:rPr>
                <w:sz w:val="24"/>
              </w:rPr>
              <w:t>29.95</w:t>
            </w:r>
            <w:r>
              <w:rPr>
                <w:spacing w:val="2"/>
                <w:sz w:val="24"/>
              </w:rPr>
              <w:t> </w:t>
            </w:r>
            <w:r>
              <w:rPr>
                <w:sz w:val="24"/>
              </w:rPr>
              <w:t>±</w:t>
            </w:r>
            <w:r>
              <w:rPr>
                <w:spacing w:val="1"/>
                <w:sz w:val="24"/>
              </w:rPr>
              <w:t> </w:t>
            </w:r>
            <w:r>
              <w:rPr>
                <w:spacing w:val="-4"/>
                <w:sz w:val="24"/>
              </w:rPr>
              <w:t>0.05</w:t>
            </w:r>
          </w:p>
        </w:tc>
      </w:tr>
      <w:tr>
        <w:trPr>
          <w:trHeight w:val="532" w:hRule="atLeast"/>
        </w:trPr>
        <w:tc>
          <w:tcPr>
            <w:tcW w:w="3102" w:type="dxa"/>
          </w:tcPr>
          <w:p>
            <w:pPr>
              <w:pStyle w:val="TableParagraph"/>
              <w:spacing w:before="152"/>
              <w:ind w:left="117"/>
              <w:rPr>
                <w:sz w:val="24"/>
              </w:rPr>
            </w:pPr>
            <w:r>
              <w:rPr>
                <w:sz w:val="24"/>
              </w:rPr>
              <w:t>Peroxide</w:t>
            </w:r>
            <w:r>
              <w:rPr>
                <w:spacing w:val="-6"/>
                <w:sz w:val="24"/>
              </w:rPr>
              <w:t> </w:t>
            </w:r>
            <w:r>
              <w:rPr>
                <w:sz w:val="24"/>
              </w:rPr>
              <w:t>value</w:t>
            </w:r>
            <w:r>
              <w:rPr>
                <w:spacing w:val="-5"/>
                <w:sz w:val="24"/>
              </w:rPr>
              <w:t> </w:t>
            </w:r>
            <w:r>
              <w:rPr>
                <w:spacing w:val="-2"/>
                <w:sz w:val="24"/>
              </w:rPr>
              <w:t>(Meq/kg)</w:t>
            </w:r>
          </w:p>
        </w:tc>
        <w:tc>
          <w:tcPr>
            <w:tcW w:w="2267" w:type="dxa"/>
          </w:tcPr>
          <w:p>
            <w:pPr>
              <w:pStyle w:val="TableParagraph"/>
              <w:spacing w:before="94"/>
              <w:ind w:right="290"/>
              <w:jc w:val="right"/>
              <w:rPr>
                <w:sz w:val="24"/>
              </w:rPr>
            </w:pPr>
            <w:r>
              <w:rPr>
                <w:sz w:val="24"/>
              </w:rPr>
              <w:t>4.91</w:t>
            </w:r>
            <w:r>
              <w:rPr>
                <w:spacing w:val="3"/>
                <w:sz w:val="24"/>
              </w:rPr>
              <w:t> </w:t>
            </w:r>
            <w:r>
              <w:rPr>
                <w:sz w:val="24"/>
              </w:rPr>
              <w:t>±</w:t>
            </w:r>
            <w:r>
              <w:rPr>
                <w:spacing w:val="1"/>
                <w:sz w:val="24"/>
              </w:rPr>
              <w:t> </w:t>
            </w:r>
            <w:r>
              <w:rPr>
                <w:spacing w:val="-4"/>
                <w:sz w:val="24"/>
              </w:rPr>
              <w:t>0.01</w:t>
            </w:r>
          </w:p>
        </w:tc>
        <w:tc>
          <w:tcPr>
            <w:tcW w:w="1731" w:type="dxa"/>
          </w:tcPr>
          <w:p>
            <w:pPr>
              <w:pStyle w:val="TableParagraph"/>
              <w:spacing w:before="94"/>
              <w:ind w:right="104"/>
              <w:jc w:val="right"/>
              <w:rPr>
                <w:sz w:val="24"/>
              </w:rPr>
            </w:pPr>
            <w:r>
              <w:rPr>
                <w:sz w:val="24"/>
              </w:rPr>
              <w:t>4.75</w:t>
            </w:r>
            <w:r>
              <w:rPr>
                <w:spacing w:val="2"/>
                <w:sz w:val="24"/>
              </w:rPr>
              <w:t> </w:t>
            </w:r>
            <w:r>
              <w:rPr>
                <w:sz w:val="24"/>
              </w:rPr>
              <w:t>±</w:t>
            </w:r>
            <w:r>
              <w:rPr>
                <w:spacing w:val="1"/>
                <w:sz w:val="24"/>
              </w:rPr>
              <w:t> </w:t>
            </w:r>
            <w:r>
              <w:rPr>
                <w:spacing w:val="-4"/>
                <w:sz w:val="24"/>
              </w:rPr>
              <w:t>0.04</w:t>
            </w:r>
          </w:p>
        </w:tc>
      </w:tr>
      <w:tr>
        <w:trPr>
          <w:trHeight w:val="640" w:hRule="atLeast"/>
        </w:trPr>
        <w:tc>
          <w:tcPr>
            <w:tcW w:w="3102" w:type="dxa"/>
            <w:tcBorders>
              <w:bottom w:val="single" w:sz="4" w:space="0" w:color="000000"/>
            </w:tcBorders>
          </w:tcPr>
          <w:p>
            <w:pPr>
              <w:pStyle w:val="TableParagraph"/>
              <w:spacing w:before="152"/>
              <w:ind w:left="117"/>
              <w:rPr>
                <w:sz w:val="24"/>
              </w:rPr>
            </w:pPr>
            <w:r>
              <w:rPr>
                <w:sz w:val="24"/>
              </w:rPr>
              <w:t>Saponification</w:t>
            </w:r>
            <w:r>
              <w:rPr>
                <w:spacing w:val="-10"/>
                <w:sz w:val="24"/>
              </w:rPr>
              <w:t> </w:t>
            </w:r>
            <w:r>
              <w:rPr>
                <w:sz w:val="24"/>
              </w:rPr>
              <w:t>value</w:t>
            </w:r>
            <w:r>
              <w:rPr>
                <w:spacing w:val="-5"/>
                <w:sz w:val="24"/>
              </w:rPr>
              <w:t> </w:t>
            </w:r>
            <w:r>
              <w:rPr>
                <w:spacing w:val="-2"/>
                <w:sz w:val="24"/>
              </w:rPr>
              <w:t>(mg/g)</w:t>
            </w:r>
          </w:p>
        </w:tc>
        <w:tc>
          <w:tcPr>
            <w:tcW w:w="2267" w:type="dxa"/>
            <w:tcBorders>
              <w:bottom w:val="single" w:sz="4" w:space="0" w:color="000000"/>
            </w:tcBorders>
          </w:tcPr>
          <w:p>
            <w:pPr>
              <w:pStyle w:val="TableParagraph"/>
              <w:spacing w:before="94"/>
              <w:ind w:right="290"/>
              <w:jc w:val="right"/>
              <w:rPr>
                <w:sz w:val="24"/>
              </w:rPr>
            </w:pPr>
            <w:r>
              <w:rPr>
                <w:sz w:val="24"/>
              </w:rPr>
              <w:t>272.90</w:t>
            </w:r>
            <w:r>
              <w:rPr>
                <w:spacing w:val="3"/>
                <w:sz w:val="24"/>
              </w:rPr>
              <w:t> </w:t>
            </w:r>
            <w:r>
              <w:rPr>
                <w:sz w:val="24"/>
              </w:rPr>
              <w:t>±</w:t>
            </w:r>
            <w:r>
              <w:rPr>
                <w:spacing w:val="1"/>
                <w:sz w:val="24"/>
              </w:rPr>
              <w:t> </w:t>
            </w:r>
            <w:r>
              <w:rPr>
                <w:spacing w:val="-4"/>
                <w:sz w:val="24"/>
              </w:rPr>
              <w:t>2.00</w:t>
            </w:r>
          </w:p>
        </w:tc>
        <w:tc>
          <w:tcPr>
            <w:tcW w:w="1731" w:type="dxa"/>
            <w:tcBorders>
              <w:bottom w:val="single" w:sz="4" w:space="0" w:color="000000"/>
            </w:tcBorders>
          </w:tcPr>
          <w:p>
            <w:pPr>
              <w:pStyle w:val="TableParagraph"/>
              <w:spacing w:before="94"/>
              <w:ind w:right="104"/>
              <w:jc w:val="right"/>
              <w:rPr>
                <w:sz w:val="24"/>
              </w:rPr>
            </w:pPr>
            <w:r>
              <w:rPr>
                <w:sz w:val="24"/>
              </w:rPr>
              <w:t>280.40</w:t>
            </w:r>
            <w:r>
              <w:rPr>
                <w:spacing w:val="3"/>
                <w:sz w:val="24"/>
              </w:rPr>
              <w:t> </w:t>
            </w:r>
            <w:r>
              <w:rPr>
                <w:sz w:val="24"/>
              </w:rPr>
              <w:t>±</w:t>
            </w:r>
            <w:r>
              <w:rPr>
                <w:spacing w:val="1"/>
                <w:sz w:val="24"/>
              </w:rPr>
              <w:t> </w:t>
            </w:r>
            <w:r>
              <w:rPr>
                <w:spacing w:val="-4"/>
                <w:sz w:val="24"/>
              </w:rPr>
              <w:t>1.35</w:t>
            </w:r>
          </w:p>
        </w:tc>
      </w:tr>
    </w:tbl>
    <w:p>
      <w:pPr>
        <w:spacing w:before="116"/>
        <w:ind w:left="1748" w:right="0" w:firstLine="0"/>
        <w:jc w:val="left"/>
        <w:rPr>
          <w:sz w:val="22"/>
        </w:rPr>
      </w:pPr>
      <w:r>
        <w:rPr>
          <w:sz w:val="22"/>
        </w:rPr>
        <w:t>Data</w:t>
      </w:r>
      <w:r>
        <w:rPr>
          <w:spacing w:val="-6"/>
          <w:sz w:val="22"/>
        </w:rPr>
        <w:t> </w:t>
      </w:r>
      <w:r>
        <w:rPr>
          <w:sz w:val="22"/>
        </w:rPr>
        <w:t>are</w:t>
      </w:r>
      <w:r>
        <w:rPr>
          <w:spacing w:val="-6"/>
          <w:sz w:val="22"/>
        </w:rPr>
        <w:t> </w:t>
      </w:r>
      <w:r>
        <w:rPr>
          <w:sz w:val="22"/>
        </w:rPr>
        <w:t>expressed</w:t>
      </w:r>
      <w:r>
        <w:rPr>
          <w:spacing w:val="-2"/>
          <w:sz w:val="22"/>
        </w:rPr>
        <w:t> </w:t>
      </w:r>
      <w:r>
        <w:rPr>
          <w:sz w:val="22"/>
        </w:rPr>
        <w:t>as</w:t>
      </w:r>
      <w:r>
        <w:rPr>
          <w:spacing w:val="2"/>
          <w:sz w:val="22"/>
        </w:rPr>
        <w:t> </w:t>
      </w:r>
      <w:r>
        <w:rPr>
          <w:sz w:val="22"/>
        </w:rPr>
        <w:t>Mean</w:t>
      </w:r>
      <w:r>
        <w:rPr>
          <w:spacing w:val="-4"/>
          <w:sz w:val="22"/>
        </w:rPr>
        <w:t> </w:t>
      </w:r>
      <w:r>
        <w:rPr>
          <w:sz w:val="22"/>
        </w:rPr>
        <w:t>±</w:t>
      </w:r>
      <w:r>
        <w:rPr>
          <w:spacing w:val="1"/>
          <w:sz w:val="22"/>
        </w:rPr>
        <w:t> </w:t>
      </w:r>
      <w:r>
        <w:rPr>
          <w:spacing w:val="-2"/>
          <w:sz w:val="22"/>
        </w:rPr>
        <w:t>S.E.M.</w:t>
      </w:r>
    </w:p>
    <w:p>
      <w:pPr>
        <w:spacing w:after="0"/>
        <w:jc w:val="left"/>
        <w:rPr>
          <w:sz w:val="22"/>
        </w:rPr>
        <w:sectPr>
          <w:pgSz w:w="11910" w:h="16840"/>
          <w:pgMar w:header="0" w:footer="1012" w:top="1340" w:bottom="1200" w:left="960" w:right="620"/>
        </w:sectPr>
      </w:pPr>
    </w:p>
    <w:p>
      <w:pPr>
        <w:pStyle w:val="ListParagraph"/>
        <w:numPr>
          <w:ilvl w:val="1"/>
          <w:numId w:val="20"/>
        </w:numPr>
        <w:tabs>
          <w:tab w:pos="1747" w:val="left" w:leader="none"/>
        </w:tabs>
        <w:spacing w:line="240" w:lineRule="auto" w:before="64" w:after="0"/>
        <w:ind w:left="1747" w:right="0" w:hanging="719"/>
        <w:jc w:val="both"/>
        <w:rPr>
          <w:b/>
          <w:sz w:val="24"/>
        </w:rPr>
      </w:pPr>
      <w:r>
        <w:rPr>
          <w:b/>
          <w:sz w:val="24"/>
        </w:rPr>
        <w:t>Detoxification of</w:t>
      </w:r>
      <w:r>
        <w:rPr>
          <w:b/>
          <w:spacing w:val="-1"/>
          <w:sz w:val="24"/>
        </w:rPr>
        <w:t> </w:t>
      </w:r>
      <w:r>
        <w:rPr>
          <w:b/>
          <w:i/>
          <w:sz w:val="24"/>
        </w:rPr>
        <w:t>J.</w:t>
      </w:r>
      <w:r>
        <w:rPr>
          <w:b/>
          <w:i/>
          <w:spacing w:val="2"/>
          <w:sz w:val="24"/>
        </w:rPr>
        <w:t> </w:t>
      </w:r>
      <w:r>
        <w:rPr>
          <w:b/>
          <w:i/>
          <w:sz w:val="24"/>
        </w:rPr>
        <w:t>curcas</w:t>
      </w:r>
      <w:r>
        <w:rPr>
          <w:b/>
          <w:i/>
          <w:spacing w:val="-1"/>
          <w:sz w:val="24"/>
        </w:rPr>
        <w:t> </w:t>
      </w:r>
      <w:r>
        <w:rPr>
          <w:b/>
          <w:spacing w:val="-4"/>
          <w:sz w:val="24"/>
        </w:rPr>
        <w:t>Oils</w:t>
      </w:r>
    </w:p>
    <w:p>
      <w:pPr>
        <w:pStyle w:val="BodyText"/>
        <w:spacing w:line="480" w:lineRule="auto" w:before="271"/>
        <w:ind w:left="1028" w:right="799"/>
        <w:jc w:val="both"/>
      </w:pPr>
      <w:r>
        <w:rPr/>
        <w:t>Oil recoveries and losses following the detoxification processes employing synthetic</w:t>
      </w:r>
      <w:r>
        <w:rPr>
          <w:spacing w:val="40"/>
        </w:rPr>
        <w:t> </w:t>
      </w:r>
      <w:r>
        <w:rPr/>
        <w:t>and more natural materials for both solvent and mechanically extracted </w:t>
      </w:r>
      <w:r>
        <w:rPr>
          <w:i/>
        </w:rPr>
        <w:t>J. curcas </w:t>
      </w:r>
      <w:r>
        <w:rPr/>
        <w:t>oils, are shown in Table 4.3. Total losses ranged from 63.69% to 71.76%, and occurred mostly during the deacidification / neutralization stage while the least losses occurred during the degumming stage. The table also shows the amount of soaps produced per 100 ml of starting oil after the deacidification stage, which was 14.18-16.92 g/100 ml</w:t>
      </w:r>
      <w:r>
        <w:rPr>
          <w:spacing w:val="40"/>
        </w:rPr>
        <w:t> </w:t>
      </w:r>
      <w:r>
        <w:rPr/>
        <w:t>for synthetic detoxification and 35.71 g/100 ml for the more natural detoxification.</w:t>
      </w:r>
    </w:p>
    <w:p>
      <w:pPr>
        <w:pStyle w:val="BodyText"/>
      </w:pPr>
    </w:p>
    <w:p>
      <w:pPr>
        <w:pStyle w:val="BodyText"/>
        <w:spacing w:before="7"/>
      </w:pPr>
    </w:p>
    <w:p>
      <w:pPr>
        <w:pStyle w:val="Heading2"/>
        <w:spacing w:line="360" w:lineRule="auto"/>
        <w:ind w:left="2113" w:hanging="1086"/>
        <w:jc w:val="left"/>
      </w:pPr>
      <w:r>
        <w:rPr/>
        <w:t>Table</w:t>
      </w:r>
      <w:r>
        <w:rPr>
          <w:spacing w:val="-4"/>
        </w:rPr>
        <w:t> </w:t>
      </w:r>
      <w:r>
        <w:rPr/>
        <w:t>4.3: Oil</w:t>
      </w:r>
      <w:r>
        <w:rPr>
          <w:spacing w:val="-7"/>
        </w:rPr>
        <w:t> </w:t>
      </w:r>
      <w:r>
        <w:rPr/>
        <w:t>Recoveries,</w:t>
      </w:r>
      <w:r>
        <w:rPr>
          <w:spacing w:val="-1"/>
        </w:rPr>
        <w:t> </w:t>
      </w:r>
      <w:r>
        <w:rPr/>
        <w:t>Losses</w:t>
      </w:r>
      <w:r>
        <w:rPr>
          <w:spacing w:val="-5"/>
        </w:rPr>
        <w:t> </w:t>
      </w:r>
      <w:r>
        <w:rPr/>
        <w:t>and</w:t>
      </w:r>
      <w:r>
        <w:rPr>
          <w:spacing w:val="-2"/>
        </w:rPr>
        <w:t> </w:t>
      </w:r>
      <w:r>
        <w:rPr/>
        <w:t>Soaps</w:t>
      </w:r>
      <w:r>
        <w:rPr>
          <w:spacing w:val="-5"/>
        </w:rPr>
        <w:t> </w:t>
      </w:r>
      <w:r>
        <w:rPr/>
        <w:t>Formed</w:t>
      </w:r>
      <w:r>
        <w:rPr>
          <w:spacing w:val="-3"/>
        </w:rPr>
        <w:t> </w:t>
      </w:r>
      <w:r>
        <w:rPr/>
        <w:t>During</w:t>
      </w:r>
      <w:r>
        <w:rPr>
          <w:spacing w:val="-1"/>
        </w:rPr>
        <w:t> </w:t>
      </w:r>
      <w:r>
        <w:rPr/>
        <w:t>the</w:t>
      </w:r>
      <w:r>
        <w:rPr>
          <w:spacing w:val="-4"/>
        </w:rPr>
        <w:t> </w:t>
      </w:r>
      <w:r>
        <w:rPr/>
        <w:t>Various</w:t>
      </w:r>
      <w:r>
        <w:rPr>
          <w:spacing w:val="-5"/>
        </w:rPr>
        <w:t> </w:t>
      </w:r>
      <w:r>
        <w:rPr/>
        <w:t>Stages</w:t>
      </w:r>
      <w:r>
        <w:rPr>
          <w:spacing w:val="-3"/>
        </w:rPr>
        <w:t> </w:t>
      </w:r>
      <w:r>
        <w:rPr/>
        <w:t>of Detoxification of </w:t>
      </w:r>
      <w:r>
        <w:rPr>
          <w:i/>
        </w:rPr>
        <w:t>Jatropha curcas </w:t>
      </w:r>
      <w:r>
        <w:rPr/>
        <w:t>Oils</w:t>
      </w:r>
    </w:p>
    <w:p>
      <w:pPr>
        <w:pStyle w:val="BodyText"/>
        <w:spacing w:before="189"/>
        <w:rPr>
          <w:b/>
          <w:sz w:val="20"/>
        </w:rPr>
      </w:pPr>
    </w:p>
    <w:tbl>
      <w:tblPr>
        <w:tblW w:w="0" w:type="auto"/>
        <w:jc w:val="left"/>
        <w:tblInd w:w="1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6"/>
        <w:gridCol w:w="1718"/>
        <w:gridCol w:w="1777"/>
        <w:gridCol w:w="1847"/>
      </w:tblGrid>
      <w:tr>
        <w:trPr>
          <w:trHeight w:val="561" w:hRule="atLeast"/>
        </w:trPr>
        <w:tc>
          <w:tcPr>
            <w:tcW w:w="2896" w:type="dxa"/>
            <w:tcBorders>
              <w:top w:val="single" w:sz="4" w:space="0" w:color="000000"/>
              <w:bottom w:val="single" w:sz="4" w:space="0" w:color="000000"/>
            </w:tcBorders>
          </w:tcPr>
          <w:p>
            <w:pPr>
              <w:pStyle w:val="TableParagraph"/>
              <w:spacing w:line="273" w:lineRule="exact"/>
              <w:ind w:left="112"/>
              <w:rPr>
                <w:sz w:val="24"/>
              </w:rPr>
            </w:pPr>
            <w:r>
              <w:rPr>
                <w:sz w:val="24"/>
              </w:rPr>
              <w:t>Detoxification</w:t>
            </w:r>
            <w:r>
              <w:rPr>
                <w:spacing w:val="-7"/>
                <w:sz w:val="24"/>
              </w:rPr>
              <w:t> </w:t>
            </w:r>
            <w:r>
              <w:rPr>
                <w:sz w:val="24"/>
              </w:rPr>
              <w:t>stage</w:t>
            </w:r>
            <w:r>
              <w:rPr>
                <w:spacing w:val="-1"/>
                <w:sz w:val="24"/>
              </w:rPr>
              <w:t> </w:t>
            </w:r>
            <w:r>
              <w:rPr>
                <w:spacing w:val="-10"/>
                <w:sz w:val="24"/>
              </w:rPr>
              <w:t>↓</w:t>
            </w:r>
          </w:p>
        </w:tc>
        <w:tc>
          <w:tcPr>
            <w:tcW w:w="1718" w:type="dxa"/>
            <w:tcBorders>
              <w:top w:val="single" w:sz="4" w:space="0" w:color="000000"/>
              <w:bottom w:val="single" w:sz="4" w:space="0" w:color="000000"/>
            </w:tcBorders>
          </w:tcPr>
          <w:p>
            <w:pPr>
              <w:pStyle w:val="TableParagraph"/>
              <w:spacing w:line="273" w:lineRule="exact"/>
              <w:ind w:left="165"/>
              <w:rPr>
                <w:sz w:val="24"/>
              </w:rPr>
            </w:pPr>
            <w:r>
              <w:rPr>
                <w:spacing w:val="-2"/>
                <w:sz w:val="24"/>
              </w:rPr>
              <w:t>Solvent</w:t>
            </w:r>
          </w:p>
          <w:p>
            <w:pPr>
              <w:pStyle w:val="TableParagraph"/>
              <w:spacing w:line="266" w:lineRule="exact" w:before="2"/>
              <w:ind w:left="165"/>
              <w:rPr>
                <w:sz w:val="24"/>
              </w:rPr>
            </w:pPr>
            <w:r>
              <w:rPr>
                <w:sz w:val="24"/>
              </w:rPr>
              <w:t>extracted</w:t>
            </w:r>
            <w:r>
              <w:rPr>
                <w:spacing w:val="-1"/>
                <w:sz w:val="24"/>
              </w:rPr>
              <w:t> </w:t>
            </w:r>
            <w:r>
              <w:rPr>
                <w:spacing w:val="-5"/>
                <w:sz w:val="24"/>
              </w:rPr>
              <w:t>oil</w:t>
            </w:r>
          </w:p>
        </w:tc>
        <w:tc>
          <w:tcPr>
            <w:tcW w:w="3624" w:type="dxa"/>
            <w:gridSpan w:val="2"/>
            <w:tcBorders>
              <w:top w:val="single" w:sz="4" w:space="0" w:color="000000"/>
              <w:bottom w:val="single" w:sz="4" w:space="0" w:color="000000"/>
            </w:tcBorders>
          </w:tcPr>
          <w:p>
            <w:pPr>
              <w:pStyle w:val="TableParagraph"/>
              <w:spacing w:line="273" w:lineRule="exact"/>
              <w:ind w:left="175"/>
              <w:rPr>
                <w:sz w:val="24"/>
              </w:rPr>
            </w:pPr>
            <w:r>
              <w:rPr>
                <w:sz w:val="24"/>
              </w:rPr>
              <w:t>Mechanically</w:t>
            </w:r>
            <w:r>
              <w:rPr>
                <w:spacing w:val="-3"/>
                <w:sz w:val="24"/>
              </w:rPr>
              <w:t> </w:t>
            </w:r>
            <w:r>
              <w:rPr>
                <w:sz w:val="24"/>
              </w:rPr>
              <w:t>extracted</w:t>
            </w:r>
            <w:r>
              <w:rPr>
                <w:spacing w:val="-8"/>
                <w:sz w:val="24"/>
              </w:rPr>
              <w:t> </w:t>
            </w:r>
            <w:r>
              <w:rPr>
                <w:spacing w:val="-5"/>
                <w:sz w:val="24"/>
              </w:rPr>
              <w:t>oil</w:t>
            </w:r>
          </w:p>
        </w:tc>
      </w:tr>
      <w:tr>
        <w:trPr>
          <w:trHeight w:val="537" w:hRule="atLeast"/>
        </w:trPr>
        <w:tc>
          <w:tcPr>
            <w:tcW w:w="2896" w:type="dxa"/>
            <w:tcBorders>
              <w:top w:val="single" w:sz="4" w:space="0" w:color="000000"/>
              <w:bottom w:val="single" w:sz="4" w:space="0" w:color="000000"/>
            </w:tcBorders>
          </w:tcPr>
          <w:p>
            <w:pPr>
              <w:pStyle w:val="TableParagraph"/>
              <w:spacing w:before="49"/>
              <w:ind w:left="112"/>
              <w:rPr>
                <w:sz w:val="24"/>
              </w:rPr>
            </w:pPr>
            <w:r>
              <w:rPr>
                <w:sz w:val="24"/>
              </w:rPr>
              <w:t>Detoxification</w:t>
            </w:r>
            <w:r>
              <w:rPr>
                <w:spacing w:val="-8"/>
                <w:sz w:val="24"/>
              </w:rPr>
              <w:t> </w:t>
            </w:r>
            <w:r>
              <w:rPr>
                <w:sz w:val="24"/>
              </w:rPr>
              <w:t>materials</w:t>
            </w:r>
            <w:r>
              <w:rPr>
                <w:spacing w:val="-9"/>
                <w:sz w:val="24"/>
              </w:rPr>
              <w:t> </w:t>
            </w:r>
            <w:r>
              <w:rPr>
                <w:spacing w:val="-10"/>
                <w:sz w:val="24"/>
              </w:rPr>
              <w:t>→</w:t>
            </w:r>
          </w:p>
        </w:tc>
        <w:tc>
          <w:tcPr>
            <w:tcW w:w="1718" w:type="dxa"/>
            <w:tcBorders>
              <w:top w:val="single" w:sz="4" w:space="0" w:color="000000"/>
              <w:bottom w:val="single" w:sz="4" w:space="0" w:color="000000"/>
            </w:tcBorders>
          </w:tcPr>
          <w:p>
            <w:pPr>
              <w:pStyle w:val="TableParagraph"/>
              <w:spacing w:before="49"/>
              <w:ind w:left="165"/>
              <w:rPr>
                <w:sz w:val="24"/>
              </w:rPr>
            </w:pPr>
            <w:r>
              <w:rPr>
                <w:spacing w:val="-2"/>
                <w:sz w:val="24"/>
              </w:rPr>
              <w:t>Synthetic</w:t>
            </w:r>
          </w:p>
        </w:tc>
        <w:tc>
          <w:tcPr>
            <w:tcW w:w="1777" w:type="dxa"/>
            <w:tcBorders>
              <w:top w:val="single" w:sz="4" w:space="0" w:color="000000"/>
              <w:bottom w:val="single" w:sz="4" w:space="0" w:color="000000"/>
            </w:tcBorders>
          </w:tcPr>
          <w:p>
            <w:pPr>
              <w:pStyle w:val="TableParagraph"/>
              <w:spacing w:before="49"/>
              <w:ind w:left="175"/>
              <w:rPr>
                <w:sz w:val="24"/>
              </w:rPr>
            </w:pPr>
            <w:r>
              <w:rPr>
                <w:spacing w:val="-2"/>
                <w:sz w:val="24"/>
              </w:rPr>
              <w:t>Synthetic</w:t>
            </w:r>
          </w:p>
        </w:tc>
        <w:tc>
          <w:tcPr>
            <w:tcW w:w="1847" w:type="dxa"/>
            <w:tcBorders>
              <w:top w:val="single" w:sz="4" w:space="0" w:color="000000"/>
              <w:bottom w:val="single" w:sz="4" w:space="0" w:color="000000"/>
            </w:tcBorders>
          </w:tcPr>
          <w:p>
            <w:pPr>
              <w:pStyle w:val="TableParagraph"/>
              <w:spacing w:before="49"/>
              <w:ind w:left="223"/>
              <w:rPr>
                <w:sz w:val="24"/>
              </w:rPr>
            </w:pPr>
            <w:r>
              <w:rPr>
                <w:sz w:val="24"/>
              </w:rPr>
              <w:t>More</w:t>
            </w:r>
            <w:r>
              <w:rPr>
                <w:spacing w:val="4"/>
                <w:sz w:val="24"/>
              </w:rPr>
              <w:t> </w:t>
            </w:r>
            <w:r>
              <w:rPr>
                <w:spacing w:val="-2"/>
                <w:sz w:val="24"/>
              </w:rPr>
              <w:t>Natural</w:t>
            </w:r>
          </w:p>
        </w:tc>
      </w:tr>
      <w:tr>
        <w:trPr>
          <w:trHeight w:val="429" w:hRule="atLeast"/>
        </w:trPr>
        <w:tc>
          <w:tcPr>
            <w:tcW w:w="2896" w:type="dxa"/>
            <w:tcBorders>
              <w:top w:val="single" w:sz="4" w:space="0" w:color="000000"/>
            </w:tcBorders>
          </w:tcPr>
          <w:p>
            <w:pPr>
              <w:pStyle w:val="TableParagraph"/>
              <w:spacing w:before="49"/>
              <w:ind w:left="112"/>
              <w:rPr>
                <w:sz w:val="24"/>
              </w:rPr>
            </w:pPr>
            <w:r>
              <w:rPr>
                <w:spacing w:val="-2"/>
                <w:sz w:val="24"/>
              </w:rPr>
              <w:t>Degumming</w:t>
            </w:r>
          </w:p>
        </w:tc>
        <w:tc>
          <w:tcPr>
            <w:tcW w:w="1718" w:type="dxa"/>
            <w:tcBorders>
              <w:top w:val="single" w:sz="4" w:space="0" w:color="000000"/>
            </w:tcBorders>
          </w:tcPr>
          <w:p>
            <w:pPr>
              <w:pStyle w:val="TableParagraph"/>
              <w:spacing w:before="53"/>
              <w:ind w:left="165"/>
              <w:rPr>
                <w:sz w:val="22"/>
              </w:rPr>
            </w:pPr>
            <w:r>
              <w:rPr>
                <w:sz w:val="22"/>
              </w:rPr>
              <w:t>425,</w:t>
            </w:r>
            <w:r>
              <w:rPr>
                <w:spacing w:val="1"/>
                <w:sz w:val="22"/>
              </w:rPr>
              <w:t> </w:t>
            </w:r>
            <w:r>
              <w:rPr>
                <w:sz w:val="22"/>
              </w:rPr>
              <w:t>370,</w:t>
            </w:r>
            <w:r>
              <w:rPr>
                <w:spacing w:val="-3"/>
                <w:sz w:val="22"/>
              </w:rPr>
              <w:t> </w:t>
            </w:r>
            <w:r>
              <w:rPr>
                <w:spacing w:val="-2"/>
                <w:sz w:val="22"/>
              </w:rPr>
              <w:t>12.94</w:t>
            </w:r>
          </w:p>
        </w:tc>
        <w:tc>
          <w:tcPr>
            <w:tcW w:w="1777" w:type="dxa"/>
            <w:tcBorders>
              <w:top w:val="single" w:sz="4" w:space="0" w:color="000000"/>
            </w:tcBorders>
          </w:tcPr>
          <w:p>
            <w:pPr>
              <w:pStyle w:val="TableParagraph"/>
              <w:spacing w:before="53"/>
              <w:ind w:left="175"/>
              <w:rPr>
                <w:sz w:val="22"/>
              </w:rPr>
            </w:pPr>
            <w:r>
              <w:rPr>
                <w:sz w:val="22"/>
              </w:rPr>
              <w:t>325,</w:t>
            </w:r>
            <w:r>
              <w:rPr>
                <w:spacing w:val="1"/>
                <w:sz w:val="22"/>
              </w:rPr>
              <w:t> </w:t>
            </w:r>
            <w:r>
              <w:rPr>
                <w:sz w:val="22"/>
              </w:rPr>
              <w:t>285,</w:t>
            </w:r>
            <w:r>
              <w:rPr>
                <w:spacing w:val="-3"/>
                <w:sz w:val="22"/>
              </w:rPr>
              <w:t> </w:t>
            </w:r>
            <w:r>
              <w:rPr>
                <w:spacing w:val="-2"/>
                <w:sz w:val="22"/>
              </w:rPr>
              <w:t>12.31</w:t>
            </w:r>
          </w:p>
        </w:tc>
        <w:tc>
          <w:tcPr>
            <w:tcW w:w="1847" w:type="dxa"/>
            <w:tcBorders>
              <w:top w:val="single" w:sz="4" w:space="0" w:color="000000"/>
            </w:tcBorders>
          </w:tcPr>
          <w:p>
            <w:pPr>
              <w:pStyle w:val="TableParagraph"/>
              <w:spacing w:before="53"/>
              <w:ind w:left="223"/>
              <w:rPr>
                <w:sz w:val="22"/>
              </w:rPr>
            </w:pPr>
            <w:r>
              <w:rPr>
                <w:sz w:val="22"/>
              </w:rPr>
              <w:t>28,</w:t>
            </w:r>
            <w:r>
              <w:rPr>
                <w:spacing w:val="1"/>
                <w:sz w:val="22"/>
              </w:rPr>
              <w:t> </w:t>
            </w:r>
            <w:r>
              <w:rPr>
                <w:sz w:val="22"/>
              </w:rPr>
              <w:t>26,</w:t>
            </w:r>
            <w:r>
              <w:rPr>
                <w:spacing w:val="-3"/>
                <w:sz w:val="22"/>
              </w:rPr>
              <w:t> </w:t>
            </w:r>
            <w:r>
              <w:rPr>
                <w:spacing w:val="-4"/>
                <w:sz w:val="22"/>
              </w:rPr>
              <w:t>7.14</w:t>
            </w:r>
          </w:p>
        </w:tc>
      </w:tr>
      <w:tr>
        <w:trPr>
          <w:trHeight w:val="532" w:hRule="atLeast"/>
        </w:trPr>
        <w:tc>
          <w:tcPr>
            <w:tcW w:w="2896" w:type="dxa"/>
          </w:tcPr>
          <w:p>
            <w:pPr>
              <w:pStyle w:val="TableParagraph"/>
              <w:spacing w:before="153"/>
              <w:ind w:left="112"/>
              <w:rPr>
                <w:sz w:val="24"/>
              </w:rPr>
            </w:pPr>
            <w:r>
              <w:rPr>
                <w:spacing w:val="-2"/>
                <w:sz w:val="24"/>
              </w:rPr>
              <w:t>Deacidification</w:t>
            </w:r>
          </w:p>
        </w:tc>
        <w:tc>
          <w:tcPr>
            <w:tcW w:w="1718" w:type="dxa"/>
          </w:tcPr>
          <w:p>
            <w:pPr>
              <w:pStyle w:val="TableParagraph"/>
              <w:spacing w:before="95"/>
              <w:ind w:left="165"/>
              <w:rPr>
                <w:sz w:val="22"/>
              </w:rPr>
            </w:pPr>
            <w:r>
              <w:rPr>
                <w:sz w:val="22"/>
              </w:rPr>
              <w:t>360,</w:t>
            </w:r>
            <w:r>
              <w:rPr>
                <w:spacing w:val="1"/>
                <w:sz w:val="22"/>
              </w:rPr>
              <w:t> </w:t>
            </w:r>
            <w:r>
              <w:rPr>
                <w:sz w:val="22"/>
              </w:rPr>
              <w:t>300,</w:t>
            </w:r>
            <w:r>
              <w:rPr>
                <w:spacing w:val="-3"/>
                <w:sz w:val="22"/>
              </w:rPr>
              <w:t> </w:t>
            </w:r>
            <w:r>
              <w:rPr>
                <w:spacing w:val="-2"/>
                <w:sz w:val="22"/>
              </w:rPr>
              <w:t>16.67</w:t>
            </w:r>
          </w:p>
        </w:tc>
        <w:tc>
          <w:tcPr>
            <w:tcW w:w="1777" w:type="dxa"/>
          </w:tcPr>
          <w:p>
            <w:pPr>
              <w:pStyle w:val="TableParagraph"/>
              <w:spacing w:before="95"/>
              <w:ind w:left="175"/>
              <w:rPr>
                <w:sz w:val="22"/>
              </w:rPr>
            </w:pPr>
            <w:r>
              <w:rPr>
                <w:sz w:val="22"/>
              </w:rPr>
              <w:t>275,</w:t>
            </w:r>
            <w:r>
              <w:rPr>
                <w:spacing w:val="1"/>
                <w:sz w:val="22"/>
              </w:rPr>
              <w:t> </w:t>
            </w:r>
            <w:r>
              <w:rPr>
                <w:sz w:val="22"/>
              </w:rPr>
              <w:t>220,</w:t>
            </w:r>
            <w:r>
              <w:rPr>
                <w:spacing w:val="-3"/>
                <w:sz w:val="22"/>
              </w:rPr>
              <w:t> </w:t>
            </w:r>
            <w:r>
              <w:rPr>
                <w:spacing w:val="-2"/>
                <w:sz w:val="22"/>
              </w:rPr>
              <w:t>20.00</w:t>
            </w:r>
          </w:p>
        </w:tc>
        <w:tc>
          <w:tcPr>
            <w:tcW w:w="1847" w:type="dxa"/>
          </w:tcPr>
          <w:p>
            <w:pPr>
              <w:pStyle w:val="TableParagraph"/>
              <w:spacing w:before="95"/>
              <w:ind w:left="223"/>
              <w:rPr>
                <w:sz w:val="22"/>
              </w:rPr>
            </w:pPr>
            <w:r>
              <w:rPr>
                <w:sz w:val="22"/>
              </w:rPr>
              <w:t>26,</w:t>
            </w:r>
            <w:r>
              <w:rPr>
                <w:spacing w:val="1"/>
                <w:sz w:val="22"/>
              </w:rPr>
              <w:t> </w:t>
            </w:r>
            <w:r>
              <w:rPr>
                <w:sz w:val="22"/>
              </w:rPr>
              <w:t>16,</w:t>
            </w:r>
            <w:r>
              <w:rPr>
                <w:spacing w:val="-3"/>
                <w:sz w:val="22"/>
              </w:rPr>
              <w:t> </w:t>
            </w:r>
            <w:r>
              <w:rPr>
                <w:spacing w:val="-2"/>
                <w:sz w:val="22"/>
              </w:rPr>
              <w:t>38.46</w:t>
            </w:r>
          </w:p>
        </w:tc>
      </w:tr>
      <w:tr>
        <w:trPr>
          <w:trHeight w:val="532" w:hRule="atLeast"/>
        </w:trPr>
        <w:tc>
          <w:tcPr>
            <w:tcW w:w="2896" w:type="dxa"/>
          </w:tcPr>
          <w:p>
            <w:pPr>
              <w:pStyle w:val="TableParagraph"/>
              <w:spacing w:before="153"/>
              <w:ind w:left="112"/>
              <w:rPr>
                <w:sz w:val="24"/>
              </w:rPr>
            </w:pPr>
            <w:r>
              <w:rPr>
                <w:spacing w:val="-2"/>
                <w:sz w:val="24"/>
              </w:rPr>
              <w:t>Decolourisation</w:t>
            </w:r>
          </w:p>
        </w:tc>
        <w:tc>
          <w:tcPr>
            <w:tcW w:w="1718" w:type="dxa"/>
          </w:tcPr>
          <w:p>
            <w:pPr>
              <w:pStyle w:val="TableParagraph"/>
              <w:spacing w:before="95"/>
              <w:ind w:left="165"/>
              <w:rPr>
                <w:sz w:val="22"/>
              </w:rPr>
            </w:pPr>
            <w:r>
              <w:rPr>
                <w:sz w:val="22"/>
              </w:rPr>
              <w:t>225,</w:t>
            </w:r>
            <w:r>
              <w:rPr>
                <w:spacing w:val="1"/>
                <w:sz w:val="22"/>
              </w:rPr>
              <w:t> </w:t>
            </w:r>
            <w:r>
              <w:rPr>
                <w:sz w:val="22"/>
              </w:rPr>
              <w:t>190,</w:t>
            </w:r>
            <w:r>
              <w:rPr>
                <w:spacing w:val="-3"/>
                <w:sz w:val="22"/>
              </w:rPr>
              <w:t> </w:t>
            </w:r>
            <w:r>
              <w:rPr>
                <w:spacing w:val="-2"/>
                <w:sz w:val="22"/>
              </w:rPr>
              <w:t>15.56</w:t>
            </w:r>
          </w:p>
        </w:tc>
        <w:tc>
          <w:tcPr>
            <w:tcW w:w="1777" w:type="dxa"/>
          </w:tcPr>
          <w:p>
            <w:pPr>
              <w:pStyle w:val="TableParagraph"/>
              <w:spacing w:before="95"/>
              <w:ind w:left="175"/>
              <w:rPr>
                <w:sz w:val="22"/>
              </w:rPr>
            </w:pPr>
            <w:r>
              <w:rPr>
                <w:sz w:val="22"/>
              </w:rPr>
              <w:t>210,</w:t>
            </w:r>
            <w:r>
              <w:rPr>
                <w:spacing w:val="1"/>
                <w:sz w:val="22"/>
              </w:rPr>
              <w:t> </w:t>
            </w:r>
            <w:r>
              <w:rPr>
                <w:sz w:val="22"/>
              </w:rPr>
              <w:t>188,</w:t>
            </w:r>
            <w:r>
              <w:rPr>
                <w:spacing w:val="-3"/>
                <w:sz w:val="22"/>
              </w:rPr>
              <w:t> </w:t>
            </w:r>
            <w:r>
              <w:rPr>
                <w:spacing w:val="-2"/>
                <w:sz w:val="22"/>
              </w:rPr>
              <w:t>10.48</w:t>
            </w:r>
          </w:p>
        </w:tc>
        <w:tc>
          <w:tcPr>
            <w:tcW w:w="1847" w:type="dxa"/>
          </w:tcPr>
          <w:p>
            <w:pPr>
              <w:pStyle w:val="TableParagraph"/>
              <w:spacing w:before="95"/>
              <w:ind w:left="223"/>
              <w:rPr>
                <w:sz w:val="22"/>
              </w:rPr>
            </w:pPr>
            <w:r>
              <w:rPr>
                <w:sz w:val="22"/>
              </w:rPr>
              <w:t>16,</w:t>
            </w:r>
            <w:r>
              <w:rPr>
                <w:spacing w:val="1"/>
                <w:sz w:val="22"/>
              </w:rPr>
              <w:t> </w:t>
            </w:r>
            <w:r>
              <w:rPr>
                <w:sz w:val="22"/>
              </w:rPr>
              <w:t>14,</w:t>
            </w:r>
            <w:r>
              <w:rPr>
                <w:spacing w:val="-3"/>
                <w:sz w:val="22"/>
              </w:rPr>
              <w:t> </w:t>
            </w:r>
            <w:r>
              <w:rPr>
                <w:spacing w:val="-2"/>
                <w:sz w:val="22"/>
              </w:rPr>
              <w:t>12.50</w:t>
            </w:r>
          </w:p>
        </w:tc>
      </w:tr>
      <w:tr>
        <w:trPr>
          <w:trHeight w:val="535" w:hRule="atLeast"/>
        </w:trPr>
        <w:tc>
          <w:tcPr>
            <w:tcW w:w="2896" w:type="dxa"/>
          </w:tcPr>
          <w:p>
            <w:pPr>
              <w:pStyle w:val="TableParagraph"/>
              <w:spacing w:before="153"/>
              <w:ind w:left="112"/>
              <w:rPr>
                <w:sz w:val="24"/>
              </w:rPr>
            </w:pPr>
            <w:r>
              <w:rPr>
                <w:spacing w:val="-2"/>
                <w:sz w:val="24"/>
              </w:rPr>
              <w:t>Deodorization</w:t>
            </w:r>
          </w:p>
        </w:tc>
        <w:tc>
          <w:tcPr>
            <w:tcW w:w="1718" w:type="dxa"/>
          </w:tcPr>
          <w:p>
            <w:pPr>
              <w:pStyle w:val="TableParagraph"/>
              <w:spacing w:before="95"/>
              <w:ind w:left="165"/>
              <w:rPr>
                <w:sz w:val="22"/>
              </w:rPr>
            </w:pPr>
            <w:r>
              <w:rPr>
                <w:sz w:val="22"/>
              </w:rPr>
              <w:t>140,</w:t>
            </w:r>
            <w:r>
              <w:rPr>
                <w:spacing w:val="1"/>
                <w:sz w:val="22"/>
              </w:rPr>
              <w:t> </w:t>
            </w:r>
            <w:r>
              <w:rPr>
                <w:sz w:val="22"/>
              </w:rPr>
              <w:t>120,</w:t>
            </w:r>
            <w:r>
              <w:rPr>
                <w:spacing w:val="-3"/>
                <w:sz w:val="22"/>
              </w:rPr>
              <w:t> </w:t>
            </w:r>
            <w:r>
              <w:rPr>
                <w:spacing w:val="-2"/>
                <w:sz w:val="22"/>
              </w:rPr>
              <w:t>14.29</w:t>
            </w:r>
          </w:p>
        </w:tc>
        <w:tc>
          <w:tcPr>
            <w:tcW w:w="1777" w:type="dxa"/>
          </w:tcPr>
          <w:p>
            <w:pPr>
              <w:pStyle w:val="TableParagraph"/>
              <w:spacing w:before="95"/>
              <w:ind w:left="175"/>
              <w:rPr>
                <w:sz w:val="22"/>
              </w:rPr>
            </w:pPr>
            <w:r>
              <w:rPr>
                <w:sz w:val="22"/>
              </w:rPr>
              <w:t>138,</w:t>
            </w:r>
            <w:r>
              <w:rPr>
                <w:spacing w:val="1"/>
                <w:sz w:val="22"/>
              </w:rPr>
              <w:t> </w:t>
            </w:r>
            <w:r>
              <w:rPr>
                <w:sz w:val="22"/>
              </w:rPr>
              <w:t>118,</w:t>
            </w:r>
            <w:r>
              <w:rPr>
                <w:spacing w:val="-3"/>
                <w:sz w:val="22"/>
              </w:rPr>
              <w:t> </w:t>
            </w:r>
            <w:r>
              <w:rPr>
                <w:spacing w:val="-2"/>
                <w:sz w:val="22"/>
              </w:rPr>
              <w:t>14.49</w:t>
            </w:r>
          </w:p>
        </w:tc>
        <w:tc>
          <w:tcPr>
            <w:tcW w:w="1847" w:type="dxa"/>
          </w:tcPr>
          <w:p>
            <w:pPr>
              <w:pStyle w:val="TableParagraph"/>
              <w:spacing w:before="95"/>
              <w:ind w:left="223"/>
              <w:rPr>
                <w:sz w:val="22"/>
              </w:rPr>
            </w:pPr>
            <w:r>
              <w:rPr>
                <w:sz w:val="22"/>
              </w:rPr>
              <w:t>14,</w:t>
            </w:r>
            <w:r>
              <w:rPr>
                <w:spacing w:val="1"/>
                <w:sz w:val="22"/>
              </w:rPr>
              <w:t> </w:t>
            </w:r>
            <w:r>
              <w:rPr>
                <w:sz w:val="22"/>
              </w:rPr>
              <w:t>10,</w:t>
            </w:r>
            <w:r>
              <w:rPr>
                <w:spacing w:val="-3"/>
                <w:sz w:val="22"/>
              </w:rPr>
              <w:t> </w:t>
            </w:r>
            <w:r>
              <w:rPr>
                <w:spacing w:val="-2"/>
                <w:sz w:val="22"/>
              </w:rPr>
              <w:t>28.57</w:t>
            </w:r>
          </w:p>
        </w:tc>
      </w:tr>
      <w:tr>
        <w:trPr>
          <w:trHeight w:val="535" w:hRule="atLeast"/>
        </w:trPr>
        <w:tc>
          <w:tcPr>
            <w:tcW w:w="2896" w:type="dxa"/>
          </w:tcPr>
          <w:p>
            <w:pPr>
              <w:pStyle w:val="TableParagraph"/>
              <w:spacing w:before="156"/>
              <w:ind w:left="112"/>
              <w:rPr>
                <w:sz w:val="24"/>
              </w:rPr>
            </w:pPr>
            <w:r>
              <w:rPr>
                <w:sz w:val="24"/>
              </w:rPr>
              <w:t>Total</w:t>
            </w:r>
            <w:r>
              <w:rPr>
                <w:spacing w:val="-7"/>
                <w:sz w:val="24"/>
              </w:rPr>
              <w:t> </w:t>
            </w:r>
            <w:r>
              <w:rPr>
                <w:sz w:val="24"/>
              </w:rPr>
              <w:t>oil</w:t>
            </w:r>
            <w:r>
              <w:rPr>
                <w:spacing w:val="-3"/>
                <w:sz w:val="24"/>
              </w:rPr>
              <w:t> </w:t>
            </w:r>
            <w:r>
              <w:rPr>
                <w:sz w:val="24"/>
              </w:rPr>
              <w:t>loss </w:t>
            </w:r>
            <w:r>
              <w:rPr>
                <w:spacing w:val="-5"/>
                <w:sz w:val="24"/>
              </w:rPr>
              <w:t>(%)</w:t>
            </w:r>
          </w:p>
        </w:tc>
        <w:tc>
          <w:tcPr>
            <w:tcW w:w="1718" w:type="dxa"/>
          </w:tcPr>
          <w:p>
            <w:pPr>
              <w:pStyle w:val="TableParagraph"/>
              <w:spacing w:before="97"/>
              <w:ind w:left="165"/>
              <w:rPr>
                <w:b/>
                <w:sz w:val="22"/>
              </w:rPr>
            </w:pPr>
            <w:r>
              <w:rPr>
                <w:sz w:val="22"/>
              </w:rPr>
              <w:t>425,</w:t>
            </w:r>
            <w:r>
              <w:rPr>
                <w:spacing w:val="1"/>
                <w:sz w:val="22"/>
              </w:rPr>
              <w:t> </w:t>
            </w:r>
            <w:r>
              <w:rPr>
                <w:sz w:val="22"/>
              </w:rPr>
              <w:t>120,</w:t>
            </w:r>
            <w:r>
              <w:rPr>
                <w:spacing w:val="-1"/>
                <w:sz w:val="22"/>
              </w:rPr>
              <w:t> </w:t>
            </w:r>
            <w:r>
              <w:rPr>
                <w:b/>
                <w:spacing w:val="-2"/>
                <w:sz w:val="22"/>
              </w:rPr>
              <w:t>71.76</w:t>
            </w:r>
          </w:p>
        </w:tc>
        <w:tc>
          <w:tcPr>
            <w:tcW w:w="1777" w:type="dxa"/>
          </w:tcPr>
          <w:p>
            <w:pPr>
              <w:pStyle w:val="TableParagraph"/>
              <w:spacing w:before="97"/>
              <w:ind w:left="175"/>
              <w:rPr>
                <w:b/>
                <w:sz w:val="22"/>
              </w:rPr>
            </w:pPr>
            <w:r>
              <w:rPr>
                <w:sz w:val="22"/>
              </w:rPr>
              <w:t>325,</w:t>
            </w:r>
            <w:r>
              <w:rPr>
                <w:spacing w:val="1"/>
                <w:sz w:val="22"/>
              </w:rPr>
              <w:t> </w:t>
            </w:r>
            <w:r>
              <w:rPr>
                <w:sz w:val="22"/>
              </w:rPr>
              <w:t>118,</w:t>
            </w:r>
            <w:r>
              <w:rPr>
                <w:spacing w:val="-1"/>
                <w:sz w:val="22"/>
              </w:rPr>
              <w:t> </w:t>
            </w:r>
            <w:r>
              <w:rPr>
                <w:b/>
                <w:spacing w:val="-2"/>
                <w:sz w:val="22"/>
              </w:rPr>
              <w:t>63.69</w:t>
            </w:r>
          </w:p>
        </w:tc>
        <w:tc>
          <w:tcPr>
            <w:tcW w:w="1847" w:type="dxa"/>
          </w:tcPr>
          <w:p>
            <w:pPr>
              <w:pStyle w:val="TableParagraph"/>
              <w:spacing w:before="97"/>
              <w:ind w:left="223"/>
              <w:rPr>
                <w:b/>
                <w:sz w:val="22"/>
              </w:rPr>
            </w:pPr>
            <w:r>
              <w:rPr>
                <w:sz w:val="22"/>
              </w:rPr>
              <w:t>28,</w:t>
            </w:r>
            <w:r>
              <w:rPr>
                <w:spacing w:val="1"/>
                <w:sz w:val="22"/>
              </w:rPr>
              <w:t> </w:t>
            </w:r>
            <w:r>
              <w:rPr>
                <w:sz w:val="22"/>
              </w:rPr>
              <w:t>10,</w:t>
            </w:r>
            <w:r>
              <w:rPr>
                <w:spacing w:val="-1"/>
                <w:sz w:val="22"/>
              </w:rPr>
              <w:t> </w:t>
            </w:r>
            <w:r>
              <w:rPr>
                <w:b/>
                <w:spacing w:val="-2"/>
                <w:sz w:val="22"/>
              </w:rPr>
              <w:t>64.28</w:t>
            </w:r>
          </w:p>
        </w:tc>
      </w:tr>
      <w:tr>
        <w:trPr>
          <w:trHeight w:val="914" w:hRule="atLeast"/>
        </w:trPr>
        <w:tc>
          <w:tcPr>
            <w:tcW w:w="2896" w:type="dxa"/>
            <w:tcBorders>
              <w:bottom w:val="single" w:sz="4" w:space="0" w:color="000000"/>
            </w:tcBorders>
          </w:tcPr>
          <w:p>
            <w:pPr>
              <w:pStyle w:val="TableParagraph"/>
              <w:spacing w:line="288" w:lineRule="auto" w:before="95"/>
              <w:ind w:left="112"/>
              <w:rPr>
                <w:sz w:val="24"/>
              </w:rPr>
            </w:pPr>
            <w:r>
              <w:rPr>
                <w:sz w:val="24"/>
              </w:rPr>
              <w:t>Soaps</w:t>
            </w:r>
            <w:r>
              <w:rPr>
                <w:spacing w:val="-10"/>
                <w:sz w:val="24"/>
              </w:rPr>
              <w:t> </w:t>
            </w:r>
            <w:r>
              <w:rPr>
                <w:sz w:val="24"/>
              </w:rPr>
              <w:t>formed:</w:t>
            </w:r>
            <w:r>
              <w:rPr>
                <w:spacing w:val="-8"/>
                <w:sz w:val="24"/>
              </w:rPr>
              <w:t> </w:t>
            </w:r>
            <w:r>
              <w:rPr>
                <w:sz w:val="24"/>
              </w:rPr>
              <w:t>total</w:t>
            </w:r>
            <w:r>
              <w:rPr>
                <w:spacing w:val="-15"/>
                <w:sz w:val="24"/>
              </w:rPr>
              <w:t> </w:t>
            </w:r>
            <w:r>
              <w:rPr>
                <w:sz w:val="24"/>
              </w:rPr>
              <w:t>(g), (g/100 ml oil)</w:t>
            </w:r>
          </w:p>
        </w:tc>
        <w:tc>
          <w:tcPr>
            <w:tcW w:w="1718" w:type="dxa"/>
            <w:tcBorders>
              <w:bottom w:val="single" w:sz="4" w:space="0" w:color="000000"/>
            </w:tcBorders>
          </w:tcPr>
          <w:p>
            <w:pPr>
              <w:pStyle w:val="TableParagraph"/>
              <w:spacing w:before="95"/>
              <w:ind w:left="165"/>
              <w:rPr>
                <w:sz w:val="22"/>
              </w:rPr>
            </w:pPr>
            <w:r>
              <w:rPr>
                <w:spacing w:val="-5"/>
                <w:sz w:val="22"/>
              </w:rPr>
              <w:t>60,</w:t>
            </w:r>
          </w:p>
          <w:p>
            <w:pPr>
              <w:pStyle w:val="TableParagraph"/>
              <w:spacing w:before="1"/>
              <w:ind w:left="165"/>
              <w:rPr>
                <w:sz w:val="22"/>
              </w:rPr>
            </w:pPr>
            <w:r>
              <w:rPr>
                <w:sz w:val="22"/>
              </w:rPr>
              <w:t>14.18 g/100</w:t>
            </w:r>
            <w:r>
              <w:rPr>
                <w:spacing w:val="-3"/>
                <w:sz w:val="22"/>
              </w:rPr>
              <w:t> </w:t>
            </w:r>
            <w:r>
              <w:rPr>
                <w:spacing w:val="-5"/>
                <w:sz w:val="22"/>
              </w:rPr>
              <w:t>ml</w:t>
            </w:r>
          </w:p>
        </w:tc>
        <w:tc>
          <w:tcPr>
            <w:tcW w:w="1777" w:type="dxa"/>
            <w:tcBorders>
              <w:bottom w:val="single" w:sz="4" w:space="0" w:color="000000"/>
            </w:tcBorders>
          </w:tcPr>
          <w:p>
            <w:pPr>
              <w:pStyle w:val="TableParagraph"/>
              <w:spacing w:before="95"/>
              <w:ind w:left="175"/>
              <w:rPr>
                <w:sz w:val="22"/>
              </w:rPr>
            </w:pPr>
            <w:r>
              <w:rPr>
                <w:spacing w:val="-5"/>
                <w:sz w:val="22"/>
              </w:rPr>
              <w:t>55,</w:t>
            </w:r>
          </w:p>
          <w:p>
            <w:pPr>
              <w:pStyle w:val="TableParagraph"/>
              <w:spacing w:before="1"/>
              <w:ind w:left="175"/>
              <w:rPr>
                <w:sz w:val="22"/>
              </w:rPr>
            </w:pPr>
            <w:r>
              <w:rPr>
                <w:sz w:val="22"/>
              </w:rPr>
              <w:t>16.92 g/100</w:t>
            </w:r>
            <w:r>
              <w:rPr>
                <w:spacing w:val="-2"/>
                <w:sz w:val="22"/>
              </w:rPr>
              <w:t> </w:t>
            </w:r>
            <w:r>
              <w:rPr>
                <w:spacing w:val="-5"/>
                <w:sz w:val="22"/>
              </w:rPr>
              <w:t>ml</w:t>
            </w:r>
          </w:p>
        </w:tc>
        <w:tc>
          <w:tcPr>
            <w:tcW w:w="1847" w:type="dxa"/>
            <w:tcBorders>
              <w:bottom w:val="single" w:sz="4" w:space="0" w:color="000000"/>
            </w:tcBorders>
          </w:tcPr>
          <w:p>
            <w:pPr>
              <w:pStyle w:val="TableParagraph"/>
              <w:spacing w:before="95"/>
              <w:ind w:left="223"/>
              <w:rPr>
                <w:sz w:val="22"/>
              </w:rPr>
            </w:pPr>
            <w:r>
              <w:rPr>
                <w:spacing w:val="-5"/>
                <w:sz w:val="22"/>
              </w:rPr>
              <w:t>10,</w:t>
            </w:r>
          </w:p>
          <w:p>
            <w:pPr>
              <w:pStyle w:val="TableParagraph"/>
              <w:spacing w:before="1"/>
              <w:ind w:left="223"/>
              <w:rPr>
                <w:sz w:val="22"/>
              </w:rPr>
            </w:pPr>
            <w:r>
              <w:rPr>
                <w:sz w:val="22"/>
              </w:rPr>
              <w:t>35.71 g/100</w:t>
            </w:r>
            <w:r>
              <w:rPr>
                <w:spacing w:val="-3"/>
                <w:sz w:val="22"/>
              </w:rPr>
              <w:t> </w:t>
            </w:r>
            <w:r>
              <w:rPr>
                <w:spacing w:val="-5"/>
                <w:sz w:val="22"/>
              </w:rPr>
              <w:t>ml</w:t>
            </w:r>
          </w:p>
        </w:tc>
      </w:tr>
    </w:tbl>
    <w:p>
      <w:pPr>
        <w:spacing w:line="360" w:lineRule="auto" w:before="120"/>
        <w:ind w:left="1196" w:right="1853" w:firstLine="9"/>
        <w:jc w:val="left"/>
        <w:rPr>
          <w:sz w:val="22"/>
        </w:rPr>
      </w:pPr>
      <w:r>
        <w:rPr>
          <w:sz w:val="22"/>
        </w:rPr>
        <w:t>For</w:t>
      </w:r>
      <w:r>
        <w:rPr>
          <w:spacing w:val="-4"/>
          <w:sz w:val="22"/>
        </w:rPr>
        <w:t> </w:t>
      </w:r>
      <w:r>
        <w:rPr>
          <w:sz w:val="22"/>
        </w:rPr>
        <w:t>the</w:t>
      </w:r>
      <w:r>
        <w:rPr>
          <w:spacing w:val="-9"/>
          <w:sz w:val="22"/>
        </w:rPr>
        <w:t> </w:t>
      </w:r>
      <w:r>
        <w:rPr>
          <w:sz w:val="22"/>
        </w:rPr>
        <w:t>detoxification</w:t>
      </w:r>
      <w:r>
        <w:rPr>
          <w:spacing w:val="-7"/>
          <w:sz w:val="22"/>
        </w:rPr>
        <w:t> </w:t>
      </w:r>
      <w:r>
        <w:rPr>
          <w:sz w:val="22"/>
        </w:rPr>
        <w:t>stages, data</w:t>
      </w:r>
      <w:r>
        <w:rPr>
          <w:spacing w:val="-4"/>
          <w:sz w:val="22"/>
        </w:rPr>
        <w:t> </w:t>
      </w:r>
      <w:r>
        <w:rPr>
          <w:sz w:val="22"/>
        </w:rPr>
        <w:t>are:</w:t>
      </w:r>
      <w:r>
        <w:rPr>
          <w:spacing w:val="-5"/>
          <w:sz w:val="22"/>
        </w:rPr>
        <w:t> </w:t>
      </w:r>
      <w:r>
        <w:rPr>
          <w:sz w:val="22"/>
        </w:rPr>
        <w:t>starting</w:t>
      </w:r>
      <w:r>
        <w:rPr>
          <w:spacing w:val="-2"/>
          <w:sz w:val="22"/>
        </w:rPr>
        <w:t> </w:t>
      </w:r>
      <w:r>
        <w:rPr>
          <w:sz w:val="22"/>
        </w:rPr>
        <w:t>oil</w:t>
      </w:r>
      <w:r>
        <w:rPr>
          <w:spacing w:val="-6"/>
          <w:sz w:val="22"/>
        </w:rPr>
        <w:t> </w:t>
      </w:r>
      <w:r>
        <w:rPr>
          <w:sz w:val="22"/>
        </w:rPr>
        <w:t>volumes</w:t>
      </w:r>
      <w:r>
        <w:rPr>
          <w:spacing w:val="-2"/>
          <w:sz w:val="22"/>
        </w:rPr>
        <w:t> </w:t>
      </w:r>
      <w:r>
        <w:rPr>
          <w:sz w:val="22"/>
        </w:rPr>
        <w:t>(ml), ending</w:t>
      </w:r>
      <w:r>
        <w:rPr>
          <w:spacing w:val="-7"/>
          <w:sz w:val="22"/>
        </w:rPr>
        <w:t> </w:t>
      </w:r>
      <w:r>
        <w:rPr>
          <w:sz w:val="22"/>
        </w:rPr>
        <w:t>oil volumes (ml), losses (%)</w:t>
      </w:r>
    </w:p>
    <w:p>
      <w:pPr>
        <w:spacing w:after="0" w:line="360" w:lineRule="auto"/>
        <w:jc w:val="left"/>
        <w:rPr>
          <w:sz w:val="22"/>
        </w:rPr>
        <w:sectPr>
          <w:pgSz w:w="11910" w:h="16840"/>
          <w:pgMar w:header="0" w:footer="1012" w:top="1340" w:bottom="1200" w:left="960" w:right="620"/>
        </w:sectPr>
      </w:pPr>
    </w:p>
    <w:p>
      <w:pPr>
        <w:pStyle w:val="Heading2"/>
        <w:numPr>
          <w:ilvl w:val="1"/>
          <w:numId w:val="20"/>
        </w:numPr>
        <w:tabs>
          <w:tab w:pos="1748" w:val="left" w:leader="none"/>
        </w:tabs>
        <w:spacing w:line="240" w:lineRule="auto" w:before="64" w:after="0"/>
        <w:ind w:left="1748" w:right="0" w:hanging="720"/>
        <w:jc w:val="left"/>
      </w:pPr>
      <w:bookmarkStart w:name="_TOC_250005" w:id="51"/>
      <w:r>
        <w:rPr/>
        <w:t>Qualitative</w:t>
      </w:r>
      <w:r>
        <w:rPr>
          <w:spacing w:val="-3"/>
        </w:rPr>
        <w:t> </w:t>
      </w:r>
      <w:r>
        <w:rPr/>
        <w:t>Phytochemical</w:t>
      </w:r>
      <w:r>
        <w:rPr>
          <w:spacing w:val="-7"/>
        </w:rPr>
        <w:t> </w:t>
      </w:r>
      <w:bookmarkEnd w:id="51"/>
      <w:r>
        <w:rPr>
          <w:spacing w:val="-2"/>
        </w:rPr>
        <w:t>Analysis</w:t>
      </w:r>
    </w:p>
    <w:p>
      <w:pPr>
        <w:pStyle w:val="BodyText"/>
        <w:spacing w:before="273"/>
        <w:rPr>
          <w:b/>
        </w:rPr>
      </w:pPr>
    </w:p>
    <w:p>
      <w:pPr>
        <w:pStyle w:val="BodyText"/>
        <w:spacing w:line="480" w:lineRule="auto" w:before="1"/>
        <w:ind w:left="1028" w:right="803"/>
        <w:jc w:val="both"/>
      </w:pPr>
      <w:r>
        <w:rPr/>
        <w:t>Preliminary phytochemical analyses revealed the presence of only alkaloids while cardiac glycosides, flavonoids, phenols, saponins and tannins were absent in both the undetoxified and detoxified, solvent and mechanically extracted </w:t>
      </w:r>
      <w:r>
        <w:rPr>
          <w:i/>
        </w:rPr>
        <w:t>J</w:t>
      </w:r>
      <w:r>
        <w:rPr/>
        <w:t>. </w:t>
      </w:r>
      <w:r>
        <w:rPr>
          <w:i/>
        </w:rPr>
        <w:t>curcas </w:t>
      </w:r>
      <w:r>
        <w:rPr/>
        <w:t>oil (Table </w:t>
      </w:r>
      <w:r>
        <w:rPr>
          <w:spacing w:val="-2"/>
        </w:rPr>
        <w:t>4.4).</w:t>
      </w:r>
    </w:p>
    <w:p>
      <w:pPr>
        <w:pStyle w:val="BodyText"/>
      </w:pPr>
    </w:p>
    <w:p>
      <w:pPr>
        <w:pStyle w:val="BodyText"/>
      </w:pPr>
    </w:p>
    <w:p>
      <w:pPr>
        <w:pStyle w:val="BodyText"/>
        <w:spacing w:before="3"/>
      </w:pPr>
    </w:p>
    <w:p>
      <w:pPr>
        <w:pStyle w:val="Heading2"/>
        <w:spacing w:line="360" w:lineRule="auto"/>
        <w:ind w:left="2108" w:hanging="1081"/>
        <w:jc w:val="left"/>
      </w:pPr>
      <w:r>
        <w:rPr/>
        <w:t>Table</w:t>
      </w:r>
      <w:r>
        <w:rPr>
          <w:spacing w:val="-5"/>
        </w:rPr>
        <w:t> </w:t>
      </w:r>
      <w:r>
        <w:rPr/>
        <w:t>4.4:</w:t>
      </w:r>
      <w:r>
        <w:rPr>
          <w:spacing w:val="-3"/>
        </w:rPr>
        <w:t> </w:t>
      </w:r>
      <w:r>
        <w:rPr/>
        <w:t>Phytochemical</w:t>
      </w:r>
      <w:r>
        <w:rPr>
          <w:spacing w:val="-7"/>
        </w:rPr>
        <w:t> </w:t>
      </w:r>
      <w:r>
        <w:rPr/>
        <w:t>Constituents</w:t>
      </w:r>
      <w:r>
        <w:rPr>
          <w:spacing w:val="-5"/>
        </w:rPr>
        <w:t> </w:t>
      </w:r>
      <w:r>
        <w:rPr/>
        <w:t>of</w:t>
      </w:r>
      <w:r>
        <w:rPr>
          <w:spacing w:val="-7"/>
        </w:rPr>
        <w:t> </w:t>
      </w:r>
      <w:r>
        <w:rPr/>
        <w:t>Undetoxified</w:t>
      </w:r>
      <w:r>
        <w:rPr>
          <w:spacing w:val="-3"/>
        </w:rPr>
        <w:t> </w:t>
      </w:r>
      <w:r>
        <w:rPr/>
        <w:t>and</w:t>
      </w:r>
      <w:r>
        <w:rPr>
          <w:spacing w:val="-2"/>
        </w:rPr>
        <w:t> </w:t>
      </w:r>
      <w:r>
        <w:rPr/>
        <w:t>Detoxified</w:t>
      </w:r>
      <w:r>
        <w:rPr>
          <w:spacing w:val="-4"/>
        </w:rPr>
        <w:t> </w:t>
      </w:r>
      <w:r>
        <w:rPr/>
        <w:t>Solvent</w:t>
      </w:r>
      <w:r>
        <w:rPr>
          <w:spacing w:val="-1"/>
        </w:rPr>
        <w:t> </w:t>
      </w:r>
      <w:r>
        <w:rPr/>
        <w:t>and Mechanically Extracted </w:t>
      </w:r>
      <w:r>
        <w:rPr>
          <w:i/>
        </w:rPr>
        <w:t>Jatropha curcas </w:t>
      </w:r>
      <w:r>
        <w:rPr/>
        <w:t>Oils</w:t>
      </w:r>
    </w:p>
    <w:p>
      <w:pPr>
        <w:pStyle w:val="BodyText"/>
        <w:spacing w:before="189"/>
        <w:rPr>
          <w:b/>
          <w:sz w:val="20"/>
        </w:rPr>
      </w:pPr>
    </w:p>
    <w:tbl>
      <w:tblPr>
        <w:tblW w:w="0" w:type="auto"/>
        <w:jc w:val="left"/>
        <w:tblInd w:w="1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5"/>
        <w:gridCol w:w="1505"/>
        <w:gridCol w:w="1399"/>
        <w:gridCol w:w="161"/>
        <w:gridCol w:w="1614"/>
        <w:gridCol w:w="1538"/>
      </w:tblGrid>
      <w:tr>
        <w:trPr>
          <w:trHeight w:val="446" w:hRule="atLeast"/>
        </w:trPr>
        <w:tc>
          <w:tcPr>
            <w:tcW w:w="2255" w:type="dxa"/>
            <w:tcBorders>
              <w:top w:val="single" w:sz="4" w:space="0" w:color="000000"/>
            </w:tcBorders>
          </w:tcPr>
          <w:p>
            <w:pPr>
              <w:pStyle w:val="TableParagraph"/>
              <w:spacing w:before="49"/>
              <w:ind w:left="112"/>
              <w:rPr>
                <w:sz w:val="24"/>
              </w:rPr>
            </w:pPr>
            <w:r>
              <w:rPr>
                <w:sz w:val="24"/>
              </w:rPr>
              <w:t>Phytoconstituents</w:t>
            </w:r>
            <w:r>
              <w:rPr>
                <w:spacing w:val="-5"/>
                <w:sz w:val="24"/>
              </w:rPr>
              <w:t> </w:t>
            </w:r>
            <w:r>
              <w:rPr>
                <w:spacing w:val="-10"/>
                <w:sz w:val="24"/>
              </w:rPr>
              <w:t>↓</w:t>
            </w:r>
          </w:p>
        </w:tc>
        <w:tc>
          <w:tcPr>
            <w:tcW w:w="3065" w:type="dxa"/>
            <w:gridSpan w:val="3"/>
            <w:tcBorders>
              <w:top w:val="single" w:sz="4" w:space="0" w:color="000000"/>
            </w:tcBorders>
          </w:tcPr>
          <w:p>
            <w:pPr>
              <w:pStyle w:val="TableParagraph"/>
              <w:spacing w:before="49"/>
              <w:ind w:left="474"/>
              <w:rPr>
                <w:sz w:val="24"/>
              </w:rPr>
            </w:pPr>
            <w:r>
              <w:rPr>
                <w:sz w:val="24"/>
              </w:rPr>
              <w:t>Solvent</w:t>
            </w:r>
            <w:r>
              <w:rPr>
                <w:spacing w:val="-2"/>
                <w:sz w:val="24"/>
              </w:rPr>
              <w:t> </w:t>
            </w:r>
            <w:r>
              <w:rPr>
                <w:sz w:val="24"/>
              </w:rPr>
              <w:t>extracted</w:t>
            </w:r>
            <w:r>
              <w:rPr>
                <w:spacing w:val="-9"/>
                <w:sz w:val="24"/>
              </w:rPr>
              <w:t> </w:t>
            </w:r>
            <w:r>
              <w:rPr>
                <w:spacing w:val="-5"/>
                <w:sz w:val="24"/>
              </w:rPr>
              <w:t>oil</w:t>
            </w:r>
          </w:p>
        </w:tc>
        <w:tc>
          <w:tcPr>
            <w:tcW w:w="3152" w:type="dxa"/>
            <w:gridSpan w:val="2"/>
            <w:tcBorders>
              <w:top w:val="single" w:sz="4" w:space="0" w:color="000000"/>
              <w:bottom w:val="single" w:sz="4" w:space="0" w:color="000000"/>
            </w:tcBorders>
          </w:tcPr>
          <w:p>
            <w:pPr>
              <w:pStyle w:val="TableParagraph"/>
              <w:spacing w:before="49"/>
              <w:ind w:left="291"/>
              <w:rPr>
                <w:sz w:val="24"/>
              </w:rPr>
            </w:pPr>
            <w:r>
              <w:rPr>
                <w:sz w:val="24"/>
              </w:rPr>
              <w:t>Mechanically</w:t>
            </w:r>
            <w:r>
              <w:rPr>
                <w:spacing w:val="-6"/>
                <w:sz w:val="24"/>
              </w:rPr>
              <w:t> </w:t>
            </w:r>
            <w:r>
              <w:rPr>
                <w:sz w:val="24"/>
              </w:rPr>
              <w:t>extracted</w:t>
            </w:r>
            <w:r>
              <w:rPr>
                <w:spacing w:val="-9"/>
                <w:sz w:val="24"/>
              </w:rPr>
              <w:t> </w:t>
            </w:r>
            <w:r>
              <w:rPr>
                <w:spacing w:val="-5"/>
                <w:sz w:val="24"/>
              </w:rPr>
              <w:t>oil</w:t>
            </w:r>
          </w:p>
        </w:tc>
      </w:tr>
      <w:tr>
        <w:trPr>
          <w:trHeight w:val="672" w:hRule="atLeast"/>
        </w:trPr>
        <w:tc>
          <w:tcPr>
            <w:tcW w:w="2255" w:type="dxa"/>
            <w:tcBorders>
              <w:bottom w:val="single" w:sz="4" w:space="0" w:color="000000"/>
            </w:tcBorders>
          </w:tcPr>
          <w:p>
            <w:pPr>
              <w:pStyle w:val="TableParagraph"/>
              <w:rPr>
                <w:sz w:val="22"/>
              </w:rPr>
            </w:pPr>
          </w:p>
        </w:tc>
        <w:tc>
          <w:tcPr>
            <w:tcW w:w="1505" w:type="dxa"/>
            <w:tcBorders>
              <w:top w:val="single" w:sz="4" w:space="0" w:color="000000"/>
              <w:bottom w:val="single" w:sz="4" w:space="0" w:color="000000"/>
            </w:tcBorders>
          </w:tcPr>
          <w:p>
            <w:pPr>
              <w:pStyle w:val="TableParagraph"/>
              <w:spacing w:before="49"/>
              <w:ind w:left="109"/>
              <w:rPr>
                <w:sz w:val="24"/>
              </w:rPr>
            </w:pPr>
            <w:r>
              <w:rPr>
                <w:spacing w:val="-2"/>
                <w:sz w:val="24"/>
              </w:rPr>
              <w:t>Undetoxified</w:t>
            </w:r>
          </w:p>
        </w:tc>
        <w:tc>
          <w:tcPr>
            <w:tcW w:w="1399" w:type="dxa"/>
            <w:tcBorders>
              <w:top w:val="single" w:sz="4" w:space="0" w:color="000000"/>
              <w:bottom w:val="single" w:sz="4" w:space="0" w:color="000000"/>
            </w:tcBorders>
          </w:tcPr>
          <w:p>
            <w:pPr>
              <w:pStyle w:val="TableParagraph"/>
              <w:spacing w:before="49"/>
              <w:ind w:left="131"/>
              <w:rPr>
                <w:sz w:val="24"/>
              </w:rPr>
            </w:pPr>
            <w:r>
              <w:rPr>
                <w:spacing w:val="-2"/>
                <w:sz w:val="24"/>
              </w:rPr>
              <w:t>Synthetically detoxified</w:t>
            </w:r>
          </w:p>
        </w:tc>
        <w:tc>
          <w:tcPr>
            <w:tcW w:w="161" w:type="dxa"/>
            <w:tcBorders>
              <w:bottom w:val="single" w:sz="4" w:space="0" w:color="000000"/>
            </w:tcBorders>
          </w:tcPr>
          <w:p>
            <w:pPr>
              <w:pStyle w:val="TableParagraph"/>
              <w:rPr>
                <w:sz w:val="22"/>
              </w:rPr>
            </w:pPr>
          </w:p>
        </w:tc>
        <w:tc>
          <w:tcPr>
            <w:tcW w:w="1614" w:type="dxa"/>
            <w:tcBorders>
              <w:top w:val="single" w:sz="4" w:space="0" w:color="000000"/>
              <w:bottom w:val="single" w:sz="4" w:space="0" w:color="000000"/>
            </w:tcBorders>
          </w:tcPr>
          <w:p>
            <w:pPr>
              <w:pStyle w:val="TableParagraph"/>
              <w:spacing w:before="49"/>
              <w:ind w:left="228"/>
              <w:rPr>
                <w:sz w:val="24"/>
              </w:rPr>
            </w:pPr>
            <w:r>
              <w:rPr>
                <w:spacing w:val="-2"/>
                <w:sz w:val="24"/>
              </w:rPr>
              <w:t>Undetoxified</w:t>
            </w:r>
          </w:p>
        </w:tc>
        <w:tc>
          <w:tcPr>
            <w:tcW w:w="1538" w:type="dxa"/>
            <w:tcBorders>
              <w:top w:val="single" w:sz="4" w:space="0" w:color="000000"/>
              <w:bottom w:val="single" w:sz="4" w:space="0" w:color="000000"/>
            </w:tcBorders>
          </w:tcPr>
          <w:p>
            <w:pPr>
              <w:pStyle w:val="TableParagraph"/>
              <w:spacing w:before="49"/>
              <w:ind w:left="122"/>
              <w:rPr>
                <w:sz w:val="24"/>
              </w:rPr>
            </w:pPr>
            <w:r>
              <w:rPr>
                <w:spacing w:val="-2"/>
                <w:sz w:val="24"/>
              </w:rPr>
              <w:t>Synthetically detoxified</w:t>
            </w:r>
          </w:p>
        </w:tc>
      </w:tr>
      <w:tr>
        <w:trPr>
          <w:trHeight w:val="458" w:hRule="atLeast"/>
        </w:trPr>
        <w:tc>
          <w:tcPr>
            <w:tcW w:w="2255" w:type="dxa"/>
            <w:tcBorders>
              <w:top w:val="single" w:sz="4" w:space="0" w:color="000000"/>
            </w:tcBorders>
          </w:tcPr>
          <w:p>
            <w:pPr>
              <w:pStyle w:val="TableParagraph"/>
              <w:spacing w:before="49"/>
              <w:ind w:left="175"/>
              <w:rPr>
                <w:sz w:val="24"/>
              </w:rPr>
            </w:pPr>
            <w:r>
              <w:rPr>
                <w:spacing w:val="-2"/>
                <w:sz w:val="24"/>
              </w:rPr>
              <w:t>Alkaloids</w:t>
            </w:r>
          </w:p>
        </w:tc>
        <w:tc>
          <w:tcPr>
            <w:tcW w:w="1505" w:type="dxa"/>
            <w:tcBorders>
              <w:top w:val="single" w:sz="4" w:space="0" w:color="000000"/>
            </w:tcBorders>
          </w:tcPr>
          <w:p>
            <w:pPr>
              <w:pStyle w:val="TableParagraph"/>
              <w:spacing w:before="53"/>
              <w:ind w:left="109"/>
              <w:rPr>
                <w:sz w:val="22"/>
              </w:rPr>
            </w:pPr>
            <w:r>
              <w:rPr>
                <w:spacing w:val="-10"/>
                <w:sz w:val="22"/>
              </w:rPr>
              <w:t>+</w:t>
            </w:r>
          </w:p>
        </w:tc>
        <w:tc>
          <w:tcPr>
            <w:tcW w:w="1399" w:type="dxa"/>
            <w:tcBorders>
              <w:top w:val="single" w:sz="4" w:space="0" w:color="000000"/>
            </w:tcBorders>
          </w:tcPr>
          <w:p>
            <w:pPr>
              <w:pStyle w:val="TableParagraph"/>
              <w:spacing w:before="49"/>
              <w:ind w:left="131"/>
              <w:rPr>
                <w:sz w:val="24"/>
              </w:rPr>
            </w:pPr>
            <w:r>
              <w:rPr>
                <w:spacing w:val="-10"/>
                <w:sz w:val="24"/>
              </w:rPr>
              <w:t>+</w:t>
            </w:r>
          </w:p>
        </w:tc>
        <w:tc>
          <w:tcPr>
            <w:tcW w:w="161" w:type="dxa"/>
            <w:tcBorders>
              <w:top w:val="single" w:sz="4" w:space="0" w:color="000000"/>
            </w:tcBorders>
          </w:tcPr>
          <w:p>
            <w:pPr>
              <w:pStyle w:val="TableParagraph"/>
              <w:rPr>
                <w:sz w:val="22"/>
              </w:rPr>
            </w:pPr>
          </w:p>
        </w:tc>
        <w:tc>
          <w:tcPr>
            <w:tcW w:w="1614" w:type="dxa"/>
            <w:tcBorders>
              <w:top w:val="single" w:sz="4" w:space="0" w:color="000000"/>
            </w:tcBorders>
          </w:tcPr>
          <w:p>
            <w:pPr>
              <w:pStyle w:val="TableParagraph"/>
              <w:spacing w:before="53"/>
              <w:ind w:left="103"/>
              <w:rPr>
                <w:sz w:val="22"/>
              </w:rPr>
            </w:pPr>
            <w:r>
              <w:rPr>
                <w:spacing w:val="-10"/>
                <w:sz w:val="22"/>
              </w:rPr>
              <w:t>+</w:t>
            </w:r>
          </w:p>
        </w:tc>
        <w:tc>
          <w:tcPr>
            <w:tcW w:w="1538" w:type="dxa"/>
            <w:tcBorders>
              <w:top w:val="single" w:sz="4" w:space="0" w:color="000000"/>
            </w:tcBorders>
          </w:tcPr>
          <w:p>
            <w:pPr>
              <w:pStyle w:val="TableParagraph"/>
              <w:spacing w:before="49"/>
              <w:ind w:left="122"/>
              <w:rPr>
                <w:sz w:val="24"/>
              </w:rPr>
            </w:pPr>
            <w:r>
              <w:rPr>
                <w:spacing w:val="-10"/>
                <w:sz w:val="24"/>
              </w:rPr>
              <w:t>+</w:t>
            </w:r>
          </w:p>
        </w:tc>
      </w:tr>
      <w:tr>
        <w:trPr>
          <w:trHeight w:val="532" w:hRule="atLeast"/>
        </w:trPr>
        <w:tc>
          <w:tcPr>
            <w:tcW w:w="2255" w:type="dxa"/>
          </w:tcPr>
          <w:p>
            <w:pPr>
              <w:pStyle w:val="TableParagraph"/>
              <w:spacing w:before="123"/>
              <w:ind w:left="112"/>
              <w:rPr>
                <w:sz w:val="24"/>
              </w:rPr>
            </w:pPr>
            <w:r>
              <w:rPr>
                <w:sz w:val="24"/>
              </w:rPr>
              <w:t>Cardiac</w:t>
            </w:r>
            <w:r>
              <w:rPr>
                <w:spacing w:val="-7"/>
                <w:sz w:val="24"/>
              </w:rPr>
              <w:t> </w:t>
            </w:r>
            <w:r>
              <w:rPr>
                <w:spacing w:val="-2"/>
                <w:sz w:val="24"/>
              </w:rPr>
              <w:t>glycosides</w:t>
            </w:r>
          </w:p>
        </w:tc>
        <w:tc>
          <w:tcPr>
            <w:tcW w:w="1505" w:type="dxa"/>
          </w:tcPr>
          <w:p>
            <w:pPr>
              <w:pStyle w:val="TableParagraph"/>
              <w:spacing w:before="127"/>
              <w:ind w:left="109"/>
              <w:rPr>
                <w:sz w:val="22"/>
              </w:rPr>
            </w:pPr>
            <w:r>
              <w:rPr>
                <w:spacing w:val="-10"/>
                <w:sz w:val="22"/>
              </w:rPr>
              <w:t>-</w:t>
            </w:r>
          </w:p>
        </w:tc>
        <w:tc>
          <w:tcPr>
            <w:tcW w:w="1399" w:type="dxa"/>
          </w:tcPr>
          <w:p>
            <w:pPr>
              <w:pStyle w:val="TableParagraph"/>
              <w:spacing w:before="123"/>
              <w:ind w:left="131"/>
              <w:rPr>
                <w:sz w:val="24"/>
              </w:rPr>
            </w:pPr>
            <w:r>
              <w:rPr>
                <w:spacing w:val="-10"/>
                <w:sz w:val="24"/>
              </w:rPr>
              <w:t>-</w:t>
            </w:r>
          </w:p>
        </w:tc>
        <w:tc>
          <w:tcPr>
            <w:tcW w:w="161" w:type="dxa"/>
          </w:tcPr>
          <w:p>
            <w:pPr>
              <w:pStyle w:val="TableParagraph"/>
              <w:rPr>
                <w:sz w:val="22"/>
              </w:rPr>
            </w:pPr>
          </w:p>
        </w:tc>
        <w:tc>
          <w:tcPr>
            <w:tcW w:w="1614" w:type="dxa"/>
          </w:tcPr>
          <w:p>
            <w:pPr>
              <w:pStyle w:val="TableParagraph"/>
              <w:spacing w:before="127"/>
              <w:ind w:left="103"/>
              <w:rPr>
                <w:sz w:val="22"/>
              </w:rPr>
            </w:pPr>
            <w:r>
              <w:rPr>
                <w:spacing w:val="-10"/>
                <w:sz w:val="22"/>
              </w:rPr>
              <w:t>-</w:t>
            </w:r>
          </w:p>
        </w:tc>
        <w:tc>
          <w:tcPr>
            <w:tcW w:w="1538" w:type="dxa"/>
          </w:tcPr>
          <w:p>
            <w:pPr>
              <w:pStyle w:val="TableParagraph"/>
              <w:spacing w:before="123"/>
              <w:ind w:left="122"/>
              <w:rPr>
                <w:sz w:val="24"/>
              </w:rPr>
            </w:pPr>
            <w:r>
              <w:rPr>
                <w:spacing w:val="-10"/>
                <w:sz w:val="24"/>
              </w:rPr>
              <w:t>-</w:t>
            </w:r>
          </w:p>
        </w:tc>
      </w:tr>
      <w:tr>
        <w:trPr>
          <w:trHeight w:val="532" w:hRule="atLeast"/>
        </w:trPr>
        <w:tc>
          <w:tcPr>
            <w:tcW w:w="2255" w:type="dxa"/>
          </w:tcPr>
          <w:p>
            <w:pPr>
              <w:pStyle w:val="TableParagraph"/>
              <w:spacing w:before="123"/>
              <w:ind w:left="112"/>
              <w:rPr>
                <w:sz w:val="24"/>
              </w:rPr>
            </w:pPr>
            <w:r>
              <w:rPr>
                <w:spacing w:val="-2"/>
                <w:sz w:val="24"/>
              </w:rPr>
              <w:t>Flavonoids</w:t>
            </w:r>
          </w:p>
        </w:tc>
        <w:tc>
          <w:tcPr>
            <w:tcW w:w="1505" w:type="dxa"/>
          </w:tcPr>
          <w:p>
            <w:pPr>
              <w:pStyle w:val="TableParagraph"/>
              <w:spacing w:before="127"/>
              <w:ind w:left="109"/>
              <w:rPr>
                <w:sz w:val="22"/>
              </w:rPr>
            </w:pPr>
            <w:r>
              <w:rPr>
                <w:spacing w:val="-10"/>
                <w:sz w:val="22"/>
              </w:rPr>
              <w:t>-</w:t>
            </w:r>
          </w:p>
        </w:tc>
        <w:tc>
          <w:tcPr>
            <w:tcW w:w="1399" w:type="dxa"/>
          </w:tcPr>
          <w:p>
            <w:pPr>
              <w:pStyle w:val="TableParagraph"/>
              <w:spacing w:before="123"/>
              <w:ind w:left="131"/>
              <w:rPr>
                <w:sz w:val="24"/>
              </w:rPr>
            </w:pPr>
            <w:r>
              <w:rPr>
                <w:spacing w:val="-10"/>
                <w:sz w:val="24"/>
              </w:rPr>
              <w:t>-</w:t>
            </w:r>
          </w:p>
        </w:tc>
        <w:tc>
          <w:tcPr>
            <w:tcW w:w="161" w:type="dxa"/>
          </w:tcPr>
          <w:p>
            <w:pPr>
              <w:pStyle w:val="TableParagraph"/>
              <w:rPr>
                <w:sz w:val="22"/>
              </w:rPr>
            </w:pPr>
          </w:p>
        </w:tc>
        <w:tc>
          <w:tcPr>
            <w:tcW w:w="1614" w:type="dxa"/>
          </w:tcPr>
          <w:p>
            <w:pPr>
              <w:pStyle w:val="TableParagraph"/>
              <w:spacing w:before="127"/>
              <w:ind w:left="103"/>
              <w:rPr>
                <w:sz w:val="22"/>
              </w:rPr>
            </w:pPr>
            <w:r>
              <w:rPr>
                <w:spacing w:val="-10"/>
                <w:sz w:val="22"/>
              </w:rPr>
              <w:t>-</w:t>
            </w:r>
          </w:p>
        </w:tc>
        <w:tc>
          <w:tcPr>
            <w:tcW w:w="1538" w:type="dxa"/>
          </w:tcPr>
          <w:p>
            <w:pPr>
              <w:pStyle w:val="TableParagraph"/>
              <w:spacing w:before="123"/>
              <w:ind w:left="122"/>
              <w:rPr>
                <w:sz w:val="24"/>
              </w:rPr>
            </w:pPr>
            <w:r>
              <w:rPr>
                <w:spacing w:val="-10"/>
                <w:sz w:val="24"/>
              </w:rPr>
              <w:t>-</w:t>
            </w:r>
          </w:p>
        </w:tc>
      </w:tr>
      <w:tr>
        <w:trPr>
          <w:trHeight w:val="535" w:hRule="atLeast"/>
        </w:trPr>
        <w:tc>
          <w:tcPr>
            <w:tcW w:w="2255" w:type="dxa"/>
          </w:tcPr>
          <w:p>
            <w:pPr>
              <w:pStyle w:val="TableParagraph"/>
              <w:spacing w:before="123"/>
              <w:ind w:left="112"/>
              <w:rPr>
                <w:sz w:val="24"/>
              </w:rPr>
            </w:pPr>
            <w:r>
              <w:rPr>
                <w:spacing w:val="-2"/>
                <w:sz w:val="24"/>
              </w:rPr>
              <w:t>Phenols</w:t>
            </w:r>
          </w:p>
        </w:tc>
        <w:tc>
          <w:tcPr>
            <w:tcW w:w="1505" w:type="dxa"/>
          </w:tcPr>
          <w:p>
            <w:pPr>
              <w:pStyle w:val="TableParagraph"/>
              <w:spacing w:before="127"/>
              <w:ind w:left="109"/>
              <w:rPr>
                <w:sz w:val="22"/>
              </w:rPr>
            </w:pPr>
            <w:r>
              <w:rPr>
                <w:spacing w:val="-10"/>
                <w:sz w:val="22"/>
              </w:rPr>
              <w:t>-</w:t>
            </w:r>
          </w:p>
        </w:tc>
        <w:tc>
          <w:tcPr>
            <w:tcW w:w="1399" w:type="dxa"/>
          </w:tcPr>
          <w:p>
            <w:pPr>
              <w:pStyle w:val="TableParagraph"/>
              <w:spacing w:before="123"/>
              <w:ind w:left="131"/>
              <w:rPr>
                <w:sz w:val="24"/>
              </w:rPr>
            </w:pPr>
            <w:r>
              <w:rPr>
                <w:spacing w:val="-10"/>
                <w:sz w:val="24"/>
              </w:rPr>
              <w:t>-</w:t>
            </w:r>
          </w:p>
        </w:tc>
        <w:tc>
          <w:tcPr>
            <w:tcW w:w="161" w:type="dxa"/>
          </w:tcPr>
          <w:p>
            <w:pPr>
              <w:pStyle w:val="TableParagraph"/>
              <w:rPr>
                <w:sz w:val="22"/>
              </w:rPr>
            </w:pPr>
          </w:p>
        </w:tc>
        <w:tc>
          <w:tcPr>
            <w:tcW w:w="1614" w:type="dxa"/>
          </w:tcPr>
          <w:p>
            <w:pPr>
              <w:pStyle w:val="TableParagraph"/>
              <w:spacing w:before="127"/>
              <w:ind w:left="103"/>
              <w:rPr>
                <w:sz w:val="22"/>
              </w:rPr>
            </w:pPr>
            <w:r>
              <w:rPr>
                <w:spacing w:val="-10"/>
                <w:sz w:val="22"/>
              </w:rPr>
              <w:t>-</w:t>
            </w:r>
          </w:p>
        </w:tc>
        <w:tc>
          <w:tcPr>
            <w:tcW w:w="1538" w:type="dxa"/>
          </w:tcPr>
          <w:p>
            <w:pPr>
              <w:pStyle w:val="TableParagraph"/>
              <w:spacing w:before="123"/>
              <w:ind w:left="122"/>
              <w:rPr>
                <w:sz w:val="24"/>
              </w:rPr>
            </w:pPr>
            <w:r>
              <w:rPr>
                <w:spacing w:val="-10"/>
                <w:sz w:val="24"/>
              </w:rPr>
              <w:t>-</w:t>
            </w:r>
          </w:p>
        </w:tc>
      </w:tr>
      <w:tr>
        <w:trPr>
          <w:trHeight w:val="535" w:hRule="atLeast"/>
        </w:trPr>
        <w:tc>
          <w:tcPr>
            <w:tcW w:w="2255" w:type="dxa"/>
          </w:tcPr>
          <w:p>
            <w:pPr>
              <w:pStyle w:val="TableParagraph"/>
              <w:spacing w:before="125"/>
              <w:ind w:left="112"/>
              <w:rPr>
                <w:sz w:val="24"/>
              </w:rPr>
            </w:pPr>
            <w:r>
              <w:rPr>
                <w:spacing w:val="-2"/>
                <w:sz w:val="24"/>
              </w:rPr>
              <w:t>Saponins</w:t>
            </w:r>
          </w:p>
        </w:tc>
        <w:tc>
          <w:tcPr>
            <w:tcW w:w="1505" w:type="dxa"/>
          </w:tcPr>
          <w:p>
            <w:pPr>
              <w:pStyle w:val="TableParagraph"/>
              <w:spacing w:before="130"/>
              <w:ind w:left="109"/>
              <w:rPr>
                <w:sz w:val="22"/>
              </w:rPr>
            </w:pPr>
            <w:r>
              <w:rPr>
                <w:spacing w:val="-10"/>
                <w:sz w:val="22"/>
              </w:rPr>
              <w:t>-</w:t>
            </w:r>
          </w:p>
        </w:tc>
        <w:tc>
          <w:tcPr>
            <w:tcW w:w="1399" w:type="dxa"/>
          </w:tcPr>
          <w:p>
            <w:pPr>
              <w:pStyle w:val="TableParagraph"/>
              <w:spacing w:before="125"/>
              <w:ind w:left="131"/>
              <w:rPr>
                <w:sz w:val="24"/>
              </w:rPr>
            </w:pPr>
            <w:r>
              <w:rPr>
                <w:spacing w:val="-10"/>
                <w:sz w:val="24"/>
              </w:rPr>
              <w:t>-</w:t>
            </w:r>
          </w:p>
        </w:tc>
        <w:tc>
          <w:tcPr>
            <w:tcW w:w="161" w:type="dxa"/>
          </w:tcPr>
          <w:p>
            <w:pPr>
              <w:pStyle w:val="TableParagraph"/>
              <w:rPr>
                <w:sz w:val="22"/>
              </w:rPr>
            </w:pPr>
          </w:p>
        </w:tc>
        <w:tc>
          <w:tcPr>
            <w:tcW w:w="1614" w:type="dxa"/>
          </w:tcPr>
          <w:p>
            <w:pPr>
              <w:pStyle w:val="TableParagraph"/>
              <w:spacing w:before="130"/>
              <w:ind w:left="103"/>
              <w:rPr>
                <w:sz w:val="22"/>
              </w:rPr>
            </w:pPr>
            <w:r>
              <w:rPr>
                <w:spacing w:val="-10"/>
                <w:sz w:val="22"/>
              </w:rPr>
              <w:t>-</w:t>
            </w:r>
          </w:p>
        </w:tc>
        <w:tc>
          <w:tcPr>
            <w:tcW w:w="1538" w:type="dxa"/>
          </w:tcPr>
          <w:p>
            <w:pPr>
              <w:pStyle w:val="TableParagraph"/>
              <w:spacing w:before="125"/>
              <w:ind w:left="122"/>
              <w:rPr>
                <w:sz w:val="24"/>
              </w:rPr>
            </w:pPr>
            <w:r>
              <w:rPr>
                <w:spacing w:val="-10"/>
                <w:sz w:val="24"/>
              </w:rPr>
              <w:t>-</w:t>
            </w:r>
          </w:p>
        </w:tc>
      </w:tr>
      <w:tr>
        <w:trPr>
          <w:trHeight w:val="606" w:hRule="atLeast"/>
        </w:trPr>
        <w:tc>
          <w:tcPr>
            <w:tcW w:w="2255" w:type="dxa"/>
            <w:tcBorders>
              <w:bottom w:val="single" w:sz="4" w:space="0" w:color="000000"/>
            </w:tcBorders>
          </w:tcPr>
          <w:p>
            <w:pPr>
              <w:pStyle w:val="TableParagraph"/>
              <w:spacing w:before="123"/>
              <w:ind w:left="112"/>
              <w:rPr>
                <w:sz w:val="24"/>
              </w:rPr>
            </w:pPr>
            <w:r>
              <w:rPr>
                <w:spacing w:val="-2"/>
                <w:sz w:val="24"/>
              </w:rPr>
              <w:t>Tannins</w:t>
            </w:r>
          </w:p>
        </w:tc>
        <w:tc>
          <w:tcPr>
            <w:tcW w:w="1505" w:type="dxa"/>
            <w:tcBorders>
              <w:bottom w:val="single" w:sz="4" w:space="0" w:color="000000"/>
            </w:tcBorders>
          </w:tcPr>
          <w:p>
            <w:pPr>
              <w:pStyle w:val="TableParagraph"/>
              <w:spacing w:before="127"/>
              <w:ind w:left="109"/>
              <w:rPr>
                <w:sz w:val="22"/>
              </w:rPr>
            </w:pPr>
            <w:r>
              <w:rPr>
                <w:spacing w:val="-10"/>
                <w:sz w:val="22"/>
              </w:rPr>
              <w:t>-</w:t>
            </w:r>
          </w:p>
        </w:tc>
        <w:tc>
          <w:tcPr>
            <w:tcW w:w="1399" w:type="dxa"/>
            <w:tcBorders>
              <w:bottom w:val="single" w:sz="4" w:space="0" w:color="000000"/>
            </w:tcBorders>
          </w:tcPr>
          <w:p>
            <w:pPr>
              <w:pStyle w:val="TableParagraph"/>
              <w:spacing w:before="123"/>
              <w:ind w:left="131"/>
              <w:rPr>
                <w:sz w:val="24"/>
              </w:rPr>
            </w:pPr>
            <w:r>
              <w:rPr>
                <w:spacing w:val="-10"/>
                <w:sz w:val="24"/>
              </w:rPr>
              <w:t>-</w:t>
            </w:r>
          </w:p>
        </w:tc>
        <w:tc>
          <w:tcPr>
            <w:tcW w:w="161" w:type="dxa"/>
            <w:tcBorders>
              <w:bottom w:val="single" w:sz="4" w:space="0" w:color="000000"/>
            </w:tcBorders>
          </w:tcPr>
          <w:p>
            <w:pPr>
              <w:pStyle w:val="TableParagraph"/>
              <w:rPr>
                <w:sz w:val="22"/>
              </w:rPr>
            </w:pPr>
          </w:p>
        </w:tc>
        <w:tc>
          <w:tcPr>
            <w:tcW w:w="1614" w:type="dxa"/>
            <w:tcBorders>
              <w:bottom w:val="single" w:sz="4" w:space="0" w:color="000000"/>
            </w:tcBorders>
          </w:tcPr>
          <w:p>
            <w:pPr>
              <w:pStyle w:val="TableParagraph"/>
              <w:spacing w:before="127"/>
              <w:ind w:left="103"/>
              <w:rPr>
                <w:sz w:val="22"/>
              </w:rPr>
            </w:pPr>
            <w:r>
              <w:rPr>
                <w:spacing w:val="-10"/>
                <w:sz w:val="22"/>
              </w:rPr>
              <w:t>-</w:t>
            </w:r>
          </w:p>
        </w:tc>
        <w:tc>
          <w:tcPr>
            <w:tcW w:w="1538" w:type="dxa"/>
            <w:tcBorders>
              <w:bottom w:val="single" w:sz="4" w:space="0" w:color="000000"/>
            </w:tcBorders>
          </w:tcPr>
          <w:p>
            <w:pPr>
              <w:pStyle w:val="TableParagraph"/>
              <w:spacing w:before="123"/>
              <w:ind w:left="122"/>
              <w:rPr>
                <w:sz w:val="24"/>
              </w:rPr>
            </w:pPr>
            <w:r>
              <w:rPr>
                <w:spacing w:val="-10"/>
                <w:sz w:val="24"/>
              </w:rPr>
              <w:t>-</w:t>
            </w:r>
          </w:p>
        </w:tc>
      </w:tr>
    </w:tbl>
    <w:p>
      <w:pPr>
        <w:spacing w:before="0"/>
        <w:ind w:left="1205" w:right="0" w:firstLine="0"/>
        <w:jc w:val="left"/>
        <w:rPr>
          <w:sz w:val="22"/>
        </w:rPr>
      </w:pPr>
      <w:r>
        <w:rPr>
          <w:sz w:val="22"/>
        </w:rPr>
        <w:t>Key:</w:t>
      </w:r>
      <w:r>
        <w:rPr>
          <w:spacing w:val="-5"/>
          <w:sz w:val="22"/>
        </w:rPr>
        <w:t> </w:t>
      </w:r>
      <w:r>
        <w:rPr>
          <w:sz w:val="22"/>
        </w:rPr>
        <w:t>+ =</w:t>
      </w:r>
      <w:r>
        <w:rPr>
          <w:spacing w:val="-4"/>
          <w:sz w:val="22"/>
        </w:rPr>
        <w:t> </w:t>
      </w:r>
      <w:r>
        <w:rPr>
          <w:sz w:val="22"/>
        </w:rPr>
        <w:t>Present;</w:t>
      </w:r>
      <w:r>
        <w:rPr>
          <w:spacing w:val="3"/>
          <w:sz w:val="22"/>
        </w:rPr>
        <w:t> </w:t>
      </w:r>
      <w:r>
        <w:rPr>
          <w:sz w:val="22"/>
        </w:rPr>
        <w:t>-</w:t>
      </w:r>
      <w:r>
        <w:rPr>
          <w:spacing w:val="-1"/>
          <w:sz w:val="22"/>
        </w:rPr>
        <w:t> </w:t>
      </w:r>
      <w:r>
        <w:rPr>
          <w:sz w:val="22"/>
        </w:rPr>
        <w:t>= </w:t>
      </w:r>
      <w:r>
        <w:rPr>
          <w:spacing w:val="-2"/>
          <w:sz w:val="22"/>
        </w:rPr>
        <w:t>Absent</w:t>
      </w:r>
    </w:p>
    <w:p>
      <w:pPr>
        <w:spacing w:after="0"/>
        <w:jc w:val="left"/>
        <w:rPr>
          <w:sz w:val="22"/>
        </w:rPr>
        <w:sectPr>
          <w:pgSz w:w="11910" w:h="16840"/>
          <w:pgMar w:header="0" w:footer="1012" w:top="1340" w:bottom="1200" w:left="960" w:right="620"/>
        </w:sectPr>
      </w:pPr>
    </w:p>
    <w:p>
      <w:pPr>
        <w:pStyle w:val="Heading2"/>
        <w:numPr>
          <w:ilvl w:val="1"/>
          <w:numId w:val="20"/>
        </w:numPr>
        <w:tabs>
          <w:tab w:pos="1810" w:val="left" w:leader="none"/>
        </w:tabs>
        <w:spacing w:line="240" w:lineRule="auto" w:before="64" w:after="0"/>
        <w:ind w:left="1810" w:right="0" w:hanging="782"/>
        <w:jc w:val="left"/>
      </w:pPr>
      <w:r>
        <w:rPr/>
        <w:t>Mineral</w:t>
      </w:r>
      <w:r>
        <w:rPr>
          <w:spacing w:val="-7"/>
        </w:rPr>
        <w:t> </w:t>
      </w:r>
      <w:r>
        <w:rPr/>
        <w:t>Element</w:t>
      </w:r>
      <w:r>
        <w:rPr>
          <w:spacing w:val="1"/>
        </w:rPr>
        <w:t> </w:t>
      </w:r>
      <w:r>
        <w:rPr/>
        <w:t>Concentration of</w:t>
      </w:r>
      <w:r>
        <w:rPr>
          <w:spacing w:val="-5"/>
        </w:rPr>
        <w:t> </w:t>
      </w:r>
      <w:r>
        <w:rPr>
          <w:i/>
        </w:rPr>
        <w:t>J</w:t>
      </w:r>
      <w:r>
        <w:rPr/>
        <w:t>.</w:t>
      </w:r>
      <w:r>
        <w:rPr>
          <w:spacing w:val="1"/>
        </w:rPr>
        <w:t> </w:t>
      </w:r>
      <w:r>
        <w:rPr>
          <w:i/>
        </w:rPr>
        <w:t>curcas</w:t>
      </w:r>
      <w:r>
        <w:rPr>
          <w:i/>
          <w:spacing w:val="-3"/>
        </w:rPr>
        <w:t> </w:t>
      </w:r>
      <w:r>
        <w:rPr>
          <w:spacing w:val="-4"/>
        </w:rPr>
        <w:t>Oils</w:t>
      </w:r>
    </w:p>
    <w:p>
      <w:pPr>
        <w:pStyle w:val="BodyText"/>
        <w:spacing w:before="273"/>
        <w:rPr>
          <w:b/>
        </w:rPr>
      </w:pPr>
    </w:p>
    <w:p>
      <w:pPr>
        <w:pStyle w:val="BodyText"/>
        <w:spacing w:line="480" w:lineRule="auto" w:before="1"/>
        <w:ind w:left="1028" w:right="801"/>
        <w:jc w:val="both"/>
      </w:pPr>
      <w:r>
        <w:rPr/>
        <w:t>In general, Table 4.5 shows that solvent and mechanically extracted undetoxified oils showed higher concentrations of mineral elements compared to the synthetically detoxified oils. However, naturally detoxified mechanically extracted oil showed the highest concentration of most of the detected mineral elements. This was true for toxic elements (Lead, cadmium and copper) as well as nutritional elements (iron and</w:t>
      </w:r>
      <w:r>
        <w:rPr>
          <w:spacing w:val="40"/>
        </w:rPr>
        <w:t> </w:t>
      </w:r>
      <w:r>
        <w:rPr>
          <w:spacing w:val="-2"/>
        </w:rPr>
        <w:t>calcium).</w:t>
      </w:r>
    </w:p>
    <w:p>
      <w:pPr>
        <w:pStyle w:val="BodyText"/>
      </w:pPr>
    </w:p>
    <w:p>
      <w:pPr>
        <w:pStyle w:val="BodyText"/>
        <w:spacing w:before="6"/>
      </w:pPr>
    </w:p>
    <w:p>
      <w:pPr>
        <w:pStyle w:val="Heading2"/>
        <w:ind w:left="1028" w:firstLine="0"/>
      </w:pPr>
      <w:r>
        <w:rPr/>
        <w:t>Table</w:t>
      </w:r>
      <w:r>
        <w:rPr>
          <w:spacing w:val="68"/>
          <w:w w:val="150"/>
        </w:rPr>
        <w:t> </w:t>
      </w:r>
      <w:r>
        <w:rPr/>
        <w:t>4.5:</w:t>
      </w:r>
      <w:r>
        <w:rPr>
          <w:spacing w:val="73"/>
          <w:w w:val="150"/>
        </w:rPr>
        <w:t> </w:t>
      </w:r>
      <w:r>
        <w:rPr/>
        <w:t>Mineral</w:t>
      </w:r>
      <w:r>
        <w:rPr>
          <w:spacing w:val="73"/>
          <w:w w:val="150"/>
        </w:rPr>
        <w:t> </w:t>
      </w:r>
      <w:r>
        <w:rPr/>
        <w:t>Element</w:t>
      </w:r>
      <w:r>
        <w:rPr>
          <w:spacing w:val="73"/>
          <w:w w:val="150"/>
        </w:rPr>
        <w:t> </w:t>
      </w:r>
      <w:r>
        <w:rPr/>
        <w:t>Concentrations</w:t>
      </w:r>
      <w:r>
        <w:rPr>
          <w:spacing w:val="74"/>
          <w:w w:val="150"/>
        </w:rPr>
        <w:t> </w:t>
      </w:r>
      <w:r>
        <w:rPr/>
        <w:t>of</w:t>
      </w:r>
      <w:r>
        <w:rPr>
          <w:spacing w:val="68"/>
          <w:w w:val="150"/>
        </w:rPr>
        <w:t> </w:t>
      </w:r>
      <w:r>
        <w:rPr/>
        <w:t>Undetoxified</w:t>
      </w:r>
      <w:r>
        <w:rPr>
          <w:spacing w:val="74"/>
          <w:w w:val="150"/>
        </w:rPr>
        <w:t> </w:t>
      </w:r>
      <w:r>
        <w:rPr/>
        <w:t>and</w:t>
      </w:r>
      <w:r>
        <w:rPr>
          <w:spacing w:val="73"/>
          <w:w w:val="150"/>
        </w:rPr>
        <w:t> </w:t>
      </w:r>
      <w:r>
        <w:rPr>
          <w:spacing w:val="-2"/>
        </w:rPr>
        <w:t>Detoxified</w:t>
      </w:r>
    </w:p>
    <w:p>
      <w:pPr>
        <w:pStyle w:val="Heading3"/>
        <w:rPr>
          <w:i w:val="0"/>
        </w:rPr>
      </w:pPr>
      <w:r>
        <w:rPr/>
        <w:t>Jatropha</w:t>
      </w:r>
      <w:r>
        <w:rPr>
          <w:spacing w:val="-4"/>
        </w:rPr>
        <w:t> </w:t>
      </w:r>
      <w:r>
        <w:rPr/>
        <w:t>curcas</w:t>
      </w:r>
      <w:r>
        <w:rPr>
          <w:spacing w:val="-3"/>
        </w:rPr>
        <w:t> </w:t>
      </w:r>
      <w:r>
        <w:rPr>
          <w:i w:val="0"/>
          <w:spacing w:val="-4"/>
        </w:rPr>
        <w:t>Oils</w:t>
      </w:r>
    </w:p>
    <w:p>
      <w:pPr>
        <w:pStyle w:val="BodyText"/>
        <w:rPr>
          <w:b/>
          <w:sz w:val="20"/>
        </w:rPr>
      </w:pPr>
    </w:p>
    <w:p>
      <w:pPr>
        <w:pStyle w:val="BodyText"/>
        <w:spacing w:before="93"/>
        <w:rPr>
          <w:b/>
          <w:sz w:val="20"/>
        </w:rPr>
      </w:pPr>
    </w:p>
    <w:tbl>
      <w:tblPr>
        <w:tblW w:w="0" w:type="auto"/>
        <w:jc w:val="left"/>
        <w:tblInd w:w="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5"/>
        <w:gridCol w:w="874"/>
        <w:gridCol w:w="1282"/>
        <w:gridCol w:w="908"/>
        <w:gridCol w:w="269"/>
        <w:gridCol w:w="1008"/>
        <w:gridCol w:w="1305"/>
        <w:gridCol w:w="836"/>
      </w:tblGrid>
      <w:tr>
        <w:trPr>
          <w:trHeight w:val="547" w:hRule="atLeast"/>
        </w:trPr>
        <w:tc>
          <w:tcPr>
            <w:tcW w:w="1565" w:type="dxa"/>
            <w:tcBorders>
              <w:top w:val="single" w:sz="4" w:space="0" w:color="000000"/>
            </w:tcBorders>
          </w:tcPr>
          <w:p>
            <w:pPr>
              <w:pStyle w:val="TableParagraph"/>
              <w:spacing w:before="93"/>
              <w:ind w:left="124"/>
              <w:rPr>
                <w:sz w:val="24"/>
              </w:rPr>
            </w:pPr>
            <w:r>
              <w:rPr>
                <w:sz w:val="24"/>
              </w:rPr>
              <w:t>Oil</w:t>
            </w:r>
            <w:r>
              <w:rPr>
                <w:spacing w:val="-7"/>
                <w:sz w:val="24"/>
              </w:rPr>
              <w:t> </w:t>
            </w:r>
            <w:r>
              <w:rPr>
                <w:sz w:val="24"/>
              </w:rPr>
              <w:t>sample</w:t>
            </w:r>
            <w:r>
              <w:rPr>
                <w:spacing w:val="-2"/>
                <w:sz w:val="24"/>
              </w:rPr>
              <w:t> </w:t>
            </w:r>
            <w:r>
              <w:rPr>
                <w:spacing w:val="-10"/>
                <w:sz w:val="24"/>
              </w:rPr>
              <w:t>↓</w:t>
            </w:r>
          </w:p>
        </w:tc>
        <w:tc>
          <w:tcPr>
            <w:tcW w:w="3064" w:type="dxa"/>
            <w:gridSpan w:val="3"/>
            <w:tcBorders>
              <w:top w:val="single" w:sz="4" w:space="0" w:color="000000"/>
              <w:bottom w:val="single" w:sz="4" w:space="0" w:color="000000"/>
            </w:tcBorders>
          </w:tcPr>
          <w:p>
            <w:pPr>
              <w:pStyle w:val="TableParagraph"/>
              <w:spacing w:before="93"/>
              <w:ind w:left="528"/>
              <w:rPr>
                <w:sz w:val="24"/>
              </w:rPr>
            </w:pPr>
            <w:r>
              <w:rPr>
                <w:sz w:val="24"/>
              </w:rPr>
              <w:t>Toxic</w:t>
            </w:r>
            <w:r>
              <w:rPr>
                <w:spacing w:val="-7"/>
                <w:sz w:val="24"/>
              </w:rPr>
              <w:t> </w:t>
            </w:r>
            <w:r>
              <w:rPr>
                <w:sz w:val="24"/>
              </w:rPr>
              <w:t>elements</w:t>
            </w:r>
            <w:r>
              <w:rPr>
                <w:spacing w:val="-4"/>
                <w:sz w:val="24"/>
              </w:rPr>
              <w:t> (ppm)</w:t>
            </w:r>
          </w:p>
        </w:tc>
        <w:tc>
          <w:tcPr>
            <w:tcW w:w="3418" w:type="dxa"/>
            <w:gridSpan w:val="4"/>
            <w:tcBorders>
              <w:top w:val="single" w:sz="4" w:space="0" w:color="000000"/>
            </w:tcBorders>
          </w:tcPr>
          <w:p>
            <w:pPr>
              <w:pStyle w:val="TableParagraph"/>
              <w:spacing w:before="93"/>
              <w:ind w:left="528"/>
              <w:rPr>
                <w:sz w:val="24"/>
              </w:rPr>
            </w:pPr>
            <w:r>
              <w:rPr>
                <w:sz w:val="24"/>
              </w:rPr>
              <w:t>Nutritional</w:t>
            </w:r>
            <w:r>
              <w:rPr>
                <w:spacing w:val="-8"/>
                <w:sz w:val="24"/>
              </w:rPr>
              <w:t> </w:t>
            </w:r>
            <w:r>
              <w:rPr>
                <w:sz w:val="24"/>
              </w:rPr>
              <w:t>elements</w:t>
            </w:r>
            <w:r>
              <w:rPr>
                <w:spacing w:val="-5"/>
                <w:sz w:val="24"/>
              </w:rPr>
              <w:t> </w:t>
            </w:r>
            <w:r>
              <w:rPr>
                <w:spacing w:val="-4"/>
                <w:sz w:val="24"/>
              </w:rPr>
              <w:t>(ppm)</w:t>
            </w:r>
          </w:p>
        </w:tc>
      </w:tr>
      <w:tr>
        <w:trPr>
          <w:trHeight w:val="474" w:hRule="atLeast"/>
        </w:trPr>
        <w:tc>
          <w:tcPr>
            <w:tcW w:w="1565" w:type="dxa"/>
          </w:tcPr>
          <w:p>
            <w:pPr>
              <w:pStyle w:val="TableParagraph"/>
              <w:rPr>
                <w:sz w:val="22"/>
              </w:rPr>
            </w:pPr>
          </w:p>
        </w:tc>
        <w:tc>
          <w:tcPr>
            <w:tcW w:w="874" w:type="dxa"/>
            <w:tcBorders>
              <w:top w:val="single" w:sz="4" w:space="0" w:color="000000"/>
              <w:bottom w:val="single" w:sz="4" w:space="0" w:color="000000"/>
            </w:tcBorders>
          </w:tcPr>
          <w:p>
            <w:pPr>
              <w:pStyle w:val="TableParagraph"/>
              <w:spacing w:before="92"/>
              <w:ind w:left="105"/>
              <w:rPr>
                <w:sz w:val="24"/>
              </w:rPr>
            </w:pPr>
            <w:r>
              <w:rPr>
                <w:spacing w:val="-4"/>
                <w:sz w:val="24"/>
              </w:rPr>
              <w:t>Lead</w:t>
            </w:r>
          </w:p>
        </w:tc>
        <w:tc>
          <w:tcPr>
            <w:tcW w:w="1282" w:type="dxa"/>
            <w:tcBorders>
              <w:top w:val="single" w:sz="4" w:space="0" w:color="000000"/>
              <w:bottom w:val="single" w:sz="4" w:space="0" w:color="000000"/>
            </w:tcBorders>
          </w:tcPr>
          <w:p>
            <w:pPr>
              <w:pStyle w:val="TableParagraph"/>
              <w:spacing w:before="92"/>
              <w:ind w:left="226"/>
              <w:rPr>
                <w:sz w:val="24"/>
              </w:rPr>
            </w:pPr>
            <w:r>
              <w:rPr>
                <w:spacing w:val="-2"/>
                <w:sz w:val="24"/>
              </w:rPr>
              <w:t>Cadmium</w:t>
            </w:r>
          </w:p>
        </w:tc>
        <w:tc>
          <w:tcPr>
            <w:tcW w:w="908" w:type="dxa"/>
            <w:tcBorders>
              <w:top w:val="single" w:sz="4" w:space="0" w:color="000000"/>
              <w:bottom w:val="single" w:sz="4" w:space="0" w:color="000000"/>
            </w:tcBorders>
          </w:tcPr>
          <w:p>
            <w:pPr>
              <w:pStyle w:val="TableParagraph"/>
              <w:spacing w:before="92"/>
              <w:ind w:left="110"/>
              <w:rPr>
                <w:sz w:val="24"/>
              </w:rPr>
            </w:pPr>
            <w:r>
              <w:rPr>
                <w:spacing w:val="-2"/>
                <w:sz w:val="24"/>
              </w:rPr>
              <w:t>Copper</w:t>
            </w:r>
          </w:p>
        </w:tc>
        <w:tc>
          <w:tcPr>
            <w:tcW w:w="269" w:type="dxa"/>
          </w:tcPr>
          <w:p>
            <w:pPr>
              <w:pStyle w:val="TableParagraph"/>
              <w:rPr>
                <w:sz w:val="22"/>
              </w:rPr>
            </w:pPr>
          </w:p>
        </w:tc>
        <w:tc>
          <w:tcPr>
            <w:tcW w:w="1008" w:type="dxa"/>
            <w:tcBorders>
              <w:top w:val="single" w:sz="4" w:space="0" w:color="000000"/>
              <w:bottom w:val="single" w:sz="4" w:space="0" w:color="000000"/>
            </w:tcBorders>
          </w:tcPr>
          <w:p>
            <w:pPr>
              <w:pStyle w:val="TableParagraph"/>
              <w:spacing w:before="92"/>
              <w:ind w:left="105"/>
              <w:rPr>
                <w:sz w:val="24"/>
              </w:rPr>
            </w:pPr>
            <w:r>
              <w:rPr>
                <w:spacing w:val="-4"/>
                <w:sz w:val="24"/>
              </w:rPr>
              <w:t>Iron</w:t>
            </w:r>
          </w:p>
        </w:tc>
        <w:tc>
          <w:tcPr>
            <w:tcW w:w="1305" w:type="dxa"/>
            <w:tcBorders>
              <w:top w:val="single" w:sz="4" w:space="0" w:color="000000"/>
              <w:bottom w:val="single" w:sz="4" w:space="0" w:color="000000"/>
            </w:tcBorders>
          </w:tcPr>
          <w:p>
            <w:pPr>
              <w:pStyle w:val="TableParagraph"/>
              <w:spacing w:before="92"/>
              <w:ind w:left="360"/>
              <w:rPr>
                <w:sz w:val="24"/>
              </w:rPr>
            </w:pPr>
            <w:r>
              <w:rPr>
                <w:spacing w:val="-2"/>
                <w:sz w:val="24"/>
              </w:rPr>
              <w:t>Calcium</w:t>
            </w:r>
          </w:p>
        </w:tc>
        <w:tc>
          <w:tcPr>
            <w:tcW w:w="836" w:type="dxa"/>
            <w:tcBorders>
              <w:top w:val="single" w:sz="4" w:space="0" w:color="000000"/>
              <w:bottom w:val="single" w:sz="4" w:space="0" w:color="000000"/>
            </w:tcBorders>
          </w:tcPr>
          <w:p>
            <w:pPr>
              <w:pStyle w:val="TableParagraph"/>
              <w:spacing w:before="92"/>
              <w:ind w:left="135"/>
              <w:rPr>
                <w:sz w:val="24"/>
              </w:rPr>
            </w:pPr>
            <w:r>
              <w:rPr>
                <w:spacing w:val="-4"/>
                <w:sz w:val="24"/>
              </w:rPr>
              <w:t>Zinc</w:t>
            </w:r>
          </w:p>
        </w:tc>
      </w:tr>
      <w:tr>
        <w:trPr>
          <w:trHeight w:val="473" w:hRule="atLeast"/>
        </w:trPr>
        <w:tc>
          <w:tcPr>
            <w:tcW w:w="1565" w:type="dxa"/>
          </w:tcPr>
          <w:p>
            <w:pPr>
              <w:pStyle w:val="TableParagraph"/>
              <w:spacing w:before="92"/>
              <w:ind w:left="124"/>
              <w:rPr>
                <w:sz w:val="24"/>
              </w:rPr>
            </w:pPr>
            <w:r>
              <w:rPr>
                <w:spacing w:val="-5"/>
                <w:sz w:val="24"/>
              </w:rPr>
              <w:t>USE</w:t>
            </w:r>
          </w:p>
        </w:tc>
        <w:tc>
          <w:tcPr>
            <w:tcW w:w="874" w:type="dxa"/>
            <w:tcBorders>
              <w:top w:val="single" w:sz="4" w:space="0" w:color="000000"/>
            </w:tcBorders>
          </w:tcPr>
          <w:p>
            <w:pPr>
              <w:pStyle w:val="TableParagraph"/>
              <w:spacing w:before="92"/>
              <w:ind w:left="105"/>
              <w:rPr>
                <w:sz w:val="24"/>
              </w:rPr>
            </w:pPr>
            <w:r>
              <w:rPr>
                <w:spacing w:val="-4"/>
                <w:sz w:val="24"/>
              </w:rPr>
              <w:t>0.044</w:t>
            </w:r>
          </w:p>
        </w:tc>
        <w:tc>
          <w:tcPr>
            <w:tcW w:w="1282" w:type="dxa"/>
            <w:tcBorders>
              <w:top w:val="single" w:sz="4" w:space="0" w:color="000000"/>
            </w:tcBorders>
          </w:tcPr>
          <w:p>
            <w:pPr>
              <w:pStyle w:val="TableParagraph"/>
              <w:spacing w:before="92"/>
              <w:ind w:left="226"/>
              <w:rPr>
                <w:sz w:val="24"/>
              </w:rPr>
            </w:pPr>
            <w:r>
              <w:rPr>
                <w:spacing w:val="-4"/>
                <w:sz w:val="24"/>
              </w:rPr>
              <w:t>0.000</w:t>
            </w:r>
          </w:p>
        </w:tc>
        <w:tc>
          <w:tcPr>
            <w:tcW w:w="908" w:type="dxa"/>
            <w:tcBorders>
              <w:top w:val="single" w:sz="4" w:space="0" w:color="000000"/>
            </w:tcBorders>
          </w:tcPr>
          <w:p>
            <w:pPr>
              <w:pStyle w:val="TableParagraph"/>
              <w:spacing w:before="92"/>
              <w:ind w:left="110"/>
              <w:rPr>
                <w:sz w:val="24"/>
              </w:rPr>
            </w:pPr>
            <w:r>
              <w:rPr>
                <w:spacing w:val="-4"/>
                <w:sz w:val="24"/>
              </w:rPr>
              <w:t>0.000</w:t>
            </w:r>
          </w:p>
        </w:tc>
        <w:tc>
          <w:tcPr>
            <w:tcW w:w="269" w:type="dxa"/>
          </w:tcPr>
          <w:p>
            <w:pPr>
              <w:pStyle w:val="TableParagraph"/>
              <w:rPr>
                <w:sz w:val="22"/>
              </w:rPr>
            </w:pPr>
          </w:p>
        </w:tc>
        <w:tc>
          <w:tcPr>
            <w:tcW w:w="1008" w:type="dxa"/>
            <w:tcBorders>
              <w:top w:val="single" w:sz="4" w:space="0" w:color="000000"/>
            </w:tcBorders>
          </w:tcPr>
          <w:p>
            <w:pPr>
              <w:pStyle w:val="TableParagraph"/>
              <w:spacing w:before="92"/>
              <w:ind w:left="105"/>
              <w:rPr>
                <w:sz w:val="24"/>
              </w:rPr>
            </w:pPr>
            <w:r>
              <w:rPr>
                <w:spacing w:val="-4"/>
                <w:sz w:val="24"/>
              </w:rPr>
              <w:t>0.361</w:t>
            </w:r>
          </w:p>
        </w:tc>
        <w:tc>
          <w:tcPr>
            <w:tcW w:w="1305" w:type="dxa"/>
            <w:tcBorders>
              <w:top w:val="single" w:sz="4" w:space="0" w:color="000000"/>
            </w:tcBorders>
          </w:tcPr>
          <w:p>
            <w:pPr>
              <w:pStyle w:val="TableParagraph"/>
              <w:spacing w:before="92"/>
              <w:ind w:left="360"/>
              <w:rPr>
                <w:sz w:val="24"/>
              </w:rPr>
            </w:pPr>
            <w:r>
              <w:rPr>
                <w:spacing w:val="-4"/>
                <w:sz w:val="24"/>
              </w:rPr>
              <w:t>1.380</w:t>
            </w:r>
          </w:p>
        </w:tc>
        <w:tc>
          <w:tcPr>
            <w:tcW w:w="836" w:type="dxa"/>
            <w:tcBorders>
              <w:top w:val="single" w:sz="4" w:space="0" w:color="000000"/>
            </w:tcBorders>
          </w:tcPr>
          <w:p>
            <w:pPr>
              <w:pStyle w:val="TableParagraph"/>
              <w:spacing w:before="92"/>
              <w:ind w:left="135"/>
              <w:rPr>
                <w:sz w:val="24"/>
              </w:rPr>
            </w:pPr>
            <w:r>
              <w:rPr>
                <w:spacing w:val="-4"/>
                <w:sz w:val="24"/>
              </w:rPr>
              <w:t>0.022</w:t>
            </w:r>
          </w:p>
        </w:tc>
      </w:tr>
      <w:tr>
        <w:trPr>
          <w:trHeight w:val="475" w:hRule="atLeast"/>
        </w:trPr>
        <w:tc>
          <w:tcPr>
            <w:tcW w:w="1565" w:type="dxa"/>
          </w:tcPr>
          <w:p>
            <w:pPr>
              <w:pStyle w:val="TableParagraph"/>
              <w:spacing w:before="94"/>
              <w:ind w:left="124"/>
              <w:rPr>
                <w:sz w:val="24"/>
              </w:rPr>
            </w:pPr>
            <w:r>
              <w:rPr>
                <w:spacing w:val="-4"/>
                <w:sz w:val="24"/>
              </w:rPr>
              <w:t>SDSE</w:t>
            </w:r>
          </w:p>
        </w:tc>
        <w:tc>
          <w:tcPr>
            <w:tcW w:w="874" w:type="dxa"/>
          </w:tcPr>
          <w:p>
            <w:pPr>
              <w:pStyle w:val="TableParagraph"/>
              <w:spacing w:before="94"/>
              <w:ind w:left="105"/>
              <w:rPr>
                <w:sz w:val="24"/>
              </w:rPr>
            </w:pPr>
            <w:r>
              <w:rPr>
                <w:spacing w:val="-4"/>
                <w:sz w:val="24"/>
              </w:rPr>
              <w:t>0.003</w:t>
            </w:r>
          </w:p>
        </w:tc>
        <w:tc>
          <w:tcPr>
            <w:tcW w:w="1282" w:type="dxa"/>
          </w:tcPr>
          <w:p>
            <w:pPr>
              <w:pStyle w:val="TableParagraph"/>
              <w:spacing w:before="94"/>
              <w:ind w:left="226"/>
              <w:rPr>
                <w:sz w:val="24"/>
              </w:rPr>
            </w:pPr>
            <w:r>
              <w:rPr>
                <w:spacing w:val="-4"/>
                <w:sz w:val="24"/>
              </w:rPr>
              <w:t>0.000</w:t>
            </w:r>
          </w:p>
        </w:tc>
        <w:tc>
          <w:tcPr>
            <w:tcW w:w="908" w:type="dxa"/>
          </w:tcPr>
          <w:p>
            <w:pPr>
              <w:pStyle w:val="TableParagraph"/>
              <w:spacing w:before="94"/>
              <w:ind w:left="110"/>
              <w:rPr>
                <w:sz w:val="24"/>
              </w:rPr>
            </w:pPr>
            <w:r>
              <w:rPr>
                <w:spacing w:val="-4"/>
                <w:sz w:val="24"/>
              </w:rPr>
              <w:t>0.000</w:t>
            </w:r>
          </w:p>
        </w:tc>
        <w:tc>
          <w:tcPr>
            <w:tcW w:w="269" w:type="dxa"/>
          </w:tcPr>
          <w:p>
            <w:pPr>
              <w:pStyle w:val="TableParagraph"/>
              <w:rPr>
                <w:sz w:val="22"/>
              </w:rPr>
            </w:pPr>
          </w:p>
        </w:tc>
        <w:tc>
          <w:tcPr>
            <w:tcW w:w="1008" w:type="dxa"/>
          </w:tcPr>
          <w:p>
            <w:pPr>
              <w:pStyle w:val="TableParagraph"/>
              <w:spacing w:before="94"/>
              <w:ind w:left="105"/>
              <w:rPr>
                <w:sz w:val="24"/>
              </w:rPr>
            </w:pPr>
            <w:r>
              <w:rPr>
                <w:spacing w:val="-4"/>
                <w:sz w:val="24"/>
              </w:rPr>
              <w:t>0.302</w:t>
            </w:r>
          </w:p>
        </w:tc>
        <w:tc>
          <w:tcPr>
            <w:tcW w:w="1305" w:type="dxa"/>
          </w:tcPr>
          <w:p>
            <w:pPr>
              <w:pStyle w:val="TableParagraph"/>
              <w:spacing w:before="94"/>
              <w:ind w:left="360"/>
              <w:rPr>
                <w:sz w:val="24"/>
              </w:rPr>
            </w:pPr>
            <w:r>
              <w:rPr>
                <w:spacing w:val="-4"/>
                <w:sz w:val="24"/>
              </w:rPr>
              <w:t>1.374</w:t>
            </w:r>
          </w:p>
        </w:tc>
        <w:tc>
          <w:tcPr>
            <w:tcW w:w="836" w:type="dxa"/>
          </w:tcPr>
          <w:p>
            <w:pPr>
              <w:pStyle w:val="TableParagraph"/>
              <w:spacing w:before="94"/>
              <w:ind w:left="135"/>
              <w:rPr>
                <w:sz w:val="24"/>
              </w:rPr>
            </w:pPr>
            <w:r>
              <w:rPr>
                <w:spacing w:val="-4"/>
                <w:sz w:val="24"/>
              </w:rPr>
              <w:t>0.022</w:t>
            </w:r>
          </w:p>
        </w:tc>
      </w:tr>
      <w:tr>
        <w:trPr>
          <w:trHeight w:val="475" w:hRule="atLeast"/>
        </w:trPr>
        <w:tc>
          <w:tcPr>
            <w:tcW w:w="1565" w:type="dxa"/>
          </w:tcPr>
          <w:p>
            <w:pPr>
              <w:pStyle w:val="TableParagraph"/>
              <w:spacing w:before="94"/>
              <w:ind w:left="124"/>
              <w:rPr>
                <w:sz w:val="24"/>
              </w:rPr>
            </w:pPr>
            <w:r>
              <w:rPr>
                <w:spacing w:val="-5"/>
                <w:sz w:val="24"/>
              </w:rPr>
              <w:t>UME</w:t>
            </w:r>
          </w:p>
        </w:tc>
        <w:tc>
          <w:tcPr>
            <w:tcW w:w="874" w:type="dxa"/>
          </w:tcPr>
          <w:p>
            <w:pPr>
              <w:pStyle w:val="TableParagraph"/>
              <w:spacing w:before="94"/>
              <w:ind w:left="105"/>
              <w:rPr>
                <w:sz w:val="24"/>
              </w:rPr>
            </w:pPr>
            <w:r>
              <w:rPr>
                <w:spacing w:val="-4"/>
                <w:sz w:val="24"/>
              </w:rPr>
              <w:t>0.151</w:t>
            </w:r>
          </w:p>
        </w:tc>
        <w:tc>
          <w:tcPr>
            <w:tcW w:w="1282" w:type="dxa"/>
          </w:tcPr>
          <w:p>
            <w:pPr>
              <w:pStyle w:val="TableParagraph"/>
              <w:spacing w:before="94"/>
              <w:ind w:left="226"/>
              <w:rPr>
                <w:sz w:val="24"/>
              </w:rPr>
            </w:pPr>
            <w:r>
              <w:rPr>
                <w:spacing w:val="-4"/>
                <w:sz w:val="24"/>
              </w:rPr>
              <w:t>0.000</w:t>
            </w:r>
          </w:p>
        </w:tc>
        <w:tc>
          <w:tcPr>
            <w:tcW w:w="908" w:type="dxa"/>
          </w:tcPr>
          <w:p>
            <w:pPr>
              <w:pStyle w:val="TableParagraph"/>
              <w:spacing w:before="94"/>
              <w:ind w:left="110"/>
              <w:rPr>
                <w:sz w:val="24"/>
              </w:rPr>
            </w:pPr>
            <w:r>
              <w:rPr>
                <w:spacing w:val="-4"/>
                <w:sz w:val="24"/>
              </w:rPr>
              <w:t>0.000</w:t>
            </w:r>
          </w:p>
        </w:tc>
        <w:tc>
          <w:tcPr>
            <w:tcW w:w="269" w:type="dxa"/>
          </w:tcPr>
          <w:p>
            <w:pPr>
              <w:pStyle w:val="TableParagraph"/>
              <w:rPr>
                <w:sz w:val="22"/>
              </w:rPr>
            </w:pPr>
          </w:p>
        </w:tc>
        <w:tc>
          <w:tcPr>
            <w:tcW w:w="1008" w:type="dxa"/>
          </w:tcPr>
          <w:p>
            <w:pPr>
              <w:pStyle w:val="TableParagraph"/>
              <w:spacing w:before="94"/>
              <w:ind w:left="105"/>
              <w:rPr>
                <w:sz w:val="24"/>
              </w:rPr>
            </w:pPr>
            <w:r>
              <w:rPr>
                <w:spacing w:val="-4"/>
                <w:sz w:val="24"/>
              </w:rPr>
              <w:t>0.354</w:t>
            </w:r>
          </w:p>
        </w:tc>
        <w:tc>
          <w:tcPr>
            <w:tcW w:w="1305" w:type="dxa"/>
          </w:tcPr>
          <w:p>
            <w:pPr>
              <w:pStyle w:val="TableParagraph"/>
              <w:spacing w:before="94"/>
              <w:ind w:left="360"/>
              <w:rPr>
                <w:sz w:val="24"/>
              </w:rPr>
            </w:pPr>
            <w:r>
              <w:rPr>
                <w:spacing w:val="-4"/>
                <w:sz w:val="24"/>
              </w:rPr>
              <w:t>0.617</w:t>
            </w:r>
          </w:p>
        </w:tc>
        <w:tc>
          <w:tcPr>
            <w:tcW w:w="836" w:type="dxa"/>
          </w:tcPr>
          <w:p>
            <w:pPr>
              <w:pStyle w:val="TableParagraph"/>
              <w:spacing w:before="94"/>
              <w:ind w:left="135"/>
              <w:rPr>
                <w:sz w:val="24"/>
              </w:rPr>
            </w:pPr>
            <w:r>
              <w:rPr>
                <w:spacing w:val="-4"/>
                <w:sz w:val="24"/>
              </w:rPr>
              <w:t>0.870</w:t>
            </w:r>
          </w:p>
        </w:tc>
      </w:tr>
      <w:tr>
        <w:trPr>
          <w:trHeight w:val="477" w:hRule="atLeast"/>
        </w:trPr>
        <w:tc>
          <w:tcPr>
            <w:tcW w:w="1565" w:type="dxa"/>
          </w:tcPr>
          <w:p>
            <w:pPr>
              <w:pStyle w:val="TableParagraph"/>
              <w:spacing w:before="94"/>
              <w:ind w:left="124"/>
              <w:rPr>
                <w:sz w:val="24"/>
              </w:rPr>
            </w:pPr>
            <w:r>
              <w:rPr>
                <w:spacing w:val="-4"/>
                <w:sz w:val="24"/>
              </w:rPr>
              <w:t>SDME</w:t>
            </w:r>
          </w:p>
        </w:tc>
        <w:tc>
          <w:tcPr>
            <w:tcW w:w="874" w:type="dxa"/>
          </w:tcPr>
          <w:p>
            <w:pPr>
              <w:pStyle w:val="TableParagraph"/>
              <w:spacing w:before="94"/>
              <w:ind w:left="105"/>
              <w:rPr>
                <w:sz w:val="24"/>
              </w:rPr>
            </w:pPr>
            <w:r>
              <w:rPr>
                <w:spacing w:val="-4"/>
                <w:sz w:val="24"/>
              </w:rPr>
              <w:t>0.015</w:t>
            </w:r>
          </w:p>
        </w:tc>
        <w:tc>
          <w:tcPr>
            <w:tcW w:w="1282" w:type="dxa"/>
          </w:tcPr>
          <w:p>
            <w:pPr>
              <w:pStyle w:val="TableParagraph"/>
              <w:spacing w:before="94"/>
              <w:ind w:left="226"/>
              <w:rPr>
                <w:sz w:val="24"/>
              </w:rPr>
            </w:pPr>
            <w:r>
              <w:rPr>
                <w:spacing w:val="-4"/>
                <w:sz w:val="24"/>
              </w:rPr>
              <w:t>0.000</w:t>
            </w:r>
          </w:p>
        </w:tc>
        <w:tc>
          <w:tcPr>
            <w:tcW w:w="908" w:type="dxa"/>
          </w:tcPr>
          <w:p>
            <w:pPr>
              <w:pStyle w:val="TableParagraph"/>
              <w:spacing w:before="94"/>
              <w:ind w:left="110"/>
              <w:rPr>
                <w:sz w:val="24"/>
              </w:rPr>
            </w:pPr>
            <w:r>
              <w:rPr>
                <w:spacing w:val="-4"/>
                <w:sz w:val="24"/>
              </w:rPr>
              <w:t>0.000</w:t>
            </w:r>
          </w:p>
        </w:tc>
        <w:tc>
          <w:tcPr>
            <w:tcW w:w="269" w:type="dxa"/>
          </w:tcPr>
          <w:p>
            <w:pPr>
              <w:pStyle w:val="TableParagraph"/>
              <w:rPr>
                <w:sz w:val="22"/>
              </w:rPr>
            </w:pPr>
          </w:p>
        </w:tc>
        <w:tc>
          <w:tcPr>
            <w:tcW w:w="1008" w:type="dxa"/>
          </w:tcPr>
          <w:p>
            <w:pPr>
              <w:pStyle w:val="TableParagraph"/>
              <w:spacing w:before="94"/>
              <w:ind w:left="105"/>
              <w:rPr>
                <w:sz w:val="24"/>
              </w:rPr>
            </w:pPr>
            <w:r>
              <w:rPr>
                <w:spacing w:val="-4"/>
                <w:sz w:val="24"/>
              </w:rPr>
              <w:t>0.111</w:t>
            </w:r>
          </w:p>
        </w:tc>
        <w:tc>
          <w:tcPr>
            <w:tcW w:w="1305" w:type="dxa"/>
          </w:tcPr>
          <w:p>
            <w:pPr>
              <w:pStyle w:val="TableParagraph"/>
              <w:spacing w:before="94"/>
              <w:ind w:left="360"/>
              <w:rPr>
                <w:sz w:val="24"/>
              </w:rPr>
            </w:pPr>
            <w:r>
              <w:rPr>
                <w:spacing w:val="-4"/>
                <w:sz w:val="24"/>
              </w:rPr>
              <w:t>0.480</w:t>
            </w:r>
          </w:p>
        </w:tc>
        <w:tc>
          <w:tcPr>
            <w:tcW w:w="836" w:type="dxa"/>
          </w:tcPr>
          <w:p>
            <w:pPr>
              <w:pStyle w:val="TableParagraph"/>
              <w:spacing w:before="94"/>
              <w:ind w:left="135"/>
              <w:rPr>
                <w:sz w:val="24"/>
              </w:rPr>
            </w:pPr>
            <w:r>
              <w:rPr>
                <w:spacing w:val="-4"/>
                <w:sz w:val="24"/>
              </w:rPr>
              <w:t>0.028</w:t>
            </w:r>
          </w:p>
        </w:tc>
      </w:tr>
      <w:tr>
        <w:trPr>
          <w:trHeight w:val="479" w:hRule="atLeast"/>
        </w:trPr>
        <w:tc>
          <w:tcPr>
            <w:tcW w:w="1565" w:type="dxa"/>
            <w:tcBorders>
              <w:bottom w:val="single" w:sz="4" w:space="0" w:color="000000"/>
            </w:tcBorders>
          </w:tcPr>
          <w:p>
            <w:pPr>
              <w:pStyle w:val="TableParagraph"/>
              <w:spacing w:before="97"/>
              <w:ind w:left="124"/>
              <w:rPr>
                <w:sz w:val="24"/>
              </w:rPr>
            </w:pPr>
            <w:r>
              <w:rPr>
                <w:spacing w:val="-4"/>
                <w:sz w:val="24"/>
              </w:rPr>
              <w:t>NDME</w:t>
            </w:r>
          </w:p>
        </w:tc>
        <w:tc>
          <w:tcPr>
            <w:tcW w:w="874" w:type="dxa"/>
            <w:tcBorders>
              <w:bottom w:val="single" w:sz="4" w:space="0" w:color="000000"/>
            </w:tcBorders>
          </w:tcPr>
          <w:p>
            <w:pPr>
              <w:pStyle w:val="TableParagraph"/>
              <w:spacing w:before="97"/>
              <w:ind w:left="105"/>
              <w:rPr>
                <w:sz w:val="24"/>
              </w:rPr>
            </w:pPr>
            <w:r>
              <w:rPr>
                <w:spacing w:val="-4"/>
                <w:sz w:val="24"/>
              </w:rPr>
              <w:t>0.000</w:t>
            </w:r>
          </w:p>
        </w:tc>
        <w:tc>
          <w:tcPr>
            <w:tcW w:w="1282" w:type="dxa"/>
            <w:tcBorders>
              <w:bottom w:val="single" w:sz="4" w:space="0" w:color="000000"/>
            </w:tcBorders>
          </w:tcPr>
          <w:p>
            <w:pPr>
              <w:pStyle w:val="TableParagraph"/>
              <w:spacing w:before="97"/>
              <w:ind w:left="226"/>
              <w:rPr>
                <w:sz w:val="24"/>
              </w:rPr>
            </w:pPr>
            <w:r>
              <w:rPr>
                <w:spacing w:val="-4"/>
                <w:sz w:val="24"/>
              </w:rPr>
              <w:t>0.000</w:t>
            </w:r>
          </w:p>
        </w:tc>
        <w:tc>
          <w:tcPr>
            <w:tcW w:w="908" w:type="dxa"/>
            <w:tcBorders>
              <w:bottom w:val="single" w:sz="4" w:space="0" w:color="000000"/>
            </w:tcBorders>
          </w:tcPr>
          <w:p>
            <w:pPr>
              <w:pStyle w:val="TableParagraph"/>
              <w:spacing w:before="97"/>
              <w:ind w:left="110"/>
              <w:rPr>
                <w:sz w:val="24"/>
              </w:rPr>
            </w:pPr>
            <w:r>
              <w:rPr>
                <w:spacing w:val="-4"/>
                <w:sz w:val="24"/>
              </w:rPr>
              <w:t>0.008</w:t>
            </w:r>
          </w:p>
        </w:tc>
        <w:tc>
          <w:tcPr>
            <w:tcW w:w="269" w:type="dxa"/>
            <w:tcBorders>
              <w:bottom w:val="single" w:sz="4" w:space="0" w:color="000000"/>
            </w:tcBorders>
          </w:tcPr>
          <w:p>
            <w:pPr>
              <w:pStyle w:val="TableParagraph"/>
              <w:rPr>
                <w:sz w:val="22"/>
              </w:rPr>
            </w:pPr>
          </w:p>
        </w:tc>
        <w:tc>
          <w:tcPr>
            <w:tcW w:w="1008" w:type="dxa"/>
            <w:tcBorders>
              <w:bottom w:val="single" w:sz="4" w:space="0" w:color="000000"/>
            </w:tcBorders>
          </w:tcPr>
          <w:p>
            <w:pPr>
              <w:pStyle w:val="TableParagraph"/>
              <w:spacing w:before="97"/>
              <w:ind w:left="105"/>
              <w:rPr>
                <w:sz w:val="24"/>
              </w:rPr>
            </w:pPr>
            <w:r>
              <w:rPr>
                <w:spacing w:val="-4"/>
                <w:sz w:val="24"/>
              </w:rPr>
              <w:t>0.506</w:t>
            </w:r>
          </w:p>
        </w:tc>
        <w:tc>
          <w:tcPr>
            <w:tcW w:w="1305" w:type="dxa"/>
            <w:tcBorders>
              <w:bottom w:val="single" w:sz="4" w:space="0" w:color="000000"/>
            </w:tcBorders>
          </w:tcPr>
          <w:p>
            <w:pPr>
              <w:pStyle w:val="TableParagraph"/>
              <w:spacing w:before="97"/>
              <w:ind w:left="360"/>
              <w:rPr>
                <w:sz w:val="24"/>
              </w:rPr>
            </w:pPr>
            <w:r>
              <w:rPr>
                <w:spacing w:val="-4"/>
                <w:sz w:val="24"/>
              </w:rPr>
              <w:t>4.798</w:t>
            </w:r>
          </w:p>
        </w:tc>
        <w:tc>
          <w:tcPr>
            <w:tcW w:w="836" w:type="dxa"/>
            <w:tcBorders>
              <w:bottom w:val="single" w:sz="4" w:space="0" w:color="000000"/>
            </w:tcBorders>
          </w:tcPr>
          <w:p>
            <w:pPr>
              <w:pStyle w:val="TableParagraph"/>
              <w:spacing w:before="97"/>
              <w:ind w:left="135"/>
              <w:rPr>
                <w:sz w:val="24"/>
              </w:rPr>
            </w:pPr>
            <w:r>
              <w:rPr>
                <w:spacing w:val="-4"/>
                <w:sz w:val="24"/>
              </w:rPr>
              <w:t>0.332</w:t>
            </w:r>
          </w:p>
        </w:tc>
      </w:tr>
    </w:tbl>
    <w:p>
      <w:pPr>
        <w:spacing w:before="0"/>
        <w:ind w:left="1028" w:right="0" w:firstLine="0"/>
        <w:jc w:val="left"/>
        <w:rPr>
          <w:sz w:val="22"/>
        </w:rPr>
      </w:pPr>
      <w:r>
        <w:rPr>
          <w:sz w:val="22"/>
        </w:rPr>
        <w:t>USE</w:t>
      </w:r>
      <w:r>
        <w:rPr>
          <w:spacing w:val="-5"/>
          <w:sz w:val="22"/>
        </w:rPr>
        <w:t> </w:t>
      </w:r>
      <w:r>
        <w:rPr>
          <w:sz w:val="22"/>
        </w:rPr>
        <w:t>=</w:t>
      </w:r>
      <w:r>
        <w:rPr>
          <w:spacing w:val="-4"/>
          <w:sz w:val="22"/>
        </w:rPr>
        <w:t> </w:t>
      </w:r>
      <w:r>
        <w:rPr>
          <w:sz w:val="22"/>
        </w:rPr>
        <w:t>Undetoxified</w:t>
      </w:r>
      <w:r>
        <w:rPr>
          <w:spacing w:val="-7"/>
          <w:sz w:val="22"/>
        </w:rPr>
        <w:t> </w:t>
      </w:r>
      <w:r>
        <w:rPr>
          <w:sz w:val="22"/>
        </w:rPr>
        <w:t>Solvent</w:t>
      </w:r>
      <w:r>
        <w:rPr>
          <w:spacing w:val="-2"/>
          <w:sz w:val="22"/>
        </w:rPr>
        <w:t> Extracted</w:t>
      </w:r>
    </w:p>
    <w:p>
      <w:pPr>
        <w:spacing w:line="360" w:lineRule="auto" w:before="125"/>
        <w:ind w:left="1028" w:right="4317" w:firstLine="0"/>
        <w:jc w:val="left"/>
        <w:rPr>
          <w:sz w:val="22"/>
        </w:rPr>
      </w:pPr>
      <w:r>
        <w:rPr>
          <w:sz w:val="22"/>
        </w:rPr>
        <w:t>SDSE</w:t>
      </w:r>
      <w:r>
        <w:rPr>
          <w:spacing w:val="-9"/>
          <w:sz w:val="22"/>
        </w:rPr>
        <w:t> </w:t>
      </w:r>
      <w:r>
        <w:rPr>
          <w:sz w:val="22"/>
        </w:rPr>
        <w:t>=</w:t>
      </w:r>
      <w:r>
        <w:rPr>
          <w:spacing w:val="-9"/>
          <w:sz w:val="22"/>
        </w:rPr>
        <w:t> </w:t>
      </w:r>
      <w:r>
        <w:rPr>
          <w:sz w:val="22"/>
        </w:rPr>
        <w:t>Synthetically</w:t>
      </w:r>
      <w:r>
        <w:rPr>
          <w:spacing w:val="-9"/>
          <w:sz w:val="22"/>
        </w:rPr>
        <w:t> </w:t>
      </w:r>
      <w:r>
        <w:rPr>
          <w:sz w:val="22"/>
        </w:rPr>
        <w:t>Detoxified</w:t>
      </w:r>
      <w:r>
        <w:rPr>
          <w:spacing w:val="-6"/>
          <w:sz w:val="22"/>
        </w:rPr>
        <w:t> </w:t>
      </w:r>
      <w:r>
        <w:rPr>
          <w:sz w:val="22"/>
        </w:rPr>
        <w:t>Solvent</w:t>
      </w:r>
      <w:r>
        <w:rPr>
          <w:spacing w:val="-4"/>
          <w:sz w:val="22"/>
        </w:rPr>
        <w:t> </w:t>
      </w:r>
      <w:r>
        <w:rPr>
          <w:sz w:val="22"/>
        </w:rPr>
        <w:t>Extracted UME = Undetoxified Mechanically Extracted</w:t>
      </w:r>
    </w:p>
    <w:p>
      <w:pPr>
        <w:spacing w:line="360" w:lineRule="auto" w:before="0"/>
        <w:ind w:left="1028" w:right="3629"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9"/>
          <w:sz w:val="22"/>
        </w:rPr>
        <w:t> </w:t>
      </w:r>
      <w:r>
        <w:rPr>
          <w:sz w:val="22"/>
        </w:rPr>
        <w:t>Detoxified</w:t>
      </w:r>
      <w:r>
        <w:rPr>
          <w:spacing w:val="-9"/>
          <w:sz w:val="22"/>
        </w:rPr>
        <w:t> </w:t>
      </w:r>
      <w:r>
        <w:rPr>
          <w:sz w:val="22"/>
        </w:rPr>
        <w:t>Mechanically</w:t>
      </w:r>
      <w:r>
        <w:rPr>
          <w:spacing w:val="-9"/>
          <w:sz w:val="22"/>
        </w:rPr>
        <w:t> </w:t>
      </w:r>
      <w:r>
        <w:rPr>
          <w:sz w:val="22"/>
        </w:rPr>
        <w:t>Extracted NDME = Naturally Detoxified Mechanically Extracted</w:t>
      </w:r>
    </w:p>
    <w:p>
      <w:pPr>
        <w:spacing w:after="0" w:line="360" w:lineRule="auto"/>
        <w:jc w:val="left"/>
        <w:rPr>
          <w:sz w:val="22"/>
        </w:rPr>
        <w:sectPr>
          <w:pgSz w:w="11910" w:h="16840"/>
          <w:pgMar w:header="0" w:footer="1012" w:top="1340" w:bottom="1200" w:left="960" w:right="620"/>
        </w:sectPr>
      </w:pPr>
    </w:p>
    <w:p>
      <w:pPr>
        <w:pStyle w:val="ListParagraph"/>
        <w:numPr>
          <w:ilvl w:val="1"/>
          <w:numId w:val="20"/>
        </w:numPr>
        <w:tabs>
          <w:tab w:pos="1748" w:val="left" w:leader="none"/>
        </w:tabs>
        <w:spacing w:line="240" w:lineRule="auto" w:before="64" w:after="0"/>
        <w:ind w:left="1748" w:right="0" w:hanging="720"/>
        <w:jc w:val="left"/>
        <w:rPr>
          <w:b/>
          <w:sz w:val="24"/>
        </w:rPr>
      </w:pPr>
      <w:r>
        <w:rPr>
          <w:b/>
          <w:sz w:val="24"/>
        </w:rPr>
        <w:t>Phorbol</w:t>
      </w:r>
      <w:r>
        <w:rPr>
          <w:b/>
          <w:spacing w:val="-6"/>
          <w:sz w:val="24"/>
        </w:rPr>
        <w:t> </w:t>
      </w:r>
      <w:r>
        <w:rPr>
          <w:b/>
          <w:sz w:val="24"/>
        </w:rPr>
        <w:t>Ester</w:t>
      </w:r>
      <w:r>
        <w:rPr>
          <w:b/>
          <w:spacing w:val="-6"/>
          <w:sz w:val="24"/>
        </w:rPr>
        <w:t> </w:t>
      </w:r>
      <w:r>
        <w:rPr>
          <w:b/>
          <w:sz w:val="24"/>
        </w:rPr>
        <w:t>Rich Fractions</w:t>
      </w:r>
      <w:r>
        <w:rPr>
          <w:b/>
          <w:spacing w:val="1"/>
          <w:sz w:val="24"/>
        </w:rPr>
        <w:t> </w:t>
      </w:r>
      <w:r>
        <w:rPr>
          <w:b/>
          <w:sz w:val="24"/>
        </w:rPr>
        <w:t>of</w:t>
      </w:r>
      <w:r>
        <w:rPr>
          <w:b/>
          <w:spacing w:val="-3"/>
          <w:sz w:val="24"/>
        </w:rPr>
        <w:t> </w:t>
      </w:r>
      <w:r>
        <w:rPr>
          <w:b/>
          <w:i/>
          <w:sz w:val="24"/>
        </w:rPr>
        <w:t>J.</w:t>
      </w:r>
      <w:r>
        <w:rPr>
          <w:b/>
          <w:i/>
          <w:spacing w:val="2"/>
          <w:sz w:val="24"/>
        </w:rPr>
        <w:t> </w:t>
      </w:r>
      <w:r>
        <w:rPr>
          <w:b/>
          <w:i/>
          <w:sz w:val="24"/>
        </w:rPr>
        <w:t>curcas</w:t>
      </w:r>
      <w:r>
        <w:rPr>
          <w:b/>
          <w:i/>
          <w:spacing w:val="-2"/>
          <w:sz w:val="24"/>
        </w:rPr>
        <w:t> </w:t>
      </w:r>
      <w:r>
        <w:rPr>
          <w:b/>
          <w:spacing w:val="-4"/>
          <w:sz w:val="24"/>
        </w:rPr>
        <w:t>Oils</w:t>
      </w:r>
    </w:p>
    <w:p>
      <w:pPr>
        <w:pStyle w:val="BodyText"/>
        <w:spacing w:before="273"/>
        <w:rPr>
          <w:b/>
        </w:rPr>
      </w:pPr>
    </w:p>
    <w:p>
      <w:pPr>
        <w:pStyle w:val="BodyText"/>
        <w:spacing w:line="480" w:lineRule="auto" w:before="1"/>
        <w:ind w:left="1028" w:right="796"/>
        <w:jc w:val="both"/>
      </w:pPr>
      <w:r>
        <w:rPr/>
        <w:t>The phorbol ester rich fractions in undetoxified </w:t>
      </w:r>
      <w:r>
        <w:rPr>
          <w:i/>
        </w:rPr>
        <w:t>J. curcas </w:t>
      </w:r>
      <w:r>
        <w:rPr/>
        <w:t>oils were used as references (100%) for the</w:t>
      </w:r>
      <w:r>
        <w:rPr>
          <w:spacing w:val="-1"/>
        </w:rPr>
        <w:t> </w:t>
      </w:r>
      <w:r>
        <w:rPr/>
        <w:t>phorbol</w:t>
      </w:r>
      <w:r>
        <w:rPr>
          <w:spacing w:val="-5"/>
        </w:rPr>
        <w:t> </w:t>
      </w:r>
      <w:r>
        <w:rPr/>
        <w:t>ester rich fractions in both synthetically and naturally detoxified oils. The synthetically detoxified solvent extracted (SDSE) oil contained 72% phorbol ester rich fraction compared to the undetoxified solvent extracted (USE) oil, showing 28% reduction in the levels of</w:t>
      </w:r>
      <w:r>
        <w:rPr>
          <w:spacing w:val="-7"/>
        </w:rPr>
        <w:t> </w:t>
      </w:r>
      <w:r>
        <w:rPr/>
        <w:t>phorbol</w:t>
      </w:r>
      <w:r>
        <w:rPr>
          <w:spacing w:val="-8"/>
        </w:rPr>
        <w:t> </w:t>
      </w:r>
      <w:r>
        <w:rPr/>
        <w:t>esters in the detoxified oil. The synthetically and naturally detoxified mechanically extracted</w:t>
      </w:r>
      <w:r>
        <w:rPr>
          <w:spacing w:val="80"/>
        </w:rPr>
        <w:t> </w:t>
      </w:r>
      <w:r>
        <w:rPr/>
        <w:t>(SDME) and (NDME) oils showed 91% and 97% phorbol ester rich fractions respectively, when compared to the undetoxified mechanically extracted (UME) oil which was used as reference with 100% phorbol</w:t>
      </w:r>
      <w:r>
        <w:rPr>
          <w:spacing w:val="80"/>
        </w:rPr>
        <w:t> </w:t>
      </w:r>
      <w:r>
        <w:rPr/>
        <w:t>ester rich fraction (Figure 4.1).</w:t>
      </w:r>
    </w:p>
    <w:p>
      <w:pPr>
        <w:pStyle w:val="BodyText"/>
        <w:rPr>
          <w:sz w:val="20"/>
        </w:rPr>
      </w:pPr>
    </w:p>
    <w:p>
      <w:pPr>
        <w:pStyle w:val="BodyText"/>
        <w:rPr>
          <w:sz w:val="20"/>
        </w:rPr>
      </w:pPr>
    </w:p>
    <w:p>
      <w:pPr>
        <w:pStyle w:val="BodyText"/>
        <w:rPr>
          <w:sz w:val="20"/>
        </w:rPr>
      </w:pPr>
    </w:p>
    <w:p>
      <w:pPr>
        <w:pStyle w:val="BodyText"/>
        <w:spacing w:before="80"/>
        <w:rPr>
          <w:sz w:val="20"/>
        </w:rPr>
      </w:pPr>
    </w:p>
    <w:p>
      <w:pPr>
        <w:spacing w:before="1"/>
        <w:ind w:left="1791" w:right="0" w:firstLine="0"/>
        <w:jc w:val="left"/>
        <w:rPr>
          <w:rFonts w:ascii="Calibri"/>
          <w:sz w:val="20"/>
        </w:rPr>
      </w:pPr>
      <w:r>
        <w:rPr/>
        <mc:AlternateContent>
          <mc:Choice Requires="wps">
            <w:drawing>
              <wp:anchor distT="0" distB="0" distL="0" distR="0" allowOverlap="1" layoutInCell="1" locked="0" behindDoc="1" simplePos="0" relativeHeight="485042688">
                <wp:simplePos x="0" y="0"/>
                <wp:positionH relativeFrom="page">
                  <wp:posOffset>2054351</wp:posOffset>
                </wp:positionH>
                <wp:positionV relativeFrom="paragraph">
                  <wp:posOffset>81881</wp:posOffset>
                </wp:positionV>
                <wp:extent cx="2766060" cy="26657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2766060" cy="2665730"/>
                          <a:chExt cx="2766060" cy="2665730"/>
                        </a:xfrm>
                      </wpg:grpSpPr>
                      <pic:pic>
                        <pic:nvPicPr>
                          <pic:cNvPr id="67" name="Image 67"/>
                          <pic:cNvPicPr/>
                        </pic:nvPicPr>
                        <pic:blipFill>
                          <a:blip r:embed="rId12" cstate="print"/>
                          <a:stretch>
                            <a:fillRect/>
                          </a:stretch>
                        </pic:blipFill>
                        <pic:spPr>
                          <a:xfrm>
                            <a:off x="111206" y="1054615"/>
                            <a:ext cx="432906" cy="1605653"/>
                          </a:xfrm>
                          <a:prstGeom prst="rect">
                            <a:avLst/>
                          </a:prstGeom>
                        </pic:spPr>
                      </pic:pic>
                      <pic:pic>
                        <pic:nvPicPr>
                          <pic:cNvPr id="68" name="Image 68"/>
                          <pic:cNvPicPr/>
                        </pic:nvPicPr>
                        <pic:blipFill>
                          <a:blip r:embed="rId13" cstate="print"/>
                          <a:stretch>
                            <a:fillRect/>
                          </a:stretch>
                        </pic:blipFill>
                        <pic:spPr>
                          <a:xfrm>
                            <a:off x="1491950" y="633989"/>
                            <a:ext cx="432906" cy="2026279"/>
                          </a:xfrm>
                          <a:prstGeom prst="rect">
                            <a:avLst/>
                          </a:prstGeom>
                        </pic:spPr>
                      </pic:pic>
                      <pic:pic>
                        <pic:nvPicPr>
                          <pic:cNvPr id="69" name="Image 69"/>
                          <pic:cNvPicPr/>
                        </pic:nvPicPr>
                        <pic:blipFill>
                          <a:blip r:embed="rId14" cstate="print"/>
                          <a:stretch>
                            <a:fillRect/>
                          </a:stretch>
                        </pic:blipFill>
                        <pic:spPr>
                          <a:xfrm>
                            <a:off x="466344" y="422148"/>
                            <a:ext cx="460248" cy="2238121"/>
                          </a:xfrm>
                          <a:prstGeom prst="rect">
                            <a:avLst/>
                          </a:prstGeom>
                        </pic:spPr>
                      </pic:pic>
                      <pic:pic>
                        <pic:nvPicPr>
                          <pic:cNvPr id="70" name="Image 70"/>
                          <pic:cNvPicPr/>
                        </pic:nvPicPr>
                        <pic:blipFill>
                          <a:blip r:embed="rId15" cstate="print"/>
                          <a:stretch>
                            <a:fillRect/>
                          </a:stretch>
                        </pic:blipFill>
                        <pic:spPr>
                          <a:xfrm>
                            <a:off x="1847088" y="489204"/>
                            <a:ext cx="460248" cy="2171064"/>
                          </a:xfrm>
                          <a:prstGeom prst="rect">
                            <a:avLst/>
                          </a:prstGeom>
                        </pic:spPr>
                      </pic:pic>
                      <pic:pic>
                        <pic:nvPicPr>
                          <pic:cNvPr id="71" name="Image 71"/>
                          <pic:cNvPicPr/>
                        </pic:nvPicPr>
                        <pic:blipFill>
                          <a:blip r:embed="rId16" cstate="print"/>
                          <a:stretch>
                            <a:fillRect/>
                          </a:stretch>
                        </pic:blipFill>
                        <pic:spPr>
                          <a:xfrm>
                            <a:off x="2215895" y="422148"/>
                            <a:ext cx="460248" cy="2238121"/>
                          </a:xfrm>
                          <a:prstGeom prst="rect">
                            <a:avLst/>
                          </a:prstGeom>
                        </pic:spPr>
                      </pic:pic>
                      <pic:pic>
                        <pic:nvPicPr>
                          <pic:cNvPr id="72" name="Image 72"/>
                          <pic:cNvPicPr/>
                        </pic:nvPicPr>
                        <pic:blipFill>
                          <a:blip r:embed="rId17" cstate="print"/>
                          <a:stretch>
                            <a:fillRect/>
                          </a:stretch>
                        </pic:blipFill>
                        <pic:spPr>
                          <a:xfrm>
                            <a:off x="142747" y="1064513"/>
                            <a:ext cx="368465" cy="1595755"/>
                          </a:xfrm>
                          <a:prstGeom prst="rect">
                            <a:avLst/>
                          </a:prstGeom>
                        </pic:spPr>
                      </pic:pic>
                      <pic:pic>
                        <pic:nvPicPr>
                          <pic:cNvPr id="73" name="Image 73"/>
                          <pic:cNvPicPr/>
                        </pic:nvPicPr>
                        <pic:blipFill>
                          <a:blip r:embed="rId18" cstate="print"/>
                          <a:stretch>
                            <a:fillRect/>
                          </a:stretch>
                        </pic:blipFill>
                        <pic:spPr>
                          <a:xfrm>
                            <a:off x="1524508" y="643381"/>
                            <a:ext cx="368465" cy="2016886"/>
                          </a:xfrm>
                          <a:prstGeom prst="rect">
                            <a:avLst/>
                          </a:prstGeom>
                        </pic:spPr>
                      </pic:pic>
                      <wps:wsp>
                        <wps:cNvPr id="74" name="Graphic 74"/>
                        <wps:cNvSpPr/>
                        <wps:spPr>
                          <a:xfrm>
                            <a:off x="511175" y="443991"/>
                            <a:ext cx="368935" cy="2216785"/>
                          </a:xfrm>
                          <a:custGeom>
                            <a:avLst/>
                            <a:gdLst/>
                            <a:ahLst/>
                            <a:cxnLst/>
                            <a:rect l="l" t="t" r="r" b="b"/>
                            <a:pathLst>
                              <a:path w="368935" h="2216785">
                                <a:moveTo>
                                  <a:pt x="368465" y="0"/>
                                </a:moveTo>
                                <a:lnTo>
                                  <a:pt x="0" y="0"/>
                                </a:lnTo>
                                <a:lnTo>
                                  <a:pt x="0" y="2216277"/>
                                </a:lnTo>
                                <a:lnTo>
                                  <a:pt x="368465" y="2216277"/>
                                </a:lnTo>
                                <a:lnTo>
                                  <a:pt x="368465" y="0"/>
                                </a:lnTo>
                                <a:close/>
                              </a:path>
                            </a:pathLst>
                          </a:custGeom>
                          <a:solidFill>
                            <a:srgbClr val="C0504D"/>
                          </a:solidFill>
                        </wps:spPr>
                        <wps:bodyPr wrap="square" lIns="0" tIns="0" rIns="0" bIns="0" rtlCol="0">
                          <a:prstTxWarp prst="textNoShape">
                            <a:avLst/>
                          </a:prstTxWarp>
                          <a:noAutofit/>
                        </wps:bodyPr>
                      </wps:wsp>
                      <wps:wsp>
                        <wps:cNvPr id="75" name="Graphic 75"/>
                        <wps:cNvSpPr/>
                        <wps:spPr>
                          <a:xfrm>
                            <a:off x="1893442" y="510412"/>
                            <a:ext cx="368935" cy="2150110"/>
                          </a:xfrm>
                          <a:custGeom>
                            <a:avLst/>
                            <a:gdLst/>
                            <a:ahLst/>
                            <a:cxnLst/>
                            <a:rect l="l" t="t" r="r" b="b"/>
                            <a:pathLst>
                              <a:path w="368935" h="2150110">
                                <a:moveTo>
                                  <a:pt x="368808" y="0"/>
                                </a:moveTo>
                                <a:lnTo>
                                  <a:pt x="0" y="0"/>
                                </a:lnTo>
                                <a:lnTo>
                                  <a:pt x="0" y="2149856"/>
                                </a:lnTo>
                                <a:lnTo>
                                  <a:pt x="368808" y="2149856"/>
                                </a:lnTo>
                                <a:lnTo>
                                  <a:pt x="368808" y="0"/>
                                </a:lnTo>
                                <a:close/>
                              </a:path>
                            </a:pathLst>
                          </a:custGeom>
                          <a:solidFill>
                            <a:srgbClr val="92D050"/>
                          </a:solidFill>
                        </wps:spPr>
                        <wps:bodyPr wrap="square" lIns="0" tIns="0" rIns="0" bIns="0" rtlCol="0">
                          <a:prstTxWarp prst="textNoShape">
                            <a:avLst/>
                          </a:prstTxWarp>
                          <a:noAutofit/>
                        </wps:bodyPr>
                      </wps:wsp>
                      <wps:wsp>
                        <wps:cNvPr id="76" name="Graphic 76"/>
                        <wps:cNvSpPr/>
                        <wps:spPr>
                          <a:xfrm>
                            <a:off x="2262251" y="443356"/>
                            <a:ext cx="368935" cy="2217420"/>
                          </a:xfrm>
                          <a:custGeom>
                            <a:avLst/>
                            <a:gdLst/>
                            <a:ahLst/>
                            <a:cxnLst/>
                            <a:rect l="l" t="t" r="r" b="b"/>
                            <a:pathLst>
                              <a:path w="368935" h="2217420">
                                <a:moveTo>
                                  <a:pt x="368808" y="0"/>
                                </a:moveTo>
                                <a:lnTo>
                                  <a:pt x="0" y="0"/>
                                </a:lnTo>
                                <a:lnTo>
                                  <a:pt x="0" y="2216911"/>
                                </a:lnTo>
                                <a:lnTo>
                                  <a:pt x="368808" y="2216911"/>
                                </a:lnTo>
                                <a:lnTo>
                                  <a:pt x="368808" y="0"/>
                                </a:lnTo>
                                <a:close/>
                              </a:path>
                            </a:pathLst>
                          </a:custGeom>
                          <a:solidFill>
                            <a:srgbClr val="C0504D"/>
                          </a:solidFill>
                        </wps:spPr>
                        <wps:bodyPr wrap="square" lIns="0" tIns="0" rIns="0" bIns="0" rtlCol="0">
                          <a:prstTxWarp prst="textNoShape">
                            <a:avLst/>
                          </a:prstTxWarp>
                          <a:noAutofit/>
                        </wps:bodyPr>
                      </wps:wsp>
                      <wps:wsp>
                        <wps:cNvPr id="77" name="Graphic 77"/>
                        <wps:cNvSpPr/>
                        <wps:spPr>
                          <a:xfrm>
                            <a:off x="298322" y="473963"/>
                            <a:ext cx="1807845" cy="590550"/>
                          </a:xfrm>
                          <a:custGeom>
                            <a:avLst/>
                            <a:gdLst/>
                            <a:ahLst/>
                            <a:cxnLst/>
                            <a:rect l="l" t="t" r="r" b="b"/>
                            <a:pathLst>
                              <a:path w="1807845" h="590550">
                                <a:moveTo>
                                  <a:pt x="28575" y="590550"/>
                                </a:moveTo>
                                <a:lnTo>
                                  <a:pt x="28575" y="590550"/>
                                </a:lnTo>
                                <a:lnTo>
                                  <a:pt x="28575" y="529589"/>
                                </a:lnTo>
                              </a:path>
                              <a:path w="1807845" h="590550">
                                <a:moveTo>
                                  <a:pt x="0" y="529589"/>
                                </a:moveTo>
                                <a:lnTo>
                                  <a:pt x="57150" y="529589"/>
                                </a:lnTo>
                              </a:path>
                              <a:path w="1807845" h="590550">
                                <a:moveTo>
                                  <a:pt x="1410335" y="169418"/>
                                </a:moveTo>
                                <a:lnTo>
                                  <a:pt x="1410335" y="169418"/>
                                </a:lnTo>
                                <a:lnTo>
                                  <a:pt x="1410335" y="161036"/>
                                </a:lnTo>
                              </a:path>
                              <a:path w="1807845" h="590550">
                                <a:moveTo>
                                  <a:pt x="1381760" y="161036"/>
                                </a:moveTo>
                                <a:lnTo>
                                  <a:pt x="1438910" y="161036"/>
                                </a:lnTo>
                              </a:path>
                              <a:path w="1807845" h="590550">
                                <a:moveTo>
                                  <a:pt x="1778889" y="36449"/>
                                </a:moveTo>
                                <a:lnTo>
                                  <a:pt x="1778889" y="36449"/>
                                </a:lnTo>
                                <a:lnTo>
                                  <a:pt x="1778889" y="0"/>
                                </a:lnTo>
                              </a:path>
                              <a:path w="1807845" h="590550">
                                <a:moveTo>
                                  <a:pt x="1750314" y="0"/>
                                </a:moveTo>
                                <a:lnTo>
                                  <a:pt x="1807464" y="0"/>
                                </a:lnTo>
                              </a:path>
                            </a:pathLst>
                          </a:custGeom>
                          <a:ln w="12700">
                            <a:solidFill>
                              <a:srgbClr val="000000"/>
                            </a:solidFill>
                            <a:prstDash val="solid"/>
                          </a:ln>
                        </wps:spPr>
                        <wps:bodyPr wrap="square" lIns="0" tIns="0" rIns="0" bIns="0" rtlCol="0">
                          <a:prstTxWarp prst="textNoShape">
                            <a:avLst/>
                          </a:prstTxWarp>
                          <a:noAutofit/>
                        </wps:bodyPr>
                      </wps:wsp>
                      <wps:wsp>
                        <wps:cNvPr id="78" name="Graphic 78"/>
                        <wps:cNvSpPr/>
                        <wps:spPr>
                          <a:xfrm>
                            <a:off x="4572" y="0"/>
                            <a:ext cx="2761615" cy="2661285"/>
                          </a:xfrm>
                          <a:custGeom>
                            <a:avLst/>
                            <a:gdLst/>
                            <a:ahLst/>
                            <a:cxnLst/>
                            <a:rect l="l" t="t" r="r" b="b"/>
                            <a:pathLst>
                              <a:path w="2761615" h="2661285">
                                <a:moveTo>
                                  <a:pt x="0" y="2660904"/>
                                </a:moveTo>
                                <a:lnTo>
                                  <a:pt x="0" y="0"/>
                                </a:lnTo>
                              </a:path>
                              <a:path w="2761615" h="2661285">
                                <a:moveTo>
                                  <a:pt x="0" y="2660904"/>
                                </a:moveTo>
                                <a:lnTo>
                                  <a:pt x="2761488" y="2660904"/>
                                </a:lnTo>
                              </a:path>
                            </a:pathLst>
                          </a:custGeom>
                          <a:ln w="9144">
                            <a:solidFill>
                              <a:srgbClr val="858585"/>
                            </a:solidFill>
                            <a:prstDash val="solid"/>
                          </a:ln>
                        </wps:spPr>
                        <wps:bodyPr wrap="square" lIns="0" tIns="0" rIns="0" bIns="0" rtlCol="0">
                          <a:prstTxWarp prst="textNoShape">
                            <a:avLst/>
                          </a:prstTxWarp>
                          <a:noAutofit/>
                        </wps:bodyPr>
                      </wps:wsp>
                      <wps:wsp>
                        <wps:cNvPr id="79" name="Textbox 79"/>
                        <wps:cNvSpPr txBox="1"/>
                        <wps:spPr>
                          <a:xfrm>
                            <a:off x="599186" y="259334"/>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80" name="Textbox 80"/>
                        <wps:cNvSpPr txBox="1"/>
                        <wps:spPr>
                          <a:xfrm>
                            <a:off x="2014982" y="325881"/>
                            <a:ext cx="140970"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97</w:t>
                              </w:r>
                            </w:p>
                          </w:txbxContent>
                        </wps:txbx>
                        <wps:bodyPr wrap="square" lIns="0" tIns="0" rIns="0" bIns="0" rtlCol="0">
                          <a:noAutofit/>
                        </wps:bodyPr>
                      </wps:wsp>
                      <wps:wsp>
                        <wps:cNvPr id="81" name="Textbox 81"/>
                        <wps:cNvSpPr txBox="1"/>
                        <wps:spPr>
                          <a:xfrm>
                            <a:off x="2350007" y="259334"/>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82" name="Textbox 82"/>
                        <wps:cNvSpPr txBox="1"/>
                        <wps:spPr>
                          <a:xfrm>
                            <a:off x="1646554" y="458723"/>
                            <a:ext cx="140970"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91</w:t>
                              </w:r>
                            </w:p>
                          </w:txbxContent>
                        </wps:txbx>
                        <wps:bodyPr wrap="square" lIns="0" tIns="0" rIns="0" bIns="0" rtlCol="0">
                          <a:noAutofit/>
                        </wps:bodyPr>
                      </wps:wsp>
                      <wps:wsp>
                        <wps:cNvPr id="83" name="Textbox 83"/>
                        <wps:cNvSpPr txBox="1"/>
                        <wps:spPr>
                          <a:xfrm>
                            <a:off x="263906" y="778001"/>
                            <a:ext cx="140970" cy="230504"/>
                          </a:xfrm>
                          <a:prstGeom prst="rect">
                            <a:avLst/>
                          </a:prstGeom>
                        </wps:spPr>
                        <wps:txbx>
                          <w:txbxContent>
                            <w:p>
                              <w:pPr>
                                <w:spacing w:line="137" w:lineRule="exact" w:before="0"/>
                                <w:ind w:left="55" w:right="0" w:firstLine="0"/>
                                <w:jc w:val="left"/>
                                <w:rPr>
                                  <w:rFonts w:ascii="Calibri"/>
                                  <w:sz w:val="15"/>
                                </w:rPr>
                              </w:pPr>
                              <w:r>
                                <w:rPr>
                                  <w:rFonts w:ascii="Calibri"/>
                                  <w:spacing w:val="-10"/>
                                  <w:sz w:val="15"/>
                                </w:rPr>
                                <w:t>a</w:t>
                              </w:r>
                            </w:p>
                            <w:p>
                              <w:pPr>
                                <w:spacing w:line="226" w:lineRule="exact" w:before="0"/>
                                <w:ind w:left="0" w:right="0" w:firstLine="0"/>
                                <w:jc w:val="left"/>
                                <w:rPr>
                                  <w:rFonts w:ascii="Calibri"/>
                                  <w:sz w:val="20"/>
                                </w:rPr>
                              </w:pPr>
                              <w:r>
                                <w:rPr>
                                  <w:rFonts w:ascii="Calibri"/>
                                  <w:spacing w:val="-5"/>
                                  <w:sz w:val="20"/>
                                </w:rPr>
                                <w:t>72</w:t>
                              </w:r>
                            </w:p>
                          </w:txbxContent>
                        </wps:txbx>
                        <wps:bodyPr wrap="square" lIns="0" tIns="0" rIns="0" bIns="0" rtlCol="0">
                          <a:noAutofit/>
                        </wps:bodyPr>
                      </wps:wsp>
                    </wpg:wgp>
                  </a:graphicData>
                </a:graphic>
              </wp:anchor>
            </w:drawing>
          </mc:Choice>
          <mc:Fallback>
            <w:pict>
              <v:group style="position:absolute;margin-left:161.759995pt;margin-top:6.447344pt;width:217.8pt;height:209.9pt;mso-position-horizontal-relative:page;mso-position-vertical-relative:paragraph;z-index:-18273792" id="docshapegroup3" coordorigin="3235,129" coordsize="4356,4198">
                <v:shape style="position:absolute;left:3410;top:1789;width:682;height:2529" type="#_x0000_t75" id="docshape4" stroked="false">
                  <v:imagedata r:id="rId12" o:title=""/>
                </v:shape>
                <v:shape style="position:absolute;left:5584;top:1127;width:682;height:3191" type="#_x0000_t75" id="docshape5" stroked="false">
                  <v:imagedata r:id="rId13" o:title=""/>
                </v:shape>
                <v:shape style="position:absolute;left:3969;top:793;width:725;height:3525" type="#_x0000_t75" id="docshape6" stroked="false">
                  <v:imagedata r:id="rId14" o:title=""/>
                </v:shape>
                <v:shape style="position:absolute;left:6144;top:899;width:725;height:3419" type="#_x0000_t75" id="docshape7" stroked="false">
                  <v:imagedata r:id="rId15" o:title=""/>
                </v:shape>
                <v:shape style="position:absolute;left:6724;top:793;width:725;height:3525" type="#_x0000_t75" id="docshape8" stroked="false">
                  <v:imagedata r:id="rId16" o:title=""/>
                </v:shape>
                <v:shape style="position:absolute;left:3460;top:1805;width:581;height:2513" type="#_x0000_t75" id="docshape9" stroked="false">
                  <v:imagedata r:id="rId17" o:title=""/>
                </v:shape>
                <v:shape style="position:absolute;left:5636;top:1142;width:581;height:3177" type="#_x0000_t75" id="docshape10" stroked="false">
                  <v:imagedata r:id="rId18" o:title=""/>
                </v:shape>
                <v:rect style="position:absolute;left:4040;top:828;width:581;height:3491" id="docshape11" filled="true" fillcolor="#c0504d" stroked="false">
                  <v:fill type="solid"/>
                </v:rect>
                <v:rect style="position:absolute;left:6217;top:932;width:581;height:3386" id="docshape12" filled="true" fillcolor="#92d050" stroked="false">
                  <v:fill type="solid"/>
                </v:rect>
                <v:rect style="position:absolute;left:6797;top:827;width:581;height:3492" id="docshape13" filled="true" fillcolor="#c0504d" stroked="false">
                  <v:fill type="solid"/>
                </v:rect>
                <v:shape style="position:absolute;left:3705;top:875;width:2847;height:930" id="docshape14" coordorigin="3705,875" coordsize="2847,930" path="m3750,1805l3750,1805,3750,1709m3705,1709l3795,1709m5926,1142l5926,1142,5926,1129m5881,1129l5971,1129m6506,933l6506,933,6506,875m6461,875l6551,875e" filled="false" stroked="true" strokeweight="1pt" strokecolor="#000000">
                  <v:path arrowok="t"/>
                  <v:stroke dashstyle="solid"/>
                </v:shape>
                <v:shape style="position:absolute;left:3242;top:128;width:4349;height:4191" id="docshape15" coordorigin="3242,129" coordsize="4349,4191" path="m3242,4319l3242,129m3242,4319l7591,4319e" filled="false" stroked="true" strokeweight=".72pt" strokecolor="#858585">
                  <v:path arrowok="t"/>
                  <v:stroke dashstyle="solid"/>
                </v:shape>
                <v:shape style="position:absolute;left:4178;top:537;width:323;height:202" type="#_x0000_t202" id="docshape16" filled="false" stroked="false">
                  <v:textbox inset="0,0,0,0">
                    <w:txbxContent>
                      <w:p>
                        <w:pPr>
                          <w:spacing w:line="202" w:lineRule="exact" w:before="0"/>
                          <w:ind w:left="0" w:right="0" w:firstLine="0"/>
                          <w:jc w:val="left"/>
                          <w:rPr>
                            <w:rFonts w:ascii="Calibri"/>
                            <w:sz w:val="20"/>
                          </w:rPr>
                        </w:pPr>
                        <w:r>
                          <w:rPr>
                            <w:rFonts w:ascii="Calibri"/>
                            <w:spacing w:val="-5"/>
                            <w:sz w:val="20"/>
                          </w:rPr>
                          <w:t>100</w:t>
                        </w:r>
                      </w:p>
                    </w:txbxContent>
                  </v:textbox>
                  <w10:wrap type="none"/>
                </v:shape>
                <v:shape style="position:absolute;left:6408;top:642;width:222;height:202" type="#_x0000_t202" id="docshape17" filled="false" stroked="false">
                  <v:textbox inset="0,0,0,0">
                    <w:txbxContent>
                      <w:p>
                        <w:pPr>
                          <w:spacing w:line="202" w:lineRule="exact" w:before="0"/>
                          <w:ind w:left="0" w:right="0" w:firstLine="0"/>
                          <w:jc w:val="left"/>
                          <w:rPr>
                            <w:rFonts w:ascii="Calibri"/>
                            <w:sz w:val="20"/>
                          </w:rPr>
                        </w:pPr>
                        <w:r>
                          <w:rPr>
                            <w:rFonts w:ascii="Calibri"/>
                            <w:spacing w:val="-5"/>
                            <w:sz w:val="20"/>
                          </w:rPr>
                          <w:t>97</w:t>
                        </w:r>
                      </w:p>
                    </w:txbxContent>
                  </v:textbox>
                  <w10:wrap type="none"/>
                </v:shape>
                <v:shape style="position:absolute;left:6936;top:537;width:323;height:202" type="#_x0000_t202" id="docshape18" filled="false" stroked="false">
                  <v:textbox inset="0,0,0,0">
                    <w:txbxContent>
                      <w:p>
                        <w:pPr>
                          <w:spacing w:line="202" w:lineRule="exact" w:before="0"/>
                          <w:ind w:left="0" w:right="0" w:firstLine="0"/>
                          <w:jc w:val="left"/>
                          <w:rPr>
                            <w:rFonts w:ascii="Calibri"/>
                            <w:sz w:val="20"/>
                          </w:rPr>
                        </w:pPr>
                        <w:r>
                          <w:rPr>
                            <w:rFonts w:ascii="Calibri"/>
                            <w:spacing w:val="-5"/>
                            <w:sz w:val="20"/>
                          </w:rPr>
                          <w:t>100</w:t>
                        </w:r>
                      </w:p>
                    </w:txbxContent>
                  </v:textbox>
                  <w10:wrap type="none"/>
                </v:shape>
                <v:shape style="position:absolute;left:5828;top:851;width:222;height:202" type="#_x0000_t202" id="docshape19" filled="false" stroked="false">
                  <v:textbox inset="0,0,0,0">
                    <w:txbxContent>
                      <w:p>
                        <w:pPr>
                          <w:spacing w:line="202" w:lineRule="exact" w:before="0"/>
                          <w:ind w:left="0" w:right="0" w:firstLine="0"/>
                          <w:jc w:val="left"/>
                          <w:rPr>
                            <w:rFonts w:ascii="Calibri"/>
                            <w:sz w:val="20"/>
                          </w:rPr>
                        </w:pPr>
                        <w:r>
                          <w:rPr>
                            <w:rFonts w:ascii="Calibri"/>
                            <w:spacing w:val="-5"/>
                            <w:sz w:val="20"/>
                          </w:rPr>
                          <w:t>91</w:t>
                        </w:r>
                      </w:p>
                    </w:txbxContent>
                  </v:textbox>
                  <w10:wrap type="none"/>
                </v:shape>
                <v:shape style="position:absolute;left:3650;top:1354;width:222;height:363" type="#_x0000_t202" id="docshape20" filled="false" stroked="false">
                  <v:textbox inset="0,0,0,0">
                    <w:txbxContent>
                      <w:p>
                        <w:pPr>
                          <w:spacing w:line="137" w:lineRule="exact" w:before="0"/>
                          <w:ind w:left="55" w:right="0" w:firstLine="0"/>
                          <w:jc w:val="left"/>
                          <w:rPr>
                            <w:rFonts w:ascii="Calibri"/>
                            <w:sz w:val="15"/>
                          </w:rPr>
                        </w:pPr>
                        <w:r>
                          <w:rPr>
                            <w:rFonts w:ascii="Calibri"/>
                            <w:spacing w:val="-10"/>
                            <w:sz w:val="15"/>
                          </w:rPr>
                          <w:t>a</w:t>
                        </w:r>
                      </w:p>
                      <w:p>
                        <w:pPr>
                          <w:spacing w:line="226" w:lineRule="exact" w:before="0"/>
                          <w:ind w:left="0" w:right="0" w:firstLine="0"/>
                          <w:jc w:val="left"/>
                          <w:rPr>
                            <w:rFonts w:ascii="Calibri"/>
                            <w:sz w:val="20"/>
                          </w:rPr>
                        </w:pPr>
                        <w:r>
                          <w:rPr>
                            <w:rFonts w:ascii="Calibri"/>
                            <w:spacing w:val="-5"/>
                            <w:sz w:val="20"/>
                          </w:rPr>
                          <w:t>72</w:t>
                        </w:r>
                      </w:p>
                    </w:txbxContent>
                  </v:textbox>
                  <w10:wrap type="none"/>
                </v:shape>
                <w10:wrap type="none"/>
              </v:group>
            </w:pict>
          </mc:Fallback>
        </mc:AlternateContent>
      </w:r>
      <w:r>
        <w:rPr>
          <w:rFonts w:ascii="Calibri"/>
          <w:spacing w:val="-5"/>
          <w:sz w:val="20"/>
        </w:rPr>
        <w:t>120</w:t>
      </w:r>
    </w:p>
    <w:p>
      <w:pPr>
        <w:pStyle w:val="BodyText"/>
        <w:spacing w:before="210"/>
        <w:rPr>
          <w:rFonts w:ascii="Calibri"/>
          <w:sz w:val="20"/>
        </w:rPr>
      </w:pPr>
    </w:p>
    <w:p>
      <w:pPr>
        <w:spacing w:before="0"/>
        <w:ind w:left="1791" w:right="0" w:firstLine="0"/>
        <w:jc w:val="left"/>
        <w:rPr>
          <w:rFonts w:ascii="Calibri"/>
          <w:sz w:val="20"/>
        </w:rPr>
      </w:pPr>
      <w:r>
        <w:rPr>
          <w:rFonts w:ascii="Calibri"/>
          <w:spacing w:val="-5"/>
          <w:sz w:val="20"/>
        </w:rPr>
        <w:t>100</w:t>
      </w:r>
    </w:p>
    <w:p>
      <w:pPr>
        <w:pStyle w:val="BodyText"/>
        <w:spacing w:before="209"/>
        <w:rPr>
          <w:rFonts w:ascii="Calibri"/>
          <w:sz w:val="20"/>
        </w:rPr>
      </w:pPr>
    </w:p>
    <w:p>
      <w:pPr>
        <w:spacing w:before="0"/>
        <w:ind w:left="1895" w:right="0" w:firstLine="0"/>
        <w:jc w:val="left"/>
        <w:rPr>
          <w:rFonts w:ascii="Calibri"/>
          <w:sz w:val="20"/>
        </w:rPr>
      </w:pPr>
      <w:r>
        <w:rPr/>
        <mc:AlternateContent>
          <mc:Choice Requires="wps">
            <w:drawing>
              <wp:anchor distT="0" distB="0" distL="0" distR="0" allowOverlap="1" layoutInCell="1" locked="0" behindDoc="0" simplePos="0" relativeHeight="15760384">
                <wp:simplePos x="0" y="0"/>
                <wp:positionH relativeFrom="page">
                  <wp:posOffset>1511553</wp:posOffset>
                </wp:positionH>
                <wp:positionV relativeFrom="paragraph">
                  <wp:posOffset>-271560</wp:posOffset>
                </wp:positionV>
                <wp:extent cx="153670" cy="16040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53670" cy="1604010"/>
                        </a:xfrm>
                        <a:prstGeom prst="rect">
                          <a:avLst/>
                        </a:prstGeom>
                      </wps:spPr>
                      <wps:txbx>
                        <w:txbxContent>
                          <w:p>
                            <w:pPr>
                              <w:spacing w:line="225" w:lineRule="exact" w:before="0"/>
                              <w:ind w:left="20" w:right="0" w:firstLine="0"/>
                              <w:jc w:val="left"/>
                              <w:rPr>
                                <w:rFonts w:ascii="Calibri"/>
                                <w:b/>
                                <w:sz w:val="20"/>
                              </w:rPr>
                            </w:pPr>
                            <w:r>
                              <w:rPr>
                                <w:rFonts w:ascii="Calibri"/>
                                <w:b/>
                                <w:sz w:val="20"/>
                              </w:rPr>
                              <w:t>Phorbol</w:t>
                            </w:r>
                            <w:r>
                              <w:rPr>
                                <w:rFonts w:ascii="Calibri"/>
                                <w:b/>
                                <w:spacing w:val="-18"/>
                                <w:sz w:val="20"/>
                              </w:rPr>
                              <w:t> </w:t>
                            </w:r>
                            <w:r>
                              <w:rPr>
                                <w:rFonts w:ascii="Calibri"/>
                                <w:b/>
                                <w:sz w:val="20"/>
                              </w:rPr>
                              <w:t>ester</w:t>
                            </w:r>
                            <w:r>
                              <w:rPr>
                                <w:rFonts w:ascii="Calibri"/>
                                <w:b/>
                                <w:spacing w:val="-6"/>
                                <w:sz w:val="20"/>
                              </w:rPr>
                              <w:t> </w:t>
                            </w:r>
                            <w:r>
                              <w:rPr>
                                <w:rFonts w:ascii="Calibri"/>
                                <w:b/>
                                <w:sz w:val="20"/>
                              </w:rPr>
                              <w:t>rich</w:t>
                            </w:r>
                            <w:r>
                              <w:rPr>
                                <w:rFonts w:ascii="Calibri"/>
                                <w:b/>
                                <w:spacing w:val="1"/>
                                <w:sz w:val="20"/>
                              </w:rPr>
                              <w:t> </w:t>
                            </w:r>
                            <w:r>
                              <w:rPr>
                                <w:rFonts w:ascii="Calibri"/>
                                <w:b/>
                                <w:sz w:val="20"/>
                              </w:rPr>
                              <w:t>fraction</w:t>
                            </w:r>
                            <w:r>
                              <w:rPr>
                                <w:rFonts w:ascii="Calibri"/>
                                <w:b/>
                                <w:spacing w:val="-14"/>
                                <w:sz w:val="20"/>
                              </w:rPr>
                              <w:t> </w:t>
                            </w:r>
                            <w:r>
                              <w:rPr>
                                <w:rFonts w:ascii="Calibri"/>
                                <w:b/>
                                <w:spacing w:val="-5"/>
                                <w:sz w:val="20"/>
                              </w:rPr>
                              <w:t>(%)</w:t>
                            </w:r>
                          </w:p>
                        </w:txbxContent>
                      </wps:txbx>
                      <wps:bodyPr wrap="square" lIns="0" tIns="0" rIns="0" bIns="0" rtlCol="0" vert="vert270">
                        <a:noAutofit/>
                      </wps:bodyPr>
                    </wps:wsp>
                  </a:graphicData>
                </a:graphic>
              </wp:anchor>
            </w:drawing>
          </mc:Choice>
          <mc:Fallback>
            <w:pict>
              <v:shape style="position:absolute;margin-left:119.019997pt;margin-top:-21.382696pt;width:12.1pt;height:126.3pt;mso-position-horizontal-relative:page;mso-position-vertical-relative:paragraph;z-index:15760384" type="#_x0000_t202" id="docshape21"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Phorbol</w:t>
                      </w:r>
                      <w:r>
                        <w:rPr>
                          <w:rFonts w:ascii="Calibri"/>
                          <w:b/>
                          <w:spacing w:val="-18"/>
                          <w:sz w:val="20"/>
                        </w:rPr>
                        <w:t> </w:t>
                      </w:r>
                      <w:r>
                        <w:rPr>
                          <w:rFonts w:ascii="Calibri"/>
                          <w:b/>
                          <w:sz w:val="20"/>
                        </w:rPr>
                        <w:t>ester</w:t>
                      </w:r>
                      <w:r>
                        <w:rPr>
                          <w:rFonts w:ascii="Calibri"/>
                          <w:b/>
                          <w:spacing w:val="-6"/>
                          <w:sz w:val="20"/>
                        </w:rPr>
                        <w:t> </w:t>
                      </w:r>
                      <w:r>
                        <w:rPr>
                          <w:rFonts w:ascii="Calibri"/>
                          <w:b/>
                          <w:sz w:val="20"/>
                        </w:rPr>
                        <w:t>rich</w:t>
                      </w:r>
                      <w:r>
                        <w:rPr>
                          <w:rFonts w:ascii="Calibri"/>
                          <w:b/>
                          <w:spacing w:val="1"/>
                          <w:sz w:val="20"/>
                        </w:rPr>
                        <w:t> </w:t>
                      </w:r>
                      <w:r>
                        <w:rPr>
                          <w:rFonts w:ascii="Calibri"/>
                          <w:b/>
                          <w:sz w:val="20"/>
                        </w:rPr>
                        <w:t>fraction</w:t>
                      </w:r>
                      <w:r>
                        <w:rPr>
                          <w:rFonts w:ascii="Calibri"/>
                          <w:b/>
                          <w:spacing w:val="-14"/>
                          <w:sz w:val="20"/>
                        </w:rPr>
                        <w:t> </w:t>
                      </w:r>
                      <w:r>
                        <w:rPr>
                          <w:rFonts w:ascii="Calibri"/>
                          <w:b/>
                          <w:spacing w:val="-5"/>
                          <w:sz w:val="20"/>
                        </w:rPr>
                        <w:t>(%)</w:t>
                      </w:r>
                    </w:p>
                  </w:txbxContent>
                </v:textbox>
                <w10:wrap type="none"/>
              </v:shape>
            </w:pict>
          </mc:Fallback>
        </mc:AlternateContent>
      </w:r>
      <w:r>
        <w:rPr>
          <w:rFonts w:ascii="Calibri"/>
          <w:spacing w:val="-5"/>
          <w:sz w:val="20"/>
        </w:rPr>
        <w:t>80</w:t>
      </w:r>
    </w:p>
    <w:p>
      <w:pPr>
        <w:pStyle w:val="BodyText"/>
        <w:spacing w:before="210"/>
        <w:rPr>
          <w:rFonts w:ascii="Calibri"/>
          <w:sz w:val="20"/>
        </w:rPr>
      </w:pPr>
    </w:p>
    <w:p>
      <w:pPr>
        <w:spacing w:before="1"/>
        <w:ind w:left="1895" w:right="0" w:firstLine="0"/>
        <w:jc w:val="left"/>
        <w:rPr>
          <w:rFonts w:ascii="Calibri"/>
          <w:sz w:val="20"/>
        </w:rPr>
      </w:pPr>
      <w:r>
        <w:rPr>
          <w:rFonts w:ascii="Calibri"/>
          <w:spacing w:val="-5"/>
          <w:sz w:val="20"/>
        </w:rPr>
        <w:t>60</w:t>
      </w:r>
    </w:p>
    <w:p>
      <w:pPr>
        <w:spacing w:before="86"/>
        <w:ind w:left="7311" w:right="0" w:firstLine="0"/>
        <w:jc w:val="left"/>
        <w:rPr>
          <w:rFonts w:ascii="Calibri"/>
          <w:sz w:val="20"/>
        </w:rPr>
      </w:pPr>
      <w:r>
        <w:rPr>
          <w:position w:val="1"/>
        </w:rPr>
        <w:drawing>
          <wp:inline distT="0" distB="0" distL="0" distR="0">
            <wp:extent cx="69752" cy="69750"/>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9" cstate="print"/>
                    <a:stretch>
                      <a:fillRect/>
                    </a:stretch>
                  </pic:blipFill>
                  <pic:spPr>
                    <a:xfrm>
                      <a:off x="0" y="0"/>
                      <a:ext cx="69752" cy="69750"/>
                    </a:xfrm>
                    <a:prstGeom prst="rect">
                      <a:avLst/>
                    </a:prstGeom>
                  </pic:spPr>
                </pic:pic>
              </a:graphicData>
            </a:graphic>
          </wp:inline>
        </w:drawing>
      </w:r>
      <w:r>
        <w:rPr>
          <w:position w:val="1"/>
        </w:rPr>
      </w:r>
      <w:r>
        <w:rPr>
          <w:sz w:val="20"/>
        </w:rPr>
        <w:t> </w:t>
      </w:r>
      <w:r>
        <w:rPr>
          <w:rFonts w:ascii="Calibri"/>
          <w:sz w:val="20"/>
        </w:rPr>
        <w:t>Synthetically</w:t>
      </w:r>
      <w:r>
        <w:rPr>
          <w:rFonts w:ascii="Calibri"/>
          <w:spacing w:val="-14"/>
          <w:sz w:val="20"/>
        </w:rPr>
        <w:t> </w:t>
      </w:r>
      <w:r>
        <w:rPr>
          <w:rFonts w:ascii="Calibri"/>
          <w:sz w:val="20"/>
        </w:rPr>
        <w:t>detoxified</w:t>
      </w:r>
    </w:p>
    <w:p>
      <w:pPr>
        <w:tabs>
          <w:tab w:pos="7310" w:val="left" w:leader="none"/>
        </w:tabs>
        <w:spacing w:before="122"/>
        <w:ind w:left="1895" w:right="0" w:firstLine="0"/>
        <w:jc w:val="left"/>
        <w:rPr>
          <w:rFonts w:ascii="Calibri"/>
          <w:sz w:val="20"/>
        </w:rPr>
      </w:pPr>
      <w:r>
        <w:rPr>
          <w:rFonts w:ascii="Calibri"/>
          <w:spacing w:val="-5"/>
          <w:position w:val="5"/>
          <w:sz w:val="20"/>
        </w:rPr>
        <w:t>40</w:t>
      </w:r>
      <w:r>
        <w:rPr>
          <w:rFonts w:ascii="Calibri"/>
          <w:position w:val="5"/>
          <w:sz w:val="20"/>
        </w:rPr>
        <w:tab/>
      </w:r>
      <w:r>
        <w:rPr>
          <w:rFonts w:ascii="Calibri"/>
          <w:position w:val="1"/>
          <w:sz w:val="20"/>
        </w:rPr>
        <w:drawing>
          <wp:inline distT="0" distB="0" distL="0" distR="0">
            <wp:extent cx="70103" cy="70103"/>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0" cstate="print"/>
                    <a:stretch>
                      <a:fillRect/>
                    </a:stretch>
                  </pic:blipFill>
                  <pic:spPr>
                    <a:xfrm>
                      <a:off x="0" y="0"/>
                      <a:ext cx="70103" cy="70103"/>
                    </a:xfrm>
                    <a:prstGeom prst="rect">
                      <a:avLst/>
                    </a:prstGeom>
                  </pic:spPr>
                </pic:pic>
              </a:graphicData>
            </a:graphic>
          </wp:inline>
        </w:drawing>
      </w:r>
      <w:r>
        <w:rPr>
          <w:rFonts w:ascii="Calibri"/>
          <w:position w:val="1"/>
          <w:sz w:val="20"/>
        </w:rPr>
      </w:r>
      <w:r>
        <w:rPr>
          <w:sz w:val="20"/>
        </w:rPr>
        <w:t> </w:t>
      </w:r>
      <w:r>
        <w:rPr>
          <w:rFonts w:ascii="Calibri"/>
          <w:sz w:val="20"/>
        </w:rPr>
        <w:t>Naturally</w:t>
      </w:r>
      <w:r>
        <w:rPr>
          <w:rFonts w:ascii="Calibri"/>
          <w:spacing w:val="-9"/>
          <w:sz w:val="20"/>
        </w:rPr>
        <w:t> </w:t>
      </w:r>
      <w:r>
        <w:rPr>
          <w:rFonts w:ascii="Calibri"/>
          <w:sz w:val="20"/>
        </w:rPr>
        <w:t>detoxified</w:t>
      </w:r>
    </w:p>
    <w:p>
      <w:pPr>
        <w:spacing w:line="239" w:lineRule="exact" w:before="172"/>
        <w:ind w:left="7310" w:right="0" w:firstLine="0"/>
        <w:jc w:val="left"/>
        <w:rPr>
          <w:rFonts w:ascii="Calibri"/>
          <w:sz w:val="20"/>
        </w:rPr>
      </w:pPr>
      <w:r>
        <w:rPr>
          <w:position w:val="1"/>
        </w:rPr>
        <w:drawing>
          <wp:inline distT="0" distB="0" distL="0" distR="0">
            <wp:extent cx="70103" cy="70103"/>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21" cstate="print"/>
                    <a:stretch>
                      <a:fillRect/>
                    </a:stretch>
                  </pic:blipFill>
                  <pic:spPr>
                    <a:xfrm>
                      <a:off x="0" y="0"/>
                      <a:ext cx="70103" cy="70103"/>
                    </a:xfrm>
                    <a:prstGeom prst="rect">
                      <a:avLst/>
                    </a:prstGeom>
                  </pic:spPr>
                </pic:pic>
              </a:graphicData>
            </a:graphic>
          </wp:inline>
        </w:drawing>
      </w:r>
      <w:r>
        <w:rPr>
          <w:position w:val="1"/>
        </w:rPr>
      </w:r>
      <w:r>
        <w:rPr>
          <w:sz w:val="20"/>
        </w:rPr>
        <w:t> </w:t>
      </w:r>
      <w:r>
        <w:rPr>
          <w:rFonts w:ascii="Calibri"/>
          <w:sz w:val="20"/>
        </w:rPr>
        <w:t>Undetoxified</w:t>
      </w:r>
    </w:p>
    <w:p>
      <w:pPr>
        <w:spacing w:line="239" w:lineRule="exact" w:before="0"/>
        <w:ind w:left="1895" w:right="0" w:firstLine="0"/>
        <w:jc w:val="left"/>
        <w:rPr>
          <w:rFonts w:ascii="Calibri"/>
          <w:sz w:val="20"/>
        </w:rPr>
      </w:pPr>
      <w:r>
        <w:rPr>
          <w:rFonts w:ascii="Calibri"/>
          <w:spacing w:val="-5"/>
          <w:sz w:val="20"/>
        </w:rPr>
        <w:t>20</w:t>
      </w:r>
    </w:p>
    <w:p>
      <w:pPr>
        <w:pStyle w:val="BodyText"/>
        <w:spacing w:before="210"/>
        <w:rPr>
          <w:rFonts w:ascii="Calibri"/>
          <w:sz w:val="20"/>
        </w:rPr>
      </w:pPr>
    </w:p>
    <w:p>
      <w:pPr>
        <w:spacing w:before="0"/>
        <w:ind w:left="1993" w:right="0" w:firstLine="0"/>
        <w:jc w:val="left"/>
        <w:rPr>
          <w:rFonts w:ascii="Calibri"/>
          <w:sz w:val="20"/>
        </w:rPr>
      </w:pPr>
      <w:r>
        <w:rPr>
          <w:rFonts w:ascii="Calibri"/>
          <w:spacing w:val="-10"/>
          <w:sz w:val="20"/>
        </w:rPr>
        <w:t>0</w:t>
      </w:r>
    </w:p>
    <w:p>
      <w:pPr>
        <w:tabs>
          <w:tab w:pos="5074" w:val="left" w:leader="none"/>
        </w:tabs>
        <w:spacing w:before="75"/>
        <w:ind w:left="3066" w:right="0" w:firstLine="0"/>
        <w:jc w:val="left"/>
        <w:rPr>
          <w:rFonts w:ascii="Calibri"/>
          <w:sz w:val="20"/>
        </w:rPr>
      </w:pPr>
      <w:r>
        <w:rPr>
          <w:rFonts w:ascii="Calibri"/>
          <w:spacing w:val="-2"/>
          <w:sz w:val="20"/>
        </w:rPr>
        <w:t>Solvent</w:t>
      </w:r>
      <w:r>
        <w:rPr>
          <w:rFonts w:ascii="Calibri"/>
          <w:sz w:val="20"/>
        </w:rPr>
        <w:tab/>
      </w:r>
      <w:r>
        <w:rPr>
          <w:rFonts w:ascii="Calibri"/>
          <w:spacing w:val="-2"/>
          <w:sz w:val="20"/>
        </w:rPr>
        <w:t>Mechanical</w:t>
      </w:r>
    </w:p>
    <w:p>
      <w:pPr>
        <w:spacing w:before="150"/>
        <w:ind w:left="0" w:right="1412" w:firstLine="0"/>
        <w:jc w:val="center"/>
        <w:rPr>
          <w:rFonts w:ascii="Calibri"/>
          <w:b/>
          <w:sz w:val="20"/>
        </w:rPr>
      </w:pPr>
      <w:r>
        <w:rPr>
          <w:rFonts w:ascii="Calibri"/>
          <w:b/>
          <w:sz w:val="20"/>
        </w:rPr>
        <w:t>Method</w:t>
      </w:r>
      <w:r>
        <w:rPr>
          <w:rFonts w:ascii="Calibri"/>
          <w:b/>
          <w:spacing w:val="-13"/>
          <w:sz w:val="20"/>
        </w:rPr>
        <w:t> </w:t>
      </w:r>
      <w:r>
        <w:rPr>
          <w:rFonts w:ascii="Calibri"/>
          <w:b/>
          <w:sz w:val="20"/>
        </w:rPr>
        <w:t>of</w:t>
      </w:r>
      <w:r>
        <w:rPr>
          <w:rFonts w:ascii="Calibri"/>
          <w:b/>
          <w:spacing w:val="-6"/>
          <w:sz w:val="20"/>
        </w:rPr>
        <w:t> </w:t>
      </w:r>
      <w:r>
        <w:rPr>
          <w:rFonts w:ascii="Calibri"/>
          <w:b/>
          <w:spacing w:val="-2"/>
          <w:sz w:val="20"/>
        </w:rPr>
        <w:t>extraction</w:t>
      </w:r>
    </w:p>
    <w:p>
      <w:pPr>
        <w:pStyle w:val="BodyText"/>
        <w:spacing w:before="230"/>
        <w:rPr>
          <w:rFonts w:ascii="Calibri"/>
          <w:b/>
        </w:rPr>
      </w:pPr>
    </w:p>
    <w:p>
      <w:pPr>
        <w:pStyle w:val="Heading2"/>
        <w:spacing w:line="360" w:lineRule="auto" w:before="1"/>
        <w:ind w:left="1028" w:right="801" w:firstLine="0"/>
      </w:pPr>
      <w:r>
        <w:rPr/>
        <w:t>Figure 4.1. Effects of Synthetic and Natural Detoxification Processes on Levels of Phorbol Ester Rich Fractions in Solvent and Mechanically Extracted </w:t>
      </w:r>
      <w:r>
        <w:rPr>
          <w:i/>
        </w:rPr>
        <w:t>Jatropha curcas </w:t>
      </w:r>
      <w:r>
        <w:rPr/>
        <w:t>Oils</w:t>
      </w:r>
    </w:p>
    <w:p>
      <w:pPr>
        <w:spacing w:after="0" w:line="360" w:lineRule="auto"/>
        <w:sectPr>
          <w:pgSz w:w="11910" w:h="16840"/>
          <w:pgMar w:header="0" w:footer="1012" w:top="1340" w:bottom="1200" w:left="960" w:right="620"/>
        </w:sectPr>
      </w:pPr>
    </w:p>
    <w:p>
      <w:pPr>
        <w:spacing w:before="64"/>
        <w:ind w:left="1028" w:right="0" w:firstLine="0"/>
        <w:jc w:val="left"/>
        <w:rPr>
          <w:sz w:val="22"/>
        </w:rPr>
      </w:pPr>
      <w:r>
        <w:rPr>
          <w:sz w:val="22"/>
        </w:rPr>
        <w:t>Values</w:t>
      </w:r>
      <w:r>
        <w:rPr>
          <w:spacing w:val="-1"/>
          <w:sz w:val="22"/>
        </w:rPr>
        <w:t> </w:t>
      </w:r>
      <w:r>
        <w:rPr>
          <w:sz w:val="22"/>
        </w:rPr>
        <w:t>are</w:t>
      </w:r>
      <w:r>
        <w:rPr>
          <w:spacing w:val="-2"/>
          <w:sz w:val="22"/>
        </w:rPr>
        <w:t> </w:t>
      </w:r>
      <w:r>
        <w:rPr>
          <w:sz w:val="22"/>
        </w:rPr>
        <w:t>mean</w:t>
      </w:r>
      <w:r>
        <w:rPr>
          <w:spacing w:val="-6"/>
          <w:sz w:val="22"/>
        </w:rPr>
        <w:t> </w:t>
      </w:r>
      <w:r>
        <w:rPr>
          <w:sz w:val="22"/>
        </w:rPr>
        <w:t>±</w:t>
      </w:r>
      <w:r>
        <w:rPr>
          <w:spacing w:val="-1"/>
          <w:sz w:val="22"/>
        </w:rPr>
        <w:t> </w:t>
      </w:r>
      <w:r>
        <w:rPr>
          <w:sz w:val="22"/>
        </w:rPr>
        <w:t>S.E.M.</w:t>
      </w:r>
      <w:r>
        <w:rPr>
          <w:spacing w:val="-3"/>
          <w:sz w:val="22"/>
        </w:rPr>
        <w:t> </w:t>
      </w:r>
      <w:r>
        <w:rPr>
          <w:sz w:val="22"/>
        </w:rPr>
        <w:t>of</w:t>
      </w:r>
      <w:r>
        <w:rPr>
          <w:spacing w:val="54"/>
          <w:sz w:val="22"/>
        </w:rPr>
        <w:t> </w:t>
      </w:r>
      <w:r>
        <w:rPr>
          <w:spacing w:val="-2"/>
          <w:sz w:val="22"/>
        </w:rPr>
        <w:t>percentages</w:t>
      </w:r>
    </w:p>
    <w:p>
      <w:pPr>
        <w:spacing w:before="126"/>
        <w:ind w:left="1028" w:right="0" w:firstLine="0"/>
        <w:jc w:val="left"/>
        <w:rPr>
          <w:sz w:val="22"/>
        </w:rPr>
      </w:pPr>
      <w:r>
        <w:rPr>
          <w:sz w:val="22"/>
        </w:rPr>
        <w:t>Data</w:t>
      </w:r>
      <w:r>
        <w:rPr>
          <w:spacing w:val="-11"/>
          <w:sz w:val="22"/>
        </w:rPr>
        <w:t> </w:t>
      </w:r>
      <w:r>
        <w:rPr>
          <w:sz w:val="22"/>
        </w:rPr>
        <w:t>analyzed</w:t>
      </w:r>
      <w:r>
        <w:rPr>
          <w:spacing w:val="-8"/>
          <w:sz w:val="22"/>
        </w:rPr>
        <w:t> </w:t>
      </w:r>
      <w:r>
        <w:rPr>
          <w:sz w:val="22"/>
        </w:rPr>
        <w:t>using</w:t>
      </w:r>
      <w:r>
        <w:rPr>
          <w:spacing w:val="-8"/>
          <w:sz w:val="22"/>
        </w:rPr>
        <w:t> </w:t>
      </w:r>
      <w:r>
        <w:rPr>
          <w:sz w:val="22"/>
        </w:rPr>
        <w:t>one</w:t>
      </w:r>
      <w:r>
        <w:rPr>
          <w:spacing w:val="-6"/>
          <w:sz w:val="22"/>
        </w:rPr>
        <w:t> </w:t>
      </w:r>
      <w:r>
        <w:rPr>
          <w:sz w:val="22"/>
        </w:rPr>
        <w:t>way</w:t>
      </w:r>
      <w:r>
        <w:rPr>
          <w:spacing w:val="-3"/>
          <w:sz w:val="22"/>
        </w:rPr>
        <w:t> </w:t>
      </w:r>
      <w:r>
        <w:rPr>
          <w:sz w:val="22"/>
        </w:rPr>
        <w:t>ANOVA</w:t>
      </w:r>
      <w:r>
        <w:rPr>
          <w:spacing w:val="-10"/>
          <w:sz w:val="22"/>
        </w:rPr>
        <w:t> </w:t>
      </w:r>
      <w:r>
        <w:rPr>
          <w:sz w:val="22"/>
        </w:rPr>
        <w:t>and</w:t>
      </w:r>
      <w:r>
        <w:rPr>
          <w:spacing w:val="-8"/>
          <w:sz w:val="22"/>
        </w:rPr>
        <w:t> </w:t>
      </w:r>
      <w:r>
        <w:rPr>
          <w:sz w:val="22"/>
        </w:rPr>
        <w:t>Dunnet‟s</w:t>
      </w:r>
      <w:r>
        <w:rPr>
          <w:spacing w:val="-5"/>
          <w:sz w:val="22"/>
        </w:rPr>
        <w:t> </w:t>
      </w:r>
      <w:r>
        <w:rPr>
          <w:sz w:val="22"/>
        </w:rPr>
        <w:t>post</w:t>
      </w:r>
      <w:r>
        <w:rPr>
          <w:spacing w:val="-3"/>
          <w:sz w:val="22"/>
        </w:rPr>
        <w:t> </w:t>
      </w:r>
      <w:r>
        <w:rPr>
          <w:spacing w:val="-5"/>
          <w:sz w:val="22"/>
        </w:rPr>
        <w:t>hoc</w:t>
      </w:r>
    </w:p>
    <w:p>
      <w:pPr>
        <w:spacing w:before="126"/>
        <w:ind w:left="1028" w:right="0" w:firstLine="0"/>
        <w:jc w:val="left"/>
        <w:rPr>
          <w:sz w:val="22"/>
        </w:rPr>
      </w:pPr>
      <w:r>
        <w:rPr>
          <w:sz w:val="22"/>
          <w:vertAlign w:val="superscript"/>
        </w:rPr>
        <w:t>a</w:t>
      </w:r>
      <w:r>
        <w:rPr>
          <w:spacing w:val="-26"/>
          <w:sz w:val="22"/>
          <w:vertAlign w:val="baseline"/>
        </w:rPr>
        <w:t> </w:t>
      </w:r>
      <w:r>
        <w:rPr>
          <w:sz w:val="22"/>
          <w:vertAlign w:val="baseline"/>
        </w:rPr>
        <w:t>significantly</w:t>
      </w:r>
      <w:r>
        <w:rPr>
          <w:spacing w:val="-3"/>
          <w:sz w:val="22"/>
          <w:vertAlign w:val="baseline"/>
        </w:rPr>
        <w:t> </w:t>
      </w:r>
      <w:r>
        <w:rPr>
          <w:sz w:val="22"/>
          <w:vertAlign w:val="baseline"/>
        </w:rPr>
        <w:t>different</w:t>
      </w:r>
      <w:r>
        <w:rPr>
          <w:spacing w:val="1"/>
          <w:sz w:val="22"/>
          <w:vertAlign w:val="baseline"/>
        </w:rPr>
        <w:t> </w:t>
      </w:r>
      <w:r>
        <w:rPr>
          <w:sz w:val="22"/>
          <w:vertAlign w:val="baseline"/>
        </w:rPr>
        <w:t>from</w:t>
      </w:r>
      <w:r>
        <w:rPr>
          <w:spacing w:val="-9"/>
          <w:sz w:val="22"/>
          <w:vertAlign w:val="baseline"/>
        </w:rPr>
        <w:t> </w:t>
      </w:r>
      <w:r>
        <w:rPr>
          <w:sz w:val="22"/>
          <w:vertAlign w:val="baseline"/>
        </w:rPr>
        <w:t>the</w:t>
      </w:r>
      <w:r>
        <w:rPr>
          <w:spacing w:val="-7"/>
          <w:sz w:val="22"/>
          <w:vertAlign w:val="baseline"/>
        </w:rPr>
        <w:t> </w:t>
      </w:r>
      <w:r>
        <w:rPr>
          <w:sz w:val="22"/>
          <w:vertAlign w:val="baseline"/>
        </w:rPr>
        <w:t>reference</w:t>
      </w:r>
      <w:r>
        <w:rPr>
          <w:spacing w:val="-7"/>
          <w:sz w:val="22"/>
          <w:vertAlign w:val="baseline"/>
        </w:rPr>
        <w:t> </w:t>
      </w:r>
      <w:r>
        <w:rPr>
          <w:sz w:val="22"/>
          <w:vertAlign w:val="baseline"/>
        </w:rPr>
        <w:t>(100%)</w:t>
      </w:r>
      <w:r>
        <w:rPr>
          <w:spacing w:val="-3"/>
          <w:sz w:val="22"/>
          <w:vertAlign w:val="baseline"/>
        </w:rPr>
        <w:t> </w:t>
      </w:r>
      <w:r>
        <w:rPr>
          <w:sz w:val="22"/>
          <w:vertAlign w:val="baseline"/>
        </w:rPr>
        <w:t>at </w:t>
      </w:r>
      <w:r>
        <w:rPr>
          <w:spacing w:val="-2"/>
          <w:sz w:val="22"/>
          <w:vertAlign w:val="baseline"/>
        </w:rPr>
        <w:t>p&lt;0.05</w:t>
      </w:r>
    </w:p>
    <w:p>
      <w:pPr>
        <w:pStyle w:val="Heading2"/>
        <w:numPr>
          <w:ilvl w:val="1"/>
          <w:numId w:val="20"/>
        </w:numPr>
        <w:tabs>
          <w:tab w:pos="1748" w:val="left" w:leader="none"/>
        </w:tabs>
        <w:spacing w:line="240" w:lineRule="auto" w:before="127" w:after="0"/>
        <w:ind w:left="1748" w:right="0" w:hanging="720"/>
        <w:jc w:val="left"/>
      </w:pPr>
      <w:r>
        <w:rPr/>
        <w:t>Median</w:t>
      </w:r>
      <w:r>
        <w:rPr>
          <w:spacing w:val="-3"/>
        </w:rPr>
        <w:t> </w:t>
      </w:r>
      <w:r>
        <w:rPr/>
        <w:t>Lethal</w:t>
      </w:r>
      <w:r>
        <w:rPr>
          <w:spacing w:val="-4"/>
        </w:rPr>
        <w:t> </w:t>
      </w:r>
      <w:r>
        <w:rPr/>
        <w:t>Dose (LD</w:t>
      </w:r>
      <w:r>
        <w:rPr>
          <w:vertAlign w:val="subscript"/>
        </w:rPr>
        <w:t>50</w:t>
      </w:r>
      <w:r>
        <w:rPr>
          <w:vertAlign w:val="baseline"/>
        </w:rPr>
        <w:t>)</w:t>
      </w:r>
      <w:r>
        <w:rPr>
          <w:spacing w:val="2"/>
          <w:vertAlign w:val="baseline"/>
        </w:rPr>
        <w:t> </w:t>
      </w:r>
      <w:r>
        <w:rPr>
          <w:vertAlign w:val="baseline"/>
        </w:rPr>
        <w:t>Values</w:t>
      </w:r>
      <w:r>
        <w:rPr>
          <w:spacing w:val="-1"/>
          <w:vertAlign w:val="baseline"/>
        </w:rPr>
        <w:t> </w:t>
      </w:r>
      <w:r>
        <w:rPr>
          <w:vertAlign w:val="baseline"/>
        </w:rPr>
        <w:t>of</w:t>
      </w:r>
      <w:r>
        <w:rPr>
          <w:spacing w:val="-2"/>
          <w:vertAlign w:val="baseline"/>
        </w:rPr>
        <w:t> </w:t>
      </w:r>
      <w:r>
        <w:rPr>
          <w:vertAlign w:val="baseline"/>
        </w:rPr>
        <w:t>the</w:t>
      </w:r>
      <w:r>
        <w:rPr>
          <w:spacing w:val="2"/>
          <w:vertAlign w:val="baseline"/>
        </w:rPr>
        <w:t> </w:t>
      </w:r>
      <w:r>
        <w:rPr>
          <w:spacing w:val="-4"/>
          <w:vertAlign w:val="baseline"/>
        </w:rPr>
        <w:t>Oils</w:t>
      </w:r>
    </w:p>
    <w:p>
      <w:pPr>
        <w:pStyle w:val="BodyText"/>
        <w:spacing w:before="77"/>
        <w:rPr>
          <w:b/>
        </w:rPr>
      </w:pPr>
    </w:p>
    <w:p>
      <w:pPr>
        <w:pStyle w:val="BodyText"/>
        <w:spacing w:line="480" w:lineRule="auto"/>
        <w:ind w:left="1028" w:right="801"/>
        <w:jc w:val="both"/>
      </w:pPr>
      <w:r>
        <w:rPr/>
        <w:t>The oral LD</w:t>
      </w:r>
      <w:r>
        <w:rPr>
          <w:vertAlign w:val="subscript"/>
        </w:rPr>
        <w:t>50</w:t>
      </w:r>
      <w:r>
        <w:rPr>
          <w:vertAlign w:val="baseline"/>
        </w:rPr>
        <w:t> values for both undetoxified and detoxified solvent and mechanically extracted </w:t>
      </w:r>
      <w:r>
        <w:rPr>
          <w:i/>
          <w:vertAlign w:val="baseline"/>
        </w:rPr>
        <w:t>J. curcas </w:t>
      </w:r>
      <w:r>
        <w:rPr>
          <w:vertAlign w:val="baseline"/>
        </w:rPr>
        <w:t>oil was found to be above 5,000 mg/kg in both cockerels and mice</w:t>
      </w:r>
      <w:r>
        <w:rPr>
          <w:spacing w:val="40"/>
          <w:vertAlign w:val="baseline"/>
        </w:rPr>
        <w:t> </w:t>
      </w:r>
      <w:r>
        <w:rPr>
          <w:vertAlign w:val="baseline"/>
        </w:rPr>
        <w:t>as no mortality was observed at this dose (Table 4.6).</w:t>
      </w:r>
    </w:p>
    <w:p>
      <w:pPr>
        <w:pStyle w:val="BodyText"/>
      </w:pPr>
    </w:p>
    <w:p>
      <w:pPr>
        <w:pStyle w:val="BodyText"/>
        <w:spacing w:before="5"/>
      </w:pPr>
    </w:p>
    <w:p>
      <w:pPr>
        <w:pStyle w:val="Heading2"/>
        <w:spacing w:line="364" w:lineRule="auto" w:before="1"/>
        <w:ind w:left="1028" w:right="2324" w:firstLine="0"/>
        <w:jc w:val="left"/>
      </w:pPr>
      <w:r>
        <w:rPr/>
        <w:t>Table 4.6: Median Lethal Dose (LD</w:t>
      </w:r>
      <w:r>
        <w:rPr>
          <w:vertAlign w:val="subscript"/>
        </w:rPr>
        <w:t>50</w:t>
      </w:r>
      <w:r>
        <w:rPr>
          <w:vertAlign w:val="baseline"/>
        </w:rPr>
        <w:t>)</w:t>
      </w:r>
      <w:r>
        <w:rPr>
          <w:spacing w:val="-9"/>
          <w:vertAlign w:val="baseline"/>
        </w:rPr>
        <w:t> </w:t>
      </w:r>
      <w:r>
        <w:rPr>
          <w:vertAlign w:val="baseline"/>
        </w:rPr>
        <w:t>of Undetoxified and Detoxified</w:t>
      </w:r>
      <w:r>
        <w:rPr>
          <w:spacing w:val="-5"/>
          <w:vertAlign w:val="baseline"/>
        </w:rPr>
        <w:t> </w:t>
      </w:r>
      <w:r>
        <w:rPr>
          <w:vertAlign w:val="baseline"/>
        </w:rPr>
        <w:t>Solvent</w:t>
      </w:r>
      <w:r>
        <w:rPr>
          <w:spacing w:val="-5"/>
          <w:vertAlign w:val="baseline"/>
        </w:rPr>
        <w:t> </w:t>
      </w:r>
      <w:r>
        <w:rPr>
          <w:vertAlign w:val="baseline"/>
        </w:rPr>
        <w:t>and</w:t>
      </w:r>
      <w:r>
        <w:rPr>
          <w:spacing w:val="-9"/>
          <w:vertAlign w:val="baseline"/>
        </w:rPr>
        <w:t> </w:t>
      </w:r>
      <w:r>
        <w:rPr>
          <w:vertAlign w:val="baseline"/>
        </w:rPr>
        <w:t>Mechanically</w:t>
      </w:r>
      <w:r>
        <w:rPr>
          <w:spacing w:val="-6"/>
          <w:vertAlign w:val="baseline"/>
        </w:rPr>
        <w:t> </w:t>
      </w:r>
      <w:r>
        <w:rPr>
          <w:vertAlign w:val="baseline"/>
        </w:rPr>
        <w:t>Extracted</w:t>
      </w:r>
      <w:r>
        <w:rPr>
          <w:spacing w:val="-5"/>
          <w:vertAlign w:val="baseline"/>
        </w:rPr>
        <w:t> </w:t>
      </w:r>
      <w:r>
        <w:rPr>
          <w:i/>
          <w:vertAlign w:val="baseline"/>
        </w:rPr>
        <w:t>Jatropha</w:t>
      </w:r>
      <w:r>
        <w:rPr>
          <w:i/>
          <w:spacing w:val="-6"/>
          <w:vertAlign w:val="baseline"/>
        </w:rPr>
        <w:t> </w:t>
      </w:r>
      <w:r>
        <w:rPr>
          <w:i/>
          <w:vertAlign w:val="baseline"/>
        </w:rPr>
        <w:t>curcas</w:t>
      </w:r>
      <w:r>
        <w:rPr>
          <w:i/>
          <w:spacing w:val="-8"/>
          <w:vertAlign w:val="baseline"/>
        </w:rPr>
        <w:t> </w:t>
      </w:r>
      <w:r>
        <w:rPr>
          <w:vertAlign w:val="baseline"/>
        </w:rPr>
        <w:t>Oils</w:t>
      </w:r>
    </w:p>
    <w:p>
      <w:pPr>
        <w:pStyle w:val="BodyText"/>
        <w:spacing w:before="177" w:after="1"/>
        <w:rPr>
          <w:b/>
          <w:sz w:val="20"/>
        </w:rPr>
      </w:pPr>
    </w:p>
    <w:tbl>
      <w:tblPr>
        <w:tblW w:w="0" w:type="auto"/>
        <w:jc w:val="left"/>
        <w:tblInd w:w="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2"/>
        <w:gridCol w:w="1816"/>
        <w:gridCol w:w="1650"/>
        <w:gridCol w:w="2130"/>
      </w:tblGrid>
      <w:tr>
        <w:trPr>
          <w:trHeight w:val="671" w:hRule="atLeast"/>
        </w:trPr>
        <w:tc>
          <w:tcPr>
            <w:tcW w:w="1502" w:type="dxa"/>
            <w:tcBorders>
              <w:top w:val="single" w:sz="4" w:space="0" w:color="000000"/>
              <w:bottom w:val="single" w:sz="4" w:space="0" w:color="000000"/>
            </w:tcBorders>
          </w:tcPr>
          <w:p>
            <w:pPr>
              <w:pStyle w:val="TableParagraph"/>
              <w:spacing w:before="49"/>
              <w:ind w:left="120"/>
              <w:rPr>
                <w:sz w:val="24"/>
              </w:rPr>
            </w:pPr>
            <w:r>
              <w:rPr>
                <w:spacing w:val="-2"/>
                <w:sz w:val="24"/>
              </w:rPr>
              <w:t>Treatment</w:t>
            </w:r>
          </w:p>
        </w:tc>
        <w:tc>
          <w:tcPr>
            <w:tcW w:w="1816" w:type="dxa"/>
            <w:tcBorders>
              <w:top w:val="single" w:sz="4" w:space="0" w:color="000000"/>
              <w:bottom w:val="single" w:sz="4" w:space="0" w:color="000000"/>
            </w:tcBorders>
          </w:tcPr>
          <w:p>
            <w:pPr>
              <w:pStyle w:val="TableParagraph"/>
              <w:spacing w:before="49"/>
              <w:ind w:left="399"/>
              <w:rPr>
                <w:sz w:val="24"/>
              </w:rPr>
            </w:pPr>
            <w:r>
              <w:rPr>
                <w:spacing w:val="-2"/>
                <w:sz w:val="24"/>
              </w:rPr>
              <w:t>Animal</w:t>
            </w:r>
          </w:p>
        </w:tc>
        <w:tc>
          <w:tcPr>
            <w:tcW w:w="1650" w:type="dxa"/>
            <w:tcBorders>
              <w:top w:val="single" w:sz="4" w:space="0" w:color="000000"/>
              <w:bottom w:val="single" w:sz="4" w:space="0" w:color="000000"/>
            </w:tcBorders>
          </w:tcPr>
          <w:p>
            <w:pPr>
              <w:pStyle w:val="TableParagraph"/>
              <w:spacing w:before="49"/>
              <w:ind w:left="547"/>
              <w:rPr>
                <w:sz w:val="24"/>
              </w:rPr>
            </w:pPr>
            <w:r>
              <w:rPr>
                <w:spacing w:val="-5"/>
                <w:sz w:val="24"/>
              </w:rPr>
              <w:t>Age</w:t>
            </w:r>
          </w:p>
        </w:tc>
        <w:tc>
          <w:tcPr>
            <w:tcW w:w="2130" w:type="dxa"/>
            <w:tcBorders>
              <w:top w:val="single" w:sz="4" w:space="0" w:color="000000"/>
              <w:bottom w:val="single" w:sz="4" w:space="0" w:color="000000"/>
            </w:tcBorders>
          </w:tcPr>
          <w:p>
            <w:pPr>
              <w:pStyle w:val="TableParagraph"/>
              <w:spacing w:line="275" w:lineRule="exact" w:before="49"/>
              <w:ind w:left="549"/>
              <w:rPr>
                <w:sz w:val="24"/>
              </w:rPr>
            </w:pPr>
            <w:r>
              <w:rPr>
                <w:sz w:val="24"/>
              </w:rPr>
              <w:t>LD</w:t>
            </w:r>
            <w:r>
              <w:rPr>
                <w:sz w:val="24"/>
                <w:vertAlign w:val="subscript"/>
              </w:rPr>
              <w:t>50</w:t>
            </w:r>
            <w:r>
              <w:rPr>
                <w:spacing w:val="-1"/>
                <w:sz w:val="24"/>
                <w:vertAlign w:val="baseline"/>
              </w:rPr>
              <w:t> </w:t>
            </w:r>
            <w:r>
              <w:rPr>
                <w:spacing w:val="-2"/>
                <w:sz w:val="24"/>
                <w:vertAlign w:val="baseline"/>
              </w:rPr>
              <w:t>[p.o.]</w:t>
            </w:r>
          </w:p>
          <w:p>
            <w:pPr>
              <w:pStyle w:val="TableParagraph"/>
              <w:spacing w:line="275" w:lineRule="exact"/>
              <w:ind w:left="549"/>
              <w:rPr>
                <w:sz w:val="24"/>
              </w:rPr>
            </w:pPr>
            <w:r>
              <w:rPr>
                <w:spacing w:val="-2"/>
                <w:sz w:val="24"/>
              </w:rPr>
              <w:t>(mg/kg)</w:t>
            </w:r>
          </w:p>
        </w:tc>
      </w:tr>
      <w:tr>
        <w:trPr>
          <w:trHeight w:val="344" w:hRule="atLeast"/>
        </w:trPr>
        <w:tc>
          <w:tcPr>
            <w:tcW w:w="1502" w:type="dxa"/>
            <w:tcBorders>
              <w:top w:val="single" w:sz="4" w:space="0" w:color="000000"/>
            </w:tcBorders>
          </w:tcPr>
          <w:p>
            <w:pPr>
              <w:pStyle w:val="TableParagraph"/>
              <w:spacing w:line="268" w:lineRule="exact"/>
              <w:ind w:left="120"/>
              <w:rPr>
                <w:sz w:val="24"/>
              </w:rPr>
            </w:pPr>
            <w:r>
              <w:rPr>
                <w:spacing w:val="-5"/>
                <w:sz w:val="24"/>
              </w:rPr>
              <w:t>USE</w:t>
            </w:r>
          </w:p>
        </w:tc>
        <w:tc>
          <w:tcPr>
            <w:tcW w:w="1816" w:type="dxa"/>
            <w:tcBorders>
              <w:top w:val="single" w:sz="4" w:space="0" w:color="000000"/>
            </w:tcBorders>
          </w:tcPr>
          <w:p>
            <w:pPr>
              <w:pStyle w:val="TableParagraph"/>
              <w:spacing w:line="268" w:lineRule="exact"/>
              <w:ind w:left="399"/>
              <w:rPr>
                <w:sz w:val="24"/>
              </w:rPr>
            </w:pPr>
            <w:r>
              <w:rPr>
                <w:spacing w:val="-2"/>
                <w:sz w:val="24"/>
              </w:rPr>
              <w:t>Cockerel</w:t>
            </w:r>
          </w:p>
        </w:tc>
        <w:tc>
          <w:tcPr>
            <w:tcW w:w="1650" w:type="dxa"/>
            <w:tcBorders>
              <w:top w:val="single" w:sz="4" w:space="0" w:color="000000"/>
            </w:tcBorders>
          </w:tcPr>
          <w:p>
            <w:pPr>
              <w:pStyle w:val="TableParagraph"/>
              <w:spacing w:line="268" w:lineRule="exact"/>
              <w:ind w:left="547"/>
              <w:rPr>
                <w:sz w:val="24"/>
              </w:rPr>
            </w:pPr>
            <w:r>
              <w:rPr>
                <w:sz w:val="24"/>
              </w:rPr>
              <w:t>3-</w:t>
            </w:r>
            <w:r>
              <w:rPr>
                <w:spacing w:val="-5"/>
                <w:sz w:val="24"/>
              </w:rPr>
              <w:t>day</w:t>
            </w:r>
          </w:p>
        </w:tc>
        <w:tc>
          <w:tcPr>
            <w:tcW w:w="2130" w:type="dxa"/>
            <w:tcBorders>
              <w:top w:val="single" w:sz="4" w:space="0" w:color="000000"/>
            </w:tcBorders>
          </w:tcPr>
          <w:p>
            <w:pPr>
              <w:pStyle w:val="TableParagraph"/>
              <w:spacing w:line="268" w:lineRule="exact"/>
              <w:ind w:left="549"/>
              <w:rPr>
                <w:sz w:val="24"/>
              </w:rPr>
            </w:pPr>
            <w:r>
              <w:rPr>
                <w:spacing w:val="-2"/>
                <w:sz w:val="24"/>
              </w:rPr>
              <w:t>&gt;5,000</w:t>
            </w:r>
          </w:p>
        </w:tc>
      </w:tr>
      <w:tr>
        <w:trPr>
          <w:trHeight w:val="415" w:hRule="atLeast"/>
        </w:trPr>
        <w:tc>
          <w:tcPr>
            <w:tcW w:w="1502" w:type="dxa"/>
          </w:tcPr>
          <w:p>
            <w:pPr>
              <w:pStyle w:val="TableParagraph"/>
              <w:rPr>
                <w:sz w:val="22"/>
              </w:rPr>
            </w:pPr>
          </w:p>
        </w:tc>
        <w:tc>
          <w:tcPr>
            <w:tcW w:w="1816" w:type="dxa"/>
          </w:tcPr>
          <w:p>
            <w:pPr>
              <w:pStyle w:val="TableParagraph"/>
              <w:spacing w:before="65"/>
              <w:ind w:left="399"/>
              <w:rPr>
                <w:sz w:val="24"/>
              </w:rPr>
            </w:pPr>
            <w:r>
              <w:rPr>
                <w:spacing w:val="-4"/>
                <w:sz w:val="24"/>
              </w:rPr>
              <w:t>Mice</w:t>
            </w:r>
          </w:p>
        </w:tc>
        <w:tc>
          <w:tcPr>
            <w:tcW w:w="1650" w:type="dxa"/>
          </w:tcPr>
          <w:p>
            <w:pPr>
              <w:pStyle w:val="TableParagraph"/>
              <w:spacing w:before="65"/>
              <w:ind w:left="547"/>
              <w:rPr>
                <w:sz w:val="24"/>
              </w:rPr>
            </w:pPr>
            <w:r>
              <w:rPr>
                <w:spacing w:val="-2"/>
                <w:sz w:val="24"/>
              </w:rPr>
              <w:t>Adult</w:t>
            </w:r>
          </w:p>
        </w:tc>
        <w:tc>
          <w:tcPr>
            <w:tcW w:w="2130" w:type="dxa"/>
          </w:tcPr>
          <w:p>
            <w:pPr>
              <w:pStyle w:val="TableParagraph"/>
              <w:spacing w:before="65"/>
              <w:ind w:left="549"/>
              <w:rPr>
                <w:sz w:val="24"/>
              </w:rPr>
            </w:pPr>
            <w:r>
              <w:rPr>
                <w:spacing w:val="-2"/>
                <w:sz w:val="24"/>
              </w:rPr>
              <w:t>&gt;5,000</w:t>
            </w:r>
          </w:p>
        </w:tc>
      </w:tr>
      <w:tr>
        <w:trPr>
          <w:trHeight w:val="412" w:hRule="atLeast"/>
        </w:trPr>
        <w:tc>
          <w:tcPr>
            <w:tcW w:w="1502" w:type="dxa"/>
          </w:tcPr>
          <w:p>
            <w:pPr>
              <w:pStyle w:val="TableParagraph"/>
              <w:spacing w:before="63"/>
              <w:ind w:left="120"/>
              <w:rPr>
                <w:sz w:val="24"/>
              </w:rPr>
            </w:pPr>
            <w:r>
              <w:rPr>
                <w:spacing w:val="-4"/>
                <w:sz w:val="24"/>
              </w:rPr>
              <w:t>SDSE</w:t>
            </w:r>
          </w:p>
        </w:tc>
        <w:tc>
          <w:tcPr>
            <w:tcW w:w="1816" w:type="dxa"/>
          </w:tcPr>
          <w:p>
            <w:pPr>
              <w:pStyle w:val="TableParagraph"/>
              <w:spacing w:before="63"/>
              <w:ind w:left="399"/>
              <w:rPr>
                <w:sz w:val="24"/>
              </w:rPr>
            </w:pPr>
            <w:r>
              <w:rPr>
                <w:spacing w:val="-2"/>
                <w:sz w:val="24"/>
              </w:rPr>
              <w:t>Cockerel</w:t>
            </w:r>
          </w:p>
        </w:tc>
        <w:tc>
          <w:tcPr>
            <w:tcW w:w="1650" w:type="dxa"/>
          </w:tcPr>
          <w:p>
            <w:pPr>
              <w:pStyle w:val="TableParagraph"/>
              <w:spacing w:before="63"/>
              <w:ind w:left="547"/>
              <w:rPr>
                <w:sz w:val="24"/>
              </w:rPr>
            </w:pPr>
            <w:r>
              <w:rPr>
                <w:sz w:val="24"/>
              </w:rPr>
              <w:t>3-</w:t>
            </w:r>
            <w:r>
              <w:rPr>
                <w:spacing w:val="-5"/>
                <w:sz w:val="24"/>
              </w:rPr>
              <w:t>day</w:t>
            </w:r>
          </w:p>
        </w:tc>
        <w:tc>
          <w:tcPr>
            <w:tcW w:w="2130" w:type="dxa"/>
          </w:tcPr>
          <w:p>
            <w:pPr>
              <w:pStyle w:val="TableParagraph"/>
              <w:spacing w:before="63"/>
              <w:ind w:left="549"/>
              <w:rPr>
                <w:sz w:val="24"/>
              </w:rPr>
            </w:pPr>
            <w:r>
              <w:rPr>
                <w:spacing w:val="-2"/>
                <w:sz w:val="24"/>
              </w:rPr>
              <w:t>&gt;5,000</w:t>
            </w:r>
          </w:p>
        </w:tc>
      </w:tr>
      <w:tr>
        <w:trPr>
          <w:trHeight w:val="412" w:hRule="atLeast"/>
        </w:trPr>
        <w:tc>
          <w:tcPr>
            <w:tcW w:w="1502" w:type="dxa"/>
          </w:tcPr>
          <w:p>
            <w:pPr>
              <w:pStyle w:val="TableParagraph"/>
              <w:rPr>
                <w:sz w:val="22"/>
              </w:rPr>
            </w:pPr>
          </w:p>
        </w:tc>
        <w:tc>
          <w:tcPr>
            <w:tcW w:w="1816" w:type="dxa"/>
          </w:tcPr>
          <w:p>
            <w:pPr>
              <w:pStyle w:val="TableParagraph"/>
              <w:spacing w:before="63"/>
              <w:ind w:left="399"/>
              <w:rPr>
                <w:sz w:val="24"/>
              </w:rPr>
            </w:pPr>
            <w:r>
              <w:rPr>
                <w:spacing w:val="-4"/>
                <w:sz w:val="24"/>
              </w:rPr>
              <w:t>Mice</w:t>
            </w:r>
          </w:p>
        </w:tc>
        <w:tc>
          <w:tcPr>
            <w:tcW w:w="1650" w:type="dxa"/>
          </w:tcPr>
          <w:p>
            <w:pPr>
              <w:pStyle w:val="TableParagraph"/>
              <w:spacing w:before="63"/>
              <w:ind w:left="547"/>
              <w:rPr>
                <w:sz w:val="24"/>
              </w:rPr>
            </w:pPr>
            <w:r>
              <w:rPr>
                <w:spacing w:val="-2"/>
                <w:sz w:val="24"/>
              </w:rPr>
              <w:t>Adult</w:t>
            </w:r>
          </w:p>
        </w:tc>
        <w:tc>
          <w:tcPr>
            <w:tcW w:w="2130" w:type="dxa"/>
          </w:tcPr>
          <w:p>
            <w:pPr>
              <w:pStyle w:val="TableParagraph"/>
              <w:spacing w:before="63"/>
              <w:ind w:left="549"/>
              <w:rPr>
                <w:sz w:val="24"/>
              </w:rPr>
            </w:pPr>
            <w:r>
              <w:rPr>
                <w:spacing w:val="-2"/>
                <w:sz w:val="24"/>
              </w:rPr>
              <w:t>&gt;5,000</w:t>
            </w:r>
          </w:p>
        </w:tc>
      </w:tr>
      <w:tr>
        <w:trPr>
          <w:trHeight w:val="415" w:hRule="atLeast"/>
        </w:trPr>
        <w:tc>
          <w:tcPr>
            <w:tcW w:w="1502" w:type="dxa"/>
          </w:tcPr>
          <w:p>
            <w:pPr>
              <w:pStyle w:val="TableParagraph"/>
              <w:spacing w:before="63"/>
              <w:ind w:left="120"/>
              <w:rPr>
                <w:sz w:val="24"/>
              </w:rPr>
            </w:pPr>
            <w:r>
              <w:rPr>
                <w:spacing w:val="-5"/>
                <w:sz w:val="24"/>
              </w:rPr>
              <w:t>UME</w:t>
            </w:r>
          </w:p>
        </w:tc>
        <w:tc>
          <w:tcPr>
            <w:tcW w:w="1816" w:type="dxa"/>
          </w:tcPr>
          <w:p>
            <w:pPr>
              <w:pStyle w:val="TableParagraph"/>
              <w:spacing w:before="63"/>
              <w:ind w:left="399"/>
              <w:rPr>
                <w:sz w:val="24"/>
              </w:rPr>
            </w:pPr>
            <w:r>
              <w:rPr>
                <w:spacing w:val="-2"/>
                <w:sz w:val="24"/>
              </w:rPr>
              <w:t>Cockerel</w:t>
            </w:r>
          </w:p>
        </w:tc>
        <w:tc>
          <w:tcPr>
            <w:tcW w:w="1650" w:type="dxa"/>
          </w:tcPr>
          <w:p>
            <w:pPr>
              <w:pStyle w:val="TableParagraph"/>
              <w:spacing w:before="63"/>
              <w:ind w:left="547"/>
              <w:rPr>
                <w:sz w:val="24"/>
              </w:rPr>
            </w:pPr>
            <w:r>
              <w:rPr>
                <w:sz w:val="24"/>
              </w:rPr>
              <w:t>3-</w:t>
            </w:r>
            <w:r>
              <w:rPr>
                <w:spacing w:val="-5"/>
                <w:sz w:val="24"/>
              </w:rPr>
              <w:t>day</w:t>
            </w:r>
          </w:p>
        </w:tc>
        <w:tc>
          <w:tcPr>
            <w:tcW w:w="2130" w:type="dxa"/>
          </w:tcPr>
          <w:p>
            <w:pPr>
              <w:pStyle w:val="TableParagraph"/>
              <w:spacing w:before="63"/>
              <w:ind w:left="549"/>
              <w:rPr>
                <w:sz w:val="24"/>
              </w:rPr>
            </w:pPr>
            <w:r>
              <w:rPr>
                <w:spacing w:val="-2"/>
                <w:sz w:val="24"/>
              </w:rPr>
              <w:t>&gt;5,000</w:t>
            </w:r>
          </w:p>
        </w:tc>
      </w:tr>
      <w:tr>
        <w:trPr>
          <w:trHeight w:val="415" w:hRule="atLeast"/>
        </w:trPr>
        <w:tc>
          <w:tcPr>
            <w:tcW w:w="1502" w:type="dxa"/>
          </w:tcPr>
          <w:p>
            <w:pPr>
              <w:pStyle w:val="TableParagraph"/>
              <w:rPr>
                <w:sz w:val="22"/>
              </w:rPr>
            </w:pPr>
          </w:p>
        </w:tc>
        <w:tc>
          <w:tcPr>
            <w:tcW w:w="1816" w:type="dxa"/>
          </w:tcPr>
          <w:p>
            <w:pPr>
              <w:pStyle w:val="TableParagraph"/>
              <w:spacing w:before="65"/>
              <w:ind w:left="399"/>
              <w:rPr>
                <w:sz w:val="24"/>
              </w:rPr>
            </w:pPr>
            <w:r>
              <w:rPr>
                <w:spacing w:val="-4"/>
                <w:sz w:val="24"/>
              </w:rPr>
              <w:t>Mice</w:t>
            </w:r>
          </w:p>
        </w:tc>
        <w:tc>
          <w:tcPr>
            <w:tcW w:w="1650" w:type="dxa"/>
          </w:tcPr>
          <w:p>
            <w:pPr>
              <w:pStyle w:val="TableParagraph"/>
              <w:spacing w:before="65"/>
              <w:ind w:left="547"/>
              <w:rPr>
                <w:sz w:val="24"/>
              </w:rPr>
            </w:pPr>
            <w:r>
              <w:rPr>
                <w:spacing w:val="-2"/>
                <w:sz w:val="24"/>
              </w:rPr>
              <w:t>Adult</w:t>
            </w:r>
          </w:p>
        </w:tc>
        <w:tc>
          <w:tcPr>
            <w:tcW w:w="2130" w:type="dxa"/>
          </w:tcPr>
          <w:p>
            <w:pPr>
              <w:pStyle w:val="TableParagraph"/>
              <w:spacing w:before="65"/>
              <w:ind w:left="549"/>
              <w:rPr>
                <w:sz w:val="24"/>
              </w:rPr>
            </w:pPr>
            <w:r>
              <w:rPr>
                <w:spacing w:val="-2"/>
                <w:sz w:val="24"/>
              </w:rPr>
              <w:t>&gt;5,000</w:t>
            </w:r>
          </w:p>
        </w:tc>
      </w:tr>
      <w:tr>
        <w:trPr>
          <w:trHeight w:val="412" w:hRule="atLeast"/>
        </w:trPr>
        <w:tc>
          <w:tcPr>
            <w:tcW w:w="1502" w:type="dxa"/>
          </w:tcPr>
          <w:p>
            <w:pPr>
              <w:pStyle w:val="TableParagraph"/>
              <w:spacing w:before="63"/>
              <w:ind w:left="120"/>
              <w:rPr>
                <w:sz w:val="24"/>
              </w:rPr>
            </w:pPr>
            <w:r>
              <w:rPr>
                <w:spacing w:val="-4"/>
                <w:sz w:val="24"/>
              </w:rPr>
              <w:t>SDME</w:t>
            </w:r>
          </w:p>
        </w:tc>
        <w:tc>
          <w:tcPr>
            <w:tcW w:w="1816" w:type="dxa"/>
          </w:tcPr>
          <w:p>
            <w:pPr>
              <w:pStyle w:val="TableParagraph"/>
              <w:spacing w:before="63"/>
              <w:ind w:left="399"/>
              <w:rPr>
                <w:sz w:val="24"/>
              </w:rPr>
            </w:pPr>
            <w:r>
              <w:rPr>
                <w:spacing w:val="-2"/>
                <w:sz w:val="24"/>
              </w:rPr>
              <w:t>Cockerel</w:t>
            </w:r>
          </w:p>
        </w:tc>
        <w:tc>
          <w:tcPr>
            <w:tcW w:w="1650" w:type="dxa"/>
          </w:tcPr>
          <w:p>
            <w:pPr>
              <w:pStyle w:val="TableParagraph"/>
              <w:spacing w:before="63"/>
              <w:ind w:left="547"/>
              <w:rPr>
                <w:sz w:val="24"/>
              </w:rPr>
            </w:pPr>
            <w:r>
              <w:rPr>
                <w:sz w:val="24"/>
              </w:rPr>
              <w:t>3-</w:t>
            </w:r>
            <w:r>
              <w:rPr>
                <w:spacing w:val="-5"/>
                <w:sz w:val="24"/>
              </w:rPr>
              <w:t>day</w:t>
            </w:r>
          </w:p>
        </w:tc>
        <w:tc>
          <w:tcPr>
            <w:tcW w:w="2130" w:type="dxa"/>
          </w:tcPr>
          <w:p>
            <w:pPr>
              <w:pStyle w:val="TableParagraph"/>
              <w:spacing w:before="63"/>
              <w:ind w:left="549"/>
              <w:rPr>
                <w:sz w:val="24"/>
              </w:rPr>
            </w:pPr>
            <w:r>
              <w:rPr>
                <w:spacing w:val="-2"/>
                <w:sz w:val="24"/>
              </w:rPr>
              <w:t>&gt;5,000</w:t>
            </w:r>
          </w:p>
        </w:tc>
      </w:tr>
      <w:tr>
        <w:trPr>
          <w:trHeight w:val="483" w:hRule="atLeast"/>
        </w:trPr>
        <w:tc>
          <w:tcPr>
            <w:tcW w:w="1502" w:type="dxa"/>
            <w:tcBorders>
              <w:bottom w:val="single" w:sz="4" w:space="0" w:color="000000"/>
            </w:tcBorders>
          </w:tcPr>
          <w:p>
            <w:pPr>
              <w:pStyle w:val="TableParagraph"/>
              <w:rPr>
                <w:sz w:val="22"/>
              </w:rPr>
            </w:pPr>
          </w:p>
        </w:tc>
        <w:tc>
          <w:tcPr>
            <w:tcW w:w="1816" w:type="dxa"/>
            <w:tcBorders>
              <w:bottom w:val="single" w:sz="4" w:space="0" w:color="000000"/>
            </w:tcBorders>
          </w:tcPr>
          <w:p>
            <w:pPr>
              <w:pStyle w:val="TableParagraph"/>
              <w:spacing w:before="63"/>
              <w:ind w:left="399"/>
              <w:rPr>
                <w:sz w:val="24"/>
              </w:rPr>
            </w:pPr>
            <w:r>
              <w:rPr>
                <w:spacing w:val="-4"/>
                <w:sz w:val="24"/>
              </w:rPr>
              <w:t>Mice</w:t>
            </w:r>
          </w:p>
        </w:tc>
        <w:tc>
          <w:tcPr>
            <w:tcW w:w="1650" w:type="dxa"/>
            <w:tcBorders>
              <w:bottom w:val="single" w:sz="4" w:space="0" w:color="000000"/>
            </w:tcBorders>
          </w:tcPr>
          <w:p>
            <w:pPr>
              <w:pStyle w:val="TableParagraph"/>
              <w:spacing w:before="63"/>
              <w:ind w:left="547"/>
              <w:rPr>
                <w:sz w:val="24"/>
              </w:rPr>
            </w:pPr>
            <w:r>
              <w:rPr>
                <w:spacing w:val="-2"/>
                <w:sz w:val="24"/>
              </w:rPr>
              <w:t>Adult</w:t>
            </w:r>
          </w:p>
        </w:tc>
        <w:tc>
          <w:tcPr>
            <w:tcW w:w="2130" w:type="dxa"/>
            <w:tcBorders>
              <w:bottom w:val="single" w:sz="4" w:space="0" w:color="000000"/>
            </w:tcBorders>
          </w:tcPr>
          <w:p>
            <w:pPr>
              <w:pStyle w:val="TableParagraph"/>
              <w:spacing w:before="63"/>
              <w:ind w:left="549"/>
              <w:rPr>
                <w:sz w:val="24"/>
              </w:rPr>
            </w:pPr>
            <w:r>
              <w:rPr>
                <w:spacing w:val="-2"/>
                <w:sz w:val="24"/>
              </w:rPr>
              <w:t>&gt;5,000</w:t>
            </w:r>
          </w:p>
        </w:tc>
      </w:tr>
    </w:tbl>
    <w:p>
      <w:pPr>
        <w:spacing w:before="1"/>
        <w:ind w:left="1028" w:right="0" w:firstLine="0"/>
        <w:jc w:val="left"/>
        <w:rPr>
          <w:sz w:val="22"/>
        </w:rPr>
      </w:pPr>
      <w:r>
        <w:rPr>
          <w:sz w:val="22"/>
        </w:rPr>
        <w:t>USE</w:t>
      </w:r>
      <w:r>
        <w:rPr>
          <w:spacing w:val="-5"/>
          <w:sz w:val="22"/>
        </w:rPr>
        <w:t> </w:t>
      </w:r>
      <w:r>
        <w:rPr>
          <w:sz w:val="22"/>
        </w:rPr>
        <w:t>=</w:t>
      </w:r>
      <w:r>
        <w:rPr>
          <w:spacing w:val="-4"/>
          <w:sz w:val="22"/>
        </w:rPr>
        <w:t> </w:t>
      </w:r>
      <w:r>
        <w:rPr>
          <w:sz w:val="22"/>
        </w:rPr>
        <w:t>Undetoxified</w:t>
      </w:r>
      <w:r>
        <w:rPr>
          <w:spacing w:val="-7"/>
          <w:sz w:val="22"/>
        </w:rPr>
        <w:t> </w:t>
      </w:r>
      <w:r>
        <w:rPr>
          <w:sz w:val="22"/>
        </w:rPr>
        <w:t>Solvent</w:t>
      </w:r>
      <w:r>
        <w:rPr>
          <w:spacing w:val="-2"/>
          <w:sz w:val="22"/>
        </w:rPr>
        <w:t> Extracted</w:t>
      </w:r>
    </w:p>
    <w:p>
      <w:pPr>
        <w:spacing w:line="360" w:lineRule="auto" w:before="126"/>
        <w:ind w:left="1028" w:right="4317" w:firstLine="0"/>
        <w:jc w:val="left"/>
        <w:rPr>
          <w:sz w:val="22"/>
        </w:rPr>
      </w:pPr>
      <w:r>
        <w:rPr>
          <w:sz w:val="22"/>
        </w:rPr>
        <w:t>SDSE</w:t>
      </w:r>
      <w:r>
        <w:rPr>
          <w:spacing w:val="-10"/>
          <w:sz w:val="22"/>
        </w:rPr>
        <w:t> </w:t>
      </w:r>
      <w:r>
        <w:rPr>
          <w:sz w:val="22"/>
        </w:rPr>
        <w:t>=</w:t>
      </w:r>
      <w:r>
        <w:rPr>
          <w:spacing w:val="-9"/>
          <w:sz w:val="22"/>
        </w:rPr>
        <w:t> </w:t>
      </w:r>
      <w:r>
        <w:rPr>
          <w:sz w:val="22"/>
        </w:rPr>
        <w:t>Synthetically</w:t>
      </w:r>
      <w:r>
        <w:rPr>
          <w:spacing w:val="-7"/>
          <w:sz w:val="22"/>
        </w:rPr>
        <w:t> </w:t>
      </w:r>
      <w:r>
        <w:rPr>
          <w:sz w:val="22"/>
        </w:rPr>
        <w:t>Detoxified</w:t>
      </w:r>
      <w:r>
        <w:rPr>
          <w:spacing w:val="-8"/>
          <w:sz w:val="22"/>
        </w:rPr>
        <w:t> </w:t>
      </w:r>
      <w:r>
        <w:rPr>
          <w:sz w:val="22"/>
        </w:rPr>
        <w:t>Solvent</w:t>
      </w:r>
      <w:r>
        <w:rPr>
          <w:spacing w:val="-4"/>
          <w:sz w:val="22"/>
        </w:rPr>
        <w:t> </w:t>
      </w:r>
      <w:r>
        <w:rPr>
          <w:sz w:val="22"/>
        </w:rPr>
        <w:t>Extracted UME = Undetoxified Mechanically Extracted</w:t>
      </w:r>
    </w:p>
    <w:p>
      <w:pPr>
        <w:spacing w:before="5"/>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6"/>
          <w:sz w:val="22"/>
        </w:rPr>
        <w:t> </w:t>
      </w:r>
      <w:r>
        <w:rPr>
          <w:sz w:val="22"/>
        </w:rPr>
        <w:t>Detoxified</w:t>
      </w:r>
      <w:r>
        <w:rPr>
          <w:spacing w:val="-7"/>
          <w:sz w:val="22"/>
        </w:rPr>
        <w:t> </w:t>
      </w:r>
      <w:r>
        <w:rPr>
          <w:sz w:val="22"/>
        </w:rPr>
        <w:t>Mechanically</w:t>
      </w:r>
      <w:r>
        <w:rPr>
          <w:spacing w:val="-8"/>
          <w:sz w:val="22"/>
        </w:rPr>
        <w:t> </w:t>
      </w:r>
      <w:r>
        <w:rPr>
          <w:spacing w:val="-2"/>
          <w:sz w:val="22"/>
        </w:rPr>
        <w:t>Extracted</w:t>
      </w:r>
    </w:p>
    <w:p>
      <w:pPr>
        <w:spacing w:after="0"/>
        <w:jc w:val="left"/>
        <w:rPr>
          <w:sz w:val="22"/>
        </w:rPr>
        <w:sectPr>
          <w:pgSz w:w="11910" w:h="16840"/>
          <w:pgMar w:header="0" w:footer="1012" w:top="1340" w:bottom="1200" w:left="960" w:right="620"/>
        </w:sectPr>
      </w:pPr>
    </w:p>
    <w:p>
      <w:pPr>
        <w:pStyle w:val="Heading2"/>
        <w:numPr>
          <w:ilvl w:val="1"/>
          <w:numId w:val="20"/>
        </w:numPr>
        <w:tabs>
          <w:tab w:pos="1748" w:val="left" w:leader="none"/>
        </w:tabs>
        <w:spacing w:line="362" w:lineRule="auto" w:before="79" w:after="0"/>
        <w:ind w:left="1748" w:right="804" w:hanging="721"/>
        <w:jc w:val="left"/>
      </w:pPr>
      <w:r>
        <w:rPr/>
        <w:t>Signs of Toxicity of the Undetoxified and </w:t>
      </w:r>
      <w:r>
        <w:rPr>
          <w:b w:val="0"/>
        </w:rPr>
        <w:t>D</w:t>
      </w:r>
      <w:r>
        <w:rPr/>
        <w:t>etoxified </w:t>
      </w:r>
      <w:r>
        <w:rPr>
          <w:i/>
        </w:rPr>
        <w:t>J</w:t>
      </w:r>
      <w:r>
        <w:rPr/>
        <w:t>. </w:t>
      </w:r>
      <w:r>
        <w:rPr>
          <w:i/>
        </w:rPr>
        <w:t>curcas </w:t>
      </w:r>
      <w:r>
        <w:rPr/>
        <w:t>Oils in Male Wistar Rats</w:t>
      </w:r>
    </w:p>
    <w:p>
      <w:pPr>
        <w:pStyle w:val="BodyText"/>
        <w:spacing w:before="134"/>
        <w:rPr>
          <w:b/>
        </w:rPr>
      </w:pPr>
    </w:p>
    <w:p>
      <w:pPr>
        <w:pStyle w:val="BodyText"/>
        <w:spacing w:line="480" w:lineRule="auto" w:before="1"/>
        <w:ind w:left="1028" w:right="796"/>
        <w:jc w:val="both"/>
      </w:pPr>
      <w:r>
        <w:rPr/>
        <w:t>The undetoxified mechanically extracted (UME) </w:t>
      </w:r>
      <w:r>
        <w:rPr>
          <w:i/>
        </w:rPr>
        <w:t>J. curcas </w:t>
      </w:r>
      <w:r>
        <w:rPr/>
        <w:t>oil at 500 mg/kg dose produced severe toxicity symptoms in animals. The undetoxified oil at 250 mg/kg produced moderate symptoms of toxicity while at 500 mg/kg, the synthetically detoxified mechanically extracted (SDME) oil produced mild to moderate symptoms. However, both undetoxified and detoxified oils at 125 mg/kg dose produced no or undetected toxicity symptoms (Table 4.7).</w:t>
      </w:r>
    </w:p>
    <w:p>
      <w:pPr>
        <w:pStyle w:val="BodyText"/>
      </w:pPr>
    </w:p>
    <w:p>
      <w:pPr>
        <w:pStyle w:val="BodyText"/>
        <w:spacing w:before="6"/>
      </w:pPr>
    </w:p>
    <w:p>
      <w:pPr>
        <w:pStyle w:val="Heading2"/>
        <w:spacing w:line="360" w:lineRule="auto"/>
        <w:ind w:left="1028" w:right="804" w:firstLine="0"/>
      </w:pPr>
      <w:r>
        <w:rPr/>
        <w:t>Table 4.7: Physical Toxicity Symptoms of Undetoxified and Detoxified </w:t>
      </w:r>
      <w:r>
        <w:rPr>
          <w:i/>
        </w:rPr>
        <w:t>Jatropha curcas </w:t>
      </w:r>
      <w:r>
        <w:rPr/>
        <w:t>Oils in Male Wistar Rats</w:t>
      </w:r>
    </w:p>
    <w:p>
      <w:pPr>
        <w:pStyle w:val="BodyText"/>
        <w:spacing w:before="88"/>
        <w:rPr>
          <w:b/>
          <w:sz w:val="20"/>
        </w:rPr>
      </w:pPr>
    </w:p>
    <w:tbl>
      <w:tblPr>
        <w:tblW w:w="0" w:type="auto"/>
        <w:jc w:val="left"/>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3"/>
        <w:gridCol w:w="1634"/>
        <w:gridCol w:w="1378"/>
        <w:gridCol w:w="1533"/>
        <w:gridCol w:w="1434"/>
        <w:gridCol w:w="1234"/>
      </w:tblGrid>
      <w:tr>
        <w:trPr>
          <w:trHeight w:val="671" w:hRule="atLeast"/>
        </w:trPr>
        <w:tc>
          <w:tcPr>
            <w:tcW w:w="1293" w:type="dxa"/>
            <w:tcBorders>
              <w:top w:val="single" w:sz="4" w:space="0" w:color="000000"/>
              <w:bottom w:val="single" w:sz="4" w:space="0" w:color="000000"/>
            </w:tcBorders>
          </w:tcPr>
          <w:p>
            <w:pPr>
              <w:pStyle w:val="TableParagraph"/>
              <w:spacing w:before="49"/>
              <w:ind w:left="117"/>
              <w:rPr>
                <w:sz w:val="24"/>
              </w:rPr>
            </w:pPr>
            <w:r>
              <w:rPr>
                <w:spacing w:val="-2"/>
                <w:sz w:val="24"/>
              </w:rPr>
              <w:t>Treatment</w:t>
            </w:r>
          </w:p>
        </w:tc>
        <w:tc>
          <w:tcPr>
            <w:tcW w:w="1634" w:type="dxa"/>
            <w:tcBorders>
              <w:top w:val="single" w:sz="4" w:space="0" w:color="000000"/>
              <w:bottom w:val="single" w:sz="4" w:space="0" w:color="000000"/>
            </w:tcBorders>
          </w:tcPr>
          <w:p>
            <w:pPr>
              <w:pStyle w:val="TableParagraph"/>
              <w:spacing w:before="49"/>
              <w:ind w:left="193"/>
              <w:rPr>
                <w:sz w:val="24"/>
              </w:rPr>
            </w:pPr>
            <w:r>
              <w:rPr>
                <w:sz w:val="24"/>
              </w:rPr>
              <w:t>Dose </w:t>
            </w:r>
            <w:r>
              <w:rPr>
                <w:spacing w:val="-2"/>
                <w:sz w:val="24"/>
              </w:rPr>
              <w:t>(mg/kg)</w:t>
            </w:r>
          </w:p>
        </w:tc>
        <w:tc>
          <w:tcPr>
            <w:tcW w:w="1378" w:type="dxa"/>
            <w:tcBorders>
              <w:top w:val="single" w:sz="4" w:space="0" w:color="000000"/>
              <w:bottom w:val="single" w:sz="4" w:space="0" w:color="000000"/>
            </w:tcBorders>
          </w:tcPr>
          <w:p>
            <w:pPr>
              <w:pStyle w:val="TableParagraph"/>
              <w:spacing w:before="49"/>
              <w:ind w:left="119"/>
              <w:rPr>
                <w:sz w:val="24"/>
              </w:rPr>
            </w:pPr>
            <w:r>
              <w:rPr>
                <w:sz w:val="24"/>
              </w:rPr>
              <w:t>Ruffled</w:t>
            </w:r>
            <w:r>
              <w:rPr>
                <w:spacing w:val="-1"/>
                <w:sz w:val="24"/>
              </w:rPr>
              <w:t> </w:t>
            </w:r>
            <w:r>
              <w:rPr>
                <w:spacing w:val="-5"/>
                <w:sz w:val="24"/>
              </w:rPr>
              <w:t>fur</w:t>
            </w:r>
          </w:p>
        </w:tc>
        <w:tc>
          <w:tcPr>
            <w:tcW w:w="1533" w:type="dxa"/>
            <w:tcBorders>
              <w:top w:val="single" w:sz="4" w:space="0" w:color="000000"/>
              <w:bottom w:val="single" w:sz="4" w:space="0" w:color="000000"/>
            </w:tcBorders>
          </w:tcPr>
          <w:p>
            <w:pPr>
              <w:pStyle w:val="TableParagraph"/>
              <w:spacing w:before="49"/>
              <w:ind w:left="254"/>
              <w:rPr>
                <w:sz w:val="24"/>
              </w:rPr>
            </w:pPr>
            <w:r>
              <w:rPr>
                <w:spacing w:val="-2"/>
                <w:sz w:val="24"/>
              </w:rPr>
              <w:t>Hyperpnoea</w:t>
            </w:r>
          </w:p>
        </w:tc>
        <w:tc>
          <w:tcPr>
            <w:tcW w:w="1434" w:type="dxa"/>
            <w:tcBorders>
              <w:top w:val="single" w:sz="4" w:space="0" w:color="000000"/>
              <w:bottom w:val="single" w:sz="4" w:space="0" w:color="000000"/>
            </w:tcBorders>
          </w:tcPr>
          <w:p>
            <w:pPr>
              <w:pStyle w:val="TableParagraph"/>
              <w:spacing w:before="49"/>
              <w:ind w:left="114"/>
              <w:rPr>
                <w:sz w:val="24"/>
              </w:rPr>
            </w:pPr>
            <w:r>
              <w:rPr>
                <w:spacing w:val="-2"/>
                <w:sz w:val="24"/>
              </w:rPr>
              <w:t>Restlessness</w:t>
            </w:r>
          </w:p>
        </w:tc>
        <w:tc>
          <w:tcPr>
            <w:tcW w:w="1234" w:type="dxa"/>
            <w:tcBorders>
              <w:top w:val="single" w:sz="4" w:space="0" w:color="000000"/>
              <w:bottom w:val="single" w:sz="4" w:space="0" w:color="000000"/>
            </w:tcBorders>
          </w:tcPr>
          <w:p>
            <w:pPr>
              <w:pStyle w:val="TableParagraph"/>
              <w:spacing w:line="237" w:lineRule="auto" w:before="51"/>
              <w:ind w:left="125" w:right="107"/>
              <w:rPr>
                <w:sz w:val="24"/>
              </w:rPr>
            </w:pPr>
            <w:r>
              <w:rPr>
                <w:spacing w:val="-2"/>
                <w:sz w:val="24"/>
              </w:rPr>
              <w:t>Decreased mobility</w:t>
            </w:r>
          </w:p>
        </w:tc>
      </w:tr>
      <w:tr>
        <w:trPr>
          <w:trHeight w:val="463" w:hRule="atLeast"/>
        </w:trPr>
        <w:tc>
          <w:tcPr>
            <w:tcW w:w="1293" w:type="dxa"/>
            <w:tcBorders>
              <w:top w:val="single" w:sz="4" w:space="0" w:color="000000"/>
            </w:tcBorders>
          </w:tcPr>
          <w:p>
            <w:pPr>
              <w:pStyle w:val="TableParagraph"/>
              <w:spacing w:before="54"/>
              <w:ind w:left="117"/>
              <w:rPr>
                <w:sz w:val="24"/>
              </w:rPr>
            </w:pPr>
            <w:r>
              <w:rPr>
                <w:sz w:val="24"/>
              </w:rPr>
              <w:t>Olive</w:t>
            </w:r>
            <w:r>
              <w:rPr>
                <w:spacing w:val="-5"/>
                <w:sz w:val="24"/>
              </w:rPr>
              <w:t> oil</w:t>
            </w:r>
          </w:p>
        </w:tc>
        <w:tc>
          <w:tcPr>
            <w:tcW w:w="1634" w:type="dxa"/>
            <w:tcBorders>
              <w:top w:val="single" w:sz="4" w:space="0" w:color="000000"/>
            </w:tcBorders>
          </w:tcPr>
          <w:p>
            <w:pPr>
              <w:pStyle w:val="TableParagraph"/>
              <w:spacing w:before="54"/>
              <w:ind w:left="193"/>
              <w:rPr>
                <w:sz w:val="24"/>
              </w:rPr>
            </w:pPr>
            <w:r>
              <w:rPr>
                <w:spacing w:val="-5"/>
                <w:sz w:val="24"/>
              </w:rPr>
              <w:t>10</w:t>
            </w:r>
            <w:r>
              <w:rPr>
                <w:spacing w:val="-5"/>
                <w:sz w:val="24"/>
                <w:vertAlign w:val="superscript"/>
              </w:rPr>
              <w:t>*</w:t>
            </w:r>
          </w:p>
        </w:tc>
        <w:tc>
          <w:tcPr>
            <w:tcW w:w="1378" w:type="dxa"/>
            <w:tcBorders>
              <w:top w:val="single" w:sz="4" w:space="0" w:color="000000"/>
            </w:tcBorders>
          </w:tcPr>
          <w:p>
            <w:pPr>
              <w:pStyle w:val="TableParagraph"/>
              <w:spacing w:before="54"/>
              <w:ind w:left="119"/>
              <w:rPr>
                <w:sz w:val="24"/>
              </w:rPr>
            </w:pPr>
            <w:r>
              <w:rPr>
                <w:spacing w:val="-10"/>
                <w:sz w:val="24"/>
              </w:rPr>
              <w:t>-</w:t>
            </w:r>
          </w:p>
        </w:tc>
        <w:tc>
          <w:tcPr>
            <w:tcW w:w="1533" w:type="dxa"/>
            <w:tcBorders>
              <w:top w:val="single" w:sz="4" w:space="0" w:color="000000"/>
            </w:tcBorders>
          </w:tcPr>
          <w:p>
            <w:pPr>
              <w:pStyle w:val="TableParagraph"/>
              <w:spacing w:before="54"/>
              <w:ind w:left="191"/>
              <w:rPr>
                <w:sz w:val="24"/>
              </w:rPr>
            </w:pPr>
            <w:r>
              <w:rPr>
                <w:spacing w:val="-10"/>
                <w:sz w:val="24"/>
              </w:rPr>
              <w:t>-</w:t>
            </w:r>
          </w:p>
        </w:tc>
        <w:tc>
          <w:tcPr>
            <w:tcW w:w="1434" w:type="dxa"/>
            <w:tcBorders>
              <w:top w:val="single" w:sz="4" w:space="0" w:color="000000"/>
            </w:tcBorders>
          </w:tcPr>
          <w:p>
            <w:pPr>
              <w:pStyle w:val="TableParagraph"/>
              <w:spacing w:before="54"/>
              <w:ind w:left="114"/>
              <w:rPr>
                <w:sz w:val="24"/>
              </w:rPr>
            </w:pPr>
            <w:r>
              <w:rPr>
                <w:spacing w:val="-10"/>
                <w:sz w:val="24"/>
              </w:rPr>
              <w:t>-</w:t>
            </w:r>
          </w:p>
        </w:tc>
        <w:tc>
          <w:tcPr>
            <w:tcW w:w="1234" w:type="dxa"/>
            <w:tcBorders>
              <w:top w:val="single" w:sz="4" w:space="0" w:color="000000"/>
            </w:tcBorders>
          </w:tcPr>
          <w:p>
            <w:pPr>
              <w:pStyle w:val="TableParagraph"/>
              <w:spacing w:before="54"/>
              <w:ind w:left="125"/>
              <w:rPr>
                <w:sz w:val="24"/>
              </w:rPr>
            </w:pPr>
            <w:r>
              <w:rPr>
                <w:spacing w:val="-10"/>
                <w:sz w:val="24"/>
              </w:rPr>
              <w:t>-</w:t>
            </w:r>
          </w:p>
        </w:tc>
      </w:tr>
      <w:tr>
        <w:trPr>
          <w:trHeight w:val="533" w:hRule="atLeast"/>
        </w:trPr>
        <w:tc>
          <w:tcPr>
            <w:tcW w:w="1293" w:type="dxa"/>
          </w:tcPr>
          <w:p>
            <w:pPr>
              <w:pStyle w:val="TableParagraph"/>
              <w:spacing w:before="123"/>
              <w:ind w:left="117"/>
              <w:rPr>
                <w:sz w:val="24"/>
              </w:rPr>
            </w:pPr>
            <w:r>
              <w:rPr>
                <w:spacing w:val="-5"/>
                <w:sz w:val="24"/>
              </w:rPr>
              <w:t>UME</w:t>
            </w:r>
          </w:p>
        </w:tc>
        <w:tc>
          <w:tcPr>
            <w:tcW w:w="1634" w:type="dxa"/>
          </w:tcPr>
          <w:p>
            <w:pPr>
              <w:pStyle w:val="TableParagraph"/>
              <w:spacing w:before="123"/>
              <w:ind w:left="193"/>
              <w:rPr>
                <w:sz w:val="24"/>
              </w:rPr>
            </w:pPr>
            <w:r>
              <w:rPr>
                <w:spacing w:val="-5"/>
                <w:sz w:val="24"/>
              </w:rPr>
              <w:t>125</w:t>
            </w:r>
          </w:p>
        </w:tc>
        <w:tc>
          <w:tcPr>
            <w:tcW w:w="1378" w:type="dxa"/>
          </w:tcPr>
          <w:p>
            <w:pPr>
              <w:pStyle w:val="TableParagraph"/>
              <w:spacing w:before="123"/>
              <w:ind w:left="119"/>
              <w:rPr>
                <w:sz w:val="24"/>
              </w:rPr>
            </w:pPr>
            <w:r>
              <w:rPr>
                <w:spacing w:val="-10"/>
                <w:sz w:val="24"/>
              </w:rPr>
              <w:t>-</w:t>
            </w:r>
          </w:p>
        </w:tc>
        <w:tc>
          <w:tcPr>
            <w:tcW w:w="1533" w:type="dxa"/>
          </w:tcPr>
          <w:p>
            <w:pPr>
              <w:pStyle w:val="TableParagraph"/>
              <w:spacing w:before="123"/>
              <w:ind w:left="191"/>
              <w:rPr>
                <w:sz w:val="24"/>
              </w:rPr>
            </w:pPr>
            <w:r>
              <w:rPr>
                <w:spacing w:val="-10"/>
                <w:sz w:val="24"/>
              </w:rPr>
              <w:t>±</w:t>
            </w:r>
          </w:p>
        </w:tc>
        <w:tc>
          <w:tcPr>
            <w:tcW w:w="1434" w:type="dxa"/>
          </w:tcPr>
          <w:p>
            <w:pPr>
              <w:pStyle w:val="TableParagraph"/>
              <w:spacing w:before="123"/>
              <w:ind w:left="114"/>
              <w:rPr>
                <w:sz w:val="24"/>
              </w:rPr>
            </w:pPr>
            <w:r>
              <w:rPr>
                <w:spacing w:val="-10"/>
                <w:sz w:val="24"/>
              </w:rPr>
              <w:t>-</w:t>
            </w:r>
          </w:p>
        </w:tc>
        <w:tc>
          <w:tcPr>
            <w:tcW w:w="1234" w:type="dxa"/>
          </w:tcPr>
          <w:p>
            <w:pPr>
              <w:pStyle w:val="TableParagraph"/>
              <w:spacing w:before="123"/>
              <w:ind w:left="125"/>
              <w:rPr>
                <w:sz w:val="24"/>
              </w:rPr>
            </w:pPr>
            <w:r>
              <w:rPr>
                <w:spacing w:val="-10"/>
                <w:sz w:val="24"/>
              </w:rPr>
              <w:t>-</w:t>
            </w:r>
          </w:p>
        </w:tc>
      </w:tr>
      <w:tr>
        <w:trPr>
          <w:trHeight w:val="532" w:hRule="atLeast"/>
        </w:trPr>
        <w:tc>
          <w:tcPr>
            <w:tcW w:w="1293" w:type="dxa"/>
          </w:tcPr>
          <w:p>
            <w:pPr>
              <w:pStyle w:val="TableParagraph"/>
              <w:rPr>
                <w:sz w:val="22"/>
              </w:rPr>
            </w:pPr>
          </w:p>
        </w:tc>
        <w:tc>
          <w:tcPr>
            <w:tcW w:w="1634" w:type="dxa"/>
          </w:tcPr>
          <w:p>
            <w:pPr>
              <w:pStyle w:val="TableParagraph"/>
              <w:spacing w:before="123"/>
              <w:ind w:left="193"/>
              <w:rPr>
                <w:sz w:val="24"/>
              </w:rPr>
            </w:pPr>
            <w:r>
              <w:rPr>
                <w:spacing w:val="-5"/>
                <w:sz w:val="24"/>
              </w:rPr>
              <w:t>250</w:t>
            </w:r>
          </w:p>
        </w:tc>
        <w:tc>
          <w:tcPr>
            <w:tcW w:w="1378" w:type="dxa"/>
          </w:tcPr>
          <w:p>
            <w:pPr>
              <w:pStyle w:val="TableParagraph"/>
              <w:spacing w:before="123"/>
              <w:ind w:left="119"/>
              <w:rPr>
                <w:sz w:val="24"/>
              </w:rPr>
            </w:pPr>
            <w:r>
              <w:rPr>
                <w:spacing w:val="-10"/>
                <w:sz w:val="24"/>
              </w:rPr>
              <w:t>+</w:t>
            </w:r>
          </w:p>
        </w:tc>
        <w:tc>
          <w:tcPr>
            <w:tcW w:w="1533" w:type="dxa"/>
          </w:tcPr>
          <w:p>
            <w:pPr>
              <w:pStyle w:val="TableParagraph"/>
              <w:spacing w:before="123"/>
              <w:ind w:left="191"/>
              <w:rPr>
                <w:sz w:val="24"/>
              </w:rPr>
            </w:pPr>
            <w:r>
              <w:rPr>
                <w:spacing w:val="-10"/>
                <w:sz w:val="24"/>
              </w:rPr>
              <w:t>+</w:t>
            </w:r>
          </w:p>
        </w:tc>
        <w:tc>
          <w:tcPr>
            <w:tcW w:w="1434" w:type="dxa"/>
          </w:tcPr>
          <w:p>
            <w:pPr>
              <w:pStyle w:val="TableParagraph"/>
              <w:spacing w:before="123"/>
              <w:ind w:left="114"/>
              <w:rPr>
                <w:sz w:val="24"/>
              </w:rPr>
            </w:pPr>
            <w:r>
              <w:rPr>
                <w:spacing w:val="-10"/>
                <w:sz w:val="24"/>
              </w:rPr>
              <w:t>+</w:t>
            </w:r>
          </w:p>
        </w:tc>
        <w:tc>
          <w:tcPr>
            <w:tcW w:w="1234" w:type="dxa"/>
          </w:tcPr>
          <w:p>
            <w:pPr>
              <w:pStyle w:val="TableParagraph"/>
              <w:spacing w:before="123"/>
              <w:ind w:left="125"/>
              <w:rPr>
                <w:sz w:val="24"/>
              </w:rPr>
            </w:pPr>
            <w:r>
              <w:rPr>
                <w:spacing w:val="-10"/>
                <w:sz w:val="24"/>
              </w:rPr>
              <w:t>+</w:t>
            </w:r>
          </w:p>
        </w:tc>
      </w:tr>
      <w:tr>
        <w:trPr>
          <w:trHeight w:val="532" w:hRule="atLeast"/>
        </w:trPr>
        <w:tc>
          <w:tcPr>
            <w:tcW w:w="1293" w:type="dxa"/>
          </w:tcPr>
          <w:p>
            <w:pPr>
              <w:pStyle w:val="TableParagraph"/>
              <w:rPr>
                <w:sz w:val="22"/>
              </w:rPr>
            </w:pPr>
          </w:p>
        </w:tc>
        <w:tc>
          <w:tcPr>
            <w:tcW w:w="1634" w:type="dxa"/>
          </w:tcPr>
          <w:p>
            <w:pPr>
              <w:pStyle w:val="TableParagraph"/>
              <w:spacing w:before="123"/>
              <w:ind w:left="193"/>
              <w:rPr>
                <w:sz w:val="24"/>
              </w:rPr>
            </w:pPr>
            <w:r>
              <w:rPr>
                <w:spacing w:val="-5"/>
                <w:sz w:val="24"/>
              </w:rPr>
              <w:t>500</w:t>
            </w:r>
          </w:p>
        </w:tc>
        <w:tc>
          <w:tcPr>
            <w:tcW w:w="1378" w:type="dxa"/>
          </w:tcPr>
          <w:p>
            <w:pPr>
              <w:pStyle w:val="TableParagraph"/>
              <w:spacing w:before="123"/>
              <w:ind w:left="119"/>
              <w:rPr>
                <w:sz w:val="24"/>
              </w:rPr>
            </w:pPr>
            <w:r>
              <w:rPr>
                <w:spacing w:val="-5"/>
                <w:sz w:val="24"/>
              </w:rPr>
              <w:t>++</w:t>
            </w:r>
          </w:p>
        </w:tc>
        <w:tc>
          <w:tcPr>
            <w:tcW w:w="1533" w:type="dxa"/>
          </w:tcPr>
          <w:p>
            <w:pPr>
              <w:pStyle w:val="TableParagraph"/>
              <w:spacing w:before="123"/>
              <w:ind w:left="191"/>
              <w:rPr>
                <w:sz w:val="24"/>
              </w:rPr>
            </w:pPr>
            <w:r>
              <w:rPr>
                <w:spacing w:val="-5"/>
                <w:sz w:val="24"/>
              </w:rPr>
              <w:t>++</w:t>
            </w:r>
          </w:p>
        </w:tc>
        <w:tc>
          <w:tcPr>
            <w:tcW w:w="1434" w:type="dxa"/>
          </w:tcPr>
          <w:p>
            <w:pPr>
              <w:pStyle w:val="TableParagraph"/>
              <w:spacing w:before="123"/>
              <w:ind w:left="114"/>
              <w:rPr>
                <w:sz w:val="24"/>
              </w:rPr>
            </w:pPr>
            <w:r>
              <w:rPr>
                <w:spacing w:val="-5"/>
                <w:sz w:val="24"/>
              </w:rPr>
              <w:t>++</w:t>
            </w:r>
          </w:p>
        </w:tc>
        <w:tc>
          <w:tcPr>
            <w:tcW w:w="1234" w:type="dxa"/>
          </w:tcPr>
          <w:p>
            <w:pPr>
              <w:pStyle w:val="TableParagraph"/>
              <w:spacing w:before="123"/>
              <w:ind w:left="125"/>
              <w:rPr>
                <w:sz w:val="24"/>
              </w:rPr>
            </w:pPr>
            <w:r>
              <w:rPr>
                <w:spacing w:val="-5"/>
                <w:sz w:val="24"/>
              </w:rPr>
              <w:t>++</w:t>
            </w:r>
          </w:p>
        </w:tc>
      </w:tr>
      <w:tr>
        <w:trPr>
          <w:trHeight w:val="535" w:hRule="atLeast"/>
        </w:trPr>
        <w:tc>
          <w:tcPr>
            <w:tcW w:w="1293" w:type="dxa"/>
          </w:tcPr>
          <w:p>
            <w:pPr>
              <w:pStyle w:val="TableParagraph"/>
              <w:spacing w:before="123"/>
              <w:ind w:left="117"/>
              <w:rPr>
                <w:sz w:val="24"/>
              </w:rPr>
            </w:pPr>
            <w:r>
              <w:rPr>
                <w:spacing w:val="-4"/>
                <w:sz w:val="24"/>
              </w:rPr>
              <w:t>SDME</w:t>
            </w:r>
          </w:p>
        </w:tc>
        <w:tc>
          <w:tcPr>
            <w:tcW w:w="1634" w:type="dxa"/>
          </w:tcPr>
          <w:p>
            <w:pPr>
              <w:pStyle w:val="TableParagraph"/>
              <w:spacing w:before="123"/>
              <w:ind w:left="193"/>
              <w:rPr>
                <w:sz w:val="24"/>
              </w:rPr>
            </w:pPr>
            <w:r>
              <w:rPr>
                <w:spacing w:val="-5"/>
                <w:sz w:val="24"/>
              </w:rPr>
              <w:t>125</w:t>
            </w:r>
          </w:p>
        </w:tc>
        <w:tc>
          <w:tcPr>
            <w:tcW w:w="1378" w:type="dxa"/>
          </w:tcPr>
          <w:p>
            <w:pPr>
              <w:pStyle w:val="TableParagraph"/>
              <w:spacing w:before="123"/>
              <w:ind w:left="119"/>
              <w:rPr>
                <w:sz w:val="24"/>
              </w:rPr>
            </w:pPr>
            <w:r>
              <w:rPr>
                <w:spacing w:val="-10"/>
                <w:sz w:val="24"/>
              </w:rPr>
              <w:t>-</w:t>
            </w:r>
          </w:p>
        </w:tc>
        <w:tc>
          <w:tcPr>
            <w:tcW w:w="1533" w:type="dxa"/>
          </w:tcPr>
          <w:p>
            <w:pPr>
              <w:pStyle w:val="TableParagraph"/>
              <w:spacing w:before="123"/>
              <w:ind w:left="191"/>
              <w:rPr>
                <w:sz w:val="24"/>
              </w:rPr>
            </w:pPr>
            <w:r>
              <w:rPr>
                <w:spacing w:val="-10"/>
                <w:sz w:val="24"/>
              </w:rPr>
              <w:t>±</w:t>
            </w:r>
          </w:p>
        </w:tc>
        <w:tc>
          <w:tcPr>
            <w:tcW w:w="1434" w:type="dxa"/>
          </w:tcPr>
          <w:p>
            <w:pPr>
              <w:pStyle w:val="TableParagraph"/>
              <w:spacing w:before="123"/>
              <w:ind w:left="114"/>
              <w:rPr>
                <w:sz w:val="24"/>
              </w:rPr>
            </w:pPr>
            <w:r>
              <w:rPr>
                <w:spacing w:val="-10"/>
                <w:sz w:val="24"/>
              </w:rPr>
              <w:t>-</w:t>
            </w:r>
          </w:p>
        </w:tc>
        <w:tc>
          <w:tcPr>
            <w:tcW w:w="1234" w:type="dxa"/>
          </w:tcPr>
          <w:p>
            <w:pPr>
              <w:pStyle w:val="TableParagraph"/>
              <w:spacing w:before="123"/>
              <w:ind w:left="125"/>
              <w:rPr>
                <w:sz w:val="24"/>
              </w:rPr>
            </w:pPr>
            <w:r>
              <w:rPr>
                <w:spacing w:val="-10"/>
                <w:sz w:val="24"/>
              </w:rPr>
              <w:t>-</w:t>
            </w:r>
          </w:p>
        </w:tc>
      </w:tr>
      <w:tr>
        <w:trPr>
          <w:trHeight w:val="535" w:hRule="atLeast"/>
        </w:trPr>
        <w:tc>
          <w:tcPr>
            <w:tcW w:w="1293" w:type="dxa"/>
          </w:tcPr>
          <w:p>
            <w:pPr>
              <w:pStyle w:val="TableParagraph"/>
              <w:rPr>
                <w:sz w:val="22"/>
              </w:rPr>
            </w:pPr>
          </w:p>
        </w:tc>
        <w:tc>
          <w:tcPr>
            <w:tcW w:w="1634" w:type="dxa"/>
          </w:tcPr>
          <w:p>
            <w:pPr>
              <w:pStyle w:val="TableParagraph"/>
              <w:spacing w:before="126"/>
              <w:ind w:left="193"/>
              <w:rPr>
                <w:sz w:val="24"/>
              </w:rPr>
            </w:pPr>
            <w:r>
              <w:rPr>
                <w:spacing w:val="-5"/>
                <w:sz w:val="24"/>
              </w:rPr>
              <w:t>250</w:t>
            </w:r>
          </w:p>
        </w:tc>
        <w:tc>
          <w:tcPr>
            <w:tcW w:w="1378" w:type="dxa"/>
          </w:tcPr>
          <w:p>
            <w:pPr>
              <w:pStyle w:val="TableParagraph"/>
              <w:spacing w:before="126"/>
              <w:ind w:left="119"/>
              <w:rPr>
                <w:sz w:val="24"/>
              </w:rPr>
            </w:pPr>
            <w:r>
              <w:rPr>
                <w:spacing w:val="-10"/>
                <w:sz w:val="24"/>
              </w:rPr>
              <w:t>±</w:t>
            </w:r>
          </w:p>
        </w:tc>
        <w:tc>
          <w:tcPr>
            <w:tcW w:w="1533" w:type="dxa"/>
          </w:tcPr>
          <w:p>
            <w:pPr>
              <w:pStyle w:val="TableParagraph"/>
              <w:spacing w:before="126"/>
              <w:ind w:left="191"/>
              <w:rPr>
                <w:sz w:val="24"/>
              </w:rPr>
            </w:pPr>
            <w:r>
              <w:rPr>
                <w:spacing w:val="-10"/>
                <w:sz w:val="24"/>
              </w:rPr>
              <w:t>±</w:t>
            </w:r>
          </w:p>
        </w:tc>
        <w:tc>
          <w:tcPr>
            <w:tcW w:w="1434" w:type="dxa"/>
          </w:tcPr>
          <w:p>
            <w:pPr>
              <w:pStyle w:val="TableParagraph"/>
              <w:spacing w:before="126"/>
              <w:ind w:left="114"/>
              <w:rPr>
                <w:sz w:val="24"/>
              </w:rPr>
            </w:pPr>
            <w:r>
              <w:rPr>
                <w:spacing w:val="-10"/>
                <w:sz w:val="24"/>
              </w:rPr>
              <w:t>±</w:t>
            </w:r>
          </w:p>
        </w:tc>
        <w:tc>
          <w:tcPr>
            <w:tcW w:w="1234" w:type="dxa"/>
          </w:tcPr>
          <w:p>
            <w:pPr>
              <w:pStyle w:val="TableParagraph"/>
              <w:spacing w:before="126"/>
              <w:ind w:left="125"/>
              <w:rPr>
                <w:sz w:val="24"/>
              </w:rPr>
            </w:pPr>
            <w:r>
              <w:rPr>
                <w:spacing w:val="-10"/>
                <w:sz w:val="24"/>
              </w:rPr>
              <w:t>±</w:t>
            </w:r>
          </w:p>
        </w:tc>
      </w:tr>
      <w:tr>
        <w:trPr>
          <w:trHeight w:val="606" w:hRule="atLeast"/>
        </w:trPr>
        <w:tc>
          <w:tcPr>
            <w:tcW w:w="1293" w:type="dxa"/>
            <w:tcBorders>
              <w:bottom w:val="single" w:sz="4" w:space="0" w:color="000000"/>
            </w:tcBorders>
          </w:tcPr>
          <w:p>
            <w:pPr>
              <w:pStyle w:val="TableParagraph"/>
              <w:rPr>
                <w:sz w:val="22"/>
              </w:rPr>
            </w:pPr>
          </w:p>
        </w:tc>
        <w:tc>
          <w:tcPr>
            <w:tcW w:w="1634" w:type="dxa"/>
            <w:tcBorders>
              <w:bottom w:val="single" w:sz="4" w:space="0" w:color="000000"/>
            </w:tcBorders>
          </w:tcPr>
          <w:p>
            <w:pPr>
              <w:pStyle w:val="TableParagraph"/>
              <w:spacing w:before="123"/>
              <w:ind w:left="193"/>
              <w:rPr>
                <w:sz w:val="24"/>
              </w:rPr>
            </w:pPr>
            <w:r>
              <w:rPr>
                <w:spacing w:val="-5"/>
                <w:sz w:val="24"/>
              </w:rPr>
              <w:t>500</w:t>
            </w:r>
          </w:p>
        </w:tc>
        <w:tc>
          <w:tcPr>
            <w:tcW w:w="1378" w:type="dxa"/>
            <w:tcBorders>
              <w:bottom w:val="single" w:sz="4" w:space="0" w:color="000000"/>
            </w:tcBorders>
          </w:tcPr>
          <w:p>
            <w:pPr>
              <w:pStyle w:val="TableParagraph"/>
              <w:spacing w:before="123"/>
              <w:ind w:left="119"/>
              <w:rPr>
                <w:sz w:val="24"/>
              </w:rPr>
            </w:pPr>
            <w:r>
              <w:rPr>
                <w:spacing w:val="-10"/>
                <w:sz w:val="24"/>
              </w:rPr>
              <w:t>+</w:t>
            </w:r>
          </w:p>
        </w:tc>
        <w:tc>
          <w:tcPr>
            <w:tcW w:w="1533" w:type="dxa"/>
            <w:tcBorders>
              <w:bottom w:val="single" w:sz="4" w:space="0" w:color="000000"/>
            </w:tcBorders>
          </w:tcPr>
          <w:p>
            <w:pPr>
              <w:pStyle w:val="TableParagraph"/>
              <w:spacing w:before="123"/>
              <w:ind w:left="191"/>
              <w:rPr>
                <w:sz w:val="24"/>
              </w:rPr>
            </w:pPr>
            <w:r>
              <w:rPr>
                <w:spacing w:val="-10"/>
                <w:sz w:val="24"/>
              </w:rPr>
              <w:t>±</w:t>
            </w:r>
          </w:p>
        </w:tc>
        <w:tc>
          <w:tcPr>
            <w:tcW w:w="1434" w:type="dxa"/>
            <w:tcBorders>
              <w:bottom w:val="single" w:sz="4" w:space="0" w:color="000000"/>
            </w:tcBorders>
          </w:tcPr>
          <w:p>
            <w:pPr>
              <w:pStyle w:val="TableParagraph"/>
              <w:spacing w:before="123"/>
              <w:ind w:left="114"/>
              <w:rPr>
                <w:sz w:val="24"/>
              </w:rPr>
            </w:pPr>
            <w:r>
              <w:rPr>
                <w:spacing w:val="-10"/>
                <w:sz w:val="24"/>
              </w:rPr>
              <w:t>±</w:t>
            </w:r>
          </w:p>
        </w:tc>
        <w:tc>
          <w:tcPr>
            <w:tcW w:w="1234" w:type="dxa"/>
            <w:tcBorders>
              <w:bottom w:val="single" w:sz="4" w:space="0" w:color="000000"/>
            </w:tcBorders>
          </w:tcPr>
          <w:p>
            <w:pPr>
              <w:pStyle w:val="TableParagraph"/>
              <w:spacing w:before="123"/>
              <w:ind w:left="125"/>
              <w:rPr>
                <w:sz w:val="24"/>
              </w:rPr>
            </w:pPr>
            <w:r>
              <w:rPr>
                <w:spacing w:val="-10"/>
                <w:sz w:val="24"/>
              </w:rPr>
              <w:t>+</w:t>
            </w:r>
          </w:p>
        </w:tc>
      </w:tr>
    </w:tbl>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8"/>
          <w:sz w:val="22"/>
        </w:rPr>
        <w:t> </w:t>
      </w:r>
      <w:r>
        <w:rPr>
          <w:sz w:val="22"/>
        </w:rPr>
        <w:t>Mechanically</w:t>
      </w:r>
      <w:r>
        <w:rPr>
          <w:spacing w:val="-8"/>
          <w:sz w:val="22"/>
        </w:rPr>
        <w:t> </w:t>
      </w:r>
      <w:r>
        <w:rPr>
          <w:spacing w:val="-2"/>
          <w:sz w:val="22"/>
        </w:rPr>
        <w:t>Extracted</w:t>
      </w:r>
    </w:p>
    <w:p>
      <w:pPr>
        <w:spacing w:before="127"/>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6"/>
          <w:sz w:val="22"/>
        </w:rPr>
        <w:t> </w:t>
      </w:r>
      <w:r>
        <w:rPr>
          <w:sz w:val="22"/>
        </w:rPr>
        <w:t>Detoxified</w:t>
      </w:r>
      <w:r>
        <w:rPr>
          <w:spacing w:val="-9"/>
          <w:sz w:val="22"/>
        </w:rPr>
        <w:t> </w:t>
      </w:r>
      <w:r>
        <w:rPr>
          <w:sz w:val="22"/>
        </w:rPr>
        <w:t>Mechanically</w:t>
      </w:r>
      <w:r>
        <w:rPr>
          <w:spacing w:val="-8"/>
          <w:sz w:val="22"/>
        </w:rPr>
        <w:t> </w:t>
      </w:r>
      <w:r>
        <w:rPr>
          <w:spacing w:val="-2"/>
          <w:sz w:val="22"/>
        </w:rPr>
        <w:t>Extracted</w:t>
      </w:r>
    </w:p>
    <w:p>
      <w:pPr>
        <w:pStyle w:val="BodyText"/>
        <w:spacing w:before="121"/>
        <w:ind w:left="1028"/>
      </w:pPr>
      <w:r>
        <w:rPr>
          <w:sz w:val="22"/>
          <w:vertAlign w:val="superscript"/>
        </w:rPr>
        <w:t>*</w:t>
      </w:r>
      <w:r>
        <w:rPr>
          <w:spacing w:val="-19"/>
          <w:sz w:val="22"/>
          <w:vertAlign w:val="baseline"/>
        </w:rPr>
        <w:t> </w:t>
      </w:r>
      <w:r>
        <w:rPr>
          <w:sz w:val="22"/>
          <w:vertAlign w:val="baseline"/>
        </w:rPr>
        <w:t>=</w:t>
      </w:r>
      <w:r>
        <w:rPr>
          <w:spacing w:val="-2"/>
          <w:sz w:val="22"/>
          <w:vertAlign w:val="baseline"/>
        </w:rPr>
        <w:t> </w:t>
      </w:r>
      <w:r>
        <w:rPr>
          <w:sz w:val="22"/>
          <w:vertAlign w:val="baseline"/>
        </w:rPr>
        <w:t>ml/kg;</w:t>
      </w:r>
      <w:r>
        <w:rPr>
          <w:spacing w:val="1"/>
          <w:sz w:val="22"/>
          <w:vertAlign w:val="baseline"/>
        </w:rPr>
        <w:t> </w:t>
      </w:r>
      <w:r>
        <w:rPr>
          <w:vertAlign w:val="baseline"/>
        </w:rPr>
        <w:t>n</w:t>
      </w:r>
      <w:r>
        <w:rPr>
          <w:spacing w:val="-5"/>
          <w:vertAlign w:val="baseline"/>
        </w:rPr>
        <w:t> </w:t>
      </w:r>
      <w:r>
        <w:rPr>
          <w:vertAlign w:val="baseline"/>
        </w:rPr>
        <w:t>=</w:t>
      </w:r>
      <w:r>
        <w:rPr>
          <w:spacing w:val="-1"/>
          <w:vertAlign w:val="baseline"/>
        </w:rPr>
        <w:t> </w:t>
      </w:r>
      <w:r>
        <w:rPr>
          <w:vertAlign w:val="baseline"/>
        </w:rPr>
        <w:t>5 (number</w:t>
      </w:r>
      <w:r>
        <w:rPr>
          <w:spacing w:val="1"/>
          <w:vertAlign w:val="baseline"/>
        </w:rPr>
        <w:t> </w:t>
      </w:r>
      <w:r>
        <w:rPr>
          <w:vertAlign w:val="baseline"/>
        </w:rPr>
        <w:t>of</w:t>
      </w:r>
      <w:r>
        <w:rPr>
          <w:spacing w:val="-7"/>
          <w:vertAlign w:val="baseline"/>
        </w:rPr>
        <w:t> </w:t>
      </w:r>
      <w:r>
        <w:rPr>
          <w:vertAlign w:val="baseline"/>
        </w:rPr>
        <w:t>rats);</w:t>
      </w:r>
      <w:r>
        <w:rPr>
          <w:spacing w:val="-5"/>
          <w:vertAlign w:val="baseline"/>
        </w:rPr>
        <w:t> </w:t>
      </w:r>
      <w:r>
        <w:rPr>
          <w:vertAlign w:val="baseline"/>
        </w:rPr>
        <w:t>Drug</w:t>
      </w:r>
      <w:r>
        <w:rPr>
          <w:spacing w:val="-5"/>
          <w:vertAlign w:val="baseline"/>
        </w:rPr>
        <w:t> </w:t>
      </w:r>
      <w:r>
        <w:rPr>
          <w:vertAlign w:val="baseline"/>
        </w:rPr>
        <w:t>administration;</w:t>
      </w:r>
      <w:r>
        <w:rPr>
          <w:spacing w:val="-1"/>
          <w:vertAlign w:val="baseline"/>
        </w:rPr>
        <w:t> </w:t>
      </w:r>
      <w:r>
        <w:rPr>
          <w:vertAlign w:val="baseline"/>
        </w:rPr>
        <w:t>p.o.</w:t>
      </w:r>
      <w:r>
        <w:rPr>
          <w:spacing w:val="1"/>
          <w:vertAlign w:val="baseline"/>
        </w:rPr>
        <w:t> </w:t>
      </w:r>
      <w:r>
        <w:rPr>
          <w:vertAlign w:val="baseline"/>
        </w:rPr>
        <w:t>daily</w:t>
      </w:r>
      <w:r>
        <w:rPr>
          <w:spacing w:val="-5"/>
          <w:vertAlign w:val="baseline"/>
        </w:rPr>
        <w:t> </w:t>
      </w:r>
      <w:r>
        <w:rPr>
          <w:vertAlign w:val="baseline"/>
        </w:rPr>
        <w:t>for</w:t>
      </w:r>
      <w:r>
        <w:rPr>
          <w:spacing w:val="1"/>
          <w:vertAlign w:val="baseline"/>
        </w:rPr>
        <w:t> </w:t>
      </w:r>
      <w:r>
        <w:rPr>
          <w:vertAlign w:val="baseline"/>
        </w:rPr>
        <w:t>14 </w:t>
      </w:r>
      <w:r>
        <w:rPr>
          <w:spacing w:val="-4"/>
          <w:vertAlign w:val="baseline"/>
        </w:rPr>
        <w:t>days</w:t>
      </w:r>
    </w:p>
    <w:p>
      <w:pPr>
        <w:spacing w:before="146"/>
        <w:ind w:left="1028" w:right="0" w:firstLine="0"/>
        <w:jc w:val="left"/>
        <w:rPr>
          <w:sz w:val="22"/>
        </w:rPr>
      </w:pPr>
      <w:r>
        <w:rPr>
          <w:sz w:val="22"/>
        </w:rPr>
        <w:t>-</w:t>
      </w:r>
      <w:r>
        <w:rPr>
          <w:spacing w:val="-4"/>
          <w:sz w:val="22"/>
        </w:rPr>
        <w:t> </w:t>
      </w:r>
      <w:r>
        <w:rPr>
          <w:sz w:val="22"/>
        </w:rPr>
        <w:t>=</w:t>
      </w:r>
      <w:r>
        <w:rPr>
          <w:spacing w:val="-3"/>
          <w:sz w:val="22"/>
        </w:rPr>
        <w:t> </w:t>
      </w:r>
      <w:r>
        <w:rPr>
          <w:sz w:val="22"/>
        </w:rPr>
        <w:t>Absent/not</w:t>
      </w:r>
      <w:r>
        <w:rPr>
          <w:spacing w:val="3"/>
          <w:sz w:val="22"/>
        </w:rPr>
        <w:t> </w:t>
      </w:r>
      <w:r>
        <w:rPr>
          <w:sz w:val="22"/>
        </w:rPr>
        <w:t>detected;</w:t>
      </w:r>
      <w:r>
        <w:rPr>
          <w:spacing w:val="-1"/>
          <w:sz w:val="22"/>
        </w:rPr>
        <w:t> </w:t>
      </w:r>
      <w:r>
        <w:rPr>
          <w:sz w:val="22"/>
        </w:rPr>
        <w:t>±</w:t>
      </w:r>
      <w:r>
        <w:rPr>
          <w:spacing w:val="-4"/>
          <w:sz w:val="22"/>
        </w:rPr>
        <w:t> </w:t>
      </w:r>
      <w:r>
        <w:rPr>
          <w:sz w:val="22"/>
        </w:rPr>
        <w:t>=</w:t>
      </w:r>
      <w:r>
        <w:rPr>
          <w:spacing w:val="-1"/>
          <w:sz w:val="22"/>
        </w:rPr>
        <w:t> </w:t>
      </w:r>
      <w:r>
        <w:rPr>
          <w:sz w:val="22"/>
        </w:rPr>
        <w:t>mild;</w:t>
      </w:r>
      <w:r>
        <w:rPr>
          <w:spacing w:val="-1"/>
          <w:sz w:val="22"/>
        </w:rPr>
        <w:t> </w:t>
      </w:r>
      <w:r>
        <w:rPr>
          <w:sz w:val="22"/>
        </w:rPr>
        <w:t>+</w:t>
      </w:r>
      <w:r>
        <w:rPr>
          <w:spacing w:val="-3"/>
          <w:sz w:val="22"/>
        </w:rPr>
        <w:t> </w:t>
      </w:r>
      <w:r>
        <w:rPr>
          <w:sz w:val="22"/>
        </w:rPr>
        <w:t>=</w:t>
      </w:r>
      <w:r>
        <w:rPr>
          <w:spacing w:val="-2"/>
          <w:sz w:val="22"/>
        </w:rPr>
        <w:t> </w:t>
      </w:r>
      <w:r>
        <w:rPr>
          <w:sz w:val="22"/>
        </w:rPr>
        <w:t>moderate;</w:t>
      </w:r>
      <w:r>
        <w:rPr>
          <w:spacing w:val="-1"/>
          <w:sz w:val="22"/>
        </w:rPr>
        <w:t> </w:t>
      </w:r>
      <w:r>
        <w:rPr>
          <w:sz w:val="22"/>
        </w:rPr>
        <w:t>++</w:t>
      </w:r>
      <w:r>
        <w:rPr>
          <w:spacing w:val="-3"/>
          <w:sz w:val="22"/>
        </w:rPr>
        <w:t> </w:t>
      </w:r>
      <w:r>
        <w:rPr>
          <w:sz w:val="22"/>
        </w:rPr>
        <w:t>=</w:t>
      </w:r>
      <w:r>
        <w:rPr>
          <w:spacing w:val="-5"/>
          <w:sz w:val="22"/>
        </w:rPr>
        <w:t> </w:t>
      </w:r>
      <w:r>
        <w:rPr>
          <w:spacing w:val="-2"/>
          <w:sz w:val="22"/>
        </w:rPr>
        <w:t>severe</w:t>
      </w:r>
    </w:p>
    <w:p>
      <w:pPr>
        <w:spacing w:after="0"/>
        <w:jc w:val="left"/>
        <w:rPr>
          <w:sz w:val="22"/>
        </w:rPr>
        <w:sectPr>
          <w:pgSz w:w="11910" w:h="16840"/>
          <w:pgMar w:header="0" w:footer="1012" w:top="1320" w:bottom="1200" w:left="960" w:right="620"/>
        </w:sectPr>
      </w:pPr>
    </w:p>
    <w:p>
      <w:pPr>
        <w:pStyle w:val="Heading2"/>
        <w:numPr>
          <w:ilvl w:val="1"/>
          <w:numId w:val="20"/>
        </w:numPr>
        <w:tabs>
          <w:tab w:pos="1748" w:val="left" w:leader="none"/>
        </w:tabs>
        <w:spacing w:line="360" w:lineRule="auto" w:before="64" w:after="0"/>
        <w:ind w:left="1748" w:right="805" w:hanging="721"/>
        <w:jc w:val="left"/>
      </w:pPr>
      <w:bookmarkStart w:name="_TOC_250004" w:id="52"/>
      <w:r>
        <w:rPr/>
        <w:t>Body</w:t>
      </w:r>
      <w:r>
        <w:rPr>
          <w:spacing w:val="37"/>
        </w:rPr>
        <w:t> </w:t>
      </w:r>
      <w:r>
        <w:rPr/>
        <w:t>Weight</w:t>
      </w:r>
      <w:r>
        <w:rPr>
          <w:spacing w:val="38"/>
        </w:rPr>
        <w:t> </w:t>
      </w:r>
      <w:r>
        <w:rPr/>
        <w:t>Changes</w:t>
      </w:r>
      <w:r>
        <w:rPr>
          <w:spacing w:val="36"/>
        </w:rPr>
        <w:t> </w:t>
      </w:r>
      <w:r>
        <w:rPr/>
        <w:t>and</w:t>
      </w:r>
      <w:r>
        <w:rPr>
          <w:spacing w:val="33"/>
        </w:rPr>
        <w:t> </w:t>
      </w:r>
      <w:r>
        <w:rPr/>
        <w:t>Mortality</w:t>
      </w:r>
      <w:r>
        <w:rPr>
          <w:spacing w:val="38"/>
        </w:rPr>
        <w:t> </w:t>
      </w:r>
      <w:r>
        <w:rPr/>
        <w:t>in</w:t>
      </w:r>
      <w:r>
        <w:rPr>
          <w:spacing w:val="38"/>
        </w:rPr>
        <w:t> </w:t>
      </w:r>
      <w:r>
        <w:rPr/>
        <w:t>Male</w:t>
      </w:r>
      <w:r>
        <w:rPr>
          <w:spacing w:val="40"/>
        </w:rPr>
        <w:t> </w:t>
      </w:r>
      <w:r>
        <w:rPr/>
        <w:t>Wistar</w:t>
      </w:r>
      <w:r>
        <w:rPr>
          <w:spacing w:val="36"/>
        </w:rPr>
        <w:t> </w:t>
      </w:r>
      <w:r>
        <w:rPr/>
        <w:t>Rats</w:t>
      </w:r>
      <w:r>
        <w:rPr>
          <w:spacing w:val="35"/>
        </w:rPr>
        <w:t> </w:t>
      </w:r>
      <w:r>
        <w:rPr/>
        <w:t>that</w:t>
      </w:r>
      <w:r>
        <w:rPr>
          <w:spacing w:val="38"/>
        </w:rPr>
        <w:t> </w:t>
      </w:r>
      <w:r>
        <w:rPr/>
        <w:t>Received Undetoxified and Detoxified </w:t>
      </w:r>
      <w:r>
        <w:rPr>
          <w:i/>
        </w:rPr>
        <w:t>J</w:t>
      </w:r>
      <w:r>
        <w:rPr/>
        <w:t>. </w:t>
      </w:r>
      <w:r>
        <w:rPr>
          <w:i/>
        </w:rPr>
        <w:t>curcas </w:t>
      </w:r>
      <w:bookmarkEnd w:id="52"/>
      <w:r>
        <w:rPr/>
        <w:t>Oils</w:t>
      </w:r>
    </w:p>
    <w:p>
      <w:pPr>
        <w:pStyle w:val="BodyText"/>
        <w:spacing w:before="135"/>
        <w:rPr>
          <w:b/>
        </w:rPr>
      </w:pPr>
    </w:p>
    <w:p>
      <w:pPr>
        <w:pStyle w:val="BodyText"/>
        <w:spacing w:line="480" w:lineRule="auto"/>
        <w:ind w:left="1028" w:right="796"/>
        <w:jc w:val="both"/>
      </w:pPr>
      <w:r>
        <w:rPr/>
        <w:t>Undetoxified mechanically extracted oil at 500 mg/kg resulted in significant (p&lt;0.05) weight changes with decrease (21.00±0.00 g) in their body weight and corresponding 80% mortality in rats and 250 mg/kg of the undetoxified oil resulted in 7.33±2.40 g decrease in body weight and 20% mortality. However, the undetoxified oil at 125</w:t>
      </w:r>
      <w:r>
        <w:rPr>
          <w:spacing w:val="80"/>
        </w:rPr>
        <w:t> </w:t>
      </w:r>
      <w:r>
        <w:rPr/>
        <w:t>mg/kg dose and all doses of the detoxified oil (SDME) produced significant (p&lt;0.05) increases in body weight of rats and no mortality (Table 4.8).</w:t>
      </w:r>
    </w:p>
    <w:p>
      <w:pPr>
        <w:pStyle w:val="BodyText"/>
      </w:pPr>
    </w:p>
    <w:p>
      <w:pPr>
        <w:pStyle w:val="BodyText"/>
        <w:spacing w:before="6"/>
      </w:pPr>
    </w:p>
    <w:p>
      <w:pPr>
        <w:pStyle w:val="Heading2"/>
        <w:spacing w:line="360" w:lineRule="auto"/>
        <w:ind w:left="1028" w:right="805" w:firstLine="0"/>
      </w:pPr>
      <w:r>
        <w:rPr/>
        <w:t>Table 4.8: Body Weight Changes and Mortality in Male Wistar</w:t>
      </w:r>
      <w:r>
        <w:rPr>
          <w:spacing w:val="-1"/>
        </w:rPr>
        <w:t> </w:t>
      </w:r>
      <w:r>
        <w:rPr/>
        <w:t>Rats</w:t>
      </w:r>
      <w:r>
        <w:rPr>
          <w:spacing w:val="-2"/>
        </w:rPr>
        <w:t> </w:t>
      </w:r>
      <w:r>
        <w:rPr/>
        <w:t>that Received Undetoxified and Detoxified </w:t>
      </w:r>
      <w:r>
        <w:rPr>
          <w:i/>
        </w:rPr>
        <w:t>Jatropha curcas </w:t>
      </w:r>
      <w:r>
        <w:rPr/>
        <w:t>Oils</w:t>
      </w:r>
    </w:p>
    <w:p>
      <w:pPr>
        <w:pStyle w:val="BodyText"/>
        <w:spacing w:before="184"/>
        <w:rPr>
          <w:b/>
          <w:sz w:val="20"/>
        </w:rPr>
      </w:pPr>
    </w:p>
    <w:tbl>
      <w:tblPr>
        <w:tblW w:w="0" w:type="auto"/>
        <w:jc w:val="left"/>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9"/>
        <w:gridCol w:w="1788"/>
        <w:gridCol w:w="2083"/>
        <w:gridCol w:w="1039"/>
        <w:gridCol w:w="1171"/>
        <w:gridCol w:w="1121"/>
      </w:tblGrid>
      <w:tr>
        <w:trPr>
          <w:trHeight w:val="733" w:hRule="atLeast"/>
        </w:trPr>
        <w:tc>
          <w:tcPr>
            <w:tcW w:w="1379" w:type="dxa"/>
            <w:tcBorders>
              <w:top w:val="single" w:sz="4" w:space="0" w:color="000000"/>
            </w:tcBorders>
          </w:tcPr>
          <w:p>
            <w:pPr>
              <w:pStyle w:val="TableParagraph"/>
              <w:spacing w:before="54"/>
              <w:ind w:left="117"/>
              <w:rPr>
                <w:sz w:val="24"/>
              </w:rPr>
            </w:pPr>
            <w:r>
              <w:rPr>
                <w:spacing w:val="-2"/>
                <w:sz w:val="24"/>
              </w:rPr>
              <w:t>Treatment</w:t>
            </w:r>
          </w:p>
        </w:tc>
        <w:tc>
          <w:tcPr>
            <w:tcW w:w="1788" w:type="dxa"/>
            <w:tcBorders>
              <w:top w:val="single" w:sz="4" w:space="0" w:color="000000"/>
            </w:tcBorders>
          </w:tcPr>
          <w:p>
            <w:pPr>
              <w:pStyle w:val="TableParagraph"/>
              <w:spacing w:before="54"/>
              <w:ind w:left="279"/>
              <w:rPr>
                <w:sz w:val="24"/>
              </w:rPr>
            </w:pPr>
            <w:r>
              <w:rPr>
                <w:sz w:val="24"/>
              </w:rPr>
              <w:t>Dose </w:t>
            </w:r>
            <w:r>
              <w:rPr>
                <w:spacing w:val="-2"/>
                <w:sz w:val="24"/>
              </w:rPr>
              <w:t>(mg/kg)</w:t>
            </w:r>
          </w:p>
        </w:tc>
        <w:tc>
          <w:tcPr>
            <w:tcW w:w="2083" w:type="dxa"/>
            <w:tcBorders>
              <w:top w:val="single" w:sz="4" w:space="0" w:color="000000"/>
            </w:tcBorders>
          </w:tcPr>
          <w:p>
            <w:pPr>
              <w:pStyle w:val="TableParagraph"/>
              <w:spacing w:line="275" w:lineRule="exact" w:before="54"/>
              <w:ind w:left="186"/>
              <w:rPr>
                <w:sz w:val="24"/>
              </w:rPr>
            </w:pPr>
            <w:r>
              <w:rPr>
                <w:sz w:val="24"/>
              </w:rPr>
              <w:t>Weight</w:t>
            </w:r>
            <w:r>
              <w:rPr>
                <w:spacing w:val="-2"/>
                <w:sz w:val="24"/>
              </w:rPr>
              <w:t> </w:t>
            </w:r>
            <w:r>
              <w:rPr>
                <w:sz w:val="24"/>
              </w:rPr>
              <w:t>change </w:t>
            </w:r>
            <w:r>
              <w:rPr>
                <w:spacing w:val="-5"/>
                <w:sz w:val="24"/>
                <w:vertAlign w:val="superscript"/>
              </w:rPr>
              <w:t>**</w:t>
            </w:r>
          </w:p>
          <w:p>
            <w:pPr>
              <w:pStyle w:val="TableParagraph"/>
              <w:spacing w:line="275" w:lineRule="exact"/>
              <w:ind w:left="186"/>
              <w:rPr>
                <w:sz w:val="24"/>
              </w:rPr>
            </w:pPr>
            <w:r>
              <w:rPr>
                <w:spacing w:val="-5"/>
                <w:sz w:val="24"/>
              </w:rPr>
              <w:t>(g)</w:t>
            </w:r>
          </w:p>
        </w:tc>
        <w:tc>
          <w:tcPr>
            <w:tcW w:w="1039" w:type="dxa"/>
            <w:tcBorders>
              <w:top w:val="single" w:sz="4" w:space="0" w:color="000000"/>
              <w:bottom w:val="single" w:sz="4" w:space="0" w:color="000000"/>
            </w:tcBorders>
          </w:tcPr>
          <w:p>
            <w:pPr>
              <w:pStyle w:val="TableParagraph"/>
              <w:rPr>
                <w:sz w:val="22"/>
              </w:rPr>
            </w:pPr>
          </w:p>
        </w:tc>
        <w:tc>
          <w:tcPr>
            <w:tcW w:w="1171" w:type="dxa"/>
            <w:tcBorders>
              <w:top w:val="single" w:sz="4" w:space="0" w:color="000000"/>
              <w:bottom w:val="single" w:sz="4" w:space="0" w:color="000000"/>
            </w:tcBorders>
          </w:tcPr>
          <w:p>
            <w:pPr>
              <w:pStyle w:val="TableParagraph"/>
              <w:spacing w:before="54"/>
              <w:ind w:left="210"/>
              <w:rPr>
                <w:sz w:val="24"/>
              </w:rPr>
            </w:pPr>
            <w:r>
              <w:rPr>
                <w:spacing w:val="-2"/>
                <w:sz w:val="24"/>
              </w:rPr>
              <w:t>Mortality</w:t>
            </w:r>
          </w:p>
        </w:tc>
        <w:tc>
          <w:tcPr>
            <w:tcW w:w="1121" w:type="dxa"/>
            <w:tcBorders>
              <w:top w:val="single" w:sz="4" w:space="0" w:color="000000"/>
              <w:bottom w:val="single" w:sz="4" w:space="0" w:color="000000"/>
            </w:tcBorders>
          </w:tcPr>
          <w:p>
            <w:pPr>
              <w:pStyle w:val="TableParagraph"/>
              <w:rPr>
                <w:sz w:val="22"/>
              </w:rPr>
            </w:pPr>
          </w:p>
        </w:tc>
      </w:tr>
      <w:tr>
        <w:trPr>
          <w:trHeight w:val="397" w:hRule="atLeast"/>
        </w:trPr>
        <w:tc>
          <w:tcPr>
            <w:tcW w:w="1379" w:type="dxa"/>
            <w:tcBorders>
              <w:bottom w:val="single" w:sz="4" w:space="0" w:color="000000"/>
            </w:tcBorders>
          </w:tcPr>
          <w:p>
            <w:pPr>
              <w:pStyle w:val="TableParagraph"/>
              <w:rPr>
                <w:sz w:val="22"/>
              </w:rPr>
            </w:pPr>
          </w:p>
        </w:tc>
        <w:tc>
          <w:tcPr>
            <w:tcW w:w="1788" w:type="dxa"/>
            <w:tcBorders>
              <w:bottom w:val="single" w:sz="4" w:space="0" w:color="000000"/>
            </w:tcBorders>
          </w:tcPr>
          <w:p>
            <w:pPr>
              <w:pStyle w:val="TableParagraph"/>
              <w:rPr>
                <w:sz w:val="22"/>
              </w:rPr>
            </w:pPr>
          </w:p>
        </w:tc>
        <w:tc>
          <w:tcPr>
            <w:tcW w:w="2083" w:type="dxa"/>
            <w:tcBorders>
              <w:bottom w:val="single" w:sz="4" w:space="0" w:color="000000"/>
            </w:tcBorders>
          </w:tcPr>
          <w:p>
            <w:pPr>
              <w:pStyle w:val="TableParagraph"/>
              <w:rPr>
                <w:sz w:val="22"/>
              </w:rPr>
            </w:pPr>
          </w:p>
        </w:tc>
        <w:tc>
          <w:tcPr>
            <w:tcW w:w="1039" w:type="dxa"/>
            <w:tcBorders>
              <w:top w:val="single" w:sz="4" w:space="0" w:color="000000"/>
              <w:bottom w:val="single" w:sz="4" w:space="0" w:color="000000"/>
            </w:tcBorders>
          </w:tcPr>
          <w:p>
            <w:pPr>
              <w:pStyle w:val="TableParagraph"/>
              <w:spacing w:before="49"/>
              <w:ind w:left="106"/>
              <w:rPr>
                <w:sz w:val="24"/>
              </w:rPr>
            </w:pPr>
            <w:r>
              <w:rPr>
                <w:sz w:val="24"/>
              </w:rPr>
              <w:t>Day</w:t>
            </w:r>
            <w:r>
              <w:rPr>
                <w:spacing w:val="-5"/>
                <w:sz w:val="24"/>
              </w:rPr>
              <w:t> 10</w:t>
            </w:r>
          </w:p>
        </w:tc>
        <w:tc>
          <w:tcPr>
            <w:tcW w:w="1171" w:type="dxa"/>
            <w:tcBorders>
              <w:top w:val="single" w:sz="4" w:space="0" w:color="000000"/>
              <w:bottom w:val="single" w:sz="4" w:space="0" w:color="000000"/>
            </w:tcBorders>
          </w:tcPr>
          <w:p>
            <w:pPr>
              <w:pStyle w:val="TableParagraph"/>
              <w:spacing w:before="49"/>
              <w:ind w:left="239"/>
              <w:rPr>
                <w:sz w:val="24"/>
              </w:rPr>
            </w:pPr>
            <w:r>
              <w:rPr>
                <w:sz w:val="24"/>
              </w:rPr>
              <w:t>Day</w:t>
            </w:r>
            <w:r>
              <w:rPr>
                <w:spacing w:val="-5"/>
                <w:sz w:val="24"/>
              </w:rPr>
              <w:t> 11</w:t>
            </w:r>
          </w:p>
        </w:tc>
        <w:tc>
          <w:tcPr>
            <w:tcW w:w="1121" w:type="dxa"/>
            <w:tcBorders>
              <w:top w:val="single" w:sz="4" w:space="0" w:color="000000"/>
              <w:bottom w:val="single" w:sz="4" w:space="0" w:color="000000"/>
            </w:tcBorders>
          </w:tcPr>
          <w:p>
            <w:pPr>
              <w:pStyle w:val="TableParagraph"/>
              <w:spacing w:before="49"/>
              <w:ind w:left="57"/>
              <w:rPr>
                <w:sz w:val="24"/>
              </w:rPr>
            </w:pPr>
            <w:r>
              <w:rPr>
                <w:sz w:val="24"/>
              </w:rPr>
              <w:t>Total</w:t>
            </w:r>
            <w:r>
              <w:rPr>
                <w:spacing w:val="-2"/>
                <w:sz w:val="24"/>
              </w:rPr>
              <w:t> </w:t>
            </w:r>
            <w:r>
              <w:rPr>
                <w:spacing w:val="-5"/>
                <w:sz w:val="24"/>
              </w:rPr>
              <w:t>(%)</w:t>
            </w:r>
          </w:p>
        </w:tc>
      </w:tr>
      <w:tr>
        <w:trPr>
          <w:trHeight w:val="440" w:hRule="atLeast"/>
        </w:trPr>
        <w:tc>
          <w:tcPr>
            <w:tcW w:w="1379" w:type="dxa"/>
            <w:tcBorders>
              <w:top w:val="single" w:sz="4" w:space="0" w:color="000000"/>
            </w:tcBorders>
          </w:tcPr>
          <w:p>
            <w:pPr>
              <w:pStyle w:val="TableParagraph"/>
              <w:spacing w:before="49"/>
              <w:ind w:left="117"/>
              <w:rPr>
                <w:sz w:val="24"/>
              </w:rPr>
            </w:pPr>
            <w:r>
              <w:rPr>
                <w:sz w:val="24"/>
              </w:rPr>
              <w:t>Olive</w:t>
            </w:r>
            <w:r>
              <w:rPr>
                <w:spacing w:val="-5"/>
                <w:sz w:val="24"/>
              </w:rPr>
              <w:t> oil</w:t>
            </w:r>
          </w:p>
        </w:tc>
        <w:tc>
          <w:tcPr>
            <w:tcW w:w="1788" w:type="dxa"/>
            <w:tcBorders>
              <w:top w:val="single" w:sz="4" w:space="0" w:color="000000"/>
            </w:tcBorders>
          </w:tcPr>
          <w:p>
            <w:pPr>
              <w:pStyle w:val="TableParagraph"/>
              <w:spacing w:before="49"/>
              <w:ind w:left="279"/>
              <w:rPr>
                <w:sz w:val="24"/>
              </w:rPr>
            </w:pPr>
            <w:r>
              <w:rPr>
                <w:spacing w:val="-5"/>
                <w:sz w:val="24"/>
              </w:rPr>
              <w:t>10</w:t>
            </w:r>
            <w:r>
              <w:rPr>
                <w:spacing w:val="-5"/>
                <w:sz w:val="24"/>
                <w:vertAlign w:val="superscript"/>
              </w:rPr>
              <w:t>*</w:t>
            </w:r>
          </w:p>
        </w:tc>
        <w:tc>
          <w:tcPr>
            <w:tcW w:w="2083" w:type="dxa"/>
            <w:tcBorders>
              <w:top w:val="single" w:sz="4" w:space="0" w:color="000000"/>
            </w:tcBorders>
          </w:tcPr>
          <w:p>
            <w:pPr>
              <w:pStyle w:val="TableParagraph"/>
              <w:spacing w:before="49"/>
              <w:ind w:left="186"/>
              <w:rPr>
                <w:sz w:val="24"/>
              </w:rPr>
            </w:pPr>
            <w:r>
              <w:rPr>
                <w:spacing w:val="-2"/>
                <w:sz w:val="24"/>
              </w:rPr>
              <w:t>+25.50±2.06</w:t>
            </w:r>
            <w:r>
              <w:rPr>
                <w:spacing w:val="-2"/>
                <w:sz w:val="24"/>
                <w:vertAlign w:val="superscript"/>
              </w:rPr>
              <w:t>b</w:t>
            </w:r>
          </w:p>
        </w:tc>
        <w:tc>
          <w:tcPr>
            <w:tcW w:w="1039" w:type="dxa"/>
            <w:tcBorders>
              <w:top w:val="single" w:sz="4" w:space="0" w:color="000000"/>
            </w:tcBorders>
          </w:tcPr>
          <w:p>
            <w:pPr>
              <w:pStyle w:val="TableParagraph"/>
              <w:spacing w:before="49"/>
              <w:ind w:left="106"/>
              <w:rPr>
                <w:sz w:val="24"/>
              </w:rPr>
            </w:pPr>
            <w:r>
              <w:rPr>
                <w:spacing w:val="-10"/>
                <w:sz w:val="24"/>
              </w:rPr>
              <w:t>0</w:t>
            </w:r>
          </w:p>
        </w:tc>
        <w:tc>
          <w:tcPr>
            <w:tcW w:w="1171" w:type="dxa"/>
            <w:tcBorders>
              <w:top w:val="single" w:sz="4" w:space="0" w:color="000000"/>
            </w:tcBorders>
          </w:tcPr>
          <w:p>
            <w:pPr>
              <w:pStyle w:val="TableParagraph"/>
              <w:spacing w:before="49"/>
              <w:ind w:left="239"/>
              <w:rPr>
                <w:sz w:val="24"/>
              </w:rPr>
            </w:pPr>
            <w:r>
              <w:rPr>
                <w:spacing w:val="-10"/>
                <w:sz w:val="24"/>
              </w:rPr>
              <w:t>0</w:t>
            </w:r>
          </w:p>
        </w:tc>
        <w:tc>
          <w:tcPr>
            <w:tcW w:w="1121" w:type="dxa"/>
            <w:tcBorders>
              <w:top w:val="single" w:sz="4" w:space="0" w:color="000000"/>
            </w:tcBorders>
          </w:tcPr>
          <w:p>
            <w:pPr>
              <w:pStyle w:val="TableParagraph"/>
              <w:spacing w:before="49"/>
              <w:ind w:left="57"/>
              <w:rPr>
                <w:sz w:val="24"/>
              </w:rPr>
            </w:pPr>
            <w:r>
              <w:rPr>
                <w:spacing w:val="-10"/>
                <w:sz w:val="24"/>
              </w:rPr>
              <w:t>0</w:t>
            </w:r>
          </w:p>
        </w:tc>
      </w:tr>
      <w:tr>
        <w:trPr>
          <w:trHeight w:val="532" w:hRule="atLeast"/>
        </w:trPr>
        <w:tc>
          <w:tcPr>
            <w:tcW w:w="1379" w:type="dxa"/>
          </w:tcPr>
          <w:p>
            <w:pPr>
              <w:pStyle w:val="TableParagraph"/>
              <w:spacing w:before="142"/>
              <w:ind w:left="117"/>
              <w:rPr>
                <w:sz w:val="24"/>
              </w:rPr>
            </w:pPr>
            <w:r>
              <w:rPr>
                <w:spacing w:val="-5"/>
                <w:sz w:val="24"/>
              </w:rPr>
              <w:t>UME</w:t>
            </w:r>
          </w:p>
        </w:tc>
        <w:tc>
          <w:tcPr>
            <w:tcW w:w="1788" w:type="dxa"/>
          </w:tcPr>
          <w:p>
            <w:pPr>
              <w:pStyle w:val="TableParagraph"/>
              <w:spacing w:before="142"/>
              <w:ind w:left="279"/>
              <w:rPr>
                <w:sz w:val="24"/>
              </w:rPr>
            </w:pPr>
            <w:r>
              <w:rPr>
                <w:spacing w:val="-5"/>
                <w:sz w:val="24"/>
              </w:rPr>
              <w:t>125</w:t>
            </w:r>
          </w:p>
        </w:tc>
        <w:tc>
          <w:tcPr>
            <w:tcW w:w="2083" w:type="dxa"/>
          </w:tcPr>
          <w:p>
            <w:pPr>
              <w:pStyle w:val="TableParagraph"/>
              <w:spacing w:before="142"/>
              <w:ind w:left="186"/>
              <w:rPr>
                <w:sz w:val="24"/>
              </w:rPr>
            </w:pPr>
            <w:r>
              <w:rPr>
                <w:spacing w:val="-2"/>
                <w:sz w:val="24"/>
              </w:rPr>
              <w:t>+21.60±8.51</w:t>
            </w:r>
            <w:r>
              <w:rPr>
                <w:spacing w:val="-2"/>
                <w:sz w:val="24"/>
                <w:vertAlign w:val="superscript"/>
              </w:rPr>
              <w:t>b</w:t>
            </w:r>
          </w:p>
        </w:tc>
        <w:tc>
          <w:tcPr>
            <w:tcW w:w="1039" w:type="dxa"/>
          </w:tcPr>
          <w:p>
            <w:pPr>
              <w:pStyle w:val="TableParagraph"/>
              <w:spacing w:before="142"/>
              <w:ind w:left="106"/>
              <w:rPr>
                <w:sz w:val="24"/>
              </w:rPr>
            </w:pPr>
            <w:r>
              <w:rPr>
                <w:spacing w:val="-10"/>
                <w:sz w:val="24"/>
              </w:rPr>
              <w:t>0</w:t>
            </w:r>
          </w:p>
        </w:tc>
        <w:tc>
          <w:tcPr>
            <w:tcW w:w="1171" w:type="dxa"/>
          </w:tcPr>
          <w:p>
            <w:pPr>
              <w:pStyle w:val="TableParagraph"/>
              <w:spacing w:before="142"/>
              <w:ind w:left="239"/>
              <w:rPr>
                <w:sz w:val="24"/>
              </w:rPr>
            </w:pPr>
            <w:r>
              <w:rPr>
                <w:spacing w:val="-10"/>
                <w:sz w:val="24"/>
              </w:rPr>
              <w:t>0</w:t>
            </w:r>
          </w:p>
        </w:tc>
        <w:tc>
          <w:tcPr>
            <w:tcW w:w="1121" w:type="dxa"/>
          </w:tcPr>
          <w:p>
            <w:pPr>
              <w:pStyle w:val="TableParagraph"/>
              <w:spacing w:before="142"/>
              <w:ind w:left="57"/>
              <w:rPr>
                <w:sz w:val="24"/>
              </w:rPr>
            </w:pPr>
            <w:r>
              <w:rPr>
                <w:spacing w:val="-10"/>
                <w:sz w:val="24"/>
              </w:rPr>
              <w:t>0</w:t>
            </w:r>
          </w:p>
        </w:tc>
      </w:tr>
      <w:tr>
        <w:trPr>
          <w:trHeight w:val="532" w:hRule="atLeast"/>
        </w:trPr>
        <w:tc>
          <w:tcPr>
            <w:tcW w:w="1379" w:type="dxa"/>
          </w:tcPr>
          <w:p>
            <w:pPr>
              <w:pStyle w:val="TableParagraph"/>
              <w:rPr>
                <w:sz w:val="22"/>
              </w:rPr>
            </w:pPr>
          </w:p>
        </w:tc>
        <w:tc>
          <w:tcPr>
            <w:tcW w:w="1788" w:type="dxa"/>
          </w:tcPr>
          <w:p>
            <w:pPr>
              <w:pStyle w:val="TableParagraph"/>
              <w:spacing w:before="142"/>
              <w:ind w:left="279"/>
              <w:rPr>
                <w:sz w:val="24"/>
              </w:rPr>
            </w:pPr>
            <w:r>
              <w:rPr>
                <w:spacing w:val="-5"/>
                <w:sz w:val="24"/>
              </w:rPr>
              <w:t>250</w:t>
            </w:r>
          </w:p>
        </w:tc>
        <w:tc>
          <w:tcPr>
            <w:tcW w:w="2083" w:type="dxa"/>
          </w:tcPr>
          <w:p>
            <w:pPr>
              <w:pStyle w:val="TableParagraph"/>
              <w:spacing w:before="142"/>
              <w:ind w:left="186"/>
              <w:rPr>
                <w:sz w:val="24"/>
              </w:rPr>
            </w:pPr>
            <w:r>
              <w:rPr>
                <w:sz w:val="24"/>
              </w:rPr>
              <w:t>-</w:t>
            </w:r>
            <w:r>
              <w:rPr>
                <w:spacing w:val="-2"/>
                <w:sz w:val="24"/>
              </w:rPr>
              <w:t>7.33±2.40</w:t>
            </w:r>
            <w:r>
              <w:rPr>
                <w:spacing w:val="-2"/>
                <w:sz w:val="24"/>
                <w:vertAlign w:val="superscript"/>
              </w:rPr>
              <w:t>a</w:t>
            </w:r>
          </w:p>
        </w:tc>
        <w:tc>
          <w:tcPr>
            <w:tcW w:w="1039" w:type="dxa"/>
          </w:tcPr>
          <w:p>
            <w:pPr>
              <w:pStyle w:val="TableParagraph"/>
              <w:spacing w:before="142"/>
              <w:ind w:left="106"/>
              <w:rPr>
                <w:sz w:val="24"/>
              </w:rPr>
            </w:pPr>
            <w:r>
              <w:rPr>
                <w:spacing w:val="-10"/>
                <w:sz w:val="24"/>
              </w:rPr>
              <w:t>1</w:t>
            </w:r>
          </w:p>
        </w:tc>
        <w:tc>
          <w:tcPr>
            <w:tcW w:w="1171" w:type="dxa"/>
          </w:tcPr>
          <w:p>
            <w:pPr>
              <w:pStyle w:val="TableParagraph"/>
              <w:spacing w:before="142"/>
              <w:ind w:left="239"/>
              <w:rPr>
                <w:sz w:val="24"/>
              </w:rPr>
            </w:pPr>
            <w:r>
              <w:rPr>
                <w:spacing w:val="-10"/>
                <w:sz w:val="24"/>
              </w:rPr>
              <w:t>0</w:t>
            </w:r>
          </w:p>
        </w:tc>
        <w:tc>
          <w:tcPr>
            <w:tcW w:w="1121" w:type="dxa"/>
          </w:tcPr>
          <w:p>
            <w:pPr>
              <w:pStyle w:val="TableParagraph"/>
              <w:spacing w:before="142"/>
              <w:ind w:left="57"/>
              <w:rPr>
                <w:sz w:val="24"/>
              </w:rPr>
            </w:pPr>
            <w:r>
              <w:rPr>
                <w:spacing w:val="-5"/>
                <w:sz w:val="24"/>
              </w:rPr>
              <w:t>20</w:t>
            </w:r>
          </w:p>
        </w:tc>
      </w:tr>
      <w:tr>
        <w:trPr>
          <w:trHeight w:val="535" w:hRule="atLeast"/>
        </w:trPr>
        <w:tc>
          <w:tcPr>
            <w:tcW w:w="1379" w:type="dxa"/>
          </w:tcPr>
          <w:p>
            <w:pPr>
              <w:pStyle w:val="TableParagraph"/>
              <w:rPr>
                <w:sz w:val="22"/>
              </w:rPr>
            </w:pPr>
          </w:p>
        </w:tc>
        <w:tc>
          <w:tcPr>
            <w:tcW w:w="1788" w:type="dxa"/>
          </w:tcPr>
          <w:p>
            <w:pPr>
              <w:pStyle w:val="TableParagraph"/>
              <w:spacing w:before="142"/>
              <w:ind w:left="279"/>
              <w:rPr>
                <w:sz w:val="24"/>
              </w:rPr>
            </w:pPr>
            <w:r>
              <w:rPr>
                <w:spacing w:val="-5"/>
                <w:sz w:val="24"/>
              </w:rPr>
              <w:t>500</w:t>
            </w:r>
          </w:p>
        </w:tc>
        <w:tc>
          <w:tcPr>
            <w:tcW w:w="2083" w:type="dxa"/>
          </w:tcPr>
          <w:p>
            <w:pPr>
              <w:pStyle w:val="TableParagraph"/>
              <w:spacing w:before="142"/>
              <w:ind w:left="186"/>
              <w:rPr>
                <w:sz w:val="24"/>
              </w:rPr>
            </w:pPr>
            <w:r>
              <w:rPr>
                <w:sz w:val="24"/>
              </w:rPr>
              <w:t>-</w:t>
            </w:r>
            <w:r>
              <w:rPr>
                <w:spacing w:val="-2"/>
                <w:sz w:val="24"/>
              </w:rPr>
              <w:t>21±0.00</w:t>
            </w:r>
            <w:r>
              <w:rPr>
                <w:spacing w:val="-2"/>
                <w:sz w:val="24"/>
                <w:vertAlign w:val="superscript"/>
              </w:rPr>
              <w:t>a</w:t>
            </w:r>
          </w:p>
        </w:tc>
        <w:tc>
          <w:tcPr>
            <w:tcW w:w="1039" w:type="dxa"/>
          </w:tcPr>
          <w:p>
            <w:pPr>
              <w:pStyle w:val="TableParagraph"/>
              <w:spacing w:before="142"/>
              <w:ind w:left="106"/>
              <w:rPr>
                <w:sz w:val="24"/>
              </w:rPr>
            </w:pPr>
            <w:r>
              <w:rPr>
                <w:spacing w:val="-10"/>
                <w:sz w:val="24"/>
              </w:rPr>
              <w:t>1</w:t>
            </w:r>
          </w:p>
        </w:tc>
        <w:tc>
          <w:tcPr>
            <w:tcW w:w="1171" w:type="dxa"/>
          </w:tcPr>
          <w:p>
            <w:pPr>
              <w:pStyle w:val="TableParagraph"/>
              <w:spacing w:before="142"/>
              <w:ind w:left="239"/>
              <w:rPr>
                <w:sz w:val="24"/>
              </w:rPr>
            </w:pPr>
            <w:r>
              <w:rPr>
                <w:spacing w:val="-10"/>
                <w:sz w:val="24"/>
              </w:rPr>
              <w:t>3</w:t>
            </w:r>
          </w:p>
        </w:tc>
        <w:tc>
          <w:tcPr>
            <w:tcW w:w="1121" w:type="dxa"/>
          </w:tcPr>
          <w:p>
            <w:pPr>
              <w:pStyle w:val="TableParagraph"/>
              <w:spacing w:before="142"/>
              <w:ind w:left="57"/>
              <w:rPr>
                <w:sz w:val="24"/>
              </w:rPr>
            </w:pPr>
            <w:r>
              <w:rPr>
                <w:spacing w:val="-5"/>
                <w:sz w:val="24"/>
              </w:rPr>
              <w:t>80</w:t>
            </w:r>
          </w:p>
        </w:tc>
      </w:tr>
      <w:tr>
        <w:trPr>
          <w:trHeight w:val="554" w:hRule="atLeast"/>
        </w:trPr>
        <w:tc>
          <w:tcPr>
            <w:tcW w:w="1379" w:type="dxa"/>
          </w:tcPr>
          <w:p>
            <w:pPr>
              <w:pStyle w:val="TableParagraph"/>
              <w:spacing w:before="145"/>
              <w:ind w:left="117"/>
              <w:rPr>
                <w:sz w:val="24"/>
              </w:rPr>
            </w:pPr>
            <w:r>
              <w:rPr>
                <w:spacing w:val="-4"/>
                <w:sz w:val="24"/>
              </w:rPr>
              <w:t>SDME</w:t>
            </w:r>
          </w:p>
        </w:tc>
        <w:tc>
          <w:tcPr>
            <w:tcW w:w="1788" w:type="dxa"/>
          </w:tcPr>
          <w:p>
            <w:pPr>
              <w:pStyle w:val="TableParagraph"/>
              <w:spacing w:before="145"/>
              <w:ind w:left="279"/>
              <w:rPr>
                <w:sz w:val="24"/>
              </w:rPr>
            </w:pPr>
            <w:r>
              <w:rPr>
                <w:spacing w:val="-5"/>
                <w:sz w:val="24"/>
              </w:rPr>
              <w:t>125</w:t>
            </w:r>
          </w:p>
        </w:tc>
        <w:tc>
          <w:tcPr>
            <w:tcW w:w="2083" w:type="dxa"/>
          </w:tcPr>
          <w:p>
            <w:pPr>
              <w:pStyle w:val="TableParagraph"/>
              <w:spacing w:before="145"/>
              <w:ind w:left="186"/>
              <w:rPr>
                <w:sz w:val="24"/>
              </w:rPr>
            </w:pPr>
            <w:r>
              <w:rPr>
                <w:spacing w:val="-2"/>
                <w:sz w:val="24"/>
              </w:rPr>
              <w:t>+25.75±3.27</w:t>
            </w:r>
            <w:r>
              <w:rPr>
                <w:spacing w:val="-2"/>
                <w:sz w:val="24"/>
                <w:vertAlign w:val="superscript"/>
              </w:rPr>
              <w:t>b</w:t>
            </w:r>
          </w:p>
        </w:tc>
        <w:tc>
          <w:tcPr>
            <w:tcW w:w="1039" w:type="dxa"/>
          </w:tcPr>
          <w:p>
            <w:pPr>
              <w:pStyle w:val="TableParagraph"/>
              <w:spacing w:before="145"/>
              <w:ind w:left="106"/>
              <w:rPr>
                <w:sz w:val="24"/>
              </w:rPr>
            </w:pPr>
            <w:r>
              <w:rPr>
                <w:spacing w:val="-10"/>
                <w:sz w:val="24"/>
              </w:rPr>
              <w:t>0</w:t>
            </w:r>
          </w:p>
        </w:tc>
        <w:tc>
          <w:tcPr>
            <w:tcW w:w="1171" w:type="dxa"/>
          </w:tcPr>
          <w:p>
            <w:pPr>
              <w:pStyle w:val="TableParagraph"/>
              <w:spacing w:before="145"/>
              <w:ind w:left="239"/>
              <w:rPr>
                <w:sz w:val="24"/>
              </w:rPr>
            </w:pPr>
            <w:r>
              <w:rPr>
                <w:spacing w:val="-10"/>
                <w:sz w:val="24"/>
              </w:rPr>
              <w:t>0</w:t>
            </w:r>
          </w:p>
        </w:tc>
        <w:tc>
          <w:tcPr>
            <w:tcW w:w="1121" w:type="dxa"/>
          </w:tcPr>
          <w:p>
            <w:pPr>
              <w:pStyle w:val="TableParagraph"/>
              <w:spacing w:before="145"/>
              <w:ind w:left="57"/>
              <w:rPr>
                <w:sz w:val="24"/>
              </w:rPr>
            </w:pPr>
            <w:r>
              <w:rPr>
                <w:spacing w:val="-10"/>
                <w:sz w:val="24"/>
              </w:rPr>
              <w:t>0</w:t>
            </w:r>
          </w:p>
        </w:tc>
      </w:tr>
      <w:tr>
        <w:trPr>
          <w:trHeight w:val="513" w:hRule="atLeast"/>
        </w:trPr>
        <w:tc>
          <w:tcPr>
            <w:tcW w:w="1379" w:type="dxa"/>
          </w:tcPr>
          <w:p>
            <w:pPr>
              <w:pStyle w:val="TableParagraph"/>
              <w:rPr>
                <w:sz w:val="22"/>
              </w:rPr>
            </w:pPr>
          </w:p>
        </w:tc>
        <w:tc>
          <w:tcPr>
            <w:tcW w:w="1788" w:type="dxa"/>
          </w:tcPr>
          <w:p>
            <w:pPr>
              <w:pStyle w:val="TableParagraph"/>
              <w:spacing w:before="123"/>
              <w:ind w:left="279"/>
              <w:rPr>
                <w:sz w:val="24"/>
              </w:rPr>
            </w:pPr>
            <w:r>
              <w:rPr>
                <w:spacing w:val="-5"/>
                <w:sz w:val="24"/>
              </w:rPr>
              <w:t>250</w:t>
            </w:r>
          </w:p>
        </w:tc>
        <w:tc>
          <w:tcPr>
            <w:tcW w:w="2083" w:type="dxa"/>
          </w:tcPr>
          <w:p>
            <w:pPr>
              <w:pStyle w:val="TableParagraph"/>
              <w:spacing w:before="123"/>
              <w:ind w:left="186"/>
              <w:rPr>
                <w:sz w:val="24"/>
              </w:rPr>
            </w:pPr>
            <w:r>
              <w:rPr>
                <w:spacing w:val="-2"/>
                <w:sz w:val="24"/>
              </w:rPr>
              <w:t>+8.50±1.50</w:t>
            </w:r>
          </w:p>
        </w:tc>
        <w:tc>
          <w:tcPr>
            <w:tcW w:w="1039" w:type="dxa"/>
          </w:tcPr>
          <w:p>
            <w:pPr>
              <w:pStyle w:val="TableParagraph"/>
              <w:spacing w:before="123"/>
              <w:ind w:left="106"/>
              <w:rPr>
                <w:sz w:val="24"/>
              </w:rPr>
            </w:pPr>
            <w:r>
              <w:rPr>
                <w:spacing w:val="-10"/>
                <w:sz w:val="24"/>
              </w:rPr>
              <w:t>0</w:t>
            </w:r>
          </w:p>
        </w:tc>
        <w:tc>
          <w:tcPr>
            <w:tcW w:w="1171" w:type="dxa"/>
          </w:tcPr>
          <w:p>
            <w:pPr>
              <w:pStyle w:val="TableParagraph"/>
              <w:spacing w:before="123"/>
              <w:ind w:left="239"/>
              <w:rPr>
                <w:sz w:val="24"/>
              </w:rPr>
            </w:pPr>
            <w:r>
              <w:rPr>
                <w:spacing w:val="-10"/>
                <w:sz w:val="24"/>
              </w:rPr>
              <w:t>0</w:t>
            </w:r>
          </w:p>
        </w:tc>
        <w:tc>
          <w:tcPr>
            <w:tcW w:w="1121" w:type="dxa"/>
          </w:tcPr>
          <w:p>
            <w:pPr>
              <w:pStyle w:val="TableParagraph"/>
              <w:spacing w:before="123"/>
              <w:ind w:left="57"/>
              <w:rPr>
                <w:sz w:val="24"/>
              </w:rPr>
            </w:pPr>
            <w:r>
              <w:rPr>
                <w:spacing w:val="-10"/>
                <w:sz w:val="24"/>
              </w:rPr>
              <w:t>0</w:t>
            </w:r>
          </w:p>
        </w:tc>
      </w:tr>
      <w:tr>
        <w:trPr>
          <w:trHeight w:val="625" w:hRule="atLeast"/>
        </w:trPr>
        <w:tc>
          <w:tcPr>
            <w:tcW w:w="1379" w:type="dxa"/>
            <w:tcBorders>
              <w:bottom w:val="single" w:sz="4" w:space="0" w:color="000000"/>
            </w:tcBorders>
          </w:tcPr>
          <w:p>
            <w:pPr>
              <w:pStyle w:val="TableParagraph"/>
              <w:rPr>
                <w:sz w:val="22"/>
              </w:rPr>
            </w:pPr>
          </w:p>
        </w:tc>
        <w:tc>
          <w:tcPr>
            <w:tcW w:w="1788" w:type="dxa"/>
            <w:tcBorders>
              <w:bottom w:val="single" w:sz="4" w:space="0" w:color="000000"/>
            </w:tcBorders>
          </w:tcPr>
          <w:p>
            <w:pPr>
              <w:pStyle w:val="TableParagraph"/>
              <w:spacing w:before="142"/>
              <w:ind w:left="279"/>
              <w:rPr>
                <w:sz w:val="24"/>
              </w:rPr>
            </w:pPr>
            <w:r>
              <w:rPr>
                <w:spacing w:val="-5"/>
                <w:sz w:val="24"/>
              </w:rPr>
              <w:t>500</w:t>
            </w:r>
          </w:p>
        </w:tc>
        <w:tc>
          <w:tcPr>
            <w:tcW w:w="2083" w:type="dxa"/>
            <w:tcBorders>
              <w:bottom w:val="single" w:sz="4" w:space="0" w:color="000000"/>
            </w:tcBorders>
          </w:tcPr>
          <w:p>
            <w:pPr>
              <w:pStyle w:val="TableParagraph"/>
              <w:spacing w:before="142"/>
              <w:ind w:left="186"/>
              <w:rPr>
                <w:sz w:val="24"/>
              </w:rPr>
            </w:pPr>
            <w:r>
              <w:rPr>
                <w:spacing w:val="-2"/>
                <w:sz w:val="24"/>
              </w:rPr>
              <w:t>+17.00±3.00</w:t>
            </w:r>
            <w:r>
              <w:rPr>
                <w:spacing w:val="-2"/>
                <w:sz w:val="24"/>
                <w:vertAlign w:val="superscript"/>
              </w:rPr>
              <w:t>b</w:t>
            </w:r>
          </w:p>
        </w:tc>
        <w:tc>
          <w:tcPr>
            <w:tcW w:w="1039" w:type="dxa"/>
            <w:tcBorders>
              <w:bottom w:val="single" w:sz="4" w:space="0" w:color="000000"/>
            </w:tcBorders>
          </w:tcPr>
          <w:p>
            <w:pPr>
              <w:pStyle w:val="TableParagraph"/>
              <w:spacing w:before="142"/>
              <w:ind w:left="106"/>
              <w:rPr>
                <w:sz w:val="24"/>
              </w:rPr>
            </w:pPr>
            <w:r>
              <w:rPr>
                <w:spacing w:val="-10"/>
                <w:sz w:val="24"/>
              </w:rPr>
              <w:t>0</w:t>
            </w:r>
          </w:p>
        </w:tc>
        <w:tc>
          <w:tcPr>
            <w:tcW w:w="1171" w:type="dxa"/>
            <w:tcBorders>
              <w:bottom w:val="single" w:sz="4" w:space="0" w:color="000000"/>
            </w:tcBorders>
          </w:tcPr>
          <w:p>
            <w:pPr>
              <w:pStyle w:val="TableParagraph"/>
              <w:spacing w:before="142"/>
              <w:ind w:left="239"/>
              <w:rPr>
                <w:sz w:val="24"/>
              </w:rPr>
            </w:pPr>
            <w:r>
              <w:rPr>
                <w:spacing w:val="-10"/>
                <w:sz w:val="24"/>
              </w:rPr>
              <w:t>0</w:t>
            </w:r>
          </w:p>
        </w:tc>
        <w:tc>
          <w:tcPr>
            <w:tcW w:w="1121" w:type="dxa"/>
            <w:tcBorders>
              <w:bottom w:val="single" w:sz="4" w:space="0" w:color="000000"/>
            </w:tcBorders>
          </w:tcPr>
          <w:p>
            <w:pPr>
              <w:pStyle w:val="TableParagraph"/>
              <w:spacing w:before="142"/>
              <w:ind w:left="57"/>
              <w:rPr>
                <w:sz w:val="24"/>
              </w:rPr>
            </w:pPr>
            <w:r>
              <w:rPr>
                <w:spacing w:val="-10"/>
                <w:sz w:val="24"/>
              </w:rPr>
              <w:t>0</w:t>
            </w:r>
          </w:p>
        </w:tc>
      </w:tr>
    </w:tbl>
    <w:p>
      <w:pPr>
        <w:spacing w:before="2"/>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31"/>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9"/>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6"/>
        <w:ind w:left="1028" w:right="0" w:firstLine="0"/>
        <w:jc w:val="left"/>
        <w:rPr>
          <w:sz w:val="22"/>
        </w:rPr>
      </w:pPr>
      <w:r>
        <w:rPr>
          <w:sz w:val="22"/>
          <w:vertAlign w:val="superscript"/>
        </w:rPr>
        <w:t>*</w:t>
      </w:r>
      <w:r>
        <w:rPr>
          <w:sz w:val="22"/>
          <w:vertAlign w:val="baseline"/>
        </w:rPr>
        <w:t> =</w:t>
      </w:r>
      <w:r>
        <w:rPr>
          <w:spacing w:val="-5"/>
          <w:sz w:val="22"/>
          <w:vertAlign w:val="baseline"/>
        </w:rPr>
        <w:t> </w:t>
      </w:r>
      <w:r>
        <w:rPr>
          <w:sz w:val="22"/>
          <w:vertAlign w:val="baseline"/>
        </w:rPr>
        <w:t>ml/kg;</w:t>
      </w:r>
      <w:r>
        <w:rPr>
          <w:spacing w:val="-1"/>
          <w:sz w:val="22"/>
          <w:vertAlign w:val="baseline"/>
        </w:rPr>
        <w:t> </w:t>
      </w:r>
      <w:r>
        <w:rPr>
          <w:sz w:val="22"/>
          <w:vertAlign w:val="baseline"/>
        </w:rPr>
        <w:t>n</w:t>
      </w:r>
      <w:r>
        <w:rPr>
          <w:spacing w:val="-7"/>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3"/>
          <w:sz w:val="22"/>
          <w:vertAlign w:val="baseline"/>
        </w:rPr>
        <w:t> </w:t>
      </w:r>
      <w:r>
        <w:rPr>
          <w:sz w:val="22"/>
          <w:vertAlign w:val="baseline"/>
        </w:rPr>
        <w:t>rats);</w:t>
      </w:r>
      <w:r>
        <w:rPr>
          <w:spacing w:val="-6"/>
          <w:sz w:val="22"/>
          <w:vertAlign w:val="baseline"/>
        </w:rPr>
        <w:t> </w:t>
      </w:r>
      <w:r>
        <w:rPr>
          <w:sz w:val="22"/>
          <w:vertAlign w:val="baseline"/>
        </w:rPr>
        <w:t>Drug</w:t>
      </w:r>
      <w:r>
        <w:rPr>
          <w:spacing w:val="-11"/>
          <w:sz w:val="22"/>
          <w:vertAlign w:val="baseline"/>
        </w:rPr>
        <w:t> </w:t>
      </w:r>
      <w:r>
        <w:rPr>
          <w:sz w:val="22"/>
          <w:vertAlign w:val="baseline"/>
        </w:rPr>
        <w:t>administration; p.o. daily</w:t>
      </w:r>
      <w:r>
        <w:rPr>
          <w:spacing w:val="-7"/>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before="126"/>
        <w:ind w:left="1028" w:right="0" w:firstLine="0"/>
        <w:jc w:val="left"/>
        <w:rPr>
          <w:sz w:val="22"/>
        </w:rPr>
      </w:pPr>
      <w:r>
        <w:rPr>
          <w:sz w:val="22"/>
          <w:vertAlign w:val="superscript"/>
        </w:rPr>
        <w:t>**</w:t>
      </w:r>
      <w:r>
        <w:rPr>
          <w:spacing w:val="-3"/>
          <w:sz w:val="22"/>
          <w:vertAlign w:val="baseline"/>
        </w:rPr>
        <w:t> </w:t>
      </w:r>
      <w:r>
        <w:rPr>
          <w:sz w:val="22"/>
          <w:vertAlign w:val="baseline"/>
        </w:rPr>
        <w:t>=</w:t>
      </w:r>
      <w:r>
        <w:rPr>
          <w:spacing w:val="-1"/>
          <w:sz w:val="22"/>
          <w:vertAlign w:val="baseline"/>
        </w:rPr>
        <w:t> </w:t>
      </w:r>
      <w:r>
        <w:rPr>
          <w:sz w:val="22"/>
          <w:vertAlign w:val="baseline"/>
        </w:rPr>
        <w:t>Day</w:t>
      </w:r>
      <w:r>
        <w:rPr>
          <w:spacing w:val="-6"/>
          <w:sz w:val="22"/>
          <w:vertAlign w:val="baseline"/>
        </w:rPr>
        <w:t> </w:t>
      </w:r>
      <w:r>
        <w:rPr>
          <w:sz w:val="22"/>
          <w:vertAlign w:val="baseline"/>
        </w:rPr>
        <w:t>15 compared</w:t>
      </w:r>
      <w:r>
        <w:rPr>
          <w:spacing w:val="-6"/>
          <w:sz w:val="22"/>
          <w:vertAlign w:val="baseline"/>
        </w:rPr>
        <w:t> </w:t>
      </w:r>
      <w:r>
        <w:rPr>
          <w:sz w:val="22"/>
          <w:vertAlign w:val="baseline"/>
        </w:rPr>
        <w:t>to</w:t>
      </w:r>
      <w:r>
        <w:rPr>
          <w:spacing w:val="-5"/>
          <w:sz w:val="22"/>
          <w:vertAlign w:val="baseline"/>
        </w:rPr>
        <w:t> </w:t>
      </w:r>
      <w:r>
        <w:rPr>
          <w:sz w:val="22"/>
          <w:vertAlign w:val="baseline"/>
        </w:rPr>
        <w:t>day</w:t>
      </w:r>
      <w:r>
        <w:rPr>
          <w:spacing w:val="-6"/>
          <w:sz w:val="22"/>
          <w:vertAlign w:val="baseline"/>
        </w:rPr>
        <w:t> </w:t>
      </w:r>
      <w:r>
        <w:rPr>
          <w:sz w:val="22"/>
          <w:vertAlign w:val="baseline"/>
        </w:rPr>
        <w:t>1; -</w:t>
      </w:r>
      <w:r>
        <w:rPr>
          <w:spacing w:val="-2"/>
          <w:sz w:val="22"/>
          <w:vertAlign w:val="baseline"/>
        </w:rPr>
        <w:t> </w:t>
      </w:r>
      <w:r>
        <w:rPr>
          <w:sz w:val="22"/>
          <w:vertAlign w:val="baseline"/>
        </w:rPr>
        <w:t>= Weight loss;</w:t>
      </w:r>
      <w:r>
        <w:rPr>
          <w:spacing w:val="2"/>
          <w:sz w:val="22"/>
          <w:vertAlign w:val="baseline"/>
        </w:rPr>
        <w:t> </w:t>
      </w:r>
      <w:r>
        <w:rPr>
          <w:sz w:val="22"/>
          <w:vertAlign w:val="baseline"/>
        </w:rPr>
        <w:t>+</w:t>
      </w:r>
      <w:r>
        <w:rPr>
          <w:spacing w:val="-1"/>
          <w:sz w:val="22"/>
          <w:vertAlign w:val="baseline"/>
        </w:rPr>
        <w:t> </w:t>
      </w:r>
      <w:r>
        <w:rPr>
          <w:sz w:val="22"/>
          <w:vertAlign w:val="baseline"/>
        </w:rPr>
        <w:t>=</w:t>
      </w:r>
      <w:r>
        <w:rPr>
          <w:spacing w:val="-5"/>
          <w:sz w:val="22"/>
          <w:vertAlign w:val="baseline"/>
        </w:rPr>
        <w:t> </w:t>
      </w:r>
      <w:r>
        <w:rPr>
          <w:sz w:val="22"/>
          <w:vertAlign w:val="baseline"/>
        </w:rPr>
        <w:t>Weight </w:t>
      </w:r>
      <w:r>
        <w:rPr>
          <w:spacing w:val="-4"/>
          <w:sz w:val="22"/>
          <w:vertAlign w:val="baseline"/>
        </w:rPr>
        <w:t>gain</w:t>
      </w:r>
    </w:p>
    <w:p>
      <w:pPr>
        <w:spacing w:before="127"/>
        <w:ind w:left="1028" w:right="0" w:firstLine="0"/>
        <w:jc w:val="left"/>
        <w:rPr>
          <w:sz w:val="22"/>
        </w:rPr>
      </w:pPr>
      <w:r>
        <w:rPr>
          <w:sz w:val="22"/>
        </w:rPr>
        <w:t>Values</w:t>
      </w:r>
      <w:r>
        <w:rPr>
          <w:spacing w:val="-3"/>
          <w:sz w:val="22"/>
        </w:rPr>
        <w:t> </w:t>
      </w:r>
      <w:r>
        <w:rPr>
          <w:sz w:val="22"/>
        </w:rPr>
        <w:t>are</w:t>
      </w:r>
      <w:r>
        <w:rPr>
          <w:spacing w:val="-5"/>
          <w:sz w:val="22"/>
        </w:rPr>
        <w:t> </w:t>
      </w:r>
      <w:r>
        <w:rPr>
          <w:sz w:val="22"/>
        </w:rPr>
        <w:t>mean</w:t>
      </w:r>
      <w:r>
        <w:rPr>
          <w:spacing w:val="-7"/>
          <w:sz w:val="22"/>
        </w:rPr>
        <w:t> </w:t>
      </w:r>
      <w:r>
        <w:rPr>
          <w:sz w:val="22"/>
        </w:rPr>
        <w:t>±</w:t>
      </w:r>
      <w:r>
        <w:rPr>
          <w:spacing w:val="-3"/>
          <w:sz w:val="22"/>
        </w:rPr>
        <w:t> </w:t>
      </w:r>
      <w:r>
        <w:rPr>
          <w:sz w:val="22"/>
        </w:rPr>
        <w:t>S.E.M.;</w:t>
      </w:r>
      <w:r>
        <w:rPr>
          <w:spacing w:val="-7"/>
          <w:sz w:val="22"/>
        </w:rPr>
        <w:t> </w:t>
      </w:r>
      <w:r>
        <w:rPr>
          <w:sz w:val="22"/>
        </w:rPr>
        <w:t>Data</w:t>
      </w:r>
      <w:r>
        <w:rPr>
          <w:spacing w:val="-9"/>
          <w:sz w:val="22"/>
        </w:rPr>
        <w:t> </w:t>
      </w:r>
      <w:r>
        <w:rPr>
          <w:sz w:val="22"/>
        </w:rPr>
        <w:t>analysed</w:t>
      </w:r>
      <w:r>
        <w:rPr>
          <w:spacing w:val="-7"/>
          <w:sz w:val="22"/>
        </w:rPr>
        <w:t> </w:t>
      </w:r>
      <w:r>
        <w:rPr>
          <w:sz w:val="22"/>
        </w:rPr>
        <w:t>using</w:t>
      </w:r>
      <w:r>
        <w:rPr>
          <w:spacing w:val="-3"/>
          <w:sz w:val="22"/>
        </w:rPr>
        <w:t> </w:t>
      </w:r>
      <w:r>
        <w:rPr>
          <w:sz w:val="22"/>
        </w:rPr>
        <w:t>one</w:t>
      </w:r>
      <w:r>
        <w:rPr>
          <w:spacing w:val="-9"/>
          <w:sz w:val="22"/>
        </w:rPr>
        <w:t> </w:t>
      </w:r>
      <w:r>
        <w:rPr>
          <w:sz w:val="22"/>
        </w:rPr>
        <w:t>way</w:t>
      </w:r>
      <w:r>
        <w:rPr>
          <w:spacing w:val="-4"/>
          <w:sz w:val="22"/>
        </w:rPr>
        <w:t> </w:t>
      </w:r>
      <w:r>
        <w:rPr>
          <w:sz w:val="22"/>
        </w:rPr>
        <w:t>ANOVA</w:t>
      </w:r>
      <w:r>
        <w:rPr>
          <w:spacing w:val="-7"/>
          <w:sz w:val="22"/>
        </w:rPr>
        <w:t> </w:t>
      </w:r>
      <w:r>
        <w:rPr>
          <w:sz w:val="22"/>
        </w:rPr>
        <w:t>and</w:t>
      </w:r>
      <w:r>
        <w:rPr>
          <w:spacing w:val="-8"/>
          <w:sz w:val="22"/>
        </w:rPr>
        <w:t> </w:t>
      </w:r>
      <w:r>
        <w:rPr>
          <w:sz w:val="22"/>
        </w:rPr>
        <w:t>Dunnett‟s</w:t>
      </w:r>
      <w:r>
        <w:rPr>
          <w:spacing w:val="-2"/>
          <w:sz w:val="22"/>
        </w:rPr>
        <w:t> </w:t>
      </w:r>
      <w:r>
        <w:rPr>
          <w:sz w:val="22"/>
        </w:rPr>
        <w:t>post</w:t>
      </w:r>
      <w:r>
        <w:rPr>
          <w:spacing w:val="-2"/>
          <w:sz w:val="22"/>
        </w:rPr>
        <w:t> </w:t>
      </w:r>
      <w:r>
        <w:rPr>
          <w:spacing w:val="-5"/>
          <w:sz w:val="22"/>
        </w:rPr>
        <w:t>hoc</w:t>
      </w:r>
    </w:p>
    <w:p>
      <w:pPr>
        <w:spacing w:before="126"/>
        <w:ind w:left="1028" w:right="0" w:firstLine="0"/>
        <w:jc w:val="left"/>
        <w:rPr>
          <w:sz w:val="22"/>
        </w:rPr>
      </w:pPr>
      <w:r>
        <w:rPr>
          <w:sz w:val="22"/>
          <w:vertAlign w:val="superscript"/>
        </w:rPr>
        <w:t>a</w:t>
      </w:r>
      <w:r>
        <w:rPr>
          <w:spacing w:val="-7"/>
          <w:sz w:val="22"/>
          <w:vertAlign w:val="baseline"/>
        </w:rPr>
        <w:t> </w:t>
      </w:r>
      <w:r>
        <w:rPr>
          <w:sz w:val="22"/>
          <w:vertAlign w:val="baseline"/>
        </w:rPr>
        <w:t>=</w:t>
      </w:r>
      <w:r>
        <w:rPr>
          <w:spacing w:val="-3"/>
          <w:sz w:val="22"/>
          <w:vertAlign w:val="baseline"/>
        </w:rPr>
        <w:t> </w:t>
      </w:r>
      <w:r>
        <w:rPr>
          <w:sz w:val="22"/>
          <w:vertAlign w:val="baseline"/>
        </w:rPr>
        <w:t>Significant</w:t>
      </w:r>
      <w:r>
        <w:rPr>
          <w:spacing w:val="-1"/>
          <w:sz w:val="22"/>
          <w:vertAlign w:val="baseline"/>
        </w:rPr>
        <w:t> </w:t>
      </w:r>
      <w:r>
        <w:rPr>
          <w:sz w:val="22"/>
          <w:vertAlign w:val="baseline"/>
        </w:rPr>
        <w:t>weight</w:t>
      </w:r>
      <w:r>
        <w:rPr>
          <w:spacing w:val="-2"/>
          <w:sz w:val="22"/>
          <w:vertAlign w:val="baseline"/>
        </w:rPr>
        <w:t> </w:t>
      </w:r>
      <w:r>
        <w:rPr>
          <w:sz w:val="22"/>
          <w:vertAlign w:val="baseline"/>
        </w:rPr>
        <w:t>loss</w:t>
      </w:r>
      <w:r>
        <w:rPr>
          <w:spacing w:val="1"/>
          <w:sz w:val="22"/>
          <w:vertAlign w:val="baseline"/>
        </w:rPr>
        <w:t> </w:t>
      </w:r>
      <w:r>
        <w:rPr>
          <w:sz w:val="22"/>
          <w:vertAlign w:val="baseline"/>
        </w:rPr>
        <w:t>at</w:t>
      </w:r>
      <w:r>
        <w:rPr>
          <w:spacing w:val="-2"/>
          <w:sz w:val="22"/>
          <w:vertAlign w:val="baseline"/>
        </w:rPr>
        <w:t> </w:t>
      </w:r>
      <w:r>
        <w:rPr>
          <w:sz w:val="22"/>
          <w:vertAlign w:val="baseline"/>
        </w:rPr>
        <w:t>p&lt;0.05;</w:t>
      </w:r>
      <w:r>
        <w:rPr>
          <w:spacing w:val="-2"/>
          <w:sz w:val="22"/>
          <w:vertAlign w:val="baseline"/>
        </w:rPr>
        <w:t> </w:t>
      </w:r>
      <w:r>
        <w:rPr>
          <w:sz w:val="22"/>
          <w:vertAlign w:val="superscript"/>
        </w:rPr>
        <w:t>b</w:t>
      </w:r>
      <w:r>
        <w:rPr>
          <w:spacing w:val="-4"/>
          <w:sz w:val="22"/>
          <w:vertAlign w:val="baseline"/>
        </w:rPr>
        <w:t> </w:t>
      </w:r>
      <w:r>
        <w:rPr>
          <w:sz w:val="22"/>
          <w:vertAlign w:val="baseline"/>
        </w:rPr>
        <w:t>=</w:t>
      </w:r>
      <w:r>
        <w:rPr>
          <w:spacing w:val="-7"/>
          <w:sz w:val="22"/>
          <w:vertAlign w:val="baseline"/>
        </w:rPr>
        <w:t> </w:t>
      </w:r>
      <w:r>
        <w:rPr>
          <w:sz w:val="22"/>
          <w:vertAlign w:val="baseline"/>
        </w:rPr>
        <w:t>Significant</w:t>
      </w:r>
      <w:r>
        <w:rPr>
          <w:spacing w:val="-2"/>
          <w:sz w:val="22"/>
          <w:vertAlign w:val="baseline"/>
        </w:rPr>
        <w:t> </w:t>
      </w:r>
      <w:r>
        <w:rPr>
          <w:sz w:val="22"/>
          <w:vertAlign w:val="baseline"/>
        </w:rPr>
        <w:t>weight</w:t>
      </w:r>
      <w:r>
        <w:rPr>
          <w:spacing w:val="-2"/>
          <w:sz w:val="22"/>
          <w:vertAlign w:val="baseline"/>
        </w:rPr>
        <w:t> </w:t>
      </w:r>
      <w:r>
        <w:rPr>
          <w:sz w:val="22"/>
          <w:vertAlign w:val="baseline"/>
        </w:rPr>
        <w:t>gain</w:t>
      </w:r>
      <w:r>
        <w:rPr>
          <w:spacing w:val="-3"/>
          <w:sz w:val="22"/>
          <w:vertAlign w:val="baseline"/>
        </w:rPr>
        <w:t> </w:t>
      </w:r>
      <w:r>
        <w:rPr>
          <w:sz w:val="22"/>
          <w:vertAlign w:val="baseline"/>
        </w:rPr>
        <w:t>at</w:t>
      </w:r>
      <w:r>
        <w:rPr>
          <w:spacing w:val="-2"/>
          <w:sz w:val="22"/>
          <w:vertAlign w:val="baseline"/>
        </w:rPr>
        <w:t> p&lt;0.05</w:t>
      </w:r>
    </w:p>
    <w:p>
      <w:pPr>
        <w:spacing w:after="0"/>
        <w:jc w:val="left"/>
        <w:rPr>
          <w:sz w:val="22"/>
        </w:rPr>
        <w:sectPr>
          <w:pgSz w:w="11910" w:h="16840"/>
          <w:pgMar w:header="0" w:footer="1012" w:top="1340" w:bottom="1200" w:left="960" w:right="620"/>
        </w:sectPr>
      </w:pPr>
    </w:p>
    <w:p>
      <w:pPr>
        <w:pStyle w:val="BodyText"/>
        <w:spacing w:before="4"/>
        <w:rPr>
          <w:sz w:val="17"/>
        </w:rPr>
      </w:pPr>
    </w:p>
    <w:p>
      <w:pPr>
        <w:spacing w:after="0"/>
        <w:rPr>
          <w:sz w:val="17"/>
        </w:rPr>
        <w:sectPr>
          <w:pgSz w:w="11910" w:h="16840"/>
          <w:pgMar w:header="0" w:footer="1012" w:top="1920" w:bottom="1200" w:left="960" w:right="620"/>
        </w:sectPr>
      </w:pPr>
    </w:p>
    <w:p>
      <w:pPr>
        <w:pStyle w:val="Heading2"/>
        <w:numPr>
          <w:ilvl w:val="1"/>
          <w:numId w:val="20"/>
        </w:numPr>
        <w:tabs>
          <w:tab w:pos="1748" w:val="left" w:leader="none"/>
          <w:tab w:pos="3597" w:val="left" w:leader="none"/>
          <w:tab w:pos="5032" w:val="left" w:leader="none"/>
          <w:tab w:pos="5483" w:val="left" w:leader="none"/>
          <w:tab w:pos="6257" w:val="left" w:leader="none"/>
          <w:tab w:pos="7212" w:val="left" w:leader="none"/>
          <w:tab w:pos="7933" w:val="left" w:leader="none"/>
          <w:tab w:pos="8600" w:val="left" w:leader="none"/>
        </w:tabs>
        <w:spacing w:line="360" w:lineRule="auto" w:before="64" w:after="0"/>
        <w:ind w:left="1748" w:right="805" w:hanging="721"/>
        <w:jc w:val="left"/>
      </w:pPr>
      <w:bookmarkStart w:name="_TOC_250003" w:id="53"/>
      <w:r>
        <w:rPr>
          <w:spacing w:val="-2"/>
        </w:rPr>
        <w:t>Haematological</w:t>
      </w:r>
      <w:r>
        <w:rPr/>
        <w:tab/>
      </w:r>
      <w:r>
        <w:rPr>
          <w:spacing w:val="-2"/>
        </w:rPr>
        <w:t>Parameters</w:t>
      </w:r>
      <w:r>
        <w:rPr/>
        <w:tab/>
      </w:r>
      <w:r>
        <w:rPr>
          <w:spacing w:val="-6"/>
        </w:rPr>
        <w:t>in</w:t>
      </w:r>
      <w:r>
        <w:rPr/>
        <w:tab/>
      </w:r>
      <w:r>
        <w:rPr>
          <w:spacing w:val="-4"/>
        </w:rPr>
        <w:t>Male</w:t>
      </w:r>
      <w:r>
        <w:rPr/>
        <w:tab/>
      </w:r>
      <w:r>
        <w:rPr>
          <w:spacing w:val="-2"/>
        </w:rPr>
        <w:t>Wistar</w:t>
      </w:r>
      <w:r>
        <w:rPr/>
        <w:tab/>
      </w:r>
      <w:r>
        <w:rPr>
          <w:spacing w:val="-4"/>
        </w:rPr>
        <w:t>Rats</w:t>
      </w:r>
      <w:r>
        <w:rPr/>
        <w:tab/>
      </w:r>
      <w:r>
        <w:rPr>
          <w:spacing w:val="-4"/>
        </w:rPr>
        <w:t>that</w:t>
      </w:r>
      <w:r>
        <w:rPr/>
        <w:tab/>
      </w:r>
      <w:r>
        <w:rPr>
          <w:spacing w:val="-2"/>
        </w:rPr>
        <w:t>Received </w:t>
      </w:r>
      <w:r>
        <w:rPr/>
        <w:t>Undetoxified and Detoxified </w:t>
      </w:r>
      <w:r>
        <w:rPr>
          <w:i/>
        </w:rPr>
        <w:t>J. curcas </w:t>
      </w:r>
      <w:bookmarkEnd w:id="53"/>
      <w:r>
        <w:rPr/>
        <w:t>Oils</w:t>
      </w:r>
    </w:p>
    <w:p>
      <w:pPr>
        <w:pStyle w:val="BodyText"/>
        <w:spacing w:before="135"/>
        <w:rPr>
          <w:b/>
        </w:rPr>
      </w:pPr>
    </w:p>
    <w:p>
      <w:pPr>
        <w:pStyle w:val="BodyText"/>
        <w:spacing w:line="480" w:lineRule="auto"/>
        <w:ind w:left="1028" w:right="797" w:firstLine="57"/>
        <w:jc w:val="both"/>
      </w:pPr>
      <w:r>
        <w:rPr/>
        <w:t>The Red blood cell (RBC), White blood cell (WBC), Platelet (PLT), Haemoglobin (HGB), Mean cell haemoglobin concentration (MCHC) and Mean cell volume (MCV) levels in the control group were: 8.6±0.18, 5.6±1.80, 308.00±9.00, 11.57±2.43, 39.80±0.52, and 65.40±0.95 respectively. Levels of WBC was significantly (p&lt;0.05) increased at 500 mg/kg dose of the undetoxified </w:t>
      </w:r>
      <w:r>
        <w:rPr>
          <w:i/>
        </w:rPr>
        <w:t>J</w:t>
      </w:r>
      <w:r>
        <w:rPr/>
        <w:t>. </w:t>
      </w:r>
      <w:r>
        <w:rPr>
          <w:i/>
        </w:rPr>
        <w:t>curcas </w:t>
      </w:r>
      <w:r>
        <w:rPr/>
        <w:t>oil. PLT values of 549.25±12.60, 573.00±0.00 and 549.50±12.08 were obtained at 250, 500 mg/kg of undetoxified and 500 mg/kg dose of detoxified oil respectively, showing significantly increased levels of</w:t>
      </w:r>
      <w:r>
        <w:rPr>
          <w:spacing w:val="-4"/>
        </w:rPr>
        <w:t> </w:t>
      </w:r>
      <w:r>
        <w:rPr/>
        <w:t>PLT compared to the control. However, the undetoxified oil</w:t>
      </w:r>
      <w:r>
        <w:rPr>
          <w:spacing w:val="-1"/>
        </w:rPr>
        <w:t> </w:t>
      </w:r>
      <w:r>
        <w:rPr/>
        <w:t>showed higher levels of WBC and PLT compared to the detoxified (Table 4.9).</w:t>
      </w:r>
    </w:p>
    <w:p>
      <w:pPr>
        <w:spacing w:after="0" w:line="480" w:lineRule="auto"/>
        <w:jc w:val="both"/>
        <w:sectPr>
          <w:pgSz w:w="11910" w:h="16840"/>
          <w:pgMar w:header="0" w:footer="1012" w:top="1340" w:bottom="1200" w:left="960" w:right="620"/>
        </w:sectPr>
      </w:pPr>
    </w:p>
    <w:p>
      <w:pPr>
        <w:pStyle w:val="Heading2"/>
        <w:spacing w:line="360" w:lineRule="auto" w:before="64"/>
        <w:ind w:left="1028" w:firstLine="0"/>
        <w:jc w:val="left"/>
      </w:pPr>
      <w:r>
        <w:rPr/>
        <w:t>Table</w:t>
      </w:r>
      <w:r>
        <w:rPr>
          <w:spacing w:val="80"/>
        </w:rPr>
        <w:t> </w:t>
      </w:r>
      <w:r>
        <w:rPr/>
        <w:t>4.9:</w:t>
      </w:r>
      <w:r>
        <w:rPr>
          <w:spacing w:val="80"/>
        </w:rPr>
        <w:t> </w:t>
      </w:r>
      <w:r>
        <w:rPr/>
        <w:t>Haematological</w:t>
      </w:r>
      <w:r>
        <w:rPr>
          <w:spacing w:val="80"/>
        </w:rPr>
        <w:t> </w:t>
      </w:r>
      <w:r>
        <w:rPr/>
        <w:t>Parameters</w:t>
      </w:r>
      <w:r>
        <w:rPr>
          <w:spacing w:val="80"/>
        </w:rPr>
        <w:t> </w:t>
      </w:r>
      <w:r>
        <w:rPr/>
        <w:t>in</w:t>
      </w:r>
      <w:r>
        <w:rPr>
          <w:spacing w:val="80"/>
        </w:rPr>
        <w:t> </w:t>
      </w:r>
      <w:r>
        <w:rPr/>
        <w:t>Male</w:t>
      </w:r>
      <w:r>
        <w:rPr>
          <w:spacing w:val="80"/>
        </w:rPr>
        <w:t> </w:t>
      </w:r>
      <w:r>
        <w:rPr/>
        <w:t>Wistar</w:t>
      </w:r>
      <w:r>
        <w:rPr>
          <w:spacing w:val="80"/>
        </w:rPr>
        <w:t> </w:t>
      </w:r>
      <w:r>
        <w:rPr/>
        <w:t>Rats</w:t>
      </w:r>
      <w:r>
        <w:rPr>
          <w:spacing w:val="80"/>
        </w:rPr>
        <w:t> </w:t>
      </w:r>
      <w:r>
        <w:rPr/>
        <w:t>that</w:t>
      </w:r>
      <w:r>
        <w:rPr>
          <w:spacing w:val="80"/>
        </w:rPr>
        <w:t> </w:t>
      </w:r>
      <w:r>
        <w:rPr/>
        <w:t>Received</w:t>
      </w:r>
      <w:r>
        <w:rPr>
          <w:spacing w:val="40"/>
        </w:rPr>
        <w:t> </w:t>
      </w:r>
      <w:r>
        <w:rPr/>
        <w:t>Undetoxified and Detoxified </w:t>
      </w:r>
      <w:r>
        <w:rPr>
          <w:i/>
        </w:rPr>
        <w:t>Jatropha curcas </w:t>
      </w:r>
      <w:r>
        <w:rPr/>
        <w:t>Oils</w:t>
      </w:r>
    </w:p>
    <w:p>
      <w:pPr>
        <w:pStyle w:val="BodyText"/>
        <w:spacing w:before="189"/>
        <w:rPr>
          <w:b/>
          <w:sz w:val="20"/>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9"/>
        <w:gridCol w:w="660"/>
        <w:gridCol w:w="1236"/>
        <w:gridCol w:w="1447"/>
        <w:gridCol w:w="1607"/>
        <w:gridCol w:w="1335"/>
        <w:gridCol w:w="1385"/>
        <w:gridCol w:w="1364"/>
      </w:tblGrid>
      <w:tr>
        <w:trPr>
          <w:trHeight w:val="830" w:hRule="atLeast"/>
        </w:trPr>
        <w:tc>
          <w:tcPr>
            <w:tcW w:w="10103" w:type="dxa"/>
            <w:gridSpan w:val="8"/>
            <w:tcBorders>
              <w:top w:val="single" w:sz="4" w:space="0" w:color="000000"/>
            </w:tcBorders>
          </w:tcPr>
          <w:p>
            <w:pPr>
              <w:pStyle w:val="TableParagraph"/>
              <w:tabs>
                <w:tab w:pos="3896" w:val="left" w:leader="none"/>
              </w:tabs>
              <w:spacing w:line="364" w:lineRule="exact" w:before="11"/>
              <w:ind w:left="1104" w:right="3684" w:hanging="980"/>
              <w:rPr>
                <w:sz w:val="23"/>
              </w:rPr>
            </w:pPr>
            <w:r>
              <w:rPr>
                <w:sz w:val="23"/>
              </w:rPr>
              <w:t>Treatment</w:t>
            </w:r>
            <w:r>
              <w:rPr>
                <w:spacing w:val="80"/>
                <w:sz w:val="23"/>
              </w:rPr>
              <w:t> </w:t>
            </w:r>
            <w:r>
              <w:rPr>
                <w:sz w:val="23"/>
              </w:rPr>
              <w:t>Dose</w:t>
              <w:tab/>
              <w:t>Haematological</w:t>
            </w:r>
            <w:r>
              <w:rPr>
                <w:spacing w:val="-15"/>
                <w:sz w:val="23"/>
              </w:rPr>
              <w:t> </w:t>
            </w:r>
            <w:r>
              <w:rPr>
                <w:sz w:val="23"/>
              </w:rPr>
              <w:t>parameters </w:t>
            </w:r>
            <w:r>
              <w:rPr>
                <w:spacing w:val="-2"/>
                <w:sz w:val="23"/>
              </w:rPr>
              <w:t>(mg/kg)</w:t>
            </w:r>
          </w:p>
        </w:tc>
      </w:tr>
      <w:tr>
        <w:trPr>
          <w:trHeight w:val="825" w:hRule="atLeast"/>
        </w:trPr>
        <w:tc>
          <w:tcPr>
            <w:tcW w:w="1069" w:type="dxa"/>
            <w:tcBorders>
              <w:bottom w:val="single" w:sz="4" w:space="0" w:color="000000"/>
            </w:tcBorders>
          </w:tcPr>
          <w:p>
            <w:pPr>
              <w:pStyle w:val="TableParagraph"/>
              <w:rPr>
                <w:sz w:val="22"/>
              </w:rPr>
            </w:pPr>
          </w:p>
        </w:tc>
        <w:tc>
          <w:tcPr>
            <w:tcW w:w="660" w:type="dxa"/>
            <w:tcBorders>
              <w:bottom w:val="single" w:sz="4" w:space="0" w:color="000000"/>
            </w:tcBorders>
          </w:tcPr>
          <w:p>
            <w:pPr>
              <w:pStyle w:val="TableParagraph"/>
              <w:rPr>
                <w:sz w:val="22"/>
              </w:rPr>
            </w:pPr>
          </w:p>
        </w:tc>
        <w:tc>
          <w:tcPr>
            <w:tcW w:w="1236" w:type="dxa"/>
            <w:tcBorders>
              <w:top w:val="single" w:sz="4" w:space="0" w:color="000000"/>
              <w:bottom w:val="single" w:sz="4" w:space="0" w:color="000000"/>
            </w:tcBorders>
          </w:tcPr>
          <w:p>
            <w:pPr>
              <w:pStyle w:val="TableParagraph"/>
              <w:spacing w:before="87"/>
              <w:ind w:left="105" w:right="389"/>
              <w:rPr>
                <w:sz w:val="23"/>
              </w:rPr>
            </w:pPr>
            <w:r>
              <w:rPr>
                <w:spacing w:val="-4"/>
                <w:sz w:val="23"/>
              </w:rPr>
              <w:t>RBC </w:t>
            </w:r>
            <w:r>
              <w:rPr>
                <w:spacing w:val="-2"/>
                <w:sz w:val="23"/>
              </w:rPr>
              <w:t>(10</w:t>
            </w:r>
            <w:r>
              <w:rPr>
                <w:spacing w:val="-2"/>
                <w:sz w:val="23"/>
                <w:vertAlign w:val="superscript"/>
              </w:rPr>
              <w:t>12</w:t>
            </w:r>
            <w:r>
              <w:rPr>
                <w:spacing w:val="-2"/>
                <w:sz w:val="23"/>
                <w:vertAlign w:val="baseline"/>
              </w:rPr>
              <w:t>/L)</w:t>
            </w:r>
          </w:p>
        </w:tc>
        <w:tc>
          <w:tcPr>
            <w:tcW w:w="1447" w:type="dxa"/>
            <w:tcBorders>
              <w:top w:val="single" w:sz="4" w:space="0" w:color="000000"/>
              <w:bottom w:val="single" w:sz="4" w:space="0" w:color="000000"/>
            </w:tcBorders>
          </w:tcPr>
          <w:p>
            <w:pPr>
              <w:pStyle w:val="TableParagraph"/>
              <w:spacing w:before="87"/>
              <w:ind w:left="132" w:right="646"/>
              <w:rPr>
                <w:sz w:val="23"/>
              </w:rPr>
            </w:pPr>
            <w:r>
              <w:rPr>
                <w:spacing w:val="-4"/>
                <w:sz w:val="23"/>
              </w:rPr>
              <w:t>WBC </w:t>
            </w:r>
            <w:r>
              <w:rPr>
                <w:spacing w:val="-2"/>
                <w:sz w:val="23"/>
              </w:rPr>
              <w:t>(10</w:t>
            </w:r>
            <w:r>
              <w:rPr>
                <w:spacing w:val="-2"/>
                <w:sz w:val="23"/>
                <w:vertAlign w:val="superscript"/>
              </w:rPr>
              <w:t>9</w:t>
            </w:r>
            <w:r>
              <w:rPr>
                <w:spacing w:val="-2"/>
                <w:sz w:val="23"/>
                <w:vertAlign w:val="baseline"/>
              </w:rPr>
              <w:t>/L)</w:t>
            </w:r>
          </w:p>
        </w:tc>
        <w:tc>
          <w:tcPr>
            <w:tcW w:w="1607" w:type="dxa"/>
            <w:tcBorders>
              <w:top w:val="single" w:sz="4" w:space="0" w:color="000000"/>
              <w:bottom w:val="single" w:sz="4" w:space="0" w:color="000000"/>
            </w:tcBorders>
          </w:tcPr>
          <w:p>
            <w:pPr>
              <w:pStyle w:val="TableParagraph"/>
              <w:spacing w:line="360" w:lineRule="exact" w:before="14"/>
              <w:ind w:left="125" w:right="813"/>
              <w:rPr>
                <w:sz w:val="23"/>
              </w:rPr>
            </w:pPr>
            <w:r>
              <w:rPr>
                <w:spacing w:val="-4"/>
                <w:sz w:val="23"/>
              </w:rPr>
              <w:t>PLT </w:t>
            </w:r>
            <w:r>
              <w:rPr>
                <w:spacing w:val="-2"/>
                <w:sz w:val="23"/>
              </w:rPr>
              <w:t>(10</w:t>
            </w:r>
            <w:r>
              <w:rPr>
                <w:spacing w:val="-2"/>
                <w:sz w:val="23"/>
                <w:vertAlign w:val="superscript"/>
              </w:rPr>
              <w:t>9</w:t>
            </w:r>
            <w:r>
              <w:rPr>
                <w:spacing w:val="-2"/>
                <w:sz w:val="23"/>
                <w:vertAlign w:val="baseline"/>
              </w:rPr>
              <w:t>/L)</w:t>
            </w:r>
          </w:p>
        </w:tc>
        <w:tc>
          <w:tcPr>
            <w:tcW w:w="1335" w:type="dxa"/>
            <w:tcBorders>
              <w:top w:val="single" w:sz="4" w:space="0" w:color="000000"/>
              <w:bottom w:val="single" w:sz="4" w:space="0" w:color="000000"/>
            </w:tcBorders>
          </w:tcPr>
          <w:p>
            <w:pPr>
              <w:pStyle w:val="TableParagraph"/>
              <w:spacing w:before="87"/>
              <w:ind w:left="136"/>
              <w:rPr>
                <w:sz w:val="23"/>
              </w:rPr>
            </w:pPr>
            <w:r>
              <w:rPr>
                <w:spacing w:val="-5"/>
                <w:sz w:val="23"/>
              </w:rPr>
              <w:t>HGB</w:t>
            </w:r>
          </w:p>
          <w:p>
            <w:pPr>
              <w:pStyle w:val="TableParagraph"/>
              <w:spacing w:before="96"/>
              <w:ind w:left="136"/>
              <w:rPr>
                <w:sz w:val="23"/>
              </w:rPr>
            </w:pPr>
            <w:r>
              <w:rPr>
                <w:spacing w:val="-2"/>
                <w:sz w:val="23"/>
              </w:rPr>
              <w:t>(g/dL)</w:t>
            </w:r>
          </w:p>
        </w:tc>
        <w:tc>
          <w:tcPr>
            <w:tcW w:w="1385" w:type="dxa"/>
            <w:tcBorders>
              <w:top w:val="single" w:sz="4" w:space="0" w:color="000000"/>
              <w:bottom w:val="single" w:sz="4" w:space="0" w:color="000000"/>
            </w:tcBorders>
          </w:tcPr>
          <w:p>
            <w:pPr>
              <w:pStyle w:val="TableParagraph"/>
              <w:spacing w:line="264" w:lineRule="exact" w:before="87"/>
              <w:ind w:left="151"/>
              <w:rPr>
                <w:sz w:val="23"/>
              </w:rPr>
            </w:pPr>
            <w:r>
              <w:rPr>
                <w:spacing w:val="-4"/>
                <w:sz w:val="23"/>
              </w:rPr>
              <w:t>MCHC</w:t>
            </w:r>
          </w:p>
          <w:p>
            <w:pPr>
              <w:pStyle w:val="TableParagraph"/>
              <w:spacing w:line="264" w:lineRule="exact"/>
              <w:ind w:left="151"/>
              <w:rPr>
                <w:sz w:val="23"/>
              </w:rPr>
            </w:pPr>
            <w:r>
              <w:rPr>
                <w:spacing w:val="-2"/>
                <w:sz w:val="23"/>
              </w:rPr>
              <w:t>(g/dL)</w:t>
            </w:r>
          </w:p>
        </w:tc>
        <w:tc>
          <w:tcPr>
            <w:tcW w:w="1364" w:type="dxa"/>
            <w:tcBorders>
              <w:top w:val="single" w:sz="4" w:space="0" w:color="000000"/>
              <w:bottom w:val="single" w:sz="4" w:space="0" w:color="000000"/>
            </w:tcBorders>
          </w:tcPr>
          <w:p>
            <w:pPr>
              <w:pStyle w:val="TableParagraph"/>
              <w:spacing w:line="360" w:lineRule="exact" w:before="14"/>
              <w:ind w:left="177" w:right="715" w:hanging="58"/>
              <w:rPr>
                <w:sz w:val="23"/>
              </w:rPr>
            </w:pPr>
            <w:r>
              <w:rPr>
                <w:spacing w:val="-4"/>
                <w:sz w:val="23"/>
              </w:rPr>
              <w:t>MCV (fL)</w:t>
            </w:r>
          </w:p>
        </w:tc>
      </w:tr>
      <w:tr>
        <w:trPr>
          <w:trHeight w:val="457" w:hRule="atLeast"/>
        </w:trPr>
        <w:tc>
          <w:tcPr>
            <w:tcW w:w="1069" w:type="dxa"/>
            <w:tcBorders>
              <w:top w:val="single" w:sz="4" w:space="0" w:color="000000"/>
            </w:tcBorders>
          </w:tcPr>
          <w:p>
            <w:pPr>
              <w:pStyle w:val="TableParagraph"/>
              <w:spacing w:before="87"/>
              <w:ind w:left="124"/>
              <w:rPr>
                <w:sz w:val="23"/>
              </w:rPr>
            </w:pPr>
            <w:r>
              <w:rPr>
                <w:sz w:val="23"/>
              </w:rPr>
              <w:t>Olive</w:t>
            </w:r>
            <w:r>
              <w:rPr>
                <w:spacing w:val="-5"/>
                <w:sz w:val="23"/>
              </w:rPr>
              <w:t> oil</w:t>
            </w:r>
          </w:p>
        </w:tc>
        <w:tc>
          <w:tcPr>
            <w:tcW w:w="660" w:type="dxa"/>
            <w:tcBorders>
              <w:top w:val="single" w:sz="4" w:space="0" w:color="000000"/>
            </w:tcBorders>
          </w:tcPr>
          <w:p>
            <w:pPr>
              <w:pStyle w:val="TableParagraph"/>
              <w:spacing w:before="87"/>
              <w:ind w:left="136"/>
              <w:rPr>
                <w:sz w:val="23"/>
              </w:rPr>
            </w:pPr>
            <w:r>
              <w:rPr>
                <w:spacing w:val="-5"/>
                <w:sz w:val="23"/>
              </w:rPr>
              <w:t>10</w:t>
            </w:r>
            <w:r>
              <w:rPr>
                <w:spacing w:val="-5"/>
                <w:sz w:val="23"/>
                <w:vertAlign w:val="superscript"/>
              </w:rPr>
              <w:t>*</w:t>
            </w:r>
          </w:p>
        </w:tc>
        <w:tc>
          <w:tcPr>
            <w:tcW w:w="1236" w:type="dxa"/>
            <w:tcBorders>
              <w:top w:val="single" w:sz="4" w:space="0" w:color="000000"/>
            </w:tcBorders>
          </w:tcPr>
          <w:p>
            <w:pPr>
              <w:pStyle w:val="TableParagraph"/>
              <w:spacing w:before="87"/>
              <w:ind w:right="92"/>
              <w:jc w:val="center"/>
              <w:rPr>
                <w:sz w:val="23"/>
              </w:rPr>
            </w:pPr>
            <w:r>
              <w:rPr>
                <w:spacing w:val="-2"/>
                <w:sz w:val="23"/>
              </w:rPr>
              <w:t>8.63±0.18</w:t>
            </w:r>
          </w:p>
        </w:tc>
        <w:tc>
          <w:tcPr>
            <w:tcW w:w="1447" w:type="dxa"/>
            <w:tcBorders>
              <w:top w:val="single" w:sz="4" w:space="0" w:color="000000"/>
            </w:tcBorders>
          </w:tcPr>
          <w:p>
            <w:pPr>
              <w:pStyle w:val="TableParagraph"/>
              <w:spacing w:before="87"/>
              <w:ind w:left="132"/>
              <w:rPr>
                <w:sz w:val="23"/>
              </w:rPr>
            </w:pPr>
            <w:r>
              <w:rPr>
                <w:spacing w:val="-2"/>
                <w:sz w:val="23"/>
              </w:rPr>
              <w:t>5.60±1.80</w:t>
            </w:r>
          </w:p>
        </w:tc>
        <w:tc>
          <w:tcPr>
            <w:tcW w:w="1607" w:type="dxa"/>
            <w:tcBorders>
              <w:top w:val="single" w:sz="4" w:space="0" w:color="000000"/>
            </w:tcBorders>
          </w:tcPr>
          <w:p>
            <w:pPr>
              <w:pStyle w:val="TableParagraph"/>
              <w:spacing w:before="87"/>
              <w:ind w:left="125"/>
              <w:rPr>
                <w:sz w:val="23"/>
              </w:rPr>
            </w:pPr>
            <w:r>
              <w:rPr>
                <w:spacing w:val="-2"/>
                <w:sz w:val="23"/>
              </w:rPr>
              <w:t>341.00±9.00</w:t>
            </w:r>
          </w:p>
        </w:tc>
        <w:tc>
          <w:tcPr>
            <w:tcW w:w="1335" w:type="dxa"/>
            <w:tcBorders>
              <w:top w:val="single" w:sz="4" w:space="0" w:color="000000"/>
            </w:tcBorders>
          </w:tcPr>
          <w:p>
            <w:pPr>
              <w:pStyle w:val="TableParagraph"/>
              <w:spacing w:before="87"/>
              <w:ind w:left="115" w:right="127"/>
              <w:jc w:val="center"/>
              <w:rPr>
                <w:sz w:val="23"/>
              </w:rPr>
            </w:pPr>
            <w:r>
              <w:rPr>
                <w:spacing w:val="-2"/>
                <w:sz w:val="23"/>
              </w:rPr>
              <w:t>11.57±2.43</w:t>
            </w:r>
          </w:p>
        </w:tc>
        <w:tc>
          <w:tcPr>
            <w:tcW w:w="1385" w:type="dxa"/>
            <w:tcBorders>
              <w:top w:val="single" w:sz="4" w:space="0" w:color="000000"/>
            </w:tcBorders>
          </w:tcPr>
          <w:p>
            <w:pPr>
              <w:pStyle w:val="TableParagraph"/>
              <w:spacing w:before="87"/>
              <w:ind w:left="151"/>
              <w:rPr>
                <w:sz w:val="23"/>
              </w:rPr>
            </w:pPr>
            <w:r>
              <w:rPr>
                <w:spacing w:val="-2"/>
                <w:sz w:val="23"/>
              </w:rPr>
              <w:t>39.80±0.52</w:t>
            </w:r>
          </w:p>
        </w:tc>
        <w:tc>
          <w:tcPr>
            <w:tcW w:w="1364" w:type="dxa"/>
            <w:tcBorders>
              <w:top w:val="single" w:sz="4" w:space="0" w:color="000000"/>
            </w:tcBorders>
          </w:tcPr>
          <w:p>
            <w:pPr>
              <w:pStyle w:val="TableParagraph"/>
              <w:spacing w:before="87"/>
              <w:ind w:left="120"/>
              <w:rPr>
                <w:sz w:val="23"/>
              </w:rPr>
            </w:pPr>
            <w:r>
              <w:rPr>
                <w:spacing w:val="-2"/>
                <w:sz w:val="23"/>
              </w:rPr>
              <w:t>65.40±0.95</w:t>
            </w:r>
          </w:p>
        </w:tc>
      </w:tr>
      <w:tr>
        <w:trPr>
          <w:trHeight w:val="451" w:hRule="atLeast"/>
        </w:trPr>
        <w:tc>
          <w:tcPr>
            <w:tcW w:w="1069" w:type="dxa"/>
          </w:tcPr>
          <w:p>
            <w:pPr>
              <w:pStyle w:val="TableParagraph"/>
              <w:spacing w:before="96"/>
              <w:ind w:left="124"/>
              <w:rPr>
                <w:sz w:val="23"/>
              </w:rPr>
            </w:pPr>
            <w:r>
              <w:rPr>
                <w:spacing w:val="-5"/>
                <w:sz w:val="23"/>
              </w:rPr>
              <w:t>UME</w:t>
            </w:r>
          </w:p>
        </w:tc>
        <w:tc>
          <w:tcPr>
            <w:tcW w:w="660" w:type="dxa"/>
          </w:tcPr>
          <w:p>
            <w:pPr>
              <w:pStyle w:val="TableParagraph"/>
              <w:spacing w:before="96"/>
              <w:ind w:left="136"/>
              <w:rPr>
                <w:sz w:val="23"/>
              </w:rPr>
            </w:pPr>
            <w:r>
              <w:rPr>
                <w:spacing w:val="-5"/>
                <w:sz w:val="23"/>
              </w:rPr>
              <w:t>125</w:t>
            </w:r>
          </w:p>
        </w:tc>
        <w:tc>
          <w:tcPr>
            <w:tcW w:w="1236" w:type="dxa"/>
          </w:tcPr>
          <w:p>
            <w:pPr>
              <w:pStyle w:val="TableParagraph"/>
              <w:spacing w:before="96"/>
              <w:ind w:right="92"/>
              <w:jc w:val="center"/>
              <w:rPr>
                <w:sz w:val="23"/>
              </w:rPr>
            </w:pPr>
            <w:r>
              <w:rPr>
                <w:spacing w:val="-2"/>
                <w:sz w:val="23"/>
              </w:rPr>
              <w:t>8.76±0.35</w:t>
            </w:r>
          </w:p>
        </w:tc>
        <w:tc>
          <w:tcPr>
            <w:tcW w:w="1447" w:type="dxa"/>
          </w:tcPr>
          <w:p>
            <w:pPr>
              <w:pStyle w:val="TableParagraph"/>
              <w:spacing w:before="96"/>
              <w:ind w:left="132"/>
              <w:rPr>
                <w:sz w:val="23"/>
              </w:rPr>
            </w:pPr>
            <w:r>
              <w:rPr>
                <w:spacing w:val="-2"/>
                <w:sz w:val="23"/>
              </w:rPr>
              <w:t>5.70±1.40</w:t>
            </w:r>
          </w:p>
        </w:tc>
        <w:tc>
          <w:tcPr>
            <w:tcW w:w="1607" w:type="dxa"/>
          </w:tcPr>
          <w:p>
            <w:pPr>
              <w:pStyle w:val="TableParagraph"/>
              <w:spacing w:before="96"/>
              <w:ind w:left="125"/>
              <w:rPr>
                <w:sz w:val="23"/>
              </w:rPr>
            </w:pPr>
            <w:r>
              <w:rPr>
                <w:spacing w:val="-2"/>
                <w:sz w:val="23"/>
              </w:rPr>
              <w:t>471.25±11.50</w:t>
            </w:r>
          </w:p>
        </w:tc>
        <w:tc>
          <w:tcPr>
            <w:tcW w:w="1335" w:type="dxa"/>
          </w:tcPr>
          <w:p>
            <w:pPr>
              <w:pStyle w:val="TableParagraph"/>
              <w:spacing w:before="96"/>
              <w:ind w:right="127"/>
              <w:jc w:val="center"/>
              <w:rPr>
                <w:sz w:val="23"/>
              </w:rPr>
            </w:pPr>
            <w:r>
              <w:rPr>
                <w:spacing w:val="-2"/>
                <w:sz w:val="23"/>
              </w:rPr>
              <w:t>9.67±3.68</w:t>
            </w:r>
          </w:p>
        </w:tc>
        <w:tc>
          <w:tcPr>
            <w:tcW w:w="1385" w:type="dxa"/>
          </w:tcPr>
          <w:p>
            <w:pPr>
              <w:pStyle w:val="TableParagraph"/>
              <w:spacing w:before="96"/>
              <w:ind w:left="151"/>
              <w:rPr>
                <w:sz w:val="23"/>
              </w:rPr>
            </w:pPr>
            <w:r>
              <w:rPr>
                <w:spacing w:val="-2"/>
                <w:sz w:val="23"/>
              </w:rPr>
              <w:t>40.20±0.41</w:t>
            </w:r>
          </w:p>
        </w:tc>
        <w:tc>
          <w:tcPr>
            <w:tcW w:w="1364" w:type="dxa"/>
          </w:tcPr>
          <w:p>
            <w:pPr>
              <w:pStyle w:val="TableParagraph"/>
              <w:spacing w:before="96"/>
              <w:ind w:left="120"/>
              <w:rPr>
                <w:sz w:val="23"/>
              </w:rPr>
            </w:pPr>
            <w:r>
              <w:rPr>
                <w:spacing w:val="-2"/>
                <w:sz w:val="23"/>
              </w:rPr>
              <w:t>67.97±1.48</w:t>
            </w:r>
          </w:p>
        </w:tc>
      </w:tr>
      <w:tr>
        <w:trPr>
          <w:trHeight w:val="465" w:hRule="atLeast"/>
        </w:trPr>
        <w:tc>
          <w:tcPr>
            <w:tcW w:w="1069" w:type="dxa"/>
          </w:tcPr>
          <w:p>
            <w:pPr>
              <w:pStyle w:val="TableParagraph"/>
              <w:rPr>
                <w:sz w:val="22"/>
              </w:rPr>
            </w:pPr>
          </w:p>
        </w:tc>
        <w:tc>
          <w:tcPr>
            <w:tcW w:w="660" w:type="dxa"/>
          </w:tcPr>
          <w:p>
            <w:pPr>
              <w:pStyle w:val="TableParagraph"/>
              <w:spacing w:before="110"/>
              <w:ind w:left="136"/>
              <w:rPr>
                <w:sz w:val="23"/>
              </w:rPr>
            </w:pPr>
            <w:r>
              <w:rPr>
                <w:spacing w:val="-5"/>
                <w:sz w:val="23"/>
              </w:rPr>
              <w:t>250</w:t>
            </w:r>
          </w:p>
        </w:tc>
        <w:tc>
          <w:tcPr>
            <w:tcW w:w="1236" w:type="dxa"/>
          </w:tcPr>
          <w:p>
            <w:pPr>
              <w:pStyle w:val="TableParagraph"/>
              <w:spacing w:before="110"/>
              <w:ind w:right="92"/>
              <w:jc w:val="center"/>
              <w:rPr>
                <w:sz w:val="23"/>
              </w:rPr>
            </w:pPr>
            <w:r>
              <w:rPr>
                <w:spacing w:val="-2"/>
                <w:sz w:val="23"/>
              </w:rPr>
              <w:t>7.14±1.72</w:t>
            </w:r>
          </w:p>
        </w:tc>
        <w:tc>
          <w:tcPr>
            <w:tcW w:w="1447" w:type="dxa"/>
          </w:tcPr>
          <w:p>
            <w:pPr>
              <w:pStyle w:val="TableParagraph"/>
              <w:spacing w:before="110"/>
              <w:ind w:left="132"/>
              <w:rPr>
                <w:sz w:val="23"/>
              </w:rPr>
            </w:pPr>
            <w:r>
              <w:rPr>
                <w:spacing w:val="-2"/>
                <w:sz w:val="23"/>
              </w:rPr>
              <w:t>6.22±1.87</w:t>
            </w:r>
          </w:p>
        </w:tc>
        <w:tc>
          <w:tcPr>
            <w:tcW w:w="1607" w:type="dxa"/>
          </w:tcPr>
          <w:p>
            <w:pPr>
              <w:pStyle w:val="TableParagraph"/>
              <w:spacing w:before="110"/>
              <w:ind w:left="125"/>
              <w:rPr>
                <w:sz w:val="23"/>
              </w:rPr>
            </w:pPr>
            <w:r>
              <w:rPr>
                <w:spacing w:val="-2"/>
                <w:sz w:val="23"/>
              </w:rPr>
              <w:t>549.66±12.60</w:t>
            </w:r>
            <w:r>
              <w:rPr>
                <w:spacing w:val="-2"/>
                <w:sz w:val="23"/>
                <w:vertAlign w:val="superscript"/>
              </w:rPr>
              <w:t>a</w:t>
            </w:r>
          </w:p>
        </w:tc>
        <w:tc>
          <w:tcPr>
            <w:tcW w:w="1335" w:type="dxa"/>
          </w:tcPr>
          <w:p>
            <w:pPr>
              <w:pStyle w:val="TableParagraph"/>
              <w:spacing w:before="110"/>
              <w:ind w:left="115" w:right="127"/>
              <w:jc w:val="center"/>
              <w:rPr>
                <w:sz w:val="23"/>
              </w:rPr>
            </w:pPr>
            <w:r>
              <w:rPr>
                <w:spacing w:val="-2"/>
                <w:sz w:val="23"/>
              </w:rPr>
              <w:t>12.62±2.14</w:t>
            </w:r>
          </w:p>
        </w:tc>
        <w:tc>
          <w:tcPr>
            <w:tcW w:w="1385" w:type="dxa"/>
          </w:tcPr>
          <w:p>
            <w:pPr>
              <w:pStyle w:val="TableParagraph"/>
              <w:spacing w:before="110"/>
              <w:ind w:left="151"/>
              <w:rPr>
                <w:sz w:val="23"/>
              </w:rPr>
            </w:pPr>
            <w:r>
              <w:rPr>
                <w:spacing w:val="-2"/>
                <w:sz w:val="23"/>
              </w:rPr>
              <w:t>28.72±0.88</w:t>
            </w:r>
            <w:r>
              <w:rPr>
                <w:spacing w:val="-2"/>
                <w:sz w:val="23"/>
                <w:vertAlign w:val="superscript"/>
              </w:rPr>
              <w:t>a</w:t>
            </w:r>
          </w:p>
        </w:tc>
        <w:tc>
          <w:tcPr>
            <w:tcW w:w="1364" w:type="dxa"/>
          </w:tcPr>
          <w:p>
            <w:pPr>
              <w:pStyle w:val="TableParagraph"/>
              <w:spacing w:before="110"/>
              <w:ind w:left="120"/>
              <w:rPr>
                <w:sz w:val="23"/>
              </w:rPr>
            </w:pPr>
            <w:r>
              <w:rPr>
                <w:spacing w:val="-2"/>
                <w:sz w:val="23"/>
              </w:rPr>
              <w:t>62.52±5.43</w:t>
            </w:r>
          </w:p>
        </w:tc>
      </w:tr>
      <w:tr>
        <w:trPr>
          <w:trHeight w:val="465" w:hRule="atLeast"/>
        </w:trPr>
        <w:tc>
          <w:tcPr>
            <w:tcW w:w="1069" w:type="dxa"/>
          </w:tcPr>
          <w:p>
            <w:pPr>
              <w:pStyle w:val="TableParagraph"/>
              <w:rPr>
                <w:sz w:val="22"/>
              </w:rPr>
            </w:pPr>
          </w:p>
        </w:tc>
        <w:tc>
          <w:tcPr>
            <w:tcW w:w="660" w:type="dxa"/>
          </w:tcPr>
          <w:p>
            <w:pPr>
              <w:pStyle w:val="TableParagraph"/>
              <w:spacing w:before="110"/>
              <w:ind w:left="136"/>
              <w:rPr>
                <w:sz w:val="23"/>
              </w:rPr>
            </w:pPr>
            <w:r>
              <w:rPr>
                <w:spacing w:val="-5"/>
                <w:sz w:val="23"/>
              </w:rPr>
              <w:t>500</w:t>
            </w:r>
          </w:p>
        </w:tc>
        <w:tc>
          <w:tcPr>
            <w:tcW w:w="1236" w:type="dxa"/>
          </w:tcPr>
          <w:p>
            <w:pPr>
              <w:pStyle w:val="TableParagraph"/>
              <w:spacing w:before="110"/>
              <w:ind w:right="92"/>
              <w:jc w:val="center"/>
              <w:rPr>
                <w:sz w:val="23"/>
              </w:rPr>
            </w:pPr>
            <w:r>
              <w:rPr>
                <w:spacing w:val="-2"/>
                <w:sz w:val="23"/>
              </w:rPr>
              <w:t>7.10±0.00</w:t>
            </w:r>
          </w:p>
        </w:tc>
        <w:tc>
          <w:tcPr>
            <w:tcW w:w="1447" w:type="dxa"/>
          </w:tcPr>
          <w:p>
            <w:pPr>
              <w:pStyle w:val="TableParagraph"/>
              <w:spacing w:before="110"/>
              <w:ind w:left="132"/>
              <w:rPr>
                <w:sz w:val="23"/>
              </w:rPr>
            </w:pPr>
            <w:r>
              <w:rPr>
                <w:spacing w:val="-2"/>
                <w:sz w:val="23"/>
              </w:rPr>
              <w:t>10.00±0.00</w:t>
            </w:r>
            <w:r>
              <w:rPr>
                <w:spacing w:val="-2"/>
                <w:sz w:val="23"/>
                <w:vertAlign w:val="superscript"/>
              </w:rPr>
              <w:t>ab</w:t>
            </w:r>
          </w:p>
        </w:tc>
        <w:tc>
          <w:tcPr>
            <w:tcW w:w="1607" w:type="dxa"/>
          </w:tcPr>
          <w:p>
            <w:pPr>
              <w:pStyle w:val="TableParagraph"/>
              <w:spacing w:before="110"/>
              <w:ind w:left="125"/>
              <w:rPr>
                <w:sz w:val="23"/>
              </w:rPr>
            </w:pPr>
            <w:r>
              <w:rPr>
                <w:spacing w:val="-2"/>
                <w:sz w:val="23"/>
              </w:rPr>
              <w:t>573.00±0.00</w:t>
            </w:r>
            <w:r>
              <w:rPr>
                <w:spacing w:val="-2"/>
                <w:sz w:val="23"/>
                <w:vertAlign w:val="superscript"/>
              </w:rPr>
              <w:t>a</w:t>
            </w:r>
          </w:p>
        </w:tc>
        <w:tc>
          <w:tcPr>
            <w:tcW w:w="1335" w:type="dxa"/>
          </w:tcPr>
          <w:p>
            <w:pPr>
              <w:pStyle w:val="TableParagraph"/>
              <w:spacing w:before="110"/>
              <w:ind w:left="115" w:right="127"/>
              <w:jc w:val="center"/>
              <w:rPr>
                <w:sz w:val="23"/>
              </w:rPr>
            </w:pPr>
            <w:r>
              <w:rPr>
                <w:spacing w:val="-2"/>
                <w:sz w:val="23"/>
              </w:rPr>
              <w:t>13.30±0.00</w:t>
            </w:r>
          </w:p>
        </w:tc>
        <w:tc>
          <w:tcPr>
            <w:tcW w:w="1385" w:type="dxa"/>
          </w:tcPr>
          <w:p>
            <w:pPr>
              <w:pStyle w:val="TableParagraph"/>
              <w:spacing w:before="110"/>
              <w:ind w:left="151"/>
              <w:rPr>
                <w:sz w:val="23"/>
              </w:rPr>
            </w:pPr>
            <w:r>
              <w:rPr>
                <w:spacing w:val="-2"/>
                <w:sz w:val="23"/>
              </w:rPr>
              <w:t>27.70±0.00</w:t>
            </w:r>
            <w:r>
              <w:rPr>
                <w:spacing w:val="-2"/>
                <w:sz w:val="23"/>
                <w:vertAlign w:val="superscript"/>
              </w:rPr>
              <w:t>a</w:t>
            </w:r>
          </w:p>
        </w:tc>
        <w:tc>
          <w:tcPr>
            <w:tcW w:w="1364" w:type="dxa"/>
          </w:tcPr>
          <w:p>
            <w:pPr>
              <w:pStyle w:val="TableParagraph"/>
              <w:spacing w:before="110"/>
              <w:ind w:left="120"/>
              <w:rPr>
                <w:sz w:val="23"/>
              </w:rPr>
            </w:pPr>
            <w:r>
              <w:rPr>
                <w:spacing w:val="-2"/>
                <w:sz w:val="23"/>
              </w:rPr>
              <w:t>67.70±0.00</w:t>
            </w:r>
          </w:p>
        </w:tc>
      </w:tr>
      <w:tr>
        <w:trPr>
          <w:trHeight w:val="463" w:hRule="atLeast"/>
        </w:trPr>
        <w:tc>
          <w:tcPr>
            <w:tcW w:w="1069" w:type="dxa"/>
          </w:tcPr>
          <w:p>
            <w:pPr>
              <w:pStyle w:val="TableParagraph"/>
              <w:spacing w:before="110"/>
              <w:ind w:left="124"/>
              <w:rPr>
                <w:sz w:val="23"/>
              </w:rPr>
            </w:pPr>
            <w:r>
              <w:rPr>
                <w:spacing w:val="-4"/>
                <w:sz w:val="23"/>
              </w:rPr>
              <w:t>SDME</w:t>
            </w:r>
          </w:p>
        </w:tc>
        <w:tc>
          <w:tcPr>
            <w:tcW w:w="660" w:type="dxa"/>
          </w:tcPr>
          <w:p>
            <w:pPr>
              <w:pStyle w:val="TableParagraph"/>
              <w:spacing w:before="110"/>
              <w:ind w:left="136"/>
              <w:rPr>
                <w:sz w:val="23"/>
              </w:rPr>
            </w:pPr>
            <w:r>
              <w:rPr>
                <w:spacing w:val="-5"/>
                <w:sz w:val="23"/>
              </w:rPr>
              <w:t>125</w:t>
            </w:r>
          </w:p>
        </w:tc>
        <w:tc>
          <w:tcPr>
            <w:tcW w:w="1236" w:type="dxa"/>
          </w:tcPr>
          <w:p>
            <w:pPr>
              <w:pStyle w:val="TableParagraph"/>
              <w:spacing w:before="110"/>
              <w:ind w:left="66" w:right="92"/>
              <w:jc w:val="center"/>
              <w:rPr>
                <w:sz w:val="23"/>
              </w:rPr>
            </w:pPr>
            <w:r>
              <w:rPr>
                <w:spacing w:val="-2"/>
                <w:sz w:val="23"/>
              </w:rPr>
              <w:t>9.38±0.50</w:t>
            </w:r>
            <w:r>
              <w:rPr>
                <w:spacing w:val="-2"/>
                <w:sz w:val="23"/>
                <w:vertAlign w:val="superscript"/>
              </w:rPr>
              <w:t>a</w:t>
            </w:r>
          </w:p>
        </w:tc>
        <w:tc>
          <w:tcPr>
            <w:tcW w:w="1447" w:type="dxa"/>
          </w:tcPr>
          <w:p>
            <w:pPr>
              <w:pStyle w:val="TableParagraph"/>
              <w:spacing w:before="110"/>
              <w:ind w:left="132"/>
              <w:rPr>
                <w:sz w:val="23"/>
              </w:rPr>
            </w:pPr>
            <w:r>
              <w:rPr>
                <w:spacing w:val="-2"/>
                <w:sz w:val="23"/>
              </w:rPr>
              <w:t>5.70±1.30</w:t>
            </w:r>
          </w:p>
        </w:tc>
        <w:tc>
          <w:tcPr>
            <w:tcW w:w="1607" w:type="dxa"/>
          </w:tcPr>
          <w:p>
            <w:pPr>
              <w:pStyle w:val="TableParagraph"/>
              <w:spacing w:before="110"/>
              <w:ind w:left="125"/>
              <w:rPr>
                <w:sz w:val="23"/>
              </w:rPr>
            </w:pPr>
            <w:r>
              <w:rPr>
                <w:spacing w:val="-2"/>
                <w:sz w:val="23"/>
              </w:rPr>
              <w:t>345.33±7.20</w:t>
            </w:r>
          </w:p>
        </w:tc>
        <w:tc>
          <w:tcPr>
            <w:tcW w:w="1335" w:type="dxa"/>
          </w:tcPr>
          <w:p>
            <w:pPr>
              <w:pStyle w:val="TableParagraph"/>
              <w:spacing w:before="110"/>
              <w:ind w:left="115" w:right="127"/>
              <w:jc w:val="center"/>
              <w:rPr>
                <w:sz w:val="23"/>
              </w:rPr>
            </w:pPr>
            <w:r>
              <w:rPr>
                <w:spacing w:val="-2"/>
                <w:sz w:val="23"/>
              </w:rPr>
              <w:t>11.50±1.61</w:t>
            </w:r>
          </w:p>
        </w:tc>
        <w:tc>
          <w:tcPr>
            <w:tcW w:w="1385" w:type="dxa"/>
          </w:tcPr>
          <w:p>
            <w:pPr>
              <w:pStyle w:val="TableParagraph"/>
              <w:spacing w:before="110"/>
              <w:ind w:left="151"/>
              <w:rPr>
                <w:sz w:val="23"/>
              </w:rPr>
            </w:pPr>
            <w:r>
              <w:rPr>
                <w:spacing w:val="-2"/>
                <w:sz w:val="23"/>
              </w:rPr>
              <w:t>35.30±2.40</w:t>
            </w:r>
          </w:p>
        </w:tc>
        <w:tc>
          <w:tcPr>
            <w:tcW w:w="1364" w:type="dxa"/>
          </w:tcPr>
          <w:p>
            <w:pPr>
              <w:pStyle w:val="TableParagraph"/>
              <w:spacing w:before="110"/>
              <w:ind w:left="120"/>
              <w:rPr>
                <w:sz w:val="23"/>
              </w:rPr>
            </w:pPr>
            <w:r>
              <w:rPr>
                <w:spacing w:val="-2"/>
                <w:sz w:val="23"/>
              </w:rPr>
              <w:t>66.85±0.28</w:t>
            </w:r>
          </w:p>
        </w:tc>
      </w:tr>
      <w:tr>
        <w:trPr>
          <w:trHeight w:val="463" w:hRule="atLeast"/>
        </w:trPr>
        <w:tc>
          <w:tcPr>
            <w:tcW w:w="1069" w:type="dxa"/>
          </w:tcPr>
          <w:p>
            <w:pPr>
              <w:pStyle w:val="TableParagraph"/>
              <w:rPr>
                <w:sz w:val="22"/>
              </w:rPr>
            </w:pPr>
          </w:p>
        </w:tc>
        <w:tc>
          <w:tcPr>
            <w:tcW w:w="660" w:type="dxa"/>
          </w:tcPr>
          <w:p>
            <w:pPr>
              <w:pStyle w:val="TableParagraph"/>
              <w:spacing w:before="107"/>
              <w:ind w:left="136"/>
              <w:rPr>
                <w:sz w:val="23"/>
              </w:rPr>
            </w:pPr>
            <w:r>
              <w:rPr>
                <w:spacing w:val="-5"/>
                <w:sz w:val="23"/>
              </w:rPr>
              <w:t>250</w:t>
            </w:r>
          </w:p>
        </w:tc>
        <w:tc>
          <w:tcPr>
            <w:tcW w:w="1236" w:type="dxa"/>
          </w:tcPr>
          <w:p>
            <w:pPr>
              <w:pStyle w:val="TableParagraph"/>
              <w:spacing w:before="107"/>
              <w:ind w:right="92"/>
              <w:jc w:val="center"/>
              <w:rPr>
                <w:sz w:val="23"/>
              </w:rPr>
            </w:pPr>
            <w:r>
              <w:rPr>
                <w:spacing w:val="-2"/>
                <w:sz w:val="23"/>
              </w:rPr>
              <w:t>6.85±1.50</w:t>
            </w:r>
          </w:p>
        </w:tc>
        <w:tc>
          <w:tcPr>
            <w:tcW w:w="1447" w:type="dxa"/>
          </w:tcPr>
          <w:p>
            <w:pPr>
              <w:pStyle w:val="TableParagraph"/>
              <w:spacing w:before="107"/>
              <w:ind w:left="132"/>
              <w:rPr>
                <w:sz w:val="23"/>
              </w:rPr>
            </w:pPr>
            <w:r>
              <w:rPr>
                <w:spacing w:val="-2"/>
                <w:sz w:val="23"/>
              </w:rPr>
              <w:t>5.57±1.47</w:t>
            </w:r>
          </w:p>
        </w:tc>
        <w:tc>
          <w:tcPr>
            <w:tcW w:w="1607" w:type="dxa"/>
          </w:tcPr>
          <w:p>
            <w:pPr>
              <w:pStyle w:val="TableParagraph"/>
              <w:spacing w:before="107"/>
              <w:ind w:left="125"/>
              <w:rPr>
                <w:sz w:val="23"/>
              </w:rPr>
            </w:pPr>
            <w:r>
              <w:rPr>
                <w:spacing w:val="-2"/>
                <w:sz w:val="23"/>
              </w:rPr>
              <w:t>515.25±15.00</w:t>
            </w:r>
          </w:p>
        </w:tc>
        <w:tc>
          <w:tcPr>
            <w:tcW w:w="1335" w:type="dxa"/>
          </w:tcPr>
          <w:p>
            <w:pPr>
              <w:pStyle w:val="TableParagraph"/>
              <w:spacing w:before="107"/>
              <w:ind w:left="115" w:right="127"/>
              <w:jc w:val="center"/>
              <w:rPr>
                <w:sz w:val="23"/>
              </w:rPr>
            </w:pPr>
            <w:r>
              <w:rPr>
                <w:spacing w:val="-2"/>
                <w:sz w:val="23"/>
              </w:rPr>
              <w:t>11.72±2.74</w:t>
            </w:r>
          </w:p>
        </w:tc>
        <w:tc>
          <w:tcPr>
            <w:tcW w:w="1385" w:type="dxa"/>
          </w:tcPr>
          <w:p>
            <w:pPr>
              <w:pStyle w:val="TableParagraph"/>
              <w:spacing w:before="107"/>
              <w:ind w:left="151"/>
              <w:rPr>
                <w:sz w:val="23"/>
              </w:rPr>
            </w:pPr>
            <w:r>
              <w:rPr>
                <w:spacing w:val="-2"/>
                <w:sz w:val="23"/>
              </w:rPr>
              <w:t>27.42±0.89</w:t>
            </w:r>
            <w:r>
              <w:rPr>
                <w:spacing w:val="-2"/>
                <w:sz w:val="23"/>
                <w:vertAlign w:val="superscript"/>
              </w:rPr>
              <w:t>a</w:t>
            </w:r>
          </w:p>
        </w:tc>
        <w:tc>
          <w:tcPr>
            <w:tcW w:w="1364" w:type="dxa"/>
          </w:tcPr>
          <w:p>
            <w:pPr>
              <w:pStyle w:val="TableParagraph"/>
              <w:spacing w:before="107"/>
              <w:ind w:left="120"/>
              <w:rPr>
                <w:sz w:val="23"/>
              </w:rPr>
            </w:pPr>
            <w:r>
              <w:rPr>
                <w:spacing w:val="-2"/>
                <w:sz w:val="23"/>
              </w:rPr>
              <w:t>64.62±4.36</w:t>
            </w:r>
          </w:p>
        </w:tc>
      </w:tr>
      <w:tr>
        <w:trPr>
          <w:trHeight w:val="487" w:hRule="atLeast"/>
        </w:trPr>
        <w:tc>
          <w:tcPr>
            <w:tcW w:w="1069" w:type="dxa"/>
            <w:tcBorders>
              <w:bottom w:val="single" w:sz="4" w:space="0" w:color="000000"/>
            </w:tcBorders>
          </w:tcPr>
          <w:p>
            <w:pPr>
              <w:pStyle w:val="TableParagraph"/>
              <w:rPr>
                <w:sz w:val="22"/>
              </w:rPr>
            </w:pPr>
          </w:p>
        </w:tc>
        <w:tc>
          <w:tcPr>
            <w:tcW w:w="660" w:type="dxa"/>
            <w:tcBorders>
              <w:bottom w:val="single" w:sz="4" w:space="0" w:color="000000"/>
            </w:tcBorders>
          </w:tcPr>
          <w:p>
            <w:pPr>
              <w:pStyle w:val="TableParagraph"/>
              <w:spacing w:before="110"/>
              <w:ind w:left="136"/>
              <w:rPr>
                <w:sz w:val="23"/>
              </w:rPr>
            </w:pPr>
            <w:r>
              <w:rPr>
                <w:spacing w:val="-5"/>
                <w:sz w:val="23"/>
              </w:rPr>
              <w:t>500</w:t>
            </w:r>
          </w:p>
        </w:tc>
        <w:tc>
          <w:tcPr>
            <w:tcW w:w="1236" w:type="dxa"/>
            <w:tcBorders>
              <w:bottom w:val="single" w:sz="4" w:space="0" w:color="000000"/>
            </w:tcBorders>
          </w:tcPr>
          <w:p>
            <w:pPr>
              <w:pStyle w:val="TableParagraph"/>
              <w:spacing w:before="110"/>
              <w:ind w:right="92"/>
              <w:jc w:val="center"/>
              <w:rPr>
                <w:sz w:val="23"/>
              </w:rPr>
            </w:pPr>
            <w:r>
              <w:rPr>
                <w:spacing w:val="-2"/>
                <w:sz w:val="23"/>
              </w:rPr>
              <w:t>7.77±1.40</w:t>
            </w:r>
          </w:p>
        </w:tc>
        <w:tc>
          <w:tcPr>
            <w:tcW w:w="1447" w:type="dxa"/>
            <w:tcBorders>
              <w:bottom w:val="single" w:sz="4" w:space="0" w:color="000000"/>
            </w:tcBorders>
          </w:tcPr>
          <w:p>
            <w:pPr>
              <w:pStyle w:val="TableParagraph"/>
              <w:spacing w:before="110"/>
              <w:ind w:left="132"/>
              <w:rPr>
                <w:sz w:val="23"/>
              </w:rPr>
            </w:pPr>
            <w:r>
              <w:rPr>
                <w:spacing w:val="-2"/>
                <w:sz w:val="23"/>
              </w:rPr>
              <w:t>5.50±2.10</w:t>
            </w:r>
          </w:p>
        </w:tc>
        <w:tc>
          <w:tcPr>
            <w:tcW w:w="1607" w:type="dxa"/>
            <w:tcBorders>
              <w:bottom w:val="single" w:sz="4" w:space="0" w:color="000000"/>
            </w:tcBorders>
          </w:tcPr>
          <w:p>
            <w:pPr>
              <w:pStyle w:val="TableParagraph"/>
              <w:spacing w:before="110"/>
              <w:ind w:left="125"/>
              <w:rPr>
                <w:sz w:val="23"/>
              </w:rPr>
            </w:pPr>
            <w:r>
              <w:rPr>
                <w:spacing w:val="-2"/>
                <w:sz w:val="23"/>
              </w:rPr>
              <w:t>549.00±12.08</w:t>
            </w:r>
            <w:r>
              <w:rPr>
                <w:spacing w:val="-2"/>
                <w:sz w:val="23"/>
                <w:vertAlign w:val="superscript"/>
              </w:rPr>
              <w:t>a</w:t>
            </w:r>
          </w:p>
        </w:tc>
        <w:tc>
          <w:tcPr>
            <w:tcW w:w="1335" w:type="dxa"/>
            <w:tcBorders>
              <w:bottom w:val="single" w:sz="4" w:space="0" w:color="000000"/>
            </w:tcBorders>
          </w:tcPr>
          <w:p>
            <w:pPr>
              <w:pStyle w:val="TableParagraph"/>
              <w:spacing w:before="110"/>
              <w:ind w:left="115" w:right="127"/>
              <w:jc w:val="center"/>
              <w:rPr>
                <w:sz w:val="23"/>
              </w:rPr>
            </w:pPr>
            <w:r>
              <w:rPr>
                <w:spacing w:val="-2"/>
                <w:sz w:val="23"/>
              </w:rPr>
              <w:t>12.80±0.77</w:t>
            </w:r>
          </w:p>
        </w:tc>
        <w:tc>
          <w:tcPr>
            <w:tcW w:w="1385" w:type="dxa"/>
            <w:tcBorders>
              <w:bottom w:val="single" w:sz="4" w:space="0" w:color="000000"/>
            </w:tcBorders>
          </w:tcPr>
          <w:p>
            <w:pPr>
              <w:pStyle w:val="TableParagraph"/>
              <w:spacing w:before="110"/>
              <w:ind w:left="151"/>
              <w:rPr>
                <w:sz w:val="23"/>
              </w:rPr>
            </w:pPr>
            <w:r>
              <w:rPr>
                <w:spacing w:val="-2"/>
                <w:sz w:val="23"/>
              </w:rPr>
              <w:t>27.5±0.40</w:t>
            </w:r>
            <w:r>
              <w:rPr>
                <w:spacing w:val="-2"/>
                <w:sz w:val="23"/>
                <w:vertAlign w:val="superscript"/>
              </w:rPr>
              <w:t>a</w:t>
            </w:r>
          </w:p>
        </w:tc>
        <w:tc>
          <w:tcPr>
            <w:tcW w:w="1364" w:type="dxa"/>
            <w:tcBorders>
              <w:bottom w:val="single" w:sz="4" w:space="0" w:color="000000"/>
            </w:tcBorders>
          </w:tcPr>
          <w:p>
            <w:pPr>
              <w:pStyle w:val="TableParagraph"/>
              <w:spacing w:before="110"/>
              <w:ind w:left="120"/>
              <w:rPr>
                <w:sz w:val="23"/>
              </w:rPr>
            </w:pPr>
            <w:r>
              <w:rPr>
                <w:spacing w:val="-2"/>
                <w:sz w:val="23"/>
              </w:rPr>
              <w:t>63.92±3.21</w:t>
            </w:r>
          </w:p>
        </w:tc>
      </w:tr>
    </w:tbl>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6"/>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6"/>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7"/>
        <w:ind w:left="1028" w:right="0" w:firstLine="0"/>
        <w:jc w:val="left"/>
        <w:rPr>
          <w:sz w:val="22"/>
        </w:rPr>
      </w:pPr>
      <w:r>
        <w:rPr>
          <w:sz w:val="22"/>
          <w:vertAlign w:val="superscript"/>
        </w:rPr>
        <w:t>*</w:t>
      </w:r>
      <w:r>
        <w:rPr>
          <w:spacing w:val="1"/>
          <w:sz w:val="22"/>
          <w:vertAlign w:val="baseline"/>
        </w:rPr>
        <w:t> </w:t>
      </w:r>
      <w:r>
        <w:rPr>
          <w:sz w:val="22"/>
          <w:vertAlign w:val="baseline"/>
        </w:rPr>
        <w:t>=</w:t>
      </w:r>
      <w:r>
        <w:rPr>
          <w:spacing w:val="-7"/>
          <w:sz w:val="22"/>
          <w:vertAlign w:val="baseline"/>
        </w:rPr>
        <w:t> </w:t>
      </w:r>
      <w:r>
        <w:rPr>
          <w:sz w:val="22"/>
          <w:vertAlign w:val="baseline"/>
        </w:rPr>
        <w:t>ml/kg;</w:t>
      </w:r>
      <w:r>
        <w:rPr>
          <w:spacing w:val="-1"/>
          <w:sz w:val="22"/>
          <w:vertAlign w:val="baseline"/>
        </w:rPr>
        <w:t> </w:t>
      </w:r>
      <w:r>
        <w:rPr>
          <w:sz w:val="22"/>
          <w:vertAlign w:val="baseline"/>
        </w:rPr>
        <w:t>n</w:t>
      </w:r>
      <w:r>
        <w:rPr>
          <w:spacing w:val="-6"/>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3"/>
          <w:sz w:val="22"/>
          <w:vertAlign w:val="baseline"/>
        </w:rPr>
        <w:t> </w:t>
      </w:r>
      <w:r>
        <w:rPr>
          <w:sz w:val="22"/>
          <w:vertAlign w:val="baseline"/>
        </w:rPr>
        <w:t>rats);</w:t>
      </w:r>
      <w:r>
        <w:rPr>
          <w:spacing w:val="-6"/>
          <w:sz w:val="22"/>
          <w:vertAlign w:val="baseline"/>
        </w:rPr>
        <w:t> </w:t>
      </w:r>
      <w:r>
        <w:rPr>
          <w:sz w:val="22"/>
          <w:vertAlign w:val="baseline"/>
        </w:rPr>
        <w:t>Drug</w:t>
      </w:r>
      <w:r>
        <w:rPr>
          <w:spacing w:val="-11"/>
          <w:sz w:val="22"/>
          <w:vertAlign w:val="baseline"/>
        </w:rPr>
        <w:t> </w:t>
      </w:r>
      <w:r>
        <w:rPr>
          <w:sz w:val="22"/>
          <w:vertAlign w:val="baseline"/>
        </w:rPr>
        <w:t>administration;</w:t>
      </w:r>
      <w:r>
        <w:rPr>
          <w:spacing w:val="-1"/>
          <w:sz w:val="22"/>
          <w:vertAlign w:val="baseline"/>
        </w:rPr>
        <w:t> </w:t>
      </w:r>
      <w:r>
        <w:rPr>
          <w:sz w:val="22"/>
          <w:vertAlign w:val="baseline"/>
        </w:rPr>
        <w:t>p.o. daily</w:t>
      </w:r>
      <w:r>
        <w:rPr>
          <w:spacing w:val="-6"/>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before="126"/>
        <w:ind w:left="1028" w:right="0" w:firstLine="0"/>
        <w:jc w:val="left"/>
        <w:rPr>
          <w:sz w:val="22"/>
        </w:rPr>
      </w:pPr>
      <w:r>
        <w:rPr>
          <w:sz w:val="22"/>
        </w:rPr>
        <w:t>Values</w:t>
      </w:r>
      <w:r>
        <w:rPr>
          <w:spacing w:val="-3"/>
          <w:sz w:val="22"/>
        </w:rPr>
        <w:t> </w:t>
      </w:r>
      <w:r>
        <w:rPr>
          <w:sz w:val="22"/>
        </w:rPr>
        <w:t>are</w:t>
      </w:r>
      <w:r>
        <w:rPr>
          <w:spacing w:val="-4"/>
          <w:sz w:val="22"/>
        </w:rPr>
        <w:t> </w:t>
      </w:r>
      <w:r>
        <w:rPr>
          <w:sz w:val="22"/>
        </w:rPr>
        <w:t>mean</w:t>
      </w:r>
      <w:r>
        <w:rPr>
          <w:spacing w:val="-8"/>
          <w:sz w:val="22"/>
        </w:rPr>
        <w:t> </w:t>
      </w:r>
      <w:r>
        <w:rPr>
          <w:sz w:val="22"/>
        </w:rPr>
        <w:t>±</w:t>
      </w:r>
      <w:r>
        <w:rPr>
          <w:spacing w:val="-4"/>
          <w:sz w:val="22"/>
        </w:rPr>
        <w:t> </w:t>
      </w:r>
      <w:r>
        <w:rPr>
          <w:sz w:val="22"/>
        </w:rPr>
        <w:t>S.E.M.;</w:t>
      </w:r>
      <w:r>
        <w:rPr>
          <w:spacing w:val="-6"/>
          <w:sz w:val="22"/>
        </w:rPr>
        <w:t> </w:t>
      </w:r>
      <w:r>
        <w:rPr>
          <w:sz w:val="22"/>
        </w:rPr>
        <w:t>Data</w:t>
      </w:r>
      <w:r>
        <w:rPr>
          <w:spacing w:val="-9"/>
          <w:sz w:val="22"/>
        </w:rPr>
        <w:t> </w:t>
      </w:r>
      <w:r>
        <w:rPr>
          <w:sz w:val="22"/>
        </w:rPr>
        <w:t>analyzed</w:t>
      </w:r>
      <w:r>
        <w:rPr>
          <w:spacing w:val="-8"/>
          <w:sz w:val="22"/>
        </w:rPr>
        <w:t> </w:t>
      </w:r>
      <w:r>
        <w:rPr>
          <w:sz w:val="22"/>
        </w:rPr>
        <w:t>using</w:t>
      </w:r>
      <w:r>
        <w:rPr>
          <w:spacing w:val="-7"/>
          <w:sz w:val="22"/>
        </w:rPr>
        <w:t> </w:t>
      </w:r>
      <w:r>
        <w:rPr>
          <w:sz w:val="22"/>
        </w:rPr>
        <w:t>one</w:t>
      </w:r>
      <w:r>
        <w:rPr>
          <w:spacing w:val="-5"/>
          <w:sz w:val="22"/>
        </w:rPr>
        <w:t> </w:t>
      </w:r>
      <w:r>
        <w:rPr>
          <w:sz w:val="22"/>
        </w:rPr>
        <w:t>way</w:t>
      </w:r>
      <w:r>
        <w:rPr>
          <w:spacing w:val="-5"/>
          <w:sz w:val="22"/>
        </w:rPr>
        <w:t> </w:t>
      </w:r>
      <w:r>
        <w:rPr>
          <w:sz w:val="22"/>
        </w:rPr>
        <w:t>ANOVA</w:t>
      </w:r>
      <w:r>
        <w:rPr>
          <w:spacing w:val="-7"/>
          <w:sz w:val="22"/>
        </w:rPr>
        <w:t> </w:t>
      </w:r>
      <w:r>
        <w:rPr>
          <w:sz w:val="22"/>
        </w:rPr>
        <w:t>and</w:t>
      </w:r>
      <w:r>
        <w:rPr>
          <w:spacing w:val="-8"/>
          <w:sz w:val="22"/>
        </w:rPr>
        <w:t> </w:t>
      </w:r>
      <w:r>
        <w:rPr>
          <w:sz w:val="22"/>
        </w:rPr>
        <w:t>Bonferonni‟s</w:t>
      </w:r>
      <w:r>
        <w:rPr>
          <w:spacing w:val="-3"/>
          <w:sz w:val="22"/>
        </w:rPr>
        <w:t> </w:t>
      </w:r>
      <w:r>
        <w:rPr>
          <w:sz w:val="22"/>
        </w:rPr>
        <w:t>post</w:t>
      </w:r>
      <w:r>
        <w:rPr>
          <w:spacing w:val="-2"/>
          <w:sz w:val="22"/>
        </w:rPr>
        <w:t> </w:t>
      </w:r>
      <w:r>
        <w:rPr>
          <w:spacing w:val="-5"/>
          <w:sz w:val="22"/>
        </w:rPr>
        <w:t>hoc</w:t>
      </w:r>
    </w:p>
    <w:p>
      <w:pPr>
        <w:spacing w:before="126"/>
        <w:ind w:left="1028" w:right="0" w:firstLine="0"/>
        <w:jc w:val="left"/>
        <w:rPr>
          <w:sz w:val="22"/>
        </w:rPr>
      </w:pPr>
      <w:r>
        <w:rPr>
          <w:sz w:val="22"/>
          <w:vertAlign w:val="superscript"/>
        </w:rPr>
        <w:t>a</w:t>
      </w:r>
      <w:r>
        <w:rPr>
          <w:spacing w:val="-26"/>
          <w:sz w:val="22"/>
          <w:vertAlign w:val="baseline"/>
        </w:rPr>
        <w:t> </w:t>
      </w:r>
      <w:r>
        <w:rPr>
          <w:sz w:val="22"/>
          <w:vertAlign w:val="baseline"/>
        </w:rPr>
        <w:t>significantly</w:t>
      </w:r>
      <w:r>
        <w:rPr>
          <w:spacing w:val="-2"/>
          <w:sz w:val="22"/>
          <w:vertAlign w:val="baseline"/>
        </w:rPr>
        <w:t> </w:t>
      </w:r>
      <w:r>
        <w:rPr>
          <w:sz w:val="22"/>
          <w:vertAlign w:val="baseline"/>
        </w:rPr>
        <w:t>different from</w:t>
      </w:r>
      <w:r>
        <w:rPr>
          <w:spacing w:val="-9"/>
          <w:sz w:val="22"/>
          <w:vertAlign w:val="baseline"/>
        </w:rPr>
        <w:t> </w:t>
      </w:r>
      <w:r>
        <w:rPr>
          <w:sz w:val="22"/>
          <w:vertAlign w:val="baseline"/>
        </w:rPr>
        <w:t>the</w:t>
      </w:r>
      <w:r>
        <w:rPr>
          <w:spacing w:val="-7"/>
          <w:sz w:val="22"/>
          <w:vertAlign w:val="baseline"/>
        </w:rPr>
        <w:t> </w:t>
      </w:r>
      <w:r>
        <w:rPr>
          <w:sz w:val="22"/>
          <w:vertAlign w:val="baseline"/>
        </w:rPr>
        <w:t>control</w:t>
      </w:r>
      <w:r>
        <w:rPr>
          <w:spacing w:val="-5"/>
          <w:sz w:val="22"/>
          <w:vertAlign w:val="baseline"/>
        </w:rPr>
        <w:t> </w:t>
      </w:r>
      <w:r>
        <w:rPr>
          <w:sz w:val="22"/>
          <w:vertAlign w:val="baseline"/>
        </w:rPr>
        <w:t>group at </w:t>
      </w:r>
      <w:r>
        <w:rPr>
          <w:spacing w:val="-2"/>
          <w:sz w:val="22"/>
          <w:vertAlign w:val="baseline"/>
        </w:rPr>
        <w:t>p&lt;0.05</w:t>
      </w:r>
    </w:p>
    <w:p>
      <w:pPr>
        <w:spacing w:before="127"/>
        <w:ind w:left="1028" w:right="0" w:firstLine="0"/>
        <w:jc w:val="left"/>
        <w:rPr>
          <w:sz w:val="22"/>
        </w:rPr>
      </w:pPr>
      <w:r>
        <w:rPr>
          <w:sz w:val="22"/>
          <w:vertAlign w:val="superscript"/>
        </w:rPr>
        <w:t>b</w:t>
      </w:r>
      <w:r>
        <w:rPr>
          <w:spacing w:val="-24"/>
          <w:sz w:val="22"/>
          <w:vertAlign w:val="baseline"/>
        </w:rPr>
        <w:t> </w:t>
      </w:r>
      <w:r>
        <w:rPr>
          <w:sz w:val="22"/>
          <w:vertAlign w:val="baseline"/>
        </w:rPr>
        <w:t>significantly</w:t>
      </w:r>
      <w:r>
        <w:rPr>
          <w:spacing w:val="-8"/>
          <w:sz w:val="22"/>
          <w:vertAlign w:val="baseline"/>
        </w:rPr>
        <w:t> </w:t>
      </w:r>
      <w:r>
        <w:rPr>
          <w:sz w:val="22"/>
          <w:vertAlign w:val="baseline"/>
        </w:rPr>
        <w:t>different</w:t>
      </w:r>
      <w:r>
        <w:rPr>
          <w:spacing w:val="-1"/>
          <w:sz w:val="22"/>
          <w:vertAlign w:val="baseline"/>
        </w:rPr>
        <w:t> </w:t>
      </w:r>
      <w:r>
        <w:rPr>
          <w:sz w:val="22"/>
          <w:vertAlign w:val="baseline"/>
        </w:rPr>
        <w:t>from</w:t>
      </w:r>
      <w:r>
        <w:rPr>
          <w:spacing w:val="-4"/>
          <w:sz w:val="22"/>
          <w:vertAlign w:val="baseline"/>
        </w:rPr>
        <w:t> </w:t>
      </w:r>
      <w:r>
        <w:rPr>
          <w:sz w:val="22"/>
          <w:vertAlign w:val="baseline"/>
        </w:rPr>
        <w:t>other</w:t>
      </w:r>
      <w:r>
        <w:rPr>
          <w:spacing w:val="1"/>
          <w:sz w:val="22"/>
          <w:vertAlign w:val="baseline"/>
        </w:rPr>
        <w:t> </w:t>
      </w:r>
      <w:r>
        <w:rPr>
          <w:sz w:val="22"/>
          <w:vertAlign w:val="baseline"/>
        </w:rPr>
        <w:t>groups</w:t>
      </w:r>
      <w:r>
        <w:rPr>
          <w:spacing w:val="-2"/>
          <w:sz w:val="22"/>
          <w:vertAlign w:val="baseline"/>
        </w:rPr>
        <w:t> </w:t>
      </w:r>
      <w:r>
        <w:rPr>
          <w:sz w:val="22"/>
          <w:vertAlign w:val="baseline"/>
        </w:rPr>
        <w:t>at</w:t>
      </w:r>
      <w:r>
        <w:rPr>
          <w:spacing w:val="-6"/>
          <w:sz w:val="22"/>
          <w:vertAlign w:val="baseline"/>
        </w:rPr>
        <w:t> </w:t>
      </w:r>
      <w:r>
        <w:rPr>
          <w:spacing w:val="-2"/>
          <w:sz w:val="22"/>
          <w:vertAlign w:val="baseline"/>
        </w:rPr>
        <w:t>p&lt;0.05</w:t>
      </w:r>
    </w:p>
    <w:p>
      <w:pPr>
        <w:pStyle w:val="BodyText"/>
        <w:spacing w:before="122"/>
        <w:ind w:left="1028"/>
      </w:pPr>
      <w:r>
        <w:rPr/>
        <w:t>RBC</w:t>
      </w:r>
      <w:r>
        <w:rPr>
          <w:spacing w:val="-5"/>
        </w:rPr>
        <w:t> </w:t>
      </w:r>
      <w:r>
        <w:rPr/>
        <w:t>=</w:t>
      </w:r>
      <w:r>
        <w:rPr>
          <w:spacing w:val="-2"/>
        </w:rPr>
        <w:t> </w:t>
      </w:r>
      <w:r>
        <w:rPr/>
        <w:t>Red</w:t>
      </w:r>
      <w:r>
        <w:rPr>
          <w:spacing w:val="-1"/>
        </w:rPr>
        <w:t> </w:t>
      </w:r>
      <w:r>
        <w:rPr/>
        <w:t>Blood</w:t>
      </w:r>
      <w:r>
        <w:rPr>
          <w:spacing w:val="-1"/>
        </w:rPr>
        <w:t> </w:t>
      </w:r>
      <w:r>
        <w:rPr/>
        <w:t>Cell;</w:t>
      </w:r>
      <w:r>
        <w:rPr>
          <w:spacing w:val="4"/>
        </w:rPr>
        <w:t> </w:t>
      </w:r>
      <w:r>
        <w:rPr/>
        <w:t>WBC</w:t>
      </w:r>
      <w:r>
        <w:rPr>
          <w:spacing w:val="-3"/>
        </w:rPr>
        <w:t> </w:t>
      </w:r>
      <w:r>
        <w:rPr/>
        <w:t>=</w:t>
      </w:r>
      <w:r>
        <w:rPr>
          <w:spacing w:val="-2"/>
        </w:rPr>
        <w:t> </w:t>
      </w:r>
      <w:r>
        <w:rPr/>
        <w:t>White</w:t>
      </w:r>
      <w:r>
        <w:rPr>
          <w:spacing w:val="-2"/>
        </w:rPr>
        <w:t> </w:t>
      </w:r>
      <w:r>
        <w:rPr/>
        <w:t>Blood</w:t>
      </w:r>
      <w:r>
        <w:rPr>
          <w:spacing w:val="-1"/>
        </w:rPr>
        <w:t> </w:t>
      </w:r>
      <w:r>
        <w:rPr/>
        <w:t>Cell;</w:t>
      </w:r>
      <w:r>
        <w:rPr>
          <w:spacing w:val="-5"/>
        </w:rPr>
        <w:t> </w:t>
      </w:r>
      <w:r>
        <w:rPr/>
        <w:t>PLT</w:t>
      </w:r>
      <w:r>
        <w:rPr>
          <w:spacing w:val="1"/>
        </w:rPr>
        <w:t> </w:t>
      </w:r>
      <w:r>
        <w:rPr/>
        <w:t>=</w:t>
      </w:r>
      <w:r>
        <w:rPr>
          <w:spacing w:val="-1"/>
        </w:rPr>
        <w:t> </w:t>
      </w:r>
      <w:r>
        <w:rPr>
          <w:spacing w:val="-2"/>
        </w:rPr>
        <w:t>Platelet</w:t>
      </w:r>
    </w:p>
    <w:p>
      <w:pPr>
        <w:pStyle w:val="BodyText"/>
        <w:spacing w:line="364" w:lineRule="auto" w:before="136"/>
        <w:ind w:left="1028" w:right="2351"/>
      </w:pPr>
      <w:r>
        <w:rPr/>
        <w:t>HGB</w:t>
      </w:r>
      <w:r>
        <w:rPr>
          <w:spacing w:val="-5"/>
        </w:rPr>
        <w:t> </w:t>
      </w:r>
      <w:r>
        <w:rPr/>
        <w:t>=</w:t>
      </w:r>
      <w:r>
        <w:rPr>
          <w:spacing w:val="-5"/>
        </w:rPr>
        <w:t> </w:t>
      </w:r>
      <w:r>
        <w:rPr/>
        <w:t>Haemoglobin;</w:t>
      </w:r>
      <w:r>
        <w:rPr>
          <w:spacing w:val="-3"/>
        </w:rPr>
        <w:t> </w:t>
      </w:r>
      <w:r>
        <w:rPr/>
        <w:t>MCHC</w:t>
      </w:r>
      <w:r>
        <w:rPr>
          <w:spacing w:val="-5"/>
        </w:rPr>
        <w:t> </w:t>
      </w:r>
      <w:r>
        <w:rPr/>
        <w:t>=</w:t>
      </w:r>
      <w:r>
        <w:rPr>
          <w:spacing w:val="-5"/>
        </w:rPr>
        <w:t> </w:t>
      </w:r>
      <w:r>
        <w:rPr/>
        <w:t>Mean</w:t>
      </w:r>
      <w:r>
        <w:rPr>
          <w:spacing w:val="-8"/>
        </w:rPr>
        <w:t> </w:t>
      </w:r>
      <w:r>
        <w:rPr/>
        <w:t>Cell</w:t>
      </w:r>
      <w:r>
        <w:rPr>
          <w:spacing w:val="-8"/>
        </w:rPr>
        <w:t> </w:t>
      </w:r>
      <w:r>
        <w:rPr/>
        <w:t>Haemoglobin</w:t>
      </w:r>
      <w:r>
        <w:rPr>
          <w:spacing w:val="-4"/>
        </w:rPr>
        <w:t> </w:t>
      </w:r>
      <w:r>
        <w:rPr/>
        <w:t>Concentration MCV = Mean Cell Volume</w:t>
      </w:r>
    </w:p>
    <w:p>
      <w:pPr>
        <w:spacing w:after="0" w:line="364" w:lineRule="auto"/>
        <w:sectPr>
          <w:pgSz w:w="11910" w:h="16840"/>
          <w:pgMar w:header="0" w:footer="1012" w:top="1340" w:bottom="1200" w:left="960" w:right="620"/>
        </w:sectPr>
      </w:pPr>
    </w:p>
    <w:p>
      <w:pPr>
        <w:pStyle w:val="Heading2"/>
        <w:numPr>
          <w:ilvl w:val="1"/>
          <w:numId w:val="20"/>
        </w:numPr>
        <w:tabs>
          <w:tab w:pos="1748" w:val="left" w:leader="none"/>
        </w:tabs>
        <w:spacing w:line="360" w:lineRule="auto" w:before="64" w:after="0"/>
        <w:ind w:left="1748" w:right="806" w:hanging="721"/>
        <w:jc w:val="left"/>
      </w:pPr>
      <w:r>
        <w:rPr/>
        <w:t>Serum Electrolytes and Kidney Function Indices in Male Wistar Rats that Received Undetoxified and Detoxified </w:t>
      </w:r>
      <w:r>
        <w:rPr>
          <w:i/>
        </w:rPr>
        <w:t>J. curcas </w:t>
      </w:r>
      <w:r>
        <w:rPr/>
        <w:t>Oils</w:t>
      </w:r>
    </w:p>
    <w:p>
      <w:pPr>
        <w:pStyle w:val="BodyText"/>
        <w:spacing w:before="135"/>
        <w:rPr>
          <w:b/>
        </w:rPr>
      </w:pPr>
    </w:p>
    <w:p>
      <w:pPr>
        <w:pStyle w:val="BodyText"/>
        <w:spacing w:line="480" w:lineRule="auto"/>
        <w:ind w:left="1028" w:right="796"/>
        <w:jc w:val="both"/>
      </w:pPr>
      <w:r>
        <w:rPr/>
        <w:t>The sodium (Na</w:t>
      </w:r>
      <w:r>
        <w:rPr>
          <w:vertAlign w:val="superscript"/>
        </w:rPr>
        <w:t>+</w:t>
      </w:r>
      <w:r>
        <w:rPr>
          <w:vertAlign w:val="baseline"/>
        </w:rPr>
        <w:t>), potassium (K</w:t>
      </w:r>
      <w:r>
        <w:rPr>
          <w:vertAlign w:val="superscript"/>
        </w:rPr>
        <w:t>+</w:t>
      </w:r>
      <w:r>
        <w:rPr>
          <w:vertAlign w:val="baseline"/>
        </w:rPr>
        <w:t>), bicarbonate (HCO</w:t>
      </w:r>
      <w:r>
        <w:rPr>
          <w:vertAlign w:val="subscript"/>
        </w:rPr>
        <w:t>3</w:t>
      </w:r>
      <w:r>
        <w:rPr>
          <w:vertAlign w:val="superscript"/>
        </w:rPr>
        <w:t>-</w:t>
      </w:r>
      <w:r>
        <w:rPr>
          <w:vertAlign w:val="baseline"/>
        </w:rPr>
        <w:t>), urea and creatinine levels of rats</w:t>
      </w:r>
      <w:r>
        <w:rPr>
          <w:spacing w:val="24"/>
          <w:vertAlign w:val="baseline"/>
        </w:rPr>
        <w:t> </w:t>
      </w:r>
      <w:r>
        <w:rPr>
          <w:vertAlign w:val="baseline"/>
        </w:rPr>
        <w:t>in</w:t>
      </w:r>
      <w:r>
        <w:rPr>
          <w:spacing w:val="22"/>
          <w:vertAlign w:val="baseline"/>
        </w:rPr>
        <w:t> </w:t>
      </w:r>
      <w:r>
        <w:rPr>
          <w:vertAlign w:val="baseline"/>
        </w:rPr>
        <w:t>the</w:t>
      </w:r>
      <w:r>
        <w:rPr>
          <w:spacing w:val="31"/>
          <w:vertAlign w:val="baseline"/>
        </w:rPr>
        <w:t> </w:t>
      </w:r>
      <w:r>
        <w:rPr>
          <w:vertAlign w:val="baseline"/>
        </w:rPr>
        <w:t>control</w:t>
      </w:r>
      <w:r>
        <w:rPr>
          <w:spacing w:val="18"/>
          <w:vertAlign w:val="baseline"/>
        </w:rPr>
        <w:t> </w:t>
      </w:r>
      <w:r>
        <w:rPr>
          <w:vertAlign w:val="baseline"/>
        </w:rPr>
        <w:t>group</w:t>
      </w:r>
      <w:r>
        <w:rPr>
          <w:spacing w:val="27"/>
          <w:vertAlign w:val="baseline"/>
        </w:rPr>
        <w:t> </w:t>
      </w:r>
      <w:r>
        <w:rPr>
          <w:vertAlign w:val="baseline"/>
        </w:rPr>
        <w:t>were</w:t>
      </w:r>
      <w:r>
        <w:rPr>
          <w:spacing w:val="26"/>
          <w:vertAlign w:val="baseline"/>
        </w:rPr>
        <w:t> </w:t>
      </w:r>
      <w:r>
        <w:rPr>
          <w:vertAlign w:val="baseline"/>
        </w:rPr>
        <w:t>140.50</w:t>
      </w:r>
      <w:r>
        <w:rPr>
          <w:spacing w:val="27"/>
          <w:vertAlign w:val="baseline"/>
        </w:rPr>
        <w:t> </w:t>
      </w:r>
      <w:r>
        <w:rPr>
          <w:vertAlign w:val="baseline"/>
        </w:rPr>
        <w:t>±</w:t>
      </w:r>
      <w:r>
        <w:rPr>
          <w:spacing w:val="25"/>
          <w:vertAlign w:val="baseline"/>
        </w:rPr>
        <w:t> </w:t>
      </w:r>
      <w:r>
        <w:rPr>
          <w:vertAlign w:val="baseline"/>
        </w:rPr>
        <w:t>0.50,</w:t>
      </w:r>
      <w:r>
        <w:rPr>
          <w:spacing w:val="29"/>
          <w:vertAlign w:val="baseline"/>
        </w:rPr>
        <w:t> </w:t>
      </w:r>
      <w:r>
        <w:rPr>
          <w:vertAlign w:val="baseline"/>
        </w:rPr>
        <w:t>5.22</w:t>
      </w:r>
      <w:r>
        <w:rPr>
          <w:spacing w:val="27"/>
          <w:vertAlign w:val="baseline"/>
        </w:rPr>
        <w:t> </w:t>
      </w:r>
      <w:r>
        <w:rPr>
          <w:vertAlign w:val="baseline"/>
        </w:rPr>
        <w:t>±</w:t>
      </w:r>
      <w:r>
        <w:rPr>
          <w:spacing w:val="25"/>
          <w:vertAlign w:val="baseline"/>
        </w:rPr>
        <w:t> </w:t>
      </w:r>
      <w:r>
        <w:rPr>
          <w:vertAlign w:val="baseline"/>
        </w:rPr>
        <w:t>0.07,</w:t>
      </w:r>
      <w:r>
        <w:rPr>
          <w:spacing w:val="29"/>
          <w:vertAlign w:val="baseline"/>
        </w:rPr>
        <w:t> </w:t>
      </w:r>
      <w:r>
        <w:rPr>
          <w:vertAlign w:val="baseline"/>
        </w:rPr>
        <w:t>28.75</w:t>
      </w:r>
      <w:r>
        <w:rPr>
          <w:spacing w:val="27"/>
          <w:vertAlign w:val="baseline"/>
        </w:rPr>
        <w:t> </w:t>
      </w:r>
      <w:r>
        <w:rPr>
          <w:vertAlign w:val="baseline"/>
        </w:rPr>
        <w:t>±</w:t>
      </w:r>
      <w:r>
        <w:rPr>
          <w:spacing w:val="25"/>
          <w:vertAlign w:val="baseline"/>
        </w:rPr>
        <w:t> </w:t>
      </w:r>
      <w:r>
        <w:rPr>
          <w:vertAlign w:val="baseline"/>
        </w:rPr>
        <w:t>0.25,</w:t>
      </w:r>
      <w:r>
        <w:rPr>
          <w:spacing w:val="29"/>
          <w:vertAlign w:val="baseline"/>
        </w:rPr>
        <w:t> </w:t>
      </w:r>
      <w:r>
        <w:rPr>
          <w:vertAlign w:val="baseline"/>
        </w:rPr>
        <w:t>5.07</w:t>
      </w:r>
      <w:r>
        <w:rPr>
          <w:spacing w:val="27"/>
          <w:vertAlign w:val="baseline"/>
        </w:rPr>
        <w:t> </w:t>
      </w:r>
      <w:r>
        <w:rPr>
          <w:vertAlign w:val="baseline"/>
        </w:rPr>
        <w:t>±</w:t>
      </w:r>
      <w:r>
        <w:rPr>
          <w:spacing w:val="25"/>
          <w:vertAlign w:val="baseline"/>
        </w:rPr>
        <w:t> </w:t>
      </w:r>
      <w:r>
        <w:rPr>
          <w:spacing w:val="-2"/>
          <w:vertAlign w:val="baseline"/>
        </w:rPr>
        <w:t>0.08,</w:t>
      </w:r>
    </w:p>
    <w:p>
      <w:pPr>
        <w:pStyle w:val="BodyText"/>
        <w:spacing w:line="480" w:lineRule="auto"/>
        <w:ind w:left="1028" w:right="798"/>
        <w:jc w:val="both"/>
      </w:pPr>
      <w:r>
        <w:rPr/>
        <w:t>127.25 ± 1.10 respectively.</w:t>
      </w:r>
      <w:r>
        <w:rPr>
          <w:spacing w:val="40"/>
        </w:rPr>
        <w:t> </w:t>
      </w:r>
      <w:r>
        <w:rPr/>
        <w:t>Administration of 500 mg/kg of</w:t>
      </w:r>
      <w:r>
        <w:rPr>
          <w:spacing w:val="-3"/>
        </w:rPr>
        <w:t> </w:t>
      </w:r>
      <w:r>
        <w:rPr/>
        <w:t>undetoxified mechanically extracted </w:t>
      </w:r>
      <w:r>
        <w:rPr>
          <w:i/>
        </w:rPr>
        <w:t>J</w:t>
      </w:r>
      <w:r>
        <w:rPr/>
        <w:t>. </w:t>
      </w:r>
      <w:r>
        <w:rPr>
          <w:i/>
        </w:rPr>
        <w:t>curcas </w:t>
      </w:r>
      <w:r>
        <w:rPr/>
        <w:t>oil caused significant (p&lt;0.05) increase in the levels of Na</w:t>
      </w:r>
      <w:r>
        <w:rPr>
          <w:vertAlign w:val="superscript"/>
        </w:rPr>
        <w:t>+</w:t>
      </w:r>
      <w:r>
        <w:rPr>
          <w:vertAlign w:val="baseline"/>
        </w:rPr>
        <w:t> compared to the control</w:t>
      </w:r>
      <w:r>
        <w:rPr>
          <w:spacing w:val="-4"/>
          <w:vertAlign w:val="baseline"/>
        </w:rPr>
        <w:t> </w:t>
      </w:r>
      <w:r>
        <w:rPr>
          <w:vertAlign w:val="baseline"/>
        </w:rPr>
        <w:t>and all</w:t>
      </w:r>
      <w:r>
        <w:rPr>
          <w:spacing w:val="-3"/>
          <w:vertAlign w:val="baseline"/>
        </w:rPr>
        <w:t> </w:t>
      </w:r>
      <w:r>
        <w:rPr>
          <w:vertAlign w:val="baseline"/>
        </w:rPr>
        <w:t>other groups. All</w:t>
      </w:r>
      <w:r>
        <w:rPr>
          <w:spacing w:val="-4"/>
          <w:vertAlign w:val="baseline"/>
        </w:rPr>
        <w:t> </w:t>
      </w:r>
      <w:r>
        <w:rPr>
          <w:vertAlign w:val="baseline"/>
        </w:rPr>
        <w:t>groups</w:t>
      </w:r>
      <w:r>
        <w:rPr>
          <w:spacing w:val="-1"/>
          <w:vertAlign w:val="baseline"/>
        </w:rPr>
        <w:t> </w:t>
      </w:r>
      <w:r>
        <w:rPr>
          <w:vertAlign w:val="baseline"/>
        </w:rPr>
        <w:t>showed similar range of</w:t>
      </w:r>
      <w:r>
        <w:rPr>
          <w:spacing w:val="-2"/>
          <w:vertAlign w:val="baseline"/>
        </w:rPr>
        <w:t> </w:t>
      </w:r>
      <w:r>
        <w:rPr>
          <w:vertAlign w:val="baseline"/>
        </w:rPr>
        <w:t>values for K</w:t>
      </w:r>
      <w:r>
        <w:rPr>
          <w:vertAlign w:val="superscript"/>
        </w:rPr>
        <w:t>+</w:t>
      </w:r>
      <w:r>
        <w:rPr>
          <w:vertAlign w:val="baseline"/>
        </w:rPr>
        <w:t>, HCO</w:t>
      </w:r>
      <w:r>
        <w:rPr>
          <w:vertAlign w:val="subscript"/>
        </w:rPr>
        <w:t>3</w:t>
      </w:r>
      <w:r>
        <w:rPr>
          <w:vertAlign w:val="superscript"/>
        </w:rPr>
        <w:t>-</w:t>
      </w:r>
      <w:r>
        <w:rPr>
          <w:vertAlign w:val="baseline"/>
        </w:rPr>
        <w:t>, urea and creatinine, though some groups were significantly (p&lt;0.05) different from the control (Table 4.10).</w:t>
      </w:r>
    </w:p>
    <w:p>
      <w:pPr>
        <w:pStyle w:val="BodyText"/>
      </w:pPr>
    </w:p>
    <w:p>
      <w:pPr>
        <w:pStyle w:val="BodyText"/>
      </w:pPr>
    </w:p>
    <w:p>
      <w:pPr>
        <w:pStyle w:val="BodyText"/>
        <w:spacing w:before="4"/>
      </w:pPr>
    </w:p>
    <w:p>
      <w:pPr>
        <w:pStyle w:val="Heading2"/>
        <w:spacing w:line="360" w:lineRule="auto"/>
        <w:ind w:left="1028" w:right="802" w:firstLine="0"/>
      </w:pPr>
      <w:r>
        <w:rPr/>
        <w:t>Table 4.10: Serum Electrolyte and Kidney Function Indices in Male Wistar Rats that Received Undetoxified and Detoxified </w:t>
      </w:r>
      <w:r>
        <w:rPr>
          <w:i/>
        </w:rPr>
        <w:t>Jatropha curcas </w:t>
      </w:r>
      <w:r>
        <w:rPr/>
        <w:t>Oils</w:t>
      </w:r>
    </w:p>
    <w:p>
      <w:pPr>
        <w:pStyle w:val="BodyText"/>
        <w:spacing w:before="189"/>
        <w:rPr>
          <w:b/>
          <w:sz w:val="20"/>
        </w:rPr>
      </w:pPr>
    </w:p>
    <w:tbl>
      <w:tblPr>
        <w:tblW w:w="0" w:type="auto"/>
        <w:jc w:val="left"/>
        <w:tblInd w:w="1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733"/>
        <w:gridCol w:w="1618"/>
        <w:gridCol w:w="1229"/>
        <w:gridCol w:w="1446"/>
        <w:gridCol w:w="1338"/>
        <w:gridCol w:w="1577"/>
      </w:tblGrid>
      <w:tr>
        <w:trPr>
          <w:trHeight w:val="583" w:hRule="atLeast"/>
        </w:trPr>
        <w:tc>
          <w:tcPr>
            <w:tcW w:w="9016" w:type="dxa"/>
            <w:gridSpan w:val="7"/>
            <w:tcBorders>
              <w:top w:val="single" w:sz="4" w:space="0" w:color="000000"/>
            </w:tcBorders>
          </w:tcPr>
          <w:p>
            <w:pPr>
              <w:pStyle w:val="TableParagraph"/>
              <w:tabs>
                <w:tab w:pos="1341" w:val="left" w:leader="none"/>
                <w:tab w:pos="3694" w:val="left" w:leader="none"/>
              </w:tabs>
              <w:spacing w:line="242" w:lineRule="auto"/>
              <w:ind w:left="1198" w:right="904" w:hanging="1086"/>
              <w:rPr>
                <w:sz w:val="24"/>
              </w:rPr>
            </w:pPr>
            <w:r>
              <w:rPr>
                <w:spacing w:val="-2"/>
                <w:sz w:val="24"/>
              </w:rPr>
              <w:t>Treatment</w:t>
            </w:r>
            <w:r>
              <w:rPr>
                <w:sz w:val="24"/>
              </w:rPr>
              <w:tab/>
              <w:tab/>
            </w:r>
            <w:r>
              <w:rPr>
                <w:spacing w:val="-4"/>
                <w:sz w:val="24"/>
              </w:rPr>
              <w:t>Dose</w:t>
            </w:r>
            <w:r>
              <w:rPr>
                <w:sz w:val="24"/>
              </w:rPr>
              <w:tab/>
              <w:t>Serum</w:t>
            </w:r>
            <w:r>
              <w:rPr>
                <w:spacing w:val="-15"/>
                <w:sz w:val="24"/>
              </w:rPr>
              <w:t> </w:t>
            </w:r>
            <w:r>
              <w:rPr>
                <w:sz w:val="24"/>
              </w:rPr>
              <w:t>electrolyte</w:t>
            </w:r>
            <w:r>
              <w:rPr>
                <w:spacing w:val="-9"/>
                <w:sz w:val="24"/>
              </w:rPr>
              <w:t> </w:t>
            </w:r>
            <w:r>
              <w:rPr>
                <w:sz w:val="24"/>
              </w:rPr>
              <w:t>and</w:t>
            </w:r>
            <w:r>
              <w:rPr>
                <w:spacing w:val="-8"/>
                <w:sz w:val="24"/>
              </w:rPr>
              <w:t> </w:t>
            </w:r>
            <w:r>
              <w:rPr>
                <w:sz w:val="24"/>
              </w:rPr>
              <w:t>kidney</w:t>
            </w:r>
            <w:r>
              <w:rPr>
                <w:spacing w:val="-4"/>
                <w:sz w:val="24"/>
              </w:rPr>
              <w:t> </w:t>
            </w:r>
            <w:r>
              <w:rPr>
                <w:sz w:val="24"/>
              </w:rPr>
              <w:t>function</w:t>
            </w:r>
            <w:r>
              <w:rPr>
                <w:spacing w:val="-7"/>
                <w:sz w:val="24"/>
              </w:rPr>
              <w:t> </w:t>
            </w:r>
            <w:r>
              <w:rPr>
                <w:sz w:val="24"/>
              </w:rPr>
              <w:t>indices </w:t>
            </w:r>
            <w:r>
              <w:rPr>
                <w:spacing w:val="-2"/>
                <w:sz w:val="24"/>
              </w:rPr>
              <w:t>(mg/kg)</w:t>
            </w:r>
          </w:p>
        </w:tc>
      </w:tr>
      <w:tr>
        <w:trPr>
          <w:trHeight w:val="644" w:hRule="atLeast"/>
        </w:trPr>
        <w:tc>
          <w:tcPr>
            <w:tcW w:w="1075" w:type="dxa"/>
            <w:tcBorders>
              <w:bottom w:val="single" w:sz="4" w:space="0" w:color="000000"/>
            </w:tcBorders>
          </w:tcPr>
          <w:p>
            <w:pPr>
              <w:pStyle w:val="TableParagraph"/>
              <w:rPr>
                <w:sz w:val="22"/>
              </w:rPr>
            </w:pPr>
          </w:p>
        </w:tc>
        <w:tc>
          <w:tcPr>
            <w:tcW w:w="733" w:type="dxa"/>
            <w:tcBorders>
              <w:bottom w:val="single" w:sz="4" w:space="0" w:color="000000"/>
            </w:tcBorders>
          </w:tcPr>
          <w:p>
            <w:pPr>
              <w:pStyle w:val="TableParagraph"/>
              <w:rPr>
                <w:sz w:val="22"/>
              </w:rPr>
            </w:pPr>
          </w:p>
        </w:tc>
        <w:tc>
          <w:tcPr>
            <w:tcW w:w="1618" w:type="dxa"/>
            <w:tcBorders>
              <w:top w:val="single" w:sz="4" w:space="0" w:color="000000"/>
              <w:bottom w:val="single" w:sz="4" w:space="0" w:color="000000"/>
            </w:tcBorders>
          </w:tcPr>
          <w:p>
            <w:pPr>
              <w:pStyle w:val="TableParagraph"/>
              <w:spacing w:line="268" w:lineRule="exact"/>
              <w:ind w:left="105"/>
              <w:rPr>
                <w:sz w:val="24"/>
              </w:rPr>
            </w:pPr>
            <w:r>
              <w:rPr>
                <w:sz w:val="24"/>
              </w:rPr>
              <w:t>Na</w:t>
            </w:r>
            <w:r>
              <w:rPr>
                <w:sz w:val="24"/>
                <w:vertAlign w:val="superscript"/>
              </w:rPr>
              <w:t>+</w:t>
            </w:r>
            <w:r>
              <w:rPr>
                <w:spacing w:val="38"/>
                <w:sz w:val="24"/>
                <w:vertAlign w:val="baseline"/>
              </w:rPr>
              <w:t> </w:t>
            </w:r>
            <w:r>
              <w:rPr>
                <w:spacing w:val="-2"/>
                <w:sz w:val="24"/>
                <w:vertAlign w:val="baseline"/>
              </w:rPr>
              <w:t>(mmol/L)</w:t>
            </w:r>
          </w:p>
        </w:tc>
        <w:tc>
          <w:tcPr>
            <w:tcW w:w="1229" w:type="dxa"/>
            <w:tcBorders>
              <w:top w:val="single" w:sz="4" w:space="0" w:color="000000"/>
              <w:bottom w:val="single" w:sz="4" w:space="0" w:color="000000"/>
            </w:tcBorders>
          </w:tcPr>
          <w:p>
            <w:pPr>
              <w:pStyle w:val="TableParagraph"/>
              <w:spacing w:line="112" w:lineRule="auto" w:before="16"/>
              <w:ind w:left="110"/>
              <w:rPr>
                <w:sz w:val="16"/>
              </w:rPr>
            </w:pPr>
            <w:r>
              <w:rPr>
                <w:spacing w:val="-5"/>
                <w:position w:val="-10"/>
                <w:sz w:val="24"/>
              </w:rPr>
              <w:t>K</w:t>
            </w:r>
            <w:r>
              <w:rPr>
                <w:spacing w:val="-5"/>
                <w:sz w:val="16"/>
              </w:rPr>
              <w:t>+</w:t>
            </w:r>
          </w:p>
          <w:p>
            <w:pPr>
              <w:pStyle w:val="TableParagraph"/>
              <w:spacing w:before="84"/>
              <w:ind w:left="110"/>
              <w:rPr>
                <w:sz w:val="24"/>
              </w:rPr>
            </w:pPr>
            <w:r>
              <w:rPr>
                <w:spacing w:val="-2"/>
                <w:sz w:val="24"/>
              </w:rPr>
              <w:t>(mmol/L)</w:t>
            </w:r>
          </w:p>
        </w:tc>
        <w:tc>
          <w:tcPr>
            <w:tcW w:w="1446" w:type="dxa"/>
            <w:tcBorders>
              <w:top w:val="single" w:sz="4" w:space="0" w:color="000000"/>
              <w:bottom w:val="single" w:sz="4" w:space="0" w:color="000000"/>
            </w:tcBorders>
          </w:tcPr>
          <w:p>
            <w:pPr>
              <w:pStyle w:val="TableParagraph"/>
              <w:spacing w:line="267" w:lineRule="exact"/>
              <w:ind w:left="139"/>
              <w:rPr>
                <w:sz w:val="24"/>
              </w:rPr>
            </w:pPr>
            <w:r>
              <w:rPr>
                <w:spacing w:val="-2"/>
                <w:sz w:val="24"/>
              </w:rPr>
              <w:t>HCO</w:t>
            </w:r>
            <w:r>
              <w:rPr>
                <w:spacing w:val="-2"/>
                <w:sz w:val="24"/>
                <w:vertAlign w:val="subscript"/>
              </w:rPr>
              <w:t>3</w:t>
            </w:r>
            <w:r>
              <w:rPr>
                <w:spacing w:val="-2"/>
                <w:sz w:val="24"/>
                <w:vertAlign w:val="superscript"/>
              </w:rPr>
              <w:t>-</w:t>
            </w:r>
          </w:p>
          <w:p>
            <w:pPr>
              <w:pStyle w:val="TableParagraph"/>
              <w:spacing w:line="275" w:lineRule="exact"/>
              <w:ind w:left="139"/>
              <w:rPr>
                <w:sz w:val="24"/>
              </w:rPr>
            </w:pPr>
            <w:r>
              <w:rPr>
                <w:spacing w:val="-2"/>
                <w:sz w:val="24"/>
              </w:rPr>
              <w:t>(mmol/L)</w:t>
            </w:r>
          </w:p>
        </w:tc>
        <w:tc>
          <w:tcPr>
            <w:tcW w:w="1338" w:type="dxa"/>
            <w:tcBorders>
              <w:top w:val="single" w:sz="4" w:space="0" w:color="000000"/>
              <w:bottom w:val="single" w:sz="4" w:space="0" w:color="000000"/>
            </w:tcBorders>
          </w:tcPr>
          <w:p>
            <w:pPr>
              <w:pStyle w:val="TableParagraph"/>
              <w:spacing w:line="237" w:lineRule="auto"/>
              <w:ind w:left="134" w:right="266"/>
              <w:rPr>
                <w:sz w:val="24"/>
              </w:rPr>
            </w:pPr>
            <w:r>
              <w:rPr>
                <w:spacing w:val="-4"/>
                <w:sz w:val="24"/>
              </w:rPr>
              <w:t>Urea </w:t>
            </w:r>
            <w:r>
              <w:rPr>
                <w:spacing w:val="-2"/>
                <w:sz w:val="24"/>
              </w:rPr>
              <w:t>(mmol/L)</w:t>
            </w:r>
          </w:p>
        </w:tc>
        <w:tc>
          <w:tcPr>
            <w:tcW w:w="1577" w:type="dxa"/>
            <w:tcBorders>
              <w:top w:val="single" w:sz="4" w:space="0" w:color="000000"/>
              <w:bottom w:val="single" w:sz="4" w:space="0" w:color="000000"/>
            </w:tcBorders>
          </w:tcPr>
          <w:p>
            <w:pPr>
              <w:pStyle w:val="TableParagraph"/>
              <w:spacing w:line="237" w:lineRule="auto"/>
              <w:ind w:left="150" w:right="427"/>
              <w:rPr>
                <w:sz w:val="24"/>
              </w:rPr>
            </w:pPr>
            <w:r>
              <w:rPr>
                <w:spacing w:val="-2"/>
                <w:sz w:val="24"/>
              </w:rPr>
              <w:t>Creatinine (µmol/L)</w:t>
            </w:r>
          </w:p>
        </w:tc>
      </w:tr>
      <w:tr>
        <w:trPr>
          <w:trHeight w:val="511" w:hRule="atLeast"/>
        </w:trPr>
        <w:tc>
          <w:tcPr>
            <w:tcW w:w="1075" w:type="dxa"/>
            <w:tcBorders>
              <w:top w:val="single" w:sz="4" w:space="0" w:color="000000"/>
            </w:tcBorders>
          </w:tcPr>
          <w:p>
            <w:pPr>
              <w:pStyle w:val="TableParagraph"/>
              <w:spacing w:before="35"/>
              <w:ind w:left="112"/>
              <w:rPr>
                <w:sz w:val="24"/>
              </w:rPr>
            </w:pPr>
            <w:r>
              <w:rPr>
                <w:sz w:val="24"/>
              </w:rPr>
              <w:t>Olive</w:t>
            </w:r>
            <w:r>
              <w:rPr>
                <w:spacing w:val="-5"/>
                <w:sz w:val="24"/>
              </w:rPr>
              <w:t> oil</w:t>
            </w:r>
          </w:p>
        </w:tc>
        <w:tc>
          <w:tcPr>
            <w:tcW w:w="733" w:type="dxa"/>
            <w:tcBorders>
              <w:top w:val="single" w:sz="4" w:space="0" w:color="000000"/>
            </w:tcBorders>
          </w:tcPr>
          <w:p>
            <w:pPr>
              <w:pStyle w:val="TableParagraph"/>
              <w:spacing w:before="35"/>
              <w:ind w:right="170"/>
              <w:jc w:val="center"/>
              <w:rPr>
                <w:sz w:val="24"/>
              </w:rPr>
            </w:pPr>
            <w:r>
              <w:rPr>
                <w:spacing w:val="-5"/>
                <w:sz w:val="24"/>
              </w:rPr>
              <w:t>10</w:t>
            </w:r>
            <w:r>
              <w:rPr>
                <w:spacing w:val="-5"/>
                <w:sz w:val="24"/>
                <w:vertAlign w:val="superscript"/>
              </w:rPr>
              <w:t>*</w:t>
            </w:r>
          </w:p>
        </w:tc>
        <w:tc>
          <w:tcPr>
            <w:tcW w:w="1618" w:type="dxa"/>
            <w:tcBorders>
              <w:top w:val="single" w:sz="4" w:space="0" w:color="000000"/>
            </w:tcBorders>
          </w:tcPr>
          <w:p>
            <w:pPr>
              <w:pStyle w:val="TableParagraph"/>
              <w:spacing w:before="35"/>
              <w:ind w:left="105"/>
              <w:rPr>
                <w:sz w:val="24"/>
              </w:rPr>
            </w:pPr>
            <w:r>
              <w:rPr>
                <w:spacing w:val="-2"/>
                <w:sz w:val="24"/>
              </w:rPr>
              <w:t>140.25±1.00</w:t>
            </w:r>
          </w:p>
        </w:tc>
        <w:tc>
          <w:tcPr>
            <w:tcW w:w="1229" w:type="dxa"/>
            <w:tcBorders>
              <w:top w:val="single" w:sz="4" w:space="0" w:color="000000"/>
            </w:tcBorders>
          </w:tcPr>
          <w:p>
            <w:pPr>
              <w:pStyle w:val="TableParagraph"/>
              <w:spacing w:before="35"/>
              <w:ind w:right="31"/>
              <w:jc w:val="center"/>
              <w:rPr>
                <w:sz w:val="24"/>
              </w:rPr>
            </w:pPr>
            <w:r>
              <w:rPr>
                <w:spacing w:val="-2"/>
                <w:sz w:val="24"/>
              </w:rPr>
              <w:t>5.22±0.15</w:t>
            </w:r>
          </w:p>
        </w:tc>
        <w:tc>
          <w:tcPr>
            <w:tcW w:w="1446" w:type="dxa"/>
            <w:tcBorders>
              <w:top w:val="single" w:sz="4" w:space="0" w:color="000000"/>
            </w:tcBorders>
          </w:tcPr>
          <w:p>
            <w:pPr>
              <w:pStyle w:val="TableParagraph"/>
              <w:spacing w:before="35"/>
              <w:ind w:right="70"/>
              <w:jc w:val="center"/>
              <w:rPr>
                <w:sz w:val="24"/>
              </w:rPr>
            </w:pPr>
            <w:r>
              <w:rPr>
                <w:spacing w:val="-2"/>
                <w:sz w:val="24"/>
              </w:rPr>
              <w:t>28.75±0.50</w:t>
            </w:r>
          </w:p>
        </w:tc>
        <w:tc>
          <w:tcPr>
            <w:tcW w:w="1338" w:type="dxa"/>
            <w:tcBorders>
              <w:top w:val="single" w:sz="4" w:space="0" w:color="000000"/>
            </w:tcBorders>
          </w:tcPr>
          <w:p>
            <w:pPr>
              <w:pStyle w:val="TableParagraph"/>
              <w:spacing w:before="35"/>
              <w:ind w:right="93"/>
              <w:jc w:val="center"/>
              <w:rPr>
                <w:sz w:val="24"/>
              </w:rPr>
            </w:pPr>
            <w:r>
              <w:rPr>
                <w:spacing w:val="-2"/>
                <w:sz w:val="24"/>
              </w:rPr>
              <w:t>5.07±0.17</w:t>
            </w:r>
          </w:p>
        </w:tc>
        <w:tc>
          <w:tcPr>
            <w:tcW w:w="1577" w:type="dxa"/>
            <w:tcBorders>
              <w:top w:val="single" w:sz="4" w:space="0" w:color="000000"/>
            </w:tcBorders>
          </w:tcPr>
          <w:p>
            <w:pPr>
              <w:pStyle w:val="TableParagraph"/>
              <w:spacing w:before="35"/>
              <w:ind w:left="8" w:right="68"/>
              <w:jc w:val="center"/>
              <w:rPr>
                <w:sz w:val="24"/>
              </w:rPr>
            </w:pPr>
            <w:r>
              <w:rPr>
                <w:spacing w:val="-2"/>
                <w:sz w:val="24"/>
              </w:rPr>
              <w:t>127.25±2.21</w:t>
            </w:r>
          </w:p>
        </w:tc>
      </w:tr>
      <w:tr>
        <w:trPr>
          <w:trHeight w:val="729" w:hRule="atLeast"/>
        </w:trPr>
        <w:tc>
          <w:tcPr>
            <w:tcW w:w="1075" w:type="dxa"/>
          </w:tcPr>
          <w:p>
            <w:pPr>
              <w:pStyle w:val="TableParagraph"/>
              <w:spacing w:before="228"/>
              <w:ind w:left="112"/>
              <w:rPr>
                <w:sz w:val="24"/>
              </w:rPr>
            </w:pPr>
            <w:r>
              <w:rPr>
                <w:spacing w:val="-5"/>
                <w:sz w:val="24"/>
              </w:rPr>
              <w:t>UME</w:t>
            </w:r>
          </w:p>
        </w:tc>
        <w:tc>
          <w:tcPr>
            <w:tcW w:w="733" w:type="dxa"/>
          </w:tcPr>
          <w:p>
            <w:pPr>
              <w:pStyle w:val="TableParagraph"/>
              <w:spacing w:before="228"/>
              <w:ind w:left="36" w:right="170"/>
              <w:jc w:val="center"/>
              <w:rPr>
                <w:sz w:val="24"/>
              </w:rPr>
            </w:pPr>
            <w:r>
              <w:rPr>
                <w:spacing w:val="-5"/>
                <w:sz w:val="24"/>
              </w:rPr>
              <w:t>125</w:t>
            </w:r>
          </w:p>
        </w:tc>
        <w:tc>
          <w:tcPr>
            <w:tcW w:w="1618" w:type="dxa"/>
          </w:tcPr>
          <w:p>
            <w:pPr>
              <w:pStyle w:val="TableParagraph"/>
              <w:spacing w:before="228"/>
              <w:ind w:left="105"/>
              <w:rPr>
                <w:sz w:val="24"/>
              </w:rPr>
            </w:pPr>
            <w:r>
              <w:rPr>
                <w:spacing w:val="-2"/>
                <w:sz w:val="24"/>
              </w:rPr>
              <w:t>143.00±0.81</w:t>
            </w:r>
          </w:p>
        </w:tc>
        <w:tc>
          <w:tcPr>
            <w:tcW w:w="1229" w:type="dxa"/>
          </w:tcPr>
          <w:p>
            <w:pPr>
              <w:pStyle w:val="TableParagraph"/>
              <w:spacing w:before="228"/>
              <w:ind w:right="31"/>
              <w:jc w:val="center"/>
              <w:rPr>
                <w:sz w:val="24"/>
              </w:rPr>
            </w:pPr>
            <w:r>
              <w:rPr>
                <w:spacing w:val="-2"/>
                <w:sz w:val="24"/>
              </w:rPr>
              <w:t>5.20±0.18</w:t>
            </w:r>
          </w:p>
        </w:tc>
        <w:tc>
          <w:tcPr>
            <w:tcW w:w="1446" w:type="dxa"/>
          </w:tcPr>
          <w:p>
            <w:pPr>
              <w:pStyle w:val="TableParagraph"/>
              <w:spacing w:before="228"/>
              <w:ind w:left="69" w:right="70"/>
              <w:jc w:val="center"/>
              <w:rPr>
                <w:sz w:val="24"/>
              </w:rPr>
            </w:pPr>
            <w:r>
              <w:rPr>
                <w:spacing w:val="-2"/>
                <w:sz w:val="24"/>
              </w:rPr>
              <w:t>24.50±2.08</w:t>
            </w:r>
            <w:r>
              <w:rPr>
                <w:spacing w:val="-2"/>
                <w:sz w:val="24"/>
                <w:vertAlign w:val="superscript"/>
              </w:rPr>
              <w:t>a</w:t>
            </w:r>
          </w:p>
        </w:tc>
        <w:tc>
          <w:tcPr>
            <w:tcW w:w="1338" w:type="dxa"/>
          </w:tcPr>
          <w:p>
            <w:pPr>
              <w:pStyle w:val="TableParagraph"/>
              <w:spacing w:before="228"/>
              <w:ind w:left="71" w:right="93"/>
              <w:jc w:val="center"/>
              <w:rPr>
                <w:sz w:val="24"/>
              </w:rPr>
            </w:pPr>
            <w:r>
              <w:rPr>
                <w:spacing w:val="-2"/>
                <w:sz w:val="24"/>
              </w:rPr>
              <w:t>5.60±0.31</w:t>
            </w:r>
            <w:r>
              <w:rPr>
                <w:spacing w:val="-2"/>
                <w:sz w:val="24"/>
                <w:vertAlign w:val="superscript"/>
              </w:rPr>
              <w:t>a</w:t>
            </w:r>
          </w:p>
        </w:tc>
        <w:tc>
          <w:tcPr>
            <w:tcW w:w="1577" w:type="dxa"/>
          </w:tcPr>
          <w:p>
            <w:pPr>
              <w:pStyle w:val="TableParagraph"/>
              <w:spacing w:before="228"/>
              <w:ind w:left="68" w:right="60"/>
              <w:jc w:val="center"/>
              <w:rPr>
                <w:sz w:val="24"/>
              </w:rPr>
            </w:pPr>
            <w:r>
              <w:rPr>
                <w:spacing w:val="-2"/>
                <w:sz w:val="24"/>
              </w:rPr>
              <w:t>132.25±2.62</w:t>
            </w:r>
            <w:r>
              <w:rPr>
                <w:spacing w:val="-2"/>
                <w:sz w:val="24"/>
                <w:vertAlign w:val="superscript"/>
              </w:rPr>
              <w:t>a</w:t>
            </w:r>
          </w:p>
        </w:tc>
      </w:tr>
      <w:tr>
        <w:trPr>
          <w:trHeight w:val="607" w:hRule="atLeast"/>
        </w:trPr>
        <w:tc>
          <w:tcPr>
            <w:tcW w:w="1075" w:type="dxa"/>
          </w:tcPr>
          <w:p>
            <w:pPr>
              <w:pStyle w:val="TableParagraph"/>
              <w:rPr>
                <w:sz w:val="22"/>
              </w:rPr>
            </w:pPr>
          </w:p>
        </w:tc>
        <w:tc>
          <w:tcPr>
            <w:tcW w:w="733" w:type="dxa"/>
          </w:tcPr>
          <w:p>
            <w:pPr>
              <w:pStyle w:val="TableParagraph"/>
              <w:spacing w:before="215"/>
              <w:ind w:left="36" w:right="170"/>
              <w:jc w:val="center"/>
              <w:rPr>
                <w:sz w:val="24"/>
              </w:rPr>
            </w:pPr>
            <w:r>
              <w:rPr>
                <w:spacing w:val="-5"/>
                <w:sz w:val="24"/>
              </w:rPr>
              <w:t>250</w:t>
            </w:r>
          </w:p>
        </w:tc>
        <w:tc>
          <w:tcPr>
            <w:tcW w:w="1618" w:type="dxa"/>
          </w:tcPr>
          <w:p>
            <w:pPr>
              <w:pStyle w:val="TableParagraph"/>
              <w:spacing w:before="215"/>
              <w:ind w:left="105"/>
              <w:rPr>
                <w:sz w:val="24"/>
              </w:rPr>
            </w:pPr>
            <w:r>
              <w:rPr>
                <w:spacing w:val="-2"/>
                <w:sz w:val="24"/>
              </w:rPr>
              <w:t>142.00±2.16</w:t>
            </w:r>
          </w:p>
        </w:tc>
        <w:tc>
          <w:tcPr>
            <w:tcW w:w="1229" w:type="dxa"/>
          </w:tcPr>
          <w:p>
            <w:pPr>
              <w:pStyle w:val="TableParagraph"/>
              <w:spacing w:before="215"/>
              <w:ind w:right="31"/>
              <w:jc w:val="center"/>
              <w:rPr>
                <w:sz w:val="24"/>
              </w:rPr>
            </w:pPr>
            <w:r>
              <w:rPr>
                <w:spacing w:val="-2"/>
                <w:sz w:val="24"/>
              </w:rPr>
              <w:t>5.30±0.81</w:t>
            </w:r>
          </w:p>
        </w:tc>
        <w:tc>
          <w:tcPr>
            <w:tcW w:w="1446" w:type="dxa"/>
          </w:tcPr>
          <w:p>
            <w:pPr>
              <w:pStyle w:val="TableParagraph"/>
              <w:spacing w:before="215"/>
              <w:ind w:right="70"/>
              <w:jc w:val="center"/>
              <w:rPr>
                <w:sz w:val="24"/>
              </w:rPr>
            </w:pPr>
            <w:r>
              <w:rPr>
                <w:spacing w:val="-2"/>
                <w:sz w:val="24"/>
              </w:rPr>
              <w:t>27.50±1.29</w:t>
            </w:r>
          </w:p>
        </w:tc>
        <w:tc>
          <w:tcPr>
            <w:tcW w:w="1338" w:type="dxa"/>
          </w:tcPr>
          <w:p>
            <w:pPr>
              <w:pStyle w:val="TableParagraph"/>
              <w:spacing w:before="215"/>
              <w:ind w:right="93"/>
              <w:jc w:val="center"/>
              <w:rPr>
                <w:sz w:val="24"/>
              </w:rPr>
            </w:pPr>
            <w:r>
              <w:rPr>
                <w:spacing w:val="-2"/>
                <w:sz w:val="24"/>
              </w:rPr>
              <w:t>5.10±0.18</w:t>
            </w:r>
          </w:p>
        </w:tc>
        <w:tc>
          <w:tcPr>
            <w:tcW w:w="1577" w:type="dxa"/>
          </w:tcPr>
          <w:p>
            <w:pPr>
              <w:pStyle w:val="TableParagraph"/>
              <w:spacing w:before="215"/>
              <w:ind w:left="8" w:right="68"/>
              <w:jc w:val="center"/>
              <w:rPr>
                <w:sz w:val="24"/>
              </w:rPr>
            </w:pPr>
            <w:r>
              <w:rPr>
                <w:spacing w:val="-2"/>
                <w:sz w:val="24"/>
              </w:rPr>
              <w:t>125.00±0.81</w:t>
            </w:r>
          </w:p>
        </w:tc>
      </w:tr>
      <w:tr>
        <w:trPr>
          <w:trHeight w:val="559" w:hRule="atLeast"/>
        </w:trPr>
        <w:tc>
          <w:tcPr>
            <w:tcW w:w="1075" w:type="dxa"/>
          </w:tcPr>
          <w:p>
            <w:pPr>
              <w:pStyle w:val="TableParagraph"/>
              <w:rPr>
                <w:sz w:val="22"/>
              </w:rPr>
            </w:pPr>
          </w:p>
        </w:tc>
        <w:tc>
          <w:tcPr>
            <w:tcW w:w="733" w:type="dxa"/>
          </w:tcPr>
          <w:p>
            <w:pPr>
              <w:pStyle w:val="TableParagraph"/>
              <w:spacing w:before="144"/>
              <w:ind w:left="36" w:right="170"/>
              <w:jc w:val="center"/>
              <w:rPr>
                <w:sz w:val="24"/>
              </w:rPr>
            </w:pPr>
            <w:r>
              <w:rPr>
                <w:spacing w:val="-5"/>
                <w:sz w:val="24"/>
              </w:rPr>
              <w:t>500</w:t>
            </w:r>
          </w:p>
        </w:tc>
        <w:tc>
          <w:tcPr>
            <w:tcW w:w="1618" w:type="dxa"/>
          </w:tcPr>
          <w:p>
            <w:pPr>
              <w:pStyle w:val="TableParagraph"/>
              <w:spacing w:before="144"/>
              <w:ind w:left="105"/>
              <w:rPr>
                <w:sz w:val="24"/>
              </w:rPr>
            </w:pPr>
            <w:r>
              <w:rPr>
                <w:spacing w:val="-2"/>
                <w:sz w:val="24"/>
              </w:rPr>
              <w:t>148.00±0.00</w:t>
            </w:r>
            <w:r>
              <w:rPr>
                <w:spacing w:val="-2"/>
                <w:sz w:val="24"/>
                <w:vertAlign w:val="superscript"/>
              </w:rPr>
              <w:t>ab</w:t>
            </w:r>
          </w:p>
        </w:tc>
        <w:tc>
          <w:tcPr>
            <w:tcW w:w="1229" w:type="dxa"/>
          </w:tcPr>
          <w:p>
            <w:pPr>
              <w:pStyle w:val="TableParagraph"/>
              <w:spacing w:before="144"/>
              <w:ind w:right="31"/>
              <w:jc w:val="center"/>
              <w:rPr>
                <w:sz w:val="24"/>
              </w:rPr>
            </w:pPr>
            <w:r>
              <w:rPr>
                <w:spacing w:val="-2"/>
                <w:sz w:val="24"/>
              </w:rPr>
              <w:t>5.20±0.00</w:t>
            </w:r>
          </w:p>
        </w:tc>
        <w:tc>
          <w:tcPr>
            <w:tcW w:w="1446" w:type="dxa"/>
          </w:tcPr>
          <w:p>
            <w:pPr>
              <w:pStyle w:val="TableParagraph"/>
              <w:spacing w:before="144"/>
              <w:ind w:left="69" w:right="70"/>
              <w:jc w:val="center"/>
              <w:rPr>
                <w:sz w:val="24"/>
              </w:rPr>
            </w:pPr>
            <w:r>
              <w:rPr>
                <w:spacing w:val="-2"/>
                <w:sz w:val="24"/>
              </w:rPr>
              <w:t>24.00±0.00</w:t>
            </w:r>
            <w:r>
              <w:rPr>
                <w:spacing w:val="-2"/>
                <w:sz w:val="24"/>
                <w:vertAlign w:val="superscript"/>
              </w:rPr>
              <w:t>a</w:t>
            </w:r>
          </w:p>
        </w:tc>
        <w:tc>
          <w:tcPr>
            <w:tcW w:w="1338" w:type="dxa"/>
          </w:tcPr>
          <w:p>
            <w:pPr>
              <w:pStyle w:val="TableParagraph"/>
              <w:spacing w:before="144"/>
              <w:ind w:left="71" w:right="93"/>
              <w:jc w:val="center"/>
              <w:rPr>
                <w:sz w:val="24"/>
              </w:rPr>
            </w:pPr>
            <w:r>
              <w:rPr>
                <w:spacing w:val="-2"/>
                <w:sz w:val="24"/>
              </w:rPr>
              <w:t>5.80±0.00</w:t>
            </w:r>
            <w:r>
              <w:rPr>
                <w:spacing w:val="-2"/>
                <w:sz w:val="24"/>
                <w:vertAlign w:val="superscript"/>
              </w:rPr>
              <w:t>a</w:t>
            </w:r>
          </w:p>
        </w:tc>
        <w:tc>
          <w:tcPr>
            <w:tcW w:w="1577" w:type="dxa"/>
          </w:tcPr>
          <w:p>
            <w:pPr>
              <w:pStyle w:val="TableParagraph"/>
              <w:spacing w:before="144"/>
              <w:ind w:left="68" w:right="60"/>
              <w:jc w:val="center"/>
              <w:rPr>
                <w:sz w:val="24"/>
              </w:rPr>
            </w:pPr>
            <w:r>
              <w:rPr>
                <w:spacing w:val="-2"/>
                <w:sz w:val="24"/>
              </w:rPr>
              <w:t>133.00±0.00</w:t>
            </w:r>
            <w:r>
              <w:rPr>
                <w:spacing w:val="-2"/>
                <w:sz w:val="24"/>
                <w:vertAlign w:val="superscript"/>
              </w:rPr>
              <w:t>a</w:t>
            </w:r>
          </w:p>
        </w:tc>
      </w:tr>
      <w:tr>
        <w:trPr>
          <w:trHeight w:val="535" w:hRule="atLeast"/>
        </w:trPr>
        <w:tc>
          <w:tcPr>
            <w:tcW w:w="1075" w:type="dxa"/>
          </w:tcPr>
          <w:p>
            <w:pPr>
              <w:pStyle w:val="TableParagraph"/>
              <w:spacing w:before="128"/>
              <w:ind w:left="112"/>
              <w:rPr>
                <w:sz w:val="24"/>
              </w:rPr>
            </w:pPr>
            <w:r>
              <w:rPr>
                <w:spacing w:val="-4"/>
                <w:sz w:val="24"/>
              </w:rPr>
              <w:t>SDME</w:t>
            </w:r>
          </w:p>
        </w:tc>
        <w:tc>
          <w:tcPr>
            <w:tcW w:w="733" w:type="dxa"/>
          </w:tcPr>
          <w:p>
            <w:pPr>
              <w:pStyle w:val="TableParagraph"/>
              <w:spacing w:before="128"/>
              <w:ind w:left="36" w:right="170"/>
              <w:jc w:val="center"/>
              <w:rPr>
                <w:sz w:val="24"/>
              </w:rPr>
            </w:pPr>
            <w:r>
              <w:rPr>
                <w:spacing w:val="-5"/>
                <w:sz w:val="24"/>
              </w:rPr>
              <w:t>125</w:t>
            </w:r>
          </w:p>
        </w:tc>
        <w:tc>
          <w:tcPr>
            <w:tcW w:w="1618" w:type="dxa"/>
          </w:tcPr>
          <w:p>
            <w:pPr>
              <w:pStyle w:val="TableParagraph"/>
              <w:spacing w:before="128"/>
              <w:ind w:left="105"/>
              <w:rPr>
                <w:sz w:val="24"/>
              </w:rPr>
            </w:pPr>
            <w:r>
              <w:rPr>
                <w:spacing w:val="-2"/>
                <w:sz w:val="24"/>
              </w:rPr>
              <w:t>141.00±0.81</w:t>
            </w:r>
          </w:p>
        </w:tc>
        <w:tc>
          <w:tcPr>
            <w:tcW w:w="1229" w:type="dxa"/>
          </w:tcPr>
          <w:p>
            <w:pPr>
              <w:pStyle w:val="TableParagraph"/>
              <w:spacing w:before="128"/>
              <w:ind w:right="31"/>
              <w:jc w:val="center"/>
              <w:rPr>
                <w:sz w:val="24"/>
              </w:rPr>
            </w:pPr>
            <w:r>
              <w:rPr>
                <w:spacing w:val="-2"/>
                <w:sz w:val="24"/>
              </w:rPr>
              <w:t>5.20±0.21</w:t>
            </w:r>
          </w:p>
        </w:tc>
        <w:tc>
          <w:tcPr>
            <w:tcW w:w="1446" w:type="dxa"/>
          </w:tcPr>
          <w:p>
            <w:pPr>
              <w:pStyle w:val="TableParagraph"/>
              <w:spacing w:before="128"/>
              <w:ind w:right="70"/>
              <w:jc w:val="center"/>
              <w:rPr>
                <w:sz w:val="24"/>
              </w:rPr>
            </w:pPr>
            <w:r>
              <w:rPr>
                <w:spacing w:val="-2"/>
                <w:sz w:val="24"/>
              </w:rPr>
              <w:t>25.50±1.91</w:t>
            </w:r>
          </w:p>
        </w:tc>
        <w:tc>
          <w:tcPr>
            <w:tcW w:w="1338" w:type="dxa"/>
          </w:tcPr>
          <w:p>
            <w:pPr>
              <w:pStyle w:val="TableParagraph"/>
              <w:spacing w:before="128"/>
              <w:ind w:right="93"/>
              <w:jc w:val="center"/>
              <w:rPr>
                <w:sz w:val="24"/>
              </w:rPr>
            </w:pPr>
            <w:r>
              <w:rPr>
                <w:spacing w:val="-2"/>
                <w:sz w:val="24"/>
              </w:rPr>
              <w:t>5.47±0.35</w:t>
            </w:r>
          </w:p>
        </w:tc>
        <w:tc>
          <w:tcPr>
            <w:tcW w:w="1577" w:type="dxa"/>
          </w:tcPr>
          <w:p>
            <w:pPr>
              <w:pStyle w:val="TableParagraph"/>
              <w:spacing w:before="128"/>
              <w:ind w:left="8" w:right="68"/>
              <w:jc w:val="center"/>
              <w:rPr>
                <w:sz w:val="24"/>
              </w:rPr>
            </w:pPr>
            <w:r>
              <w:rPr>
                <w:spacing w:val="-2"/>
                <w:sz w:val="24"/>
              </w:rPr>
              <w:t>129.00±0.81</w:t>
            </w:r>
          </w:p>
        </w:tc>
      </w:tr>
      <w:tr>
        <w:trPr>
          <w:trHeight w:val="549" w:hRule="atLeast"/>
        </w:trPr>
        <w:tc>
          <w:tcPr>
            <w:tcW w:w="1075" w:type="dxa"/>
          </w:tcPr>
          <w:p>
            <w:pPr>
              <w:pStyle w:val="TableParagraph"/>
              <w:rPr>
                <w:sz w:val="22"/>
              </w:rPr>
            </w:pPr>
          </w:p>
        </w:tc>
        <w:tc>
          <w:tcPr>
            <w:tcW w:w="733" w:type="dxa"/>
          </w:tcPr>
          <w:p>
            <w:pPr>
              <w:pStyle w:val="TableParagraph"/>
              <w:spacing w:before="159"/>
              <w:ind w:left="36" w:right="170"/>
              <w:jc w:val="center"/>
              <w:rPr>
                <w:sz w:val="24"/>
              </w:rPr>
            </w:pPr>
            <w:r>
              <w:rPr>
                <w:spacing w:val="-5"/>
                <w:sz w:val="24"/>
              </w:rPr>
              <w:t>250</w:t>
            </w:r>
          </w:p>
        </w:tc>
        <w:tc>
          <w:tcPr>
            <w:tcW w:w="1618" w:type="dxa"/>
          </w:tcPr>
          <w:p>
            <w:pPr>
              <w:pStyle w:val="TableParagraph"/>
              <w:spacing w:before="159"/>
              <w:ind w:left="105"/>
              <w:rPr>
                <w:sz w:val="24"/>
              </w:rPr>
            </w:pPr>
            <w:r>
              <w:rPr>
                <w:spacing w:val="-2"/>
                <w:sz w:val="24"/>
              </w:rPr>
              <w:t>144.25±0.95</w:t>
            </w:r>
            <w:r>
              <w:rPr>
                <w:spacing w:val="-2"/>
                <w:sz w:val="24"/>
                <w:vertAlign w:val="superscript"/>
              </w:rPr>
              <w:t>a</w:t>
            </w:r>
          </w:p>
        </w:tc>
        <w:tc>
          <w:tcPr>
            <w:tcW w:w="1229" w:type="dxa"/>
          </w:tcPr>
          <w:p>
            <w:pPr>
              <w:pStyle w:val="TableParagraph"/>
              <w:spacing w:before="159"/>
              <w:ind w:right="31"/>
              <w:jc w:val="center"/>
              <w:rPr>
                <w:sz w:val="24"/>
              </w:rPr>
            </w:pPr>
            <w:r>
              <w:rPr>
                <w:spacing w:val="-2"/>
                <w:sz w:val="24"/>
              </w:rPr>
              <w:t>5.17±0.25</w:t>
            </w:r>
          </w:p>
        </w:tc>
        <w:tc>
          <w:tcPr>
            <w:tcW w:w="1446" w:type="dxa"/>
          </w:tcPr>
          <w:p>
            <w:pPr>
              <w:pStyle w:val="TableParagraph"/>
              <w:spacing w:before="159"/>
              <w:ind w:right="70"/>
              <w:jc w:val="center"/>
              <w:rPr>
                <w:sz w:val="24"/>
              </w:rPr>
            </w:pPr>
            <w:r>
              <w:rPr>
                <w:spacing w:val="-2"/>
                <w:sz w:val="24"/>
              </w:rPr>
              <w:t>26.25±0.95</w:t>
            </w:r>
          </w:p>
        </w:tc>
        <w:tc>
          <w:tcPr>
            <w:tcW w:w="1338" w:type="dxa"/>
          </w:tcPr>
          <w:p>
            <w:pPr>
              <w:pStyle w:val="TableParagraph"/>
              <w:spacing w:before="159"/>
              <w:ind w:right="93"/>
              <w:jc w:val="center"/>
              <w:rPr>
                <w:sz w:val="24"/>
              </w:rPr>
            </w:pPr>
            <w:r>
              <w:rPr>
                <w:spacing w:val="-2"/>
                <w:sz w:val="24"/>
              </w:rPr>
              <w:t>5.37±0.05</w:t>
            </w:r>
          </w:p>
        </w:tc>
        <w:tc>
          <w:tcPr>
            <w:tcW w:w="1577" w:type="dxa"/>
          </w:tcPr>
          <w:p>
            <w:pPr>
              <w:pStyle w:val="TableParagraph"/>
              <w:spacing w:before="159"/>
              <w:ind w:left="8" w:right="68"/>
              <w:jc w:val="center"/>
              <w:rPr>
                <w:sz w:val="24"/>
              </w:rPr>
            </w:pPr>
            <w:r>
              <w:rPr>
                <w:spacing w:val="-2"/>
                <w:sz w:val="24"/>
              </w:rPr>
              <w:t>128.00±0.81</w:t>
            </w:r>
          </w:p>
        </w:tc>
      </w:tr>
      <w:tr>
        <w:trPr>
          <w:trHeight w:val="692" w:hRule="atLeast"/>
        </w:trPr>
        <w:tc>
          <w:tcPr>
            <w:tcW w:w="1075" w:type="dxa"/>
            <w:tcBorders>
              <w:bottom w:val="single" w:sz="4" w:space="0" w:color="000000"/>
            </w:tcBorders>
          </w:tcPr>
          <w:p>
            <w:pPr>
              <w:pStyle w:val="TableParagraph"/>
              <w:rPr>
                <w:sz w:val="22"/>
              </w:rPr>
            </w:pPr>
          </w:p>
        </w:tc>
        <w:tc>
          <w:tcPr>
            <w:tcW w:w="733" w:type="dxa"/>
            <w:tcBorders>
              <w:bottom w:val="single" w:sz="4" w:space="0" w:color="000000"/>
            </w:tcBorders>
          </w:tcPr>
          <w:p>
            <w:pPr>
              <w:pStyle w:val="TableParagraph"/>
              <w:spacing w:before="142"/>
              <w:ind w:left="36" w:right="170"/>
              <w:jc w:val="center"/>
              <w:rPr>
                <w:sz w:val="24"/>
              </w:rPr>
            </w:pPr>
            <w:r>
              <w:rPr>
                <w:spacing w:val="-5"/>
                <w:sz w:val="24"/>
              </w:rPr>
              <w:t>500</w:t>
            </w:r>
          </w:p>
        </w:tc>
        <w:tc>
          <w:tcPr>
            <w:tcW w:w="1618" w:type="dxa"/>
            <w:tcBorders>
              <w:bottom w:val="single" w:sz="4" w:space="0" w:color="000000"/>
            </w:tcBorders>
          </w:tcPr>
          <w:p>
            <w:pPr>
              <w:pStyle w:val="TableParagraph"/>
              <w:spacing w:before="142"/>
              <w:ind w:left="105"/>
              <w:rPr>
                <w:sz w:val="24"/>
              </w:rPr>
            </w:pPr>
            <w:r>
              <w:rPr>
                <w:spacing w:val="-2"/>
                <w:sz w:val="24"/>
              </w:rPr>
              <w:t>143.00±0.81</w:t>
            </w:r>
          </w:p>
        </w:tc>
        <w:tc>
          <w:tcPr>
            <w:tcW w:w="1229" w:type="dxa"/>
            <w:tcBorders>
              <w:bottom w:val="single" w:sz="4" w:space="0" w:color="000000"/>
            </w:tcBorders>
          </w:tcPr>
          <w:p>
            <w:pPr>
              <w:pStyle w:val="TableParagraph"/>
              <w:spacing w:before="142"/>
              <w:ind w:right="31"/>
              <w:jc w:val="center"/>
              <w:rPr>
                <w:sz w:val="24"/>
              </w:rPr>
            </w:pPr>
            <w:r>
              <w:rPr>
                <w:spacing w:val="-2"/>
                <w:sz w:val="24"/>
              </w:rPr>
              <w:t>5.20±0.18</w:t>
            </w:r>
          </w:p>
        </w:tc>
        <w:tc>
          <w:tcPr>
            <w:tcW w:w="1446" w:type="dxa"/>
            <w:tcBorders>
              <w:bottom w:val="single" w:sz="4" w:space="0" w:color="000000"/>
            </w:tcBorders>
          </w:tcPr>
          <w:p>
            <w:pPr>
              <w:pStyle w:val="TableParagraph"/>
              <w:spacing w:before="142"/>
              <w:ind w:left="69" w:right="70"/>
              <w:jc w:val="center"/>
              <w:rPr>
                <w:sz w:val="24"/>
              </w:rPr>
            </w:pPr>
            <w:r>
              <w:rPr>
                <w:spacing w:val="-2"/>
                <w:sz w:val="24"/>
              </w:rPr>
              <w:t>22.60±0.95</w:t>
            </w:r>
            <w:r>
              <w:rPr>
                <w:spacing w:val="-2"/>
                <w:sz w:val="24"/>
                <w:vertAlign w:val="superscript"/>
              </w:rPr>
              <w:t>a</w:t>
            </w:r>
          </w:p>
        </w:tc>
        <w:tc>
          <w:tcPr>
            <w:tcW w:w="1338" w:type="dxa"/>
            <w:tcBorders>
              <w:bottom w:val="single" w:sz="4" w:space="0" w:color="000000"/>
            </w:tcBorders>
          </w:tcPr>
          <w:p>
            <w:pPr>
              <w:pStyle w:val="TableParagraph"/>
              <w:spacing w:before="142"/>
              <w:ind w:left="71" w:right="93"/>
              <w:jc w:val="center"/>
              <w:rPr>
                <w:sz w:val="24"/>
              </w:rPr>
            </w:pPr>
            <w:r>
              <w:rPr>
                <w:spacing w:val="-2"/>
                <w:sz w:val="24"/>
              </w:rPr>
              <w:t>5.93±0.14</w:t>
            </w:r>
            <w:r>
              <w:rPr>
                <w:spacing w:val="-2"/>
                <w:sz w:val="24"/>
                <w:vertAlign w:val="superscript"/>
              </w:rPr>
              <w:t>a</w:t>
            </w:r>
          </w:p>
        </w:tc>
        <w:tc>
          <w:tcPr>
            <w:tcW w:w="1577" w:type="dxa"/>
            <w:tcBorders>
              <w:bottom w:val="single" w:sz="4" w:space="0" w:color="000000"/>
            </w:tcBorders>
          </w:tcPr>
          <w:p>
            <w:pPr>
              <w:pStyle w:val="TableParagraph"/>
              <w:spacing w:before="142"/>
              <w:ind w:left="68" w:right="60"/>
              <w:jc w:val="center"/>
              <w:rPr>
                <w:sz w:val="24"/>
              </w:rPr>
            </w:pPr>
            <w:r>
              <w:rPr>
                <w:spacing w:val="-2"/>
                <w:sz w:val="24"/>
              </w:rPr>
              <w:t>135.25±0.95</w:t>
            </w:r>
            <w:r>
              <w:rPr>
                <w:spacing w:val="-2"/>
                <w:sz w:val="24"/>
                <w:vertAlign w:val="superscript"/>
              </w:rPr>
              <w:t>a</w:t>
            </w:r>
          </w:p>
        </w:tc>
      </w:tr>
    </w:tbl>
    <w:p>
      <w:pPr>
        <w:spacing w:before="2"/>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6"/>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6"/>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6"/>
        <w:ind w:left="1028" w:right="0" w:firstLine="0"/>
        <w:jc w:val="left"/>
        <w:rPr>
          <w:sz w:val="22"/>
        </w:rPr>
      </w:pPr>
      <w:r>
        <w:rPr>
          <w:sz w:val="22"/>
          <w:vertAlign w:val="superscript"/>
        </w:rPr>
        <w:t>*</w:t>
      </w:r>
      <w:r>
        <w:rPr>
          <w:spacing w:val="1"/>
          <w:sz w:val="22"/>
          <w:vertAlign w:val="baseline"/>
        </w:rPr>
        <w:t> </w:t>
      </w:r>
      <w:r>
        <w:rPr>
          <w:sz w:val="22"/>
          <w:vertAlign w:val="baseline"/>
        </w:rPr>
        <w:t>=</w:t>
      </w:r>
      <w:r>
        <w:rPr>
          <w:spacing w:val="-7"/>
          <w:sz w:val="22"/>
          <w:vertAlign w:val="baseline"/>
        </w:rPr>
        <w:t> </w:t>
      </w:r>
      <w:r>
        <w:rPr>
          <w:sz w:val="22"/>
          <w:vertAlign w:val="baseline"/>
        </w:rPr>
        <w:t>ml/kg;</w:t>
      </w:r>
      <w:r>
        <w:rPr>
          <w:spacing w:val="-1"/>
          <w:sz w:val="22"/>
          <w:vertAlign w:val="baseline"/>
        </w:rPr>
        <w:t> </w:t>
      </w:r>
      <w:r>
        <w:rPr>
          <w:sz w:val="22"/>
          <w:vertAlign w:val="baseline"/>
        </w:rPr>
        <w:t>n</w:t>
      </w:r>
      <w:r>
        <w:rPr>
          <w:spacing w:val="-6"/>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3"/>
          <w:sz w:val="22"/>
          <w:vertAlign w:val="baseline"/>
        </w:rPr>
        <w:t> </w:t>
      </w:r>
      <w:r>
        <w:rPr>
          <w:sz w:val="22"/>
          <w:vertAlign w:val="baseline"/>
        </w:rPr>
        <w:t>rats);</w:t>
      </w:r>
      <w:r>
        <w:rPr>
          <w:spacing w:val="-6"/>
          <w:sz w:val="22"/>
          <w:vertAlign w:val="baseline"/>
        </w:rPr>
        <w:t> </w:t>
      </w:r>
      <w:r>
        <w:rPr>
          <w:sz w:val="22"/>
          <w:vertAlign w:val="baseline"/>
        </w:rPr>
        <w:t>Drug</w:t>
      </w:r>
      <w:r>
        <w:rPr>
          <w:spacing w:val="-11"/>
          <w:sz w:val="22"/>
          <w:vertAlign w:val="baseline"/>
        </w:rPr>
        <w:t> </w:t>
      </w:r>
      <w:r>
        <w:rPr>
          <w:sz w:val="22"/>
          <w:vertAlign w:val="baseline"/>
        </w:rPr>
        <w:t>administration;</w:t>
      </w:r>
      <w:r>
        <w:rPr>
          <w:spacing w:val="-1"/>
          <w:sz w:val="22"/>
          <w:vertAlign w:val="baseline"/>
        </w:rPr>
        <w:t> </w:t>
      </w:r>
      <w:r>
        <w:rPr>
          <w:sz w:val="22"/>
          <w:vertAlign w:val="baseline"/>
        </w:rPr>
        <w:t>p.o. daily</w:t>
      </w:r>
      <w:r>
        <w:rPr>
          <w:spacing w:val="-6"/>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after="0"/>
        <w:jc w:val="left"/>
        <w:rPr>
          <w:sz w:val="22"/>
        </w:rPr>
        <w:sectPr>
          <w:pgSz w:w="11910" w:h="16840"/>
          <w:pgMar w:header="0" w:footer="1012" w:top="1340" w:bottom="1200" w:left="960" w:right="620"/>
        </w:sectPr>
      </w:pPr>
    </w:p>
    <w:p>
      <w:pPr>
        <w:spacing w:before="64"/>
        <w:ind w:left="1028" w:right="0" w:firstLine="0"/>
        <w:jc w:val="left"/>
        <w:rPr>
          <w:sz w:val="22"/>
        </w:rPr>
      </w:pPr>
      <w:r>
        <w:rPr>
          <w:sz w:val="22"/>
        </w:rPr>
        <w:t>Values</w:t>
      </w:r>
      <w:r>
        <w:rPr>
          <w:spacing w:val="-3"/>
          <w:sz w:val="22"/>
        </w:rPr>
        <w:t> </w:t>
      </w:r>
      <w:r>
        <w:rPr>
          <w:sz w:val="22"/>
        </w:rPr>
        <w:t>are</w:t>
      </w:r>
      <w:r>
        <w:rPr>
          <w:spacing w:val="-4"/>
          <w:sz w:val="22"/>
        </w:rPr>
        <w:t> </w:t>
      </w:r>
      <w:r>
        <w:rPr>
          <w:sz w:val="22"/>
        </w:rPr>
        <w:t>mean</w:t>
      </w:r>
      <w:r>
        <w:rPr>
          <w:spacing w:val="-8"/>
          <w:sz w:val="22"/>
        </w:rPr>
        <w:t> </w:t>
      </w:r>
      <w:r>
        <w:rPr>
          <w:sz w:val="22"/>
        </w:rPr>
        <w:t>±</w:t>
      </w:r>
      <w:r>
        <w:rPr>
          <w:spacing w:val="-4"/>
          <w:sz w:val="22"/>
        </w:rPr>
        <w:t> </w:t>
      </w:r>
      <w:r>
        <w:rPr>
          <w:sz w:val="22"/>
        </w:rPr>
        <w:t>S.E.M.;</w:t>
      </w:r>
      <w:r>
        <w:rPr>
          <w:spacing w:val="-6"/>
          <w:sz w:val="22"/>
        </w:rPr>
        <w:t> </w:t>
      </w:r>
      <w:r>
        <w:rPr>
          <w:sz w:val="22"/>
        </w:rPr>
        <w:t>Data</w:t>
      </w:r>
      <w:r>
        <w:rPr>
          <w:spacing w:val="-9"/>
          <w:sz w:val="22"/>
        </w:rPr>
        <w:t> </w:t>
      </w:r>
      <w:r>
        <w:rPr>
          <w:sz w:val="22"/>
        </w:rPr>
        <w:t>analyzed</w:t>
      </w:r>
      <w:r>
        <w:rPr>
          <w:spacing w:val="-8"/>
          <w:sz w:val="22"/>
        </w:rPr>
        <w:t> </w:t>
      </w:r>
      <w:r>
        <w:rPr>
          <w:sz w:val="22"/>
        </w:rPr>
        <w:t>using</w:t>
      </w:r>
      <w:r>
        <w:rPr>
          <w:spacing w:val="-7"/>
          <w:sz w:val="22"/>
        </w:rPr>
        <w:t> </w:t>
      </w:r>
      <w:r>
        <w:rPr>
          <w:sz w:val="22"/>
        </w:rPr>
        <w:t>one</w:t>
      </w:r>
      <w:r>
        <w:rPr>
          <w:spacing w:val="-5"/>
          <w:sz w:val="22"/>
        </w:rPr>
        <w:t> </w:t>
      </w:r>
      <w:r>
        <w:rPr>
          <w:sz w:val="22"/>
        </w:rPr>
        <w:t>way</w:t>
      </w:r>
      <w:r>
        <w:rPr>
          <w:spacing w:val="-5"/>
          <w:sz w:val="22"/>
        </w:rPr>
        <w:t> </w:t>
      </w:r>
      <w:r>
        <w:rPr>
          <w:sz w:val="22"/>
        </w:rPr>
        <w:t>ANOVA</w:t>
      </w:r>
      <w:r>
        <w:rPr>
          <w:spacing w:val="-7"/>
          <w:sz w:val="22"/>
        </w:rPr>
        <w:t> </w:t>
      </w:r>
      <w:r>
        <w:rPr>
          <w:sz w:val="22"/>
        </w:rPr>
        <w:t>and</w:t>
      </w:r>
      <w:r>
        <w:rPr>
          <w:spacing w:val="-8"/>
          <w:sz w:val="22"/>
        </w:rPr>
        <w:t> </w:t>
      </w:r>
      <w:r>
        <w:rPr>
          <w:sz w:val="22"/>
        </w:rPr>
        <w:t>Bonferonni‟s</w:t>
      </w:r>
      <w:r>
        <w:rPr>
          <w:spacing w:val="-3"/>
          <w:sz w:val="22"/>
        </w:rPr>
        <w:t> </w:t>
      </w:r>
      <w:r>
        <w:rPr>
          <w:sz w:val="22"/>
        </w:rPr>
        <w:t>post</w:t>
      </w:r>
      <w:r>
        <w:rPr>
          <w:spacing w:val="-2"/>
          <w:sz w:val="22"/>
        </w:rPr>
        <w:t> </w:t>
      </w:r>
      <w:r>
        <w:rPr>
          <w:spacing w:val="-5"/>
          <w:sz w:val="22"/>
        </w:rPr>
        <w:t>hoc</w:t>
      </w:r>
    </w:p>
    <w:p>
      <w:pPr>
        <w:spacing w:before="126"/>
        <w:ind w:left="1028" w:right="0" w:firstLine="0"/>
        <w:jc w:val="left"/>
        <w:rPr>
          <w:sz w:val="22"/>
        </w:rPr>
      </w:pPr>
      <w:r>
        <w:rPr>
          <w:sz w:val="22"/>
          <w:vertAlign w:val="superscript"/>
        </w:rPr>
        <w:t>a</w:t>
      </w:r>
      <w:r>
        <w:rPr>
          <w:spacing w:val="-26"/>
          <w:sz w:val="22"/>
          <w:vertAlign w:val="baseline"/>
        </w:rPr>
        <w:t> </w:t>
      </w:r>
      <w:r>
        <w:rPr>
          <w:sz w:val="22"/>
          <w:vertAlign w:val="baseline"/>
        </w:rPr>
        <w:t>significantly</w:t>
      </w:r>
      <w:r>
        <w:rPr>
          <w:spacing w:val="-3"/>
          <w:sz w:val="22"/>
          <w:vertAlign w:val="baseline"/>
        </w:rPr>
        <w:t> </w:t>
      </w:r>
      <w:r>
        <w:rPr>
          <w:sz w:val="22"/>
          <w:vertAlign w:val="baseline"/>
        </w:rPr>
        <w:t>different from</w:t>
      </w:r>
      <w:r>
        <w:rPr>
          <w:spacing w:val="-9"/>
          <w:sz w:val="22"/>
          <w:vertAlign w:val="baseline"/>
        </w:rPr>
        <w:t> </w:t>
      </w:r>
      <w:r>
        <w:rPr>
          <w:sz w:val="22"/>
          <w:vertAlign w:val="baseline"/>
        </w:rPr>
        <w:t>the</w:t>
      </w:r>
      <w:r>
        <w:rPr>
          <w:spacing w:val="-7"/>
          <w:sz w:val="22"/>
          <w:vertAlign w:val="baseline"/>
        </w:rPr>
        <w:t> </w:t>
      </w:r>
      <w:r>
        <w:rPr>
          <w:sz w:val="22"/>
          <w:vertAlign w:val="baseline"/>
        </w:rPr>
        <w:t>control</w:t>
      </w:r>
      <w:r>
        <w:rPr>
          <w:spacing w:val="-5"/>
          <w:sz w:val="22"/>
          <w:vertAlign w:val="baseline"/>
        </w:rPr>
        <w:t> </w:t>
      </w:r>
      <w:r>
        <w:rPr>
          <w:sz w:val="22"/>
          <w:vertAlign w:val="baseline"/>
        </w:rPr>
        <w:t>group</w:t>
      </w:r>
      <w:r>
        <w:rPr>
          <w:spacing w:val="-1"/>
          <w:sz w:val="22"/>
          <w:vertAlign w:val="baseline"/>
        </w:rPr>
        <w:t> </w:t>
      </w:r>
      <w:r>
        <w:rPr>
          <w:sz w:val="22"/>
          <w:vertAlign w:val="baseline"/>
        </w:rPr>
        <w:t>at </w:t>
      </w:r>
      <w:r>
        <w:rPr>
          <w:spacing w:val="-2"/>
          <w:sz w:val="22"/>
          <w:vertAlign w:val="baseline"/>
        </w:rPr>
        <w:t>p&lt;0.05</w:t>
      </w:r>
    </w:p>
    <w:p>
      <w:pPr>
        <w:spacing w:before="126"/>
        <w:ind w:left="1028" w:right="0" w:firstLine="0"/>
        <w:jc w:val="left"/>
        <w:rPr>
          <w:sz w:val="22"/>
        </w:rPr>
      </w:pPr>
      <w:r>
        <w:rPr>
          <w:sz w:val="22"/>
          <w:vertAlign w:val="superscript"/>
        </w:rPr>
        <w:t>b</w:t>
      </w:r>
      <w:r>
        <w:rPr>
          <w:spacing w:val="-4"/>
          <w:sz w:val="22"/>
          <w:vertAlign w:val="baseline"/>
        </w:rPr>
        <w:t> </w:t>
      </w:r>
      <w:r>
        <w:rPr>
          <w:sz w:val="22"/>
          <w:vertAlign w:val="baseline"/>
        </w:rPr>
        <w:t>significantly</w:t>
      </w:r>
      <w:r>
        <w:rPr>
          <w:spacing w:val="-5"/>
          <w:sz w:val="22"/>
          <w:vertAlign w:val="baseline"/>
        </w:rPr>
        <w:t> </w:t>
      </w:r>
      <w:r>
        <w:rPr>
          <w:sz w:val="22"/>
          <w:vertAlign w:val="baseline"/>
        </w:rPr>
        <w:t>different</w:t>
      </w:r>
      <w:r>
        <w:rPr>
          <w:spacing w:val="-1"/>
          <w:sz w:val="22"/>
          <w:vertAlign w:val="baseline"/>
        </w:rPr>
        <w:t> </w:t>
      </w:r>
      <w:r>
        <w:rPr>
          <w:sz w:val="22"/>
          <w:vertAlign w:val="baseline"/>
        </w:rPr>
        <w:t>from</w:t>
      </w:r>
      <w:r>
        <w:rPr>
          <w:spacing w:val="-8"/>
          <w:sz w:val="22"/>
          <w:vertAlign w:val="baseline"/>
        </w:rPr>
        <w:t> </w:t>
      </w:r>
      <w:r>
        <w:rPr>
          <w:sz w:val="22"/>
          <w:vertAlign w:val="baseline"/>
        </w:rPr>
        <w:t>other</w:t>
      </w:r>
      <w:r>
        <w:rPr>
          <w:spacing w:val="1"/>
          <w:sz w:val="22"/>
          <w:vertAlign w:val="baseline"/>
        </w:rPr>
        <w:t> </w:t>
      </w:r>
      <w:r>
        <w:rPr>
          <w:sz w:val="22"/>
          <w:vertAlign w:val="baseline"/>
        </w:rPr>
        <w:t>groups</w:t>
      </w:r>
      <w:r>
        <w:rPr>
          <w:spacing w:val="-2"/>
          <w:sz w:val="22"/>
          <w:vertAlign w:val="baseline"/>
        </w:rPr>
        <w:t> </w:t>
      </w:r>
      <w:r>
        <w:rPr>
          <w:sz w:val="22"/>
          <w:vertAlign w:val="baseline"/>
        </w:rPr>
        <w:t>at</w:t>
      </w:r>
      <w:r>
        <w:rPr>
          <w:spacing w:val="-1"/>
          <w:sz w:val="22"/>
          <w:vertAlign w:val="baseline"/>
        </w:rPr>
        <w:t> </w:t>
      </w:r>
      <w:r>
        <w:rPr>
          <w:spacing w:val="-2"/>
          <w:sz w:val="22"/>
          <w:vertAlign w:val="baseline"/>
        </w:rPr>
        <w:t>p&lt;0.05</w:t>
      </w:r>
    </w:p>
    <w:p>
      <w:pPr>
        <w:pStyle w:val="BodyText"/>
        <w:spacing w:before="123"/>
        <w:ind w:left="1028"/>
      </w:pPr>
      <w:r>
        <w:rPr/>
        <w:t>Na</w:t>
      </w:r>
      <w:r>
        <w:rPr>
          <w:vertAlign w:val="superscript"/>
        </w:rPr>
        <w:t>+</w:t>
      </w:r>
      <w:r>
        <w:rPr>
          <w:spacing w:val="-1"/>
          <w:vertAlign w:val="baseline"/>
        </w:rPr>
        <w:t> </w:t>
      </w:r>
      <w:r>
        <w:rPr>
          <w:vertAlign w:val="baseline"/>
        </w:rPr>
        <w:t>=</w:t>
      </w:r>
      <w:r>
        <w:rPr>
          <w:spacing w:val="-1"/>
          <w:vertAlign w:val="baseline"/>
        </w:rPr>
        <w:t> </w:t>
      </w:r>
      <w:r>
        <w:rPr>
          <w:vertAlign w:val="baseline"/>
        </w:rPr>
        <w:t>sodium;</w:t>
      </w:r>
      <w:r>
        <w:rPr>
          <w:spacing w:val="-1"/>
          <w:vertAlign w:val="baseline"/>
        </w:rPr>
        <w:t> </w:t>
      </w:r>
      <w:r>
        <w:rPr>
          <w:vertAlign w:val="baseline"/>
        </w:rPr>
        <w:t>K</w:t>
      </w:r>
      <w:r>
        <w:rPr>
          <w:vertAlign w:val="superscript"/>
        </w:rPr>
        <w:t>+</w:t>
      </w:r>
      <w:r>
        <w:rPr>
          <w:spacing w:val="-20"/>
          <w:vertAlign w:val="baseline"/>
        </w:rPr>
        <w:t> </w:t>
      </w:r>
      <w:r>
        <w:rPr>
          <w:vertAlign w:val="baseline"/>
        </w:rPr>
        <w:t>=</w:t>
      </w:r>
      <w:r>
        <w:rPr>
          <w:spacing w:val="-1"/>
          <w:vertAlign w:val="baseline"/>
        </w:rPr>
        <w:t> </w:t>
      </w:r>
      <w:r>
        <w:rPr>
          <w:vertAlign w:val="baseline"/>
        </w:rPr>
        <w:t>potassium</w:t>
      </w:r>
      <w:r>
        <w:rPr>
          <w:spacing w:val="-8"/>
          <w:vertAlign w:val="baseline"/>
        </w:rPr>
        <w:t> </w:t>
      </w:r>
      <w:r>
        <w:rPr>
          <w:vertAlign w:val="baseline"/>
        </w:rPr>
        <w:t>and HCO</w:t>
      </w:r>
      <w:r>
        <w:rPr>
          <w:vertAlign w:val="subscript"/>
        </w:rPr>
        <w:t>3</w:t>
      </w:r>
      <w:r>
        <w:rPr>
          <w:vertAlign w:val="superscript"/>
        </w:rPr>
        <w:t>-</w:t>
      </w:r>
      <w:r>
        <w:rPr>
          <w:spacing w:val="-5"/>
          <w:vertAlign w:val="baseline"/>
        </w:rPr>
        <w:t> </w:t>
      </w:r>
      <w:r>
        <w:rPr>
          <w:vertAlign w:val="baseline"/>
        </w:rPr>
        <w:t>=</w:t>
      </w:r>
      <w:r>
        <w:rPr>
          <w:spacing w:val="-2"/>
          <w:vertAlign w:val="baseline"/>
        </w:rPr>
        <w:t> bicarbonate</w:t>
      </w:r>
    </w:p>
    <w:p>
      <w:pPr>
        <w:pStyle w:val="BodyText"/>
      </w:pPr>
    </w:p>
    <w:p>
      <w:pPr>
        <w:pStyle w:val="BodyText"/>
        <w:spacing w:before="7"/>
      </w:pPr>
    </w:p>
    <w:p>
      <w:pPr>
        <w:pStyle w:val="Heading2"/>
        <w:numPr>
          <w:ilvl w:val="1"/>
          <w:numId w:val="20"/>
        </w:numPr>
        <w:tabs>
          <w:tab w:pos="1748" w:val="left" w:leader="none"/>
        </w:tabs>
        <w:spacing w:line="360" w:lineRule="auto" w:before="0" w:after="0"/>
        <w:ind w:left="1748" w:right="806" w:hanging="721"/>
        <w:jc w:val="left"/>
      </w:pPr>
      <w:r>
        <w:rPr/>
        <w:t>Liver</w:t>
      </w:r>
      <w:r>
        <w:rPr>
          <w:spacing w:val="40"/>
        </w:rPr>
        <w:t> </w:t>
      </w:r>
      <w:r>
        <w:rPr/>
        <w:t>Function</w:t>
      </w:r>
      <w:r>
        <w:rPr>
          <w:spacing w:val="40"/>
        </w:rPr>
        <w:t> </w:t>
      </w:r>
      <w:r>
        <w:rPr/>
        <w:t>Enzymes</w:t>
      </w:r>
      <w:r>
        <w:rPr>
          <w:spacing w:val="40"/>
        </w:rPr>
        <w:t> </w:t>
      </w:r>
      <w:r>
        <w:rPr/>
        <w:t>and</w:t>
      </w:r>
      <w:r>
        <w:rPr>
          <w:spacing w:val="40"/>
        </w:rPr>
        <w:t> </w:t>
      </w:r>
      <w:r>
        <w:rPr/>
        <w:t>Serum</w:t>
      </w:r>
      <w:r>
        <w:rPr>
          <w:spacing w:val="40"/>
        </w:rPr>
        <w:t> </w:t>
      </w:r>
      <w:r>
        <w:rPr/>
        <w:t>Albumin</w:t>
      </w:r>
      <w:r>
        <w:rPr>
          <w:spacing w:val="40"/>
        </w:rPr>
        <w:t> </w:t>
      </w:r>
      <w:r>
        <w:rPr/>
        <w:t>in</w:t>
      </w:r>
      <w:r>
        <w:rPr>
          <w:spacing w:val="40"/>
        </w:rPr>
        <w:t> </w:t>
      </w:r>
      <w:r>
        <w:rPr/>
        <w:t>Male</w:t>
      </w:r>
      <w:r>
        <w:rPr>
          <w:spacing w:val="40"/>
        </w:rPr>
        <w:t> </w:t>
      </w:r>
      <w:r>
        <w:rPr/>
        <w:t>Wistar</w:t>
      </w:r>
      <w:r>
        <w:rPr>
          <w:spacing w:val="40"/>
        </w:rPr>
        <w:t> </w:t>
      </w:r>
      <w:r>
        <w:rPr/>
        <w:t>Rats</w:t>
      </w:r>
      <w:r>
        <w:rPr>
          <w:spacing w:val="40"/>
        </w:rPr>
        <w:t> </w:t>
      </w:r>
      <w:r>
        <w:rPr/>
        <w:t>that Received Undetoxified and Detoxified </w:t>
      </w:r>
      <w:r>
        <w:rPr>
          <w:i/>
        </w:rPr>
        <w:t>J. curcas </w:t>
      </w:r>
      <w:r>
        <w:rPr/>
        <w:t>Oils</w:t>
      </w:r>
    </w:p>
    <w:p>
      <w:pPr>
        <w:pStyle w:val="BodyText"/>
        <w:spacing w:before="130"/>
        <w:rPr>
          <w:b/>
        </w:rPr>
      </w:pPr>
    </w:p>
    <w:p>
      <w:pPr>
        <w:pStyle w:val="BodyText"/>
        <w:spacing w:line="480" w:lineRule="auto"/>
        <w:ind w:left="1028" w:right="796"/>
        <w:jc w:val="both"/>
      </w:pPr>
      <w:r>
        <w:rPr/>
        <w:t>The levels of liver test enzymes; Aspartate aminotransferase (AST), Alanine transaminase (ALT), Alkaline phosphatase (ALP) and Albumin (ALB) in the control group</w:t>
      </w:r>
      <w:r>
        <w:rPr>
          <w:spacing w:val="-2"/>
        </w:rPr>
        <w:t> </w:t>
      </w:r>
      <w:r>
        <w:rPr/>
        <w:t>were 14.5±1.73, 23.7±4.34, 3.70±3.36</w:t>
      </w:r>
      <w:r>
        <w:rPr>
          <w:spacing w:val="-2"/>
        </w:rPr>
        <w:t> </w:t>
      </w:r>
      <w:r>
        <w:rPr/>
        <w:t>and 32.50±4.35 respectively. The effect of 125 and 250 mg/kg on the serum liver enzyme and albumin in both undetoxified and detoxified oils were not as pronounced as those of 500 mg/kg. Both 500 mg/kg of undetoxified and detoxified </w:t>
      </w:r>
      <w:r>
        <w:rPr>
          <w:i/>
        </w:rPr>
        <w:t>J</w:t>
      </w:r>
      <w:r>
        <w:rPr/>
        <w:t>. </w:t>
      </w:r>
      <w:r>
        <w:rPr>
          <w:i/>
        </w:rPr>
        <w:t>curcas </w:t>
      </w:r>
      <w:r>
        <w:rPr/>
        <w:t>oil produced significantly (p&lt;0.05) increased levels of AST, ALT, ALP enzymes and ALB compared to the control. However, the undetoxified produced higher levels of AST enzyme compared to the detoxified oil (Table 4.11).</w:t>
      </w:r>
    </w:p>
    <w:p>
      <w:pPr>
        <w:pStyle w:val="BodyText"/>
      </w:pPr>
    </w:p>
    <w:p>
      <w:pPr>
        <w:pStyle w:val="BodyText"/>
        <w:spacing w:before="6"/>
      </w:pPr>
    </w:p>
    <w:p>
      <w:pPr>
        <w:pStyle w:val="Heading2"/>
        <w:spacing w:line="362" w:lineRule="auto" w:before="1"/>
        <w:ind w:left="1028" w:right="802" w:firstLine="0"/>
      </w:pPr>
      <w:r>
        <w:rPr/>
        <w:t>Table 4.11:</w:t>
      </w:r>
      <w:r>
        <w:rPr>
          <w:spacing w:val="80"/>
        </w:rPr>
        <w:t> </w:t>
      </w:r>
      <w:r>
        <w:rPr/>
        <w:t>Liver Function Enzymes and Serum Albumin in Male Wistar Rats that Received Undetoxified and Detoxified </w:t>
      </w:r>
      <w:r>
        <w:rPr>
          <w:i/>
        </w:rPr>
        <w:t>Jatropha curcas </w:t>
      </w:r>
      <w:r>
        <w:rPr/>
        <w:t>Oils</w:t>
      </w:r>
    </w:p>
    <w:p>
      <w:pPr>
        <w:pStyle w:val="BodyText"/>
        <w:spacing w:before="183"/>
        <w:rPr>
          <w:b/>
          <w:sz w:val="20"/>
        </w:rPr>
      </w:pPr>
    </w:p>
    <w:tbl>
      <w:tblPr>
        <w:tblW w:w="0" w:type="auto"/>
        <w:jc w:val="left"/>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1"/>
        <w:gridCol w:w="1559"/>
        <w:gridCol w:w="1458"/>
        <w:gridCol w:w="1389"/>
        <w:gridCol w:w="1417"/>
        <w:gridCol w:w="1429"/>
      </w:tblGrid>
      <w:tr>
        <w:trPr>
          <w:trHeight w:val="412" w:hRule="atLeast"/>
        </w:trPr>
        <w:tc>
          <w:tcPr>
            <w:tcW w:w="8483" w:type="dxa"/>
            <w:gridSpan w:val="6"/>
            <w:tcBorders>
              <w:top w:val="single" w:sz="4" w:space="0" w:color="000000"/>
            </w:tcBorders>
          </w:tcPr>
          <w:p>
            <w:pPr>
              <w:pStyle w:val="TableParagraph"/>
              <w:tabs>
                <w:tab w:pos="1456" w:val="left" w:leader="none"/>
                <w:tab w:pos="4701" w:val="left" w:leader="none"/>
              </w:tabs>
              <w:spacing w:before="49"/>
              <w:ind w:left="110"/>
              <w:rPr>
                <w:sz w:val="24"/>
              </w:rPr>
            </w:pPr>
            <w:r>
              <w:rPr>
                <w:spacing w:val="-2"/>
                <w:sz w:val="24"/>
              </w:rPr>
              <w:t>Treatment</w:t>
            </w:r>
            <w:r>
              <w:rPr>
                <w:sz w:val="24"/>
              </w:rPr>
              <w:tab/>
              <w:t>Dose</w:t>
            </w:r>
            <w:r>
              <w:rPr>
                <w:spacing w:val="-4"/>
                <w:sz w:val="24"/>
              </w:rPr>
              <w:t> </w:t>
            </w:r>
            <w:r>
              <w:rPr>
                <w:spacing w:val="-2"/>
                <w:sz w:val="24"/>
              </w:rPr>
              <w:t>(mg/kg)</w:t>
            </w:r>
            <w:r>
              <w:rPr>
                <w:sz w:val="24"/>
              </w:rPr>
              <w:tab/>
              <w:t>Liver</w:t>
            </w:r>
            <w:r>
              <w:rPr>
                <w:spacing w:val="-6"/>
                <w:sz w:val="24"/>
              </w:rPr>
              <w:t> </w:t>
            </w:r>
            <w:r>
              <w:rPr>
                <w:sz w:val="24"/>
              </w:rPr>
              <w:t>function</w:t>
            </w:r>
            <w:r>
              <w:rPr>
                <w:spacing w:val="-12"/>
                <w:sz w:val="24"/>
              </w:rPr>
              <w:t> </w:t>
            </w:r>
            <w:r>
              <w:rPr>
                <w:spacing w:val="-2"/>
                <w:sz w:val="24"/>
              </w:rPr>
              <w:t>enzymes</w:t>
            </w:r>
          </w:p>
        </w:tc>
      </w:tr>
      <w:tr>
        <w:trPr>
          <w:trHeight w:val="407" w:hRule="atLeast"/>
        </w:trPr>
        <w:tc>
          <w:tcPr>
            <w:tcW w:w="1231" w:type="dxa"/>
            <w:tcBorders>
              <w:bottom w:val="single" w:sz="4" w:space="0" w:color="000000"/>
            </w:tcBorders>
          </w:tcPr>
          <w:p>
            <w:pPr>
              <w:pStyle w:val="TableParagraph"/>
              <w:rPr>
                <w:sz w:val="22"/>
              </w:rPr>
            </w:pPr>
          </w:p>
        </w:tc>
        <w:tc>
          <w:tcPr>
            <w:tcW w:w="1559" w:type="dxa"/>
            <w:tcBorders>
              <w:bottom w:val="single" w:sz="4" w:space="0" w:color="000000"/>
            </w:tcBorders>
          </w:tcPr>
          <w:p>
            <w:pPr>
              <w:pStyle w:val="TableParagraph"/>
              <w:rPr>
                <w:sz w:val="22"/>
              </w:rPr>
            </w:pPr>
          </w:p>
        </w:tc>
        <w:tc>
          <w:tcPr>
            <w:tcW w:w="1458" w:type="dxa"/>
            <w:tcBorders>
              <w:top w:val="single" w:sz="4" w:space="0" w:color="000000"/>
              <w:bottom w:val="single" w:sz="4" w:space="0" w:color="000000"/>
            </w:tcBorders>
          </w:tcPr>
          <w:p>
            <w:pPr>
              <w:pStyle w:val="TableParagraph"/>
              <w:spacing w:before="49"/>
              <w:ind w:left="46" w:right="151"/>
              <w:jc w:val="center"/>
              <w:rPr>
                <w:sz w:val="24"/>
              </w:rPr>
            </w:pPr>
            <w:r>
              <w:rPr>
                <w:sz w:val="24"/>
              </w:rPr>
              <w:t>AST</w:t>
            </w:r>
            <w:r>
              <w:rPr>
                <w:spacing w:val="-4"/>
                <w:sz w:val="24"/>
              </w:rPr>
              <w:t> </w:t>
            </w:r>
            <w:r>
              <w:rPr>
                <w:spacing w:val="-2"/>
                <w:sz w:val="24"/>
              </w:rPr>
              <w:t>(IU/L)</w:t>
            </w:r>
          </w:p>
        </w:tc>
        <w:tc>
          <w:tcPr>
            <w:tcW w:w="1389" w:type="dxa"/>
            <w:tcBorders>
              <w:top w:val="single" w:sz="4" w:space="0" w:color="000000"/>
              <w:bottom w:val="single" w:sz="4" w:space="0" w:color="000000"/>
            </w:tcBorders>
          </w:tcPr>
          <w:p>
            <w:pPr>
              <w:pStyle w:val="TableParagraph"/>
              <w:spacing w:before="49"/>
              <w:ind w:left="61" w:right="79"/>
              <w:jc w:val="center"/>
              <w:rPr>
                <w:sz w:val="24"/>
              </w:rPr>
            </w:pPr>
            <w:r>
              <w:rPr>
                <w:sz w:val="24"/>
              </w:rPr>
              <w:t>ALT</w:t>
            </w:r>
            <w:r>
              <w:rPr>
                <w:spacing w:val="-2"/>
                <w:sz w:val="24"/>
              </w:rPr>
              <w:t> (IU/L)</w:t>
            </w:r>
          </w:p>
        </w:tc>
        <w:tc>
          <w:tcPr>
            <w:tcW w:w="1417" w:type="dxa"/>
            <w:tcBorders>
              <w:top w:val="single" w:sz="4" w:space="0" w:color="000000"/>
              <w:bottom w:val="single" w:sz="4" w:space="0" w:color="000000"/>
            </w:tcBorders>
          </w:tcPr>
          <w:p>
            <w:pPr>
              <w:pStyle w:val="TableParagraph"/>
              <w:spacing w:before="49"/>
              <w:ind w:left="46" w:right="61"/>
              <w:jc w:val="center"/>
              <w:rPr>
                <w:sz w:val="24"/>
              </w:rPr>
            </w:pPr>
            <w:r>
              <w:rPr>
                <w:sz w:val="24"/>
              </w:rPr>
              <w:t>ALP</w:t>
            </w:r>
            <w:r>
              <w:rPr>
                <w:spacing w:val="-2"/>
                <w:sz w:val="24"/>
              </w:rPr>
              <w:t> (IU/L)</w:t>
            </w:r>
          </w:p>
        </w:tc>
        <w:tc>
          <w:tcPr>
            <w:tcW w:w="1429" w:type="dxa"/>
            <w:tcBorders>
              <w:top w:val="single" w:sz="4" w:space="0" w:color="000000"/>
              <w:bottom w:val="single" w:sz="4" w:space="0" w:color="000000"/>
            </w:tcBorders>
          </w:tcPr>
          <w:p>
            <w:pPr>
              <w:pStyle w:val="TableParagraph"/>
              <w:spacing w:before="49"/>
              <w:ind w:left="124"/>
              <w:rPr>
                <w:sz w:val="24"/>
              </w:rPr>
            </w:pPr>
            <w:r>
              <w:rPr>
                <w:sz w:val="24"/>
              </w:rPr>
              <w:t>ALB</w:t>
            </w:r>
            <w:r>
              <w:rPr>
                <w:spacing w:val="-4"/>
                <w:sz w:val="24"/>
              </w:rPr>
              <w:t> </w:t>
            </w:r>
            <w:r>
              <w:rPr>
                <w:spacing w:val="-2"/>
                <w:sz w:val="24"/>
              </w:rPr>
              <w:t>(g/dL)</w:t>
            </w:r>
          </w:p>
        </w:tc>
      </w:tr>
      <w:tr>
        <w:trPr>
          <w:trHeight w:val="459" w:hRule="atLeast"/>
        </w:trPr>
        <w:tc>
          <w:tcPr>
            <w:tcW w:w="1231" w:type="dxa"/>
            <w:tcBorders>
              <w:top w:val="single" w:sz="4" w:space="0" w:color="000000"/>
            </w:tcBorders>
          </w:tcPr>
          <w:p>
            <w:pPr>
              <w:pStyle w:val="TableParagraph"/>
              <w:spacing w:before="49"/>
              <w:ind w:left="110"/>
              <w:rPr>
                <w:sz w:val="24"/>
              </w:rPr>
            </w:pPr>
            <w:r>
              <w:rPr>
                <w:sz w:val="24"/>
              </w:rPr>
              <w:t>Olive</w:t>
            </w:r>
            <w:r>
              <w:rPr>
                <w:spacing w:val="-5"/>
                <w:sz w:val="24"/>
              </w:rPr>
              <w:t> oil</w:t>
            </w:r>
          </w:p>
        </w:tc>
        <w:tc>
          <w:tcPr>
            <w:tcW w:w="1559" w:type="dxa"/>
            <w:tcBorders>
              <w:top w:val="single" w:sz="4" w:space="0" w:color="000000"/>
            </w:tcBorders>
          </w:tcPr>
          <w:p>
            <w:pPr>
              <w:pStyle w:val="TableParagraph"/>
              <w:spacing w:before="49"/>
              <w:ind w:left="276"/>
              <w:rPr>
                <w:sz w:val="24"/>
              </w:rPr>
            </w:pPr>
            <w:r>
              <w:rPr>
                <w:spacing w:val="-5"/>
                <w:sz w:val="24"/>
              </w:rPr>
              <w:t>10</w:t>
            </w:r>
            <w:r>
              <w:rPr>
                <w:spacing w:val="-5"/>
                <w:sz w:val="24"/>
                <w:vertAlign w:val="superscript"/>
              </w:rPr>
              <w:t>*</w:t>
            </w:r>
          </w:p>
        </w:tc>
        <w:tc>
          <w:tcPr>
            <w:tcW w:w="1458" w:type="dxa"/>
            <w:tcBorders>
              <w:top w:val="single" w:sz="4" w:space="0" w:color="000000"/>
            </w:tcBorders>
          </w:tcPr>
          <w:p>
            <w:pPr>
              <w:pStyle w:val="TableParagraph"/>
              <w:spacing w:before="49"/>
              <w:ind w:right="151"/>
              <w:jc w:val="center"/>
              <w:rPr>
                <w:sz w:val="24"/>
              </w:rPr>
            </w:pPr>
            <w:r>
              <w:rPr>
                <w:spacing w:val="-2"/>
                <w:sz w:val="24"/>
              </w:rPr>
              <w:t>14.50±1.73</w:t>
            </w:r>
          </w:p>
        </w:tc>
        <w:tc>
          <w:tcPr>
            <w:tcW w:w="1389" w:type="dxa"/>
            <w:tcBorders>
              <w:top w:val="single" w:sz="4" w:space="0" w:color="000000"/>
            </w:tcBorders>
          </w:tcPr>
          <w:p>
            <w:pPr>
              <w:pStyle w:val="TableParagraph"/>
              <w:spacing w:before="49"/>
              <w:ind w:right="79"/>
              <w:jc w:val="center"/>
              <w:rPr>
                <w:sz w:val="24"/>
              </w:rPr>
            </w:pPr>
            <w:r>
              <w:rPr>
                <w:spacing w:val="-2"/>
                <w:sz w:val="24"/>
              </w:rPr>
              <w:t>23.75±4.34</w:t>
            </w:r>
          </w:p>
        </w:tc>
        <w:tc>
          <w:tcPr>
            <w:tcW w:w="1417" w:type="dxa"/>
            <w:tcBorders>
              <w:top w:val="single" w:sz="4" w:space="0" w:color="000000"/>
            </w:tcBorders>
          </w:tcPr>
          <w:p>
            <w:pPr>
              <w:pStyle w:val="TableParagraph"/>
              <w:spacing w:before="49"/>
              <w:ind w:left="7" w:right="68"/>
              <w:jc w:val="center"/>
              <w:rPr>
                <w:sz w:val="24"/>
              </w:rPr>
            </w:pPr>
            <w:r>
              <w:rPr>
                <w:spacing w:val="-2"/>
                <w:sz w:val="24"/>
              </w:rPr>
              <w:t>32.50±4.35</w:t>
            </w:r>
          </w:p>
        </w:tc>
        <w:tc>
          <w:tcPr>
            <w:tcW w:w="1429" w:type="dxa"/>
            <w:tcBorders>
              <w:top w:val="single" w:sz="4" w:space="0" w:color="000000"/>
            </w:tcBorders>
          </w:tcPr>
          <w:p>
            <w:pPr>
              <w:pStyle w:val="TableParagraph"/>
              <w:spacing w:before="49"/>
              <w:ind w:left="124"/>
              <w:rPr>
                <w:sz w:val="24"/>
              </w:rPr>
            </w:pPr>
            <w:r>
              <w:rPr>
                <w:spacing w:val="-2"/>
                <w:sz w:val="24"/>
              </w:rPr>
              <w:t>3.70±3.36</w:t>
            </w:r>
          </w:p>
        </w:tc>
      </w:tr>
      <w:tr>
        <w:trPr>
          <w:trHeight w:val="516" w:hRule="atLeast"/>
        </w:trPr>
        <w:tc>
          <w:tcPr>
            <w:tcW w:w="1231" w:type="dxa"/>
          </w:tcPr>
          <w:p>
            <w:pPr>
              <w:pStyle w:val="TableParagraph"/>
              <w:spacing w:before="123"/>
              <w:ind w:left="110"/>
              <w:rPr>
                <w:sz w:val="24"/>
              </w:rPr>
            </w:pPr>
            <w:r>
              <w:rPr>
                <w:spacing w:val="-5"/>
                <w:sz w:val="24"/>
              </w:rPr>
              <w:t>UME</w:t>
            </w:r>
          </w:p>
        </w:tc>
        <w:tc>
          <w:tcPr>
            <w:tcW w:w="1559" w:type="dxa"/>
          </w:tcPr>
          <w:p>
            <w:pPr>
              <w:pStyle w:val="TableParagraph"/>
              <w:spacing w:before="123"/>
              <w:ind w:left="276"/>
              <w:rPr>
                <w:sz w:val="24"/>
              </w:rPr>
            </w:pPr>
            <w:r>
              <w:rPr>
                <w:spacing w:val="-5"/>
                <w:sz w:val="24"/>
              </w:rPr>
              <w:t>125</w:t>
            </w:r>
          </w:p>
        </w:tc>
        <w:tc>
          <w:tcPr>
            <w:tcW w:w="1458" w:type="dxa"/>
          </w:tcPr>
          <w:p>
            <w:pPr>
              <w:pStyle w:val="TableParagraph"/>
              <w:spacing w:before="123"/>
              <w:ind w:right="151"/>
              <w:jc w:val="center"/>
              <w:rPr>
                <w:sz w:val="24"/>
              </w:rPr>
            </w:pPr>
            <w:r>
              <w:rPr>
                <w:spacing w:val="-2"/>
                <w:sz w:val="24"/>
              </w:rPr>
              <w:t>17.00±1.15</w:t>
            </w:r>
          </w:p>
        </w:tc>
        <w:tc>
          <w:tcPr>
            <w:tcW w:w="1389" w:type="dxa"/>
          </w:tcPr>
          <w:p>
            <w:pPr>
              <w:pStyle w:val="TableParagraph"/>
              <w:spacing w:before="123"/>
              <w:ind w:right="79"/>
              <w:jc w:val="center"/>
              <w:rPr>
                <w:sz w:val="24"/>
              </w:rPr>
            </w:pPr>
            <w:r>
              <w:rPr>
                <w:spacing w:val="-2"/>
                <w:sz w:val="24"/>
              </w:rPr>
              <w:t>24.75±0.95</w:t>
            </w:r>
          </w:p>
        </w:tc>
        <w:tc>
          <w:tcPr>
            <w:tcW w:w="1417" w:type="dxa"/>
          </w:tcPr>
          <w:p>
            <w:pPr>
              <w:pStyle w:val="TableParagraph"/>
              <w:spacing w:before="123"/>
              <w:ind w:left="7" w:right="68"/>
              <w:jc w:val="center"/>
              <w:rPr>
                <w:sz w:val="24"/>
              </w:rPr>
            </w:pPr>
            <w:r>
              <w:rPr>
                <w:spacing w:val="-2"/>
                <w:sz w:val="24"/>
              </w:rPr>
              <w:t>37.00±1.63</w:t>
            </w:r>
          </w:p>
        </w:tc>
        <w:tc>
          <w:tcPr>
            <w:tcW w:w="1429" w:type="dxa"/>
          </w:tcPr>
          <w:p>
            <w:pPr>
              <w:pStyle w:val="TableParagraph"/>
              <w:spacing w:before="123"/>
              <w:ind w:left="124"/>
              <w:rPr>
                <w:sz w:val="24"/>
              </w:rPr>
            </w:pPr>
            <w:r>
              <w:rPr>
                <w:spacing w:val="-2"/>
                <w:sz w:val="24"/>
              </w:rPr>
              <w:t>3.80±1.82</w:t>
            </w:r>
          </w:p>
        </w:tc>
      </w:tr>
      <w:tr>
        <w:trPr>
          <w:trHeight w:val="535" w:hRule="atLeast"/>
        </w:trPr>
        <w:tc>
          <w:tcPr>
            <w:tcW w:w="1231" w:type="dxa"/>
          </w:tcPr>
          <w:p>
            <w:pPr>
              <w:pStyle w:val="TableParagraph"/>
              <w:rPr>
                <w:sz w:val="22"/>
              </w:rPr>
            </w:pPr>
          </w:p>
        </w:tc>
        <w:tc>
          <w:tcPr>
            <w:tcW w:w="1559" w:type="dxa"/>
          </w:tcPr>
          <w:p>
            <w:pPr>
              <w:pStyle w:val="TableParagraph"/>
              <w:spacing w:before="144"/>
              <w:ind w:left="276"/>
              <w:rPr>
                <w:sz w:val="24"/>
              </w:rPr>
            </w:pPr>
            <w:r>
              <w:rPr>
                <w:spacing w:val="-5"/>
                <w:sz w:val="24"/>
              </w:rPr>
              <w:t>250</w:t>
            </w:r>
          </w:p>
        </w:tc>
        <w:tc>
          <w:tcPr>
            <w:tcW w:w="1458" w:type="dxa"/>
          </w:tcPr>
          <w:p>
            <w:pPr>
              <w:pStyle w:val="TableParagraph"/>
              <w:spacing w:before="144"/>
              <w:ind w:left="71" w:right="151"/>
              <w:jc w:val="center"/>
              <w:rPr>
                <w:sz w:val="24"/>
              </w:rPr>
            </w:pPr>
            <w:r>
              <w:rPr>
                <w:spacing w:val="-2"/>
                <w:sz w:val="24"/>
              </w:rPr>
              <w:t>19.50±0.57</w:t>
            </w:r>
            <w:r>
              <w:rPr>
                <w:spacing w:val="-2"/>
                <w:sz w:val="24"/>
                <w:vertAlign w:val="superscript"/>
              </w:rPr>
              <w:t>a</w:t>
            </w:r>
          </w:p>
        </w:tc>
        <w:tc>
          <w:tcPr>
            <w:tcW w:w="1389" w:type="dxa"/>
          </w:tcPr>
          <w:p>
            <w:pPr>
              <w:pStyle w:val="TableParagraph"/>
              <w:spacing w:before="144"/>
              <w:ind w:right="79"/>
              <w:jc w:val="center"/>
              <w:rPr>
                <w:sz w:val="24"/>
              </w:rPr>
            </w:pPr>
            <w:r>
              <w:rPr>
                <w:spacing w:val="-2"/>
                <w:sz w:val="24"/>
              </w:rPr>
              <w:t>25.00±1.15</w:t>
            </w:r>
          </w:p>
        </w:tc>
        <w:tc>
          <w:tcPr>
            <w:tcW w:w="1417" w:type="dxa"/>
          </w:tcPr>
          <w:p>
            <w:pPr>
              <w:pStyle w:val="TableParagraph"/>
              <w:spacing w:before="144"/>
              <w:ind w:left="7" w:right="68"/>
              <w:jc w:val="center"/>
              <w:rPr>
                <w:sz w:val="24"/>
              </w:rPr>
            </w:pPr>
            <w:r>
              <w:rPr>
                <w:spacing w:val="-2"/>
                <w:sz w:val="24"/>
              </w:rPr>
              <w:t>31.00±0.11</w:t>
            </w:r>
          </w:p>
        </w:tc>
        <w:tc>
          <w:tcPr>
            <w:tcW w:w="1429" w:type="dxa"/>
          </w:tcPr>
          <w:p>
            <w:pPr>
              <w:pStyle w:val="TableParagraph"/>
              <w:spacing w:before="144"/>
              <w:ind w:left="124"/>
              <w:rPr>
                <w:sz w:val="24"/>
              </w:rPr>
            </w:pPr>
            <w:r>
              <w:rPr>
                <w:spacing w:val="-2"/>
                <w:sz w:val="24"/>
              </w:rPr>
              <w:t>3.75±0.57</w:t>
            </w:r>
          </w:p>
        </w:tc>
      </w:tr>
      <w:tr>
        <w:trPr>
          <w:trHeight w:val="551" w:hRule="atLeast"/>
        </w:trPr>
        <w:tc>
          <w:tcPr>
            <w:tcW w:w="1231" w:type="dxa"/>
          </w:tcPr>
          <w:p>
            <w:pPr>
              <w:pStyle w:val="TableParagraph"/>
              <w:rPr>
                <w:sz w:val="22"/>
              </w:rPr>
            </w:pPr>
          </w:p>
        </w:tc>
        <w:tc>
          <w:tcPr>
            <w:tcW w:w="1559" w:type="dxa"/>
          </w:tcPr>
          <w:p>
            <w:pPr>
              <w:pStyle w:val="TableParagraph"/>
              <w:spacing w:before="142"/>
              <w:ind w:left="276"/>
              <w:rPr>
                <w:sz w:val="24"/>
              </w:rPr>
            </w:pPr>
            <w:r>
              <w:rPr>
                <w:spacing w:val="-5"/>
                <w:sz w:val="24"/>
              </w:rPr>
              <w:t>500</w:t>
            </w:r>
          </w:p>
        </w:tc>
        <w:tc>
          <w:tcPr>
            <w:tcW w:w="1458" w:type="dxa"/>
          </w:tcPr>
          <w:p>
            <w:pPr>
              <w:pStyle w:val="TableParagraph"/>
              <w:spacing w:before="142"/>
              <w:ind w:right="1"/>
              <w:jc w:val="center"/>
              <w:rPr>
                <w:sz w:val="24"/>
              </w:rPr>
            </w:pPr>
            <w:r>
              <w:rPr>
                <w:spacing w:val="-2"/>
                <w:sz w:val="24"/>
              </w:rPr>
              <w:t>35.00±0.00</w:t>
            </w:r>
            <w:r>
              <w:rPr>
                <w:spacing w:val="-2"/>
                <w:sz w:val="24"/>
                <w:vertAlign w:val="superscript"/>
              </w:rPr>
              <w:t>ab</w:t>
            </w:r>
          </w:p>
        </w:tc>
        <w:tc>
          <w:tcPr>
            <w:tcW w:w="1389" w:type="dxa"/>
          </w:tcPr>
          <w:p>
            <w:pPr>
              <w:pStyle w:val="TableParagraph"/>
              <w:spacing w:before="142"/>
              <w:ind w:right="79"/>
              <w:jc w:val="center"/>
              <w:rPr>
                <w:sz w:val="24"/>
              </w:rPr>
            </w:pPr>
            <w:r>
              <w:rPr>
                <w:spacing w:val="-2"/>
                <w:sz w:val="24"/>
              </w:rPr>
              <w:t>28.00±0.00</w:t>
            </w:r>
          </w:p>
        </w:tc>
        <w:tc>
          <w:tcPr>
            <w:tcW w:w="1417" w:type="dxa"/>
          </w:tcPr>
          <w:p>
            <w:pPr>
              <w:pStyle w:val="TableParagraph"/>
              <w:spacing w:before="142"/>
              <w:ind w:left="68" w:right="61"/>
              <w:jc w:val="center"/>
              <w:rPr>
                <w:sz w:val="24"/>
              </w:rPr>
            </w:pPr>
            <w:r>
              <w:rPr>
                <w:spacing w:val="-2"/>
                <w:sz w:val="24"/>
              </w:rPr>
              <w:t>45.00±0.00</w:t>
            </w:r>
            <w:r>
              <w:rPr>
                <w:spacing w:val="-2"/>
                <w:sz w:val="24"/>
                <w:vertAlign w:val="superscript"/>
              </w:rPr>
              <w:t>a</w:t>
            </w:r>
          </w:p>
        </w:tc>
        <w:tc>
          <w:tcPr>
            <w:tcW w:w="1429" w:type="dxa"/>
          </w:tcPr>
          <w:p>
            <w:pPr>
              <w:pStyle w:val="TableParagraph"/>
              <w:spacing w:before="142"/>
              <w:ind w:left="124"/>
              <w:rPr>
                <w:sz w:val="24"/>
              </w:rPr>
            </w:pPr>
            <w:r>
              <w:rPr>
                <w:spacing w:val="-2"/>
                <w:sz w:val="24"/>
              </w:rPr>
              <w:t>4.30±0.00</w:t>
            </w:r>
            <w:r>
              <w:rPr>
                <w:spacing w:val="-2"/>
                <w:sz w:val="24"/>
                <w:vertAlign w:val="superscript"/>
              </w:rPr>
              <w:t>a</w:t>
            </w:r>
          </w:p>
        </w:tc>
      </w:tr>
      <w:tr>
        <w:trPr>
          <w:trHeight w:val="399" w:hRule="atLeast"/>
        </w:trPr>
        <w:tc>
          <w:tcPr>
            <w:tcW w:w="1231" w:type="dxa"/>
          </w:tcPr>
          <w:p>
            <w:pPr>
              <w:pStyle w:val="TableParagraph"/>
              <w:spacing w:line="256" w:lineRule="exact" w:before="123"/>
              <w:ind w:left="110"/>
              <w:rPr>
                <w:sz w:val="24"/>
              </w:rPr>
            </w:pPr>
            <w:r>
              <w:rPr>
                <w:spacing w:val="-4"/>
                <w:sz w:val="24"/>
              </w:rPr>
              <w:t>SDME</w:t>
            </w:r>
          </w:p>
        </w:tc>
        <w:tc>
          <w:tcPr>
            <w:tcW w:w="1559" w:type="dxa"/>
          </w:tcPr>
          <w:p>
            <w:pPr>
              <w:pStyle w:val="TableParagraph"/>
              <w:spacing w:line="256" w:lineRule="exact" w:before="123"/>
              <w:ind w:left="276"/>
              <w:rPr>
                <w:sz w:val="24"/>
              </w:rPr>
            </w:pPr>
            <w:r>
              <w:rPr>
                <w:spacing w:val="-5"/>
                <w:sz w:val="24"/>
              </w:rPr>
              <w:t>125</w:t>
            </w:r>
          </w:p>
        </w:tc>
        <w:tc>
          <w:tcPr>
            <w:tcW w:w="1458" w:type="dxa"/>
          </w:tcPr>
          <w:p>
            <w:pPr>
              <w:pStyle w:val="TableParagraph"/>
              <w:spacing w:line="256" w:lineRule="exact" w:before="123"/>
              <w:ind w:right="151"/>
              <w:jc w:val="center"/>
              <w:rPr>
                <w:sz w:val="24"/>
              </w:rPr>
            </w:pPr>
            <w:r>
              <w:rPr>
                <w:spacing w:val="-2"/>
                <w:sz w:val="24"/>
              </w:rPr>
              <w:t>17.25±1.89</w:t>
            </w:r>
          </w:p>
        </w:tc>
        <w:tc>
          <w:tcPr>
            <w:tcW w:w="1389" w:type="dxa"/>
          </w:tcPr>
          <w:p>
            <w:pPr>
              <w:pStyle w:val="TableParagraph"/>
              <w:spacing w:line="256" w:lineRule="exact" w:before="123"/>
              <w:ind w:right="79"/>
              <w:jc w:val="center"/>
              <w:rPr>
                <w:sz w:val="24"/>
              </w:rPr>
            </w:pPr>
            <w:r>
              <w:rPr>
                <w:spacing w:val="-2"/>
                <w:sz w:val="24"/>
              </w:rPr>
              <w:t>27.75±2.21</w:t>
            </w:r>
          </w:p>
        </w:tc>
        <w:tc>
          <w:tcPr>
            <w:tcW w:w="1417" w:type="dxa"/>
          </w:tcPr>
          <w:p>
            <w:pPr>
              <w:pStyle w:val="TableParagraph"/>
              <w:spacing w:line="256" w:lineRule="exact" w:before="123"/>
              <w:ind w:left="7" w:right="68"/>
              <w:jc w:val="center"/>
              <w:rPr>
                <w:sz w:val="24"/>
              </w:rPr>
            </w:pPr>
            <w:r>
              <w:rPr>
                <w:spacing w:val="-2"/>
                <w:sz w:val="24"/>
              </w:rPr>
              <w:t>36.50±2.64</w:t>
            </w:r>
          </w:p>
        </w:tc>
        <w:tc>
          <w:tcPr>
            <w:tcW w:w="1429" w:type="dxa"/>
          </w:tcPr>
          <w:p>
            <w:pPr>
              <w:pStyle w:val="TableParagraph"/>
              <w:spacing w:line="256" w:lineRule="exact" w:before="123"/>
              <w:ind w:left="124"/>
              <w:rPr>
                <w:sz w:val="24"/>
              </w:rPr>
            </w:pPr>
            <w:r>
              <w:rPr>
                <w:spacing w:val="-2"/>
                <w:sz w:val="24"/>
              </w:rPr>
              <w:t>4.05±2.88</w:t>
            </w:r>
          </w:p>
        </w:tc>
      </w:tr>
    </w:tbl>
    <w:p>
      <w:pPr>
        <w:spacing w:after="0" w:line="256" w:lineRule="exact"/>
        <w:rPr>
          <w:sz w:val="24"/>
        </w:rPr>
        <w:sectPr>
          <w:pgSz w:w="11910" w:h="16840"/>
          <w:pgMar w:header="0" w:footer="1012" w:top="1340" w:bottom="1200" w:left="960" w:right="620"/>
        </w:sectPr>
      </w:pPr>
    </w:p>
    <w:p>
      <w:pPr>
        <w:pStyle w:val="BodyText"/>
        <w:spacing w:before="4"/>
        <w:rPr>
          <w:b/>
          <w:sz w:val="2"/>
        </w:rPr>
      </w:pPr>
    </w:p>
    <w:tbl>
      <w:tblPr>
        <w:tblW w:w="0" w:type="auto"/>
        <w:jc w:val="left"/>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9"/>
        <w:gridCol w:w="1867"/>
        <w:gridCol w:w="1395"/>
        <w:gridCol w:w="1412"/>
        <w:gridCol w:w="1430"/>
      </w:tblGrid>
      <w:tr>
        <w:trPr>
          <w:trHeight w:val="439" w:hRule="atLeast"/>
        </w:trPr>
        <w:tc>
          <w:tcPr>
            <w:tcW w:w="2389" w:type="dxa"/>
            <w:tcBorders>
              <w:top w:val="single" w:sz="4" w:space="0" w:color="000000"/>
            </w:tcBorders>
          </w:tcPr>
          <w:p>
            <w:pPr>
              <w:pStyle w:val="TableParagraph"/>
              <w:spacing w:before="49"/>
              <w:ind w:right="512"/>
              <w:jc w:val="right"/>
              <w:rPr>
                <w:sz w:val="24"/>
              </w:rPr>
            </w:pPr>
            <w:r>
              <w:rPr>
                <w:spacing w:val="-5"/>
                <w:sz w:val="24"/>
              </w:rPr>
              <w:t>250</w:t>
            </w:r>
          </w:p>
        </w:tc>
        <w:tc>
          <w:tcPr>
            <w:tcW w:w="1867" w:type="dxa"/>
            <w:tcBorders>
              <w:top w:val="single" w:sz="4" w:space="0" w:color="000000"/>
            </w:tcBorders>
          </w:tcPr>
          <w:p>
            <w:pPr>
              <w:pStyle w:val="TableParagraph"/>
              <w:spacing w:before="49"/>
              <w:ind w:right="186"/>
              <w:jc w:val="right"/>
              <w:rPr>
                <w:sz w:val="24"/>
              </w:rPr>
            </w:pPr>
            <w:r>
              <w:rPr>
                <w:spacing w:val="-2"/>
                <w:sz w:val="24"/>
              </w:rPr>
              <w:t>22.00±2.16</w:t>
            </w:r>
            <w:r>
              <w:rPr>
                <w:spacing w:val="-2"/>
                <w:sz w:val="24"/>
                <w:vertAlign w:val="superscript"/>
              </w:rPr>
              <w:t>a</w:t>
            </w:r>
          </w:p>
        </w:tc>
        <w:tc>
          <w:tcPr>
            <w:tcW w:w="1395" w:type="dxa"/>
            <w:tcBorders>
              <w:top w:val="single" w:sz="4" w:space="0" w:color="000000"/>
            </w:tcBorders>
          </w:tcPr>
          <w:p>
            <w:pPr>
              <w:pStyle w:val="TableParagraph"/>
              <w:spacing w:before="49"/>
              <w:ind w:right="86"/>
              <w:jc w:val="center"/>
              <w:rPr>
                <w:sz w:val="24"/>
              </w:rPr>
            </w:pPr>
            <w:r>
              <w:rPr>
                <w:spacing w:val="-2"/>
                <w:sz w:val="24"/>
              </w:rPr>
              <w:t>25.00±0.81</w:t>
            </w:r>
          </w:p>
        </w:tc>
        <w:tc>
          <w:tcPr>
            <w:tcW w:w="1412" w:type="dxa"/>
            <w:tcBorders>
              <w:top w:val="single" w:sz="4" w:space="0" w:color="000000"/>
            </w:tcBorders>
          </w:tcPr>
          <w:p>
            <w:pPr>
              <w:pStyle w:val="TableParagraph"/>
              <w:spacing w:before="49"/>
              <w:ind w:right="70"/>
              <w:jc w:val="center"/>
              <w:rPr>
                <w:sz w:val="24"/>
              </w:rPr>
            </w:pPr>
            <w:r>
              <w:rPr>
                <w:spacing w:val="-2"/>
                <w:sz w:val="24"/>
              </w:rPr>
              <w:t>36.00±2.58</w:t>
            </w:r>
          </w:p>
        </w:tc>
        <w:tc>
          <w:tcPr>
            <w:tcW w:w="1430" w:type="dxa"/>
            <w:tcBorders>
              <w:top w:val="single" w:sz="4" w:space="0" w:color="000000"/>
            </w:tcBorders>
          </w:tcPr>
          <w:p>
            <w:pPr>
              <w:pStyle w:val="TableParagraph"/>
              <w:spacing w:before="49"/>
              <w:ind w:left="123"/>
              <w:rPr>
                <w:sz w:val="24"/>
              </w:rPr>
            </w:pPr>
            <w:r>
              <w:rPr>
                <w:spacing w:val="-2"/>
                <w:sz w:val="24"/>
              </w:rPr>
              <w:t>3.90±1.41</w:t>
            </w:r>
          </w:p>
        </w:tc>
      </w:tr>
      <w:tr>
        <w:trPr>
          <w:trHeight w:val="630" w:hRule="atLeast"/>
        </w:trPr>
        <w:tc>
          <w:tcPr>
            <w:tcW w:w="2389" w:type="dxa"/>
            <w:tcBorders>
              <w:bottom w:val="single" w:sz="4" w:space="0" w:color="000000"/>
            </w:tcBorders>
          </w:tcPr>
          <w:p>
            <w:pPr>
              <w:pStyle w:val="TableParagraph"/>
              <w:spacing w:before="142"/>
              <w:ind w:right="512"/>
              <w:jc w:val="right"/>
              <w:rPr>
                <w:sz w:val="24"/>
              </w:rPr>
            </w:pPr>
            <w:r>
              <w:rPr>
                <w:spacing w:val="-5"/>
                <w:sz w:val="24"/>
              </w:rPr>
              <w:t>500</w:t>
            </w:r>
          </w:p>
        </w:tc>
        <w:tc>
          <w:tcPr>
            <w:tcW w:w="1867" w:type="dxa"/>
            <w:tcBorders>
              <w:bottom w:val="single" w:sz="4" w:space="0" w:color="000000"/>
            </w:tcBorders>
          </w:tcPr>
          <w:p>
            <w:pPr>
              <w:pStyle w:val="TableParagraph"/>
              <w:spacing w:before="142"/>
              <w:ind w:right="105"/>
              <w:jc w:val="right"/>
              <w:rPr>
                <w:sz w:val="24"/>
              </w:rPr>
            </w:pPr>
            <w:r>
              <w:rPr>
                <w:spacing w:val="-2"/>
                <w:sz w:val="24"/>
              </w:rPr>
              <w:t>30.50±1.73</w:t>
            </w:r>
            <w:r>
              <w:rPr>
                <w:spacing w:val="-2"/>
                <w:sz w:val="24"/>
                <w:vertAlign w:val="superscript"/>
              </w:rPr>
              <w:t>a</w:t>
            </w:r>
            <w:r>
              <w:rPr>
                <w:spacing w:val="-2"/>
                <w:sz w:val="24"/>
                <w:vertAlign w:val="superscript"/>
              </w:rPr>
              <w:t>b</w:t>
            </w:r>
          </w:p>
        </w:tc>
        <w:tc>
          <w:tcPr>
            <w:tcW w:w="1395" w:type="dxa"/>
            <w:tcBorders>
              <w:bottom w:val="single" w:sz="4" w:space="0" w:color="000000"/>
            </w:tcBorders>
          </w:tcPr>
          <w:p>
            <w:pPr>
              <w:pStyle w:val="TableParagraph"/>
              <w:spacing w:before="142"/>
              <w:ind w:left="71" w:right="86"/>
              <w:jc w:val="center"/>
              <w:rPr>
                <w:sz w:val="24"/>
              </w:rPr>
            </w:pPr>
            <w:r>
              <w:rPr>
                <w:spacing w:val="-2"/>
                <w:sz w:val="24"/>
              </w:rPr>
              <w:t>31.25±4.27</w:t>
            </w:r>
            <w:r>
              <w:rPr>
                <w:spacing w:val="-2"/>
                <w:sz w:val="24"/>
                <w:vertAlign w:val="superscript"/>
              </w:rPr>
              <w:t>a</w:t>
            </w:r>
          </w:p>
        </w:tc>
        <w:tc>
          <w:tcPr>
            <w:tcW w:w="1412" w:type="dxa"/>
            <w:tcBorders>
              <w:bottom w:val="single" w:sz="4" w:space="0" w:color="000000"/>
            </w:tcBorders>
          </w:tcPr>
          <w:p>
            <w:pPr>
              <w:pStyle w:val="TableParagraph"/>
              <w:spacing w:before="142"/>
              <w:ind w:left="69" w:right="70"/>
              <w:jc w:val="center"/>
              <w:rPr>
                <w:sz w:val="24"/>
              </w:rPr>
            </w:pPr>
            <w:r>
              <w:rPr>
                <w:spacing w:val="-2"/>
                <w:sz w:val="24"/>
              </w:rPr>
              <w:t>46.50±3.10</w:t>
            </w:r>
            <w:r>
              <w:rPr>
                <w:spacing w:val="-2"/>
                <w:sz w:val="24"/>
                <w:vertAlign w:val="superscript"/>
              </w:rPr>
              <w:t>a</w:t>
            </w:r>
          </w:p>
        </w:tc>
        <w:tc>
          <w:tcPr>
            <w:tcW w:w="1430" w:type="dxa"/>
            <w:tcBorders>
              <w:bottom w:val="single" w:sz="4" w:space="0" w:color="000000"/>
            </w:tcBorders>
          </w:tcPr>
          <w:p>
            <w:pPr>
              <w:pStyle w:val="TableParagraph"/>
              <w:spacing w:before="142"/>
              <w:ind w:left="123"/>
              <w:rPr>
                <w:sz w:val="24"/>
              </w:rPr>
            </w:pPr>
            <w:r>
              <w:rPr>
                <w:spacing w:val="-2"/>
                <w:sz w:val="24"/>
              </w:rPr>
              <w:t>4.42±0.95</w:t>
            </w:r>
            <w:r>
              <w:rPr>
                <w:spacing w:val="-2"/>
                <w:sz w:val="24"/>
                <w:vertAlign w:val="superscript"/>
              </w:rPr>
              <w:t>a</w:t>
            </w:r>
          </w:p>
        </w:tc>
      </w:tr>
    </w:tbl>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4"/>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9"/>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6"/>
        <w:ind w:left="1028" w:right="0" w:firstLine="0"/>
        <w:jc w:val="left"/>
        <w:rPr>
          <w:sz w:val="22"/>
        </w:rPr>
      </w:pPr>
      <w:r>
        <w:rPr>
          <w:sz w:val="22"/>
          <w:vertAlign w:val="superscript"/>
        </w:rPr>
        <w:t>*</w:t>
      </w:r>
      <w:r>
        <w:rPr>
          <w:sz w:val="22"/>
          <w:vertAlign w:val="baseline"/>
        </w:rPr>
        <w:t> =</w:t>
      </w:r>
      <w:r>
        <w:rPr>
          <w:spacing w:val="-6"/>
          <w:sz w:val="22"/>
          <w:vertAlign w:val="baseline"/>
        </w:rPr>
        <w:t> </w:t>
      </w:r>
      <w:r>
        <w:rPr>
          <w:sz w:val="22"/>
          <w:vertAlign w:val="baseline"/>
        </w:rPr>
        <w:t>ml/kg;</w:t>
      </w:r>
      <w:r>
        <w:rPr>
          <w:spacing w:val="-1"/>
          <w:sz w:val="22"/>
          <w:vertAlign w:val="baseline"/>
        </w:rPr>
        <w:t> </w:t>
      </w:r>
      <w:r>
        <w:rPr>
          <w:sz w:val="22"/>
          <w:vertAlign w:val="baseline"/>
        </w:rPr>
        <w:t>n</w:t>
      </w:r>
      <w:r>
        <w:rPr>
          <w:spacing w:val="-6"/>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4"/>
          <w:sz w:val="22"/>
          <w:vertAlign w:val="baseline"/>
        </w:rPr>
        <w:t> </w:t>
      </w:r>
      <w:r>
        <w:rPr>
          <w:sz w:val="22"/>
          <w:vertAlign w:val="baseline"/>
        </w:rPr>
        <w:t>rats);</w:t>
      </w:r>
      <w:r>
        <w:rPr>
          <w:spacing w:val="-5"/>
          <w:sz w:val="22"/>
          <w:vertAlign w:val="baseline"/>
        </w:rPr>
        <w:t> </w:t>
      </w:r>
      <w:r>
        <w:rPr>
          <w:sz w:val="22"/>
          <w:vertAlign w:val="baseline"/>
        </w:rPr>
        <w:t>Drug</w:t>
      </w:r>
      <w:r>
        <w:rPr>
          <w:spacing w:val="-12"/>
          <w:sz w:val="22"/>
          <w:vertAlign w:val="baseline"/>
        </w:rPr>
        <w:t> </w:t>
      </w:r>
      <w:r>
        <w:rPr>
          <w:sz w:val="22"/>
          <w:vertAlign w:val="baseline"/>
        </w:rPr>
        <w:t>administration; p.o. daily</w:t>
      </w:r>
      <w:r>
        <w:rPr>
          <w:spacing w:val="-6"/>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before="126"/>
        <w:ind w:left="1028" w:right="0" w:firstLine="0"/>
        <w:jc w:val="left"/>
        <w:rPr>
          <w:sz w:val="22"/>
        </w:rPr>
      </w:pPr>
      <w:r>
        <w:rPr>
          <w:sz w:val="22"/>
        </w:rPr>
        <w:t>Values</w:t>
      </w:r>
      <w:r>
        <w:rPr>
          <w:spacing w:val="-3"/>
          <w:sz w:val="22"/>
        </w:rPr>
        <w:t> </w:t>
      </w:r>
      <w:r>
        <w:rPr>
          <w:sz w:val="22"/>
        </w:rPr>
        <w:t>are</w:t>
      </w:r>
      <w:r>
        <w:rPr>
          <w:spacing w:val="-4"/>
          <w:sz w:val="22"/>
        </w:rPr>
        <w:t> </w:t>
      </w:r>
      <w:r>
        <w:rPr>
          <w:sz w:val="22"/>
        </w:rPr>
        <w:t>mean</w:t>
      </w:r>
      <w:r>
        <w:rPr>
          <w:spacing w:val="-8"/>
          <w:sz w:val="22"/>
        </w:rPr>
        <w:t> </w:t>
      </w:r>
      <w:r>
        <w:rPr>
          <w:sz w:val="22"/>
        </w:rPr>
        <w:t>±</w:t>
      </w:r>
      <w:r>
        <w:rPr>
          <w:spacing w:val="-4"/>
          <w:sz w:val="22"/>
        </w:rPr>
        <w:t> </w:t>
      </w:r>
      <w:r>
        <w:rPr>
          <w:sz w:val="22"/>
        </w:rPr>
        <w:t>S.E.M.;</w:t>
      </w:r>
      <w:r>
        <w:rPr>
          <w:spacing w:val="-6"/>
          <w:sz w:val="22"/>
        </w:rPr>
        <w:t> </w:t>
      </w:r>
      <w:r>
        <w:rPr>
          <w:sz w:val="22"/>
        </w:rPr>
        <w:t>Data</w:t>
      </w:r>
      <w:r>
        <w:rPr>
          <w:spacing w:val="-9"/>
          <w:sz w:val="22"/>
        </w:rPr>
        <w:t> </w:t>
      </w:r>
      <w:r>
        <w:rPr>
          <w:sz w:val="22"/>
        </w:rPr>
        <w:t>analyzed</w:t>
      </w:r>
      <w:r>
        <w:rPr>
          <w:spacing w:val="-8"/>
          <w:sz w:val="22"/>
        </w:rPr>
        <w:t> </w:t>
      </w:r>
      <w:r>
        <w:rPr>
          <w:sz w:val="22"/>
        </w:rPr>
        <w:t>using</w:t>
      </w:r>
      <w:r>
        <w:rPr>
          <w:spacing w:val="-7"/>
          <w:sz w:val="22"/>
        </w:rPr>
        <w:t> </w:t>
      </w:r>
      <w:r>
        <w:rPr>
          <w:sz w:val="22"/>
        </w:rPr>
        <w:t>one</w:t>
      </w:r>
      <w:r>
        <w:rPr>
          <w:spacing w:val="-5"/>
          <w:sz w:val="22"/>
        </w:rPr>
        <w:t> </w:t>
      </w:r>
      <w:r>
        <w:rPr>
          <w:sz w:val="22"/>
        </w:rPr>
        <w:t>way</w:t>
      </w:r>
      <w:r>
        <w:rPr>
          <w:spacing w:val="-5"/>
          <w:sz w:val="22"/>
        </w:rPr>
        <w:t> </w:t>
      </w:r>
      <w:r>
        <w:rPr>
          <w:sz w:val="22"/>
        </w:rPr>
        <w:t>ANOVA</w:t>
      </w:r>
      <w:r>
        <w:rPr>
          <w:spacing w:val="-7"/>
          <w:sz w:val="22"/>
        </w:rPr>
        <w:t> </w:t>
      </w:r>
      <w:r>
        <w:rPr>
          <w:sz w:val="22"/>
        </w:rPr>
        <w:t>and</w:t>
      </w:r>
      <w:r>
        <w:rPr>
          <w:spacing w:val="-8"/>
          <w:sz w:val="22"/>
        </w:rPr>
        <w:t> </w:t>
      </w:r>
      <w:r>
        <w:rPr>
          <w:sz w:val="22"/>
        </w:rPr>
        <w:t>Bonferonni‟s</w:t>
      </w:r>
      <w:r>
        <w:rPr>
          <w:spacing w:val="-3"/>
          <w:sz w:val="22"/>
        </w:rPr>
        <w:t> </w:t>
      </w:r>
      <w:r>
        <w:rPr>
          <w:sz w:val="22"/>
        </w:rPr>
        <w:t>post</w:t>
      </w:r>
      <w:r>
        <w:rPr>
          <w:spacing w:val="-2"/>
          <w:sz w:val="22"/>
        </w:rPr>
        <w:t> </w:t>
      </w:r>
      <w:r>
        <w:rPr>
          <w:spacing w:val="-5"/>
          <w:sz w:val="22"/>
        </w:rPr>
        <w:t>hoc</w:t>
      </w:r>
    </w:p>
    <w:p>
      <w:pPr>
        <w:spacing w:before="127"/>
        <w:ind w:left="1028" w:right="0" w:firstLine="0"/>
        <w:jc w:val="left"/>
        <w:rPr>
          <w:sz w:val="22"/>
        </w:rPr>
      </w:pPr>
      <w:r>
        <w:rPr>
          <w:sz w:val="22"/>
          <w:vertAlign w:val="superscript"/>
        </w:rPr>
        <w:t>a</w:t>
      </w:r>
      <w:r>
        <w:rPr>
          <w:spacing w:val="9"/>
          <w:sz w:val="22"/>
          <w:vertAlign w:val="baseline"/>
        </w:rPr>
        <w:t> </w:t>
      </w:r>
      <w:r>
        <w:rPr>
          <w:sz w:val="22"/>
          <w:vertAlign w:val="baseline"/>
        </w:rPr>
        <w:t>significantly</w:t>
      </w:r>
      <w:r>
        <w:rPr>
          <w:spacing w:val="-5"/>
          <w:sz w:val="22"/>
          <w:vertAlign w:val="baseline"/>
        </w:rPr>
        <w:t> </w:t>
      </w:r>
      <w:r>
        <w:rPr>
          <w:sz w:val="22"/>
          <w:vertAlign w:val="baseline"/>
        </w:rPr>
        <w:t>different</w:t>
      </w:r>
      <w:r>
        <w:rPr>
          <w:spacing w:val="1"/>
          <w:sz w:val="22"/>
          <w:vertAlign w:val="baseline"/>
        </w:rPr>
        <w:t> </w:t>
      </w:r>
      <w:r>
        <w:rPr>
          <w:sz w:val="22"/>
          <w:vertAlign w:val="baseline"/>
        </w:rPr>
        <w:t>from</w:t>
      </w:r>
      <w:r>
        <w:rPr>
          <w:spacing w:val="-9"/>
          <w:sz w:val="22"/>
          <w:vertAlign w:val="baseline"/>
        </w:rPr>
        <w:t> </w:t>
      </w:r>
      <w:r>
        <w:rPr>
          <w:sz w:val="22"/>
          <w:vertAlign w:val="baseline"/>
        </w:rPr>
        <w:t>the</w:t>
      </w:r>
      <w:r>
        <w:rPr>
          <w:spacing w:val="-2"/>
          <w:sz w:val="22"/>
          <w:vertAlign w:val="baseline"/>
        </w:rPr>
        <w:t> </w:t>
      </w:r>
      <w:r>
        <w:rPr>
          <w:sz w:val="22"/>
          <w:vertAlign w:val="baseline"/>
        </w:rPr>
        <w:t>control</w:t>
      </w:r>
      <w:r>
        <w:rPr>
          <w:spacing w:val="-4"/>
          <w:sz w:val="22"/>
          <w:vertAlign w:val="baseline"/>
        </w:rPr>
        <w:t> </w:t>
      </w:r>
      <w:r>
        <w:rPr>
          <w:sz w:val="22"/>
          <w:vertAlign w:val="baseline"/>
        </w:rPr>
        <w:t>group</w:t>
      </w:r>
      <w:r>
        <w:rPr>
          <w:spacing w:val="-1"/>
          <w:sz w:val="22"/>
          <w:vertAlign w:val="baseline"/>
        </w:rPr>
        <w:t> </w:t>
      </w:r>
      <w:r>
        <w:rPr>
          <w:sz w:val="22"/>
          <w:vertAlign w:val="baseline"/>
        </w:rPr>
        <w:t>at</w:t>
      </w:r>
      <w:r>
        <w:rPr>
          <w:spacing w:val="-4"/>
          <w:sz w:val="22"/>
          <w:vertAlign w:val="baseline"/>
        </w:rPr>
        <w:t> </w:t>
      </w:r>
      <w:r>
        <w:rPr>
          <w:spacing w:val="-2"/>
          <w:sz w:val="22"/>
          <w:vertAlign w:val="baseline"/>
        </w:rPr>
        <w:t>p&lt;0.05</w:t>
      </w:r>
    </w:p>
    <w:p>
      <w:pPr>
        <w:spacing w:before="126"/>
        <w:ind w:left="1028" w:right="0" w:firstLine="0"/>
        <w:jc w:val="left"/>
        <w:rPr>
          <w:sz w:val="22"/>
        </w:rPr>
      </w:pPr>
      <w:r>
        <w:rPr>
          <w:sz w:val="22"/>
          <w:vertAlign w:val="superscript"/>
        </w:rPr>
        <w:t>b</w:t>
      </w:r>
      <w:r>
        <w:rPr>
          <w:spacing w:val="-4"/>
          <w:sz w:val="22"/>
          <w:vertAlign w:val="baseline"/>
        </w:rPr>
        <w:t> </w:t>
      </w:r>
      <w:r>
        <w:rPr>
          <w:sz w:val="22"/>
          <w:vertAlign w:val="baseline"/>
        </w:rPr>
        <w:t>significantly</w:t>
      </w:r>
      <w:r>
        <w:rPr>
          <w:spacing w:val="-7"/>
          <w:sz w:val="22"/>
          <w:vertAlign w:val="baseline"/>
        </w:rPr>
        <w:t> </w:t>
      </w:r>
      <w:r>
        <w:rPr>
          <w:sz w:val="22"/>
          <w:vertAlign w:val="baseline"/>
        </w:rPr>
        <w:t>different</w:t>
      </w:r>
      <w:r>
        <w:rPr>
          <w:spacing w:val="-1"/>
          <w:sz w:val="22"/>
          <w:vertAlign w:val="baseline"/>
        </w:rPr>
        <w:t> </w:t>
      </w:r>
      <w:r>
        <w:rPr>
          <w:sz w:val="22"/>
          <w:vertAlign w:val="baseline"/>
        </w:rPr>
        <w:t>from</w:t>
      </w:r>
      <w:r>
        <w:rPr>
          <w:spacing w:val="47"/>
          <w:sz w:val="22"/>
          <w:vertAlign w:val="baseline"/>
        </w:rPr>
        <w:t> </w:t>
      </w:r>
      <w:r>
        <w:rPr>
          <w:sz w:val="22"/>
          <w:vertAlign w:val="baseline"/>
        </w:rPr>
        <w:t>other</w:t>
      </w:r>
      <w:r>
        <w:rPr>
          <w:spacing w:val="1"/>
          <w:sz w:val="22"/>
          <w:vertAlign w:val="baseline"/>
        </w:rPr>
        <w:t> </w:t>
      </w:r>
      <w:r>
        <w:rPr>
          <w:sz w:val="22"/>
          <w:vertAlign w:val="baseline"/>
        </w:rPr>
        <w:t>groups</w:t>
      </w:r>
      <w:r>
        <w:rPr>
          <w:spacing w:val="-2"/>
          <w:sz w:val="22"/>
          <w:vertAlign w:val="baseline"/>
        </w:rPr>
        <w:t> </w:t>
      </w:r>
      <w:r>
        <w:rPr>
          <w:sz w:val="22"/>
          <w:vertAlign w:val="baseline"/>
        </w:rPr>
        <w:t>at</w:t>
      </w:r>
      <w:r>
        <w:rPr>
          <w:spacing w:val="-1"/>
          <w:sz w:val="22"/>
          <w:vertAlign w:val="baseline"/>
        </w:rPr>
        <w:t> </w:t>
      </w:r>
      <w:r>
        <w:rPr>
          <w:spacing w:val="-2"/>
          <w:sz w:val="22"/>
          <w:vertAlign w:val="baseline"/>
        </w:rPr>
        <w:t>p&lt;0.05</w:t>
      </w:r>
    </w:p>
    <w:p>
      <w:pPr>
        <w:pStyle w:val="BodyText"/>
        <w:spacing w:line="360" w:lineRule="auto" w:before="122"/>
        <w:ind w:left="1028" w:right="2663"/>
      </w:pPr>
      <w:r>
        <w:rPr/>
        <w:t>AST</w:t>
      </w:r>
      <w:r>
        <w:rPr>
          <w:spacing w:val="-5"/>
        </w:rPr>
        <w:t> </w:t>
      </w:r>
      <w:r>
        <w:rPr/>
        <w:t>=</w:t>
      </w:r>
      <w:r>
        <w:rPr>
          <w:spacing w:val="-7"/>
        </w:rPr>
        <w:t> </w:t>
      </w:r>
      <w:r>
        <w:rPr/>
        <w:t>Aspartate</w:t>
      </w:r>
      <w:r>
        <w:rPr>
          <w:spacing w:val="-7"/>
        </w:rPr>
        <w:t> </w:t>
      </w:r>
      <w:r>
        <w:rPr/>
        <w:t>aminotransferase;</w:t>
      </w:r>
      <w:r>
        <w:rPr>
          <w:spacing w:val="-6"/>
        </w:rPr>
        <w:t> </w:t>
      </w:r>
      <w:r>
        <w:rPr/>
        <w:t>ALT</w:t>
      </w:r>
      <w:r>
        <w:rPr>
          <w:spacing w:val="-5"/>
        </w:rPr>
        <w:t> </w:t>
      </w:r>
      <w:r>
        <w:rPr/>
        <w:t>=</w:t>
      </w:r>
      <w:r>
        <w:rPr>
          <w:spacing w:val="-7"/>
        </w:rPr>
        <w:t> </w:t>
      </w:r>
      <w:r>
        <w:rPr/>
        <w:t>Alanine</w:t>
      </w:r>
      <w:r>
        <w:rPr>
          <w:spacing w:val="-7"/>
        </w:rPr>
        <w:t> </w:t>
      </w:r>
      <w:r>
        <w:rPr/>
        <w:t>transaminase ALP = Alkaline phosphatase and ALB = Albumin</w:t>
      </w:r>
    </w:p>
    <w:p>
      <w:pPr>
        <w:pStyle w:val="Heading2"/>
        <w:numPr>
          <w:ilvl w:val="1"/>
          <w:numId w:val="20"/>
        </w:numPr>
        <w:tabs>
          <w:tab w:pos="1748" w:val="left" w:leader="none"/>
        </w:tabs>
        <w:spacing w:line="360" w:lineRule="auto" w:before="8" w:after="0"/>
        <w:ind w:left="1748" w:right="805" w:hanging="721"/>
        <w:jc w:val="left"/>
      </w:pPr>
      <w:bookmarkStart w:name="_TOC_250002" w:id="54"/>
      <w:r>
        <w:rPr/>
        <w:t>Liver</w:t>
      </w:r>
      <w:r>
        <w:rPr>
          <w:spacing w:val="-2"/>
        </w:rPr>
        <w:t> </w:t>
      </w:r>
      <w:r>
        <w:rPr/>
        <w:t>and Kidney to</w:t>
      </w:r>
      <w:r>
        <w:rPr>
          <w:spacing w:val="-1"/>
        </w:rPr>
        <w:t> </w:t>
      </w:r>
      <w:r>
        <w:rPr/>
        <w:t>Body Weight ratios in Male Wistar</w:t>
      </w:r>
      <w:r>
        <w:rPr>
          <w:spacing w:val="-2"/>
        </w:rPr>
        <w:t> </w:t>
      </w:r>
      <w:r>
        <w:rPr/>
        <w:t>Rats that Received Undetoxified and Detoxified </w:t>
      </w:r>
      <w:r>
        <w:rPr>
          <w:i/>
        </w:rPr>
        <w:t>J. curcas </w:t>
      </w:r>
      <w:bookmarkEnd w:id="54"/>
      <w:r>
        <w:rPr/>
        <w:t>Oils</w:t>
      </w:r>
    </w:p>
    <w:p>
      <w:pPr>
        <w:pStyle w:val="BodyText"/>
        <w:spacing w:before="130"/>
        <w:rPr>
          <w:b/>
        </w:rPr>
      </w:pPr>
    </w:p>
    <w:p>
      <w:pPr>
        <w:pStyle w:val="BodyText"/>
        <w:spacing w:line="480" w:lineRule="auto"/>
        <w:ind w:left="1028" w:right="796"/>
        <w:jc w:val="both"/>
      </w:pPr>
      <w:r>
        <w:rPr/>
        <w:t>Undetoxified and detoxified </w:t>
      </w:r>
      <w:r>
        <w:rPr>
          <w:i/>
        </w:rPr>
        <w:t>J</w:t>
      </w:r>
      <w:r>
        <w:rPr/>
        <w:t>. </w:t>
      </w:r>
      <w:r>
        <w:rPr>
          <w:i/>
        </w:rPr>
        <w:t>curcas </w:t>
      </w:r>
      <w:r>
        <w:rPr/>
        <w:t>oils resulted in similar liver to body</w:t>
      </w:r>
      <w:r>
        <w:rPr>
          <w:spacing w:val="-7"/>
        </w:rPr>
        <w:t> </w:t>
      </w:r>
      <w:r>
        <w:rPr/>
        <w:t>weight ratios in</w:t>
      </w:r>
      <w:r>
        <w:rPr>
          <w:spacing w:val="-1"/>
        </w:rPr>
        <w:t> </w:t>
      </w:r>
      <w:r>
        <w:rPr/>
        <w:t>control, 125, as</w:t>
      </w:r>
      <w:r>
        <w:rPr>
          <w:spacing w:val="-3"/>
        </w:rPr>
        <w:t> </w:t>
      </w:r>
      <w:r>
        <w:rPr/>
        <w:t>well</w:t>
      </w:r>
      <w:r>
        <w:rPr>
          <w:spacing w:val="-1"/>
        </w:rPr>
        <w:t> </w:t>
      </w:r>
      <w:r>
        <w:rPr/>
        <w:t>as 250 mg/kg in</w:t>
      </w:r>
      <w:r>
        <w:rPr>
          <w:spacing w:val="-1"/>
        </w:rPr>
        <w:t> </w:t>
      </w:r>
      <w:r>
        <w:rPr/>
        <w:t>rats. However, undetoxified </w:t>
      </w:r>
      <w:r>
        <w:rPr>
          <w:i/>
        </w:rPr>
        <w:t>J</w:t>
      </w:r>
      <w:r>
        <w:rPr/>
        <w:t>. </w:t>
      </w:r>
      <w:r>
        <w:rPr>
          <w:i/>
        </w:rPr>
        <w:t>curcas</w:t>
      </w:r>
      <w:r>
        <w:rPr>
          <w:i/>
          <w:spacing w:val="-3"/>
        </w:rPr>
        <w:t> </w:t>
      </w:r>
      <w:r>
        <w:rPr/>
        <w:t>oil</w:t>
      </w:r>
      <w:r>
        <w:rPr>
          <w:spacing w:val="-1"/>
        </w:rPr>
        <w:t> </w:t>
      </w:r>
      <w:r>
        <w:rPr/>
        <w:t>at 500 mg/kg resulted in decreased liver to body weight ratio (0.024) compared to the same dose of detoxified oil (0.035). The kidney to body weight ratio obtained for the control group</w:t>
      </w:r>
      <w:r>
        <w:rPr>
          <w:spacing w:val="4"/>
        </w:rPr>
        <w:t> </w:t>
      </w:r>
      <w:r>
        <w:rPr/>
        <w:t>was</w:t>
      </w:r>
      <w:r>
        <w:rPr>
          <w:spacing w:val="8"/>
        </w:rPr>
        <w:t> </w:t>
      </w:r>
      <w:r>
        <w:rPr/>
        <w:t>0.0063</w:t>
      </w:r>
      <w:r>
        <w:rPr>
          <w:spacing w:val="12"/>
        </w:rPr>
        <w:t> </w:t>
      </w:r>
      <w:r>
        <w:rPr/>
        <w:t>Kidney</w:t>
      </w:r>
      <w:r>
        <w:rPr>
          <w:spacing w:val="6"/>
        </w:rPr>
        <w:t> </w:t>
      </w:r>
      <w:r>
        <w:rPr/>
        <w:t>to</w:t>
      </w:r>
      <w:r>
        <w:rPr>
          <w:spacing w:val="15"/>
        </w:rPr>
        <w:t> </w:t>
      </w:r>
      <w:r>
        <w:rPr/>
        <w:t>body</w:t>
      </w:r>
      <w:r>
        <w:rPr>
          <w:spacing w:val="1"/>
        </w:rPr>
        <w:t> </w:t>
      </w:r>
      <w:r>
        <w:rPr/>
        <w:t>weight</w:t>
      </w:r>
      <w:r>
        <w:rPr>
          <w:spacing w:val="14"/>
        </w:rPr>
        <w:t> </w:t>
      </w:r>
      <w:r>
        <w:rPr/>
        <w:t>ratio</w:t>
      </w:r>
      <w:r>
        <w:rPr>
          <w:spacing w:val="15"/>
        </w:rPr>
        <w:t> </w:t>
      </w:r>
      <w:r>
        <w:rPr/>
        <w:t>of</w:t>
      </w:r>
      <w:r>
        <w:rPr>
          <w:spacing w:val="6"/>
        </w:rPr>
        <w:t> </w:t>
      </w:r>
      <w:r>
        <w:rPr/>
        <w:t>0.0056</w:t>
      </w:r>
      <w:r>
        <w:rPr>
          <w:spacing w:val="10"/>
        </w:rPr>
        <w:t> </w:t>
      </w:r>
      <w:r>
        <w:rPr/>
        <w:t>and</w:t>
      </w:r>
      <w:r>
        <w:rPr>
          <w:spacing w:val="10"/>
        </w:rPr>
        <w:t> </w:t>
      </w:r>
      <w:r>
        <w:rPr/>
        <w:t>0.0055</w:t>
      </w:r>
      <w:r>
        <w:rPr>
          <w:spacing w:val="9"/>
        </w:rPr>
        <w:t> </w:t>
      </w:r>
      <w:r>
        <w:rPr/>
        <w:t>were</w:t>
      </w:r>
      <w:r>
        <w:rPr>
          <w:spacing w:val="9"/>
        </w:rPr>
        <w:t> </w:t>
      </w:r>
      <w:r>
        <w:rPr/>
        <w:t>obtained</w:t>
      </w:r>
      <w:r>
        <w:rPr>
          <w:spacing w:val="15"/>
        </w:rPr>
        <w:t> </w:t>
      </w:r>
      <w:r>
        <w:rPr>
          <w:spacing w:val="-5"/>
        </w:rPr>
        <w:t>for</w:t>
      </w:r>
    </w:p>
    <w:p>
      <w:pPr>
        <w:pStyle w:val="BodyText"/>
        <w:spacing w:line="480" w:lineRule="auto" w:before="1"/>
        <w:ind w:left="1028" w:right="806"/>
        <w:jc w:val="both"/>
      </w:pPr>
      <w:r>
        <w:rPr/>
        <w:t>125 mg/kg undetoxified and detoxified </w:t>
      </w:r>
      <w:r>
        <w:rPr>
          <w:i/>
        </w:rPr>
        <w:t>J</w:t>
      </w:r>
      <w:r>
        <w:rPr/>
        <w:t>. </w:t>
      </w:r>
      <w:r>
        <w:rPr>
          <w:i/>
        </w:rPr>
        <w:t>curcas </w:t>
      </w:r>
      <w:r>
        <w:rPr/>
        <w:t>oils respectively, showing no difference</w:t>
      </w:r>
      <w:r>
        <w:rPr>
          <w:spacing w:val="6"/>
        </w:rPr>
        <w:t> </w:t>
      </w:r>
      <w:r>
        <w:rPr/>
        <w:t>between</w:t>
      </w:r>
      <w:r>
        <w:rPr>
          <w:spacing w:val="2"/>
        </w:rPr>
        <w:t> </w:t>
      </w:r>
      <w:r>
        <w:rPr/>
        <w:t>each</w:t>
      </w:r>
      <w:r>
        <w:rPr>
          <w:spacing w:val="1"/>
        </w:rPr>
        <w:t> </w:t>
      </w:r>
      <w:r>
        <w:rPr/>
        <w:t>of</w:t>
      </w:r>
      <w:r>
        <w:rPr>
          <w:spacing w:val="-1"/>
        </w:rPr>
        <w:t> </w:t>
      </w:r>
      <w:r>
        <w:rPr/>
        <w:t>the</w:t>
      </w:r>
      <w:r>
        <w:rPr>
          <w:spacing w:val="4"/>
        </w:rPr>
        <w:t> </w:t>
      </w:r>
      <w:r>
        <w:rPr/>
        <w:t>two</w:t>
      </w:r>
      <w:r>
        <w:rPr>
          <w:spacing w:val="10"/>
        </w:rPr>
        <w:t> </w:t>
      </w:r>
      <w:r>
        <w:rPr/>
        <w:t>groups</w:t>
      </w:r>
      <w:r>
        <w:rPr>
          <w:spacing w:val="4"/>
        </w:rPr>
        <w:t> </w:t>
      </w:r>
      <w:r>
        <w:rPr/>
        <w:t>and</w:t>
      </w:r>
      <w:r>
        <w:rPr>
          <w:spacing w:val="5"/>
        </w:rPr>
        <w:t> </w:t>
      </w:r>
      <w:r>
        <w:rPr/>
        <w:t>the</w:t>
      </w:r>
      <w:r>
        <w:rPr>
          <w:spacing w:val="8"/>
        </w:rPr>
        <w:t> </w:t>
      </w:r>
      <w:r>
        <w:rPr/>
        <w:t>control.</w:t>
      </w:r>
      <w:r>
        <w:rPr>
          <w:spacing w:val="8"/>
        </w:rPr>
        <w:t> </w:t>
      </w:r>
      <w:r>
        <w:rPr/>
        <w:t>Undetoxified</w:t>
      </w:r>
      <w:r>
        <w:rPr>
          <w:spacing w:val="7"/>
        </w:rPr>
        <w:t> </w:t>
      </w:r>
      <w:r>
        <w:rPr/>
        <w:t>and</w:t>
      </w:r>
      <w:r>
        <w:rPr>
          <w:spacing w:val="5"/>
        </w:rPr>
        <w:t> </w:t>
      </w:r>
      <w:r>
        <w:rPr>
          <w:spacing w:val="-2"/>
        </w:rPr>
        <w:t>detoxified</w:t>
      </w:r>
    </w:p>
    <w:p>
      <w:pPr>
        <w:pStyle w:val="BodyText"/>
        <w:spacing w:line="480" w:lineRule="auto"/>
        <w:ind w:left="1028" w:right="800"/>
        <w:jc w:val="both"/>
      </w:pPr>
      <w:r>
        <w:rPr>
          <w:i/>
        </w:rPr>
        <w:t>J. curcas </w:t>
      </w:r>
      <w:r>
        <w:rPr/>
        <w:t>oils at 250 mg/kg showed similar values. However, 500 mg/kg of the undetoxified </w:t>
      </w:r>
      <w:r>
        <w:rPr>
          <w:i/>
        </w:rPr>
        <w:t>J</w:t>
      </w:r>
      <w:r>
        <w:rPr/>
        <w:t>. </w:t>
      </w:r>
      <w:r>
        <w:rPr>
          <w:i/>
        </w:rPr>
        <w:t>curcas </w:t>
      </w:r>
      <w:r>
        <w:rPr/>
        <w:t>oil resulted in a decreased kidney to body weight ratio (0.005) compared to the detoxified </w:t>
      </w:r>
      <w:r>
        <w:rPr>
          <w:i/>
        </w:rPr>
        <w:t>J</w:t>
      </w:r>
      <w:r>
        <w:rPr/>
        <w:t>. </w:t>
      </w:r>
      <w:r>
        <w:rPr>
          <w:i/>
        </w:rPr>
        <w:t>curcas </w:t>
      </w:r>
      <w:r>
        <w:rPr/>
        <w:t>oil (0.0067), (Figure 4.2, 4.3).</w:t>
      </w:r>
    </w:p>
    <w:p>
      <w:pPr>
        <w:spacing w:after="0" w:line="480" w:lineRule="auto"/>
        <w:jc w:val="both"/>
        <w:sectPr>
          <w:pgSz w:w="11910" w:h="16840"/>
          <w:pgMar w:header="0" w:footer="1012" w:top="1380" w:bottom="1200" w:left="960" w:right="620"/>
        </w:sectPr>
      </w:pPr>
    </w:p>
    <w:p>
      <w:pPr>
        <w:spacing w:before="38"/>
        <w:ind w:left="0" w:right="0" w:firstLine="0"/>
        <w:jc w:val="right"/>
        <w:rPr>
          <w:rFonts w:ascii="Calibri"/>
          <w:sz w:val="20"/>
        </w:rPr>
      </w:pPr>
      <w:r>
        <w:rPr>
          <w:rFonts w:ascii="Calibri"/>
          <w:spacing w:val="-2"/>
          <w:sz w:val="20"/>
        </w:rPr>
        <w:t>0.045</w:t>
      </w:r>
    </w:p>
    <w:p>
      <w:pPr>
        <w:spacing w:before="133"/>
        <w:ind w:left="0" w:right="0" w:firstLine="0"/>
        <w:jc w:val="right"/>
        <w:rPr>
          <w:rFonts w:ascii="Calibri"/>
          <w:sz w:val="20"/>
        </w:rPr>
      </w:pPr>
      <w:r>
        <w:rPr>
          <w:rFonts w:ascii="Calibri"/>
          <w:spacing w:val="-4"/>
          <w:sz w:val="20"/>
        </w:rPr>
        <w:t>0.04</w:t>
      </w:r>
    </w:p>
    <w:p>
      <w:pPr>
        <w:spacing w:before="133"/>
        <w:ind w:left="0" w:right="0" w:firstLine="0"/>
        <w:jc w:val="right"/>
        <w:rPr>
          <w:rFonts w:ascii="Calibri"/>
          <w:sz w:val="20"/>
        </w:rPr>
      </w:pPr>
      <w:r>
        <w:rPr/>
        <mc:AlternateContent>
          <mc:Choice Requires="wps">
            <w:drawing>
              <wp:anchor distT="0" distB="0" distL="0" distR="0" allowOverlap="1" layoutInCell="1" locked="0" behindDoc="0" simplePos="0" relativeHeight="15761408">
                <wp:simplePos x="0" y="0"/>
                <wp:positionH relativeFrom="page">
                  <wp:posOffset>1453388</wp:posOffset>
                </wp:positionH>
                <wp:positionV relativeFrom="paragraph">
                  <wp:posOffset>49999</wp:posOffset>
                </wp:positionV>
                <wp:extent cx="153670" cy="138557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53670" cy="1385570"/>
                        </a:xfrm>
                        <a:prstGeom prst="rect">
                          <a:avLst/>
                        </a:prstGeom>
                      </wps:spPr>
                      <wps:txbx>
                        <w:txbxContent>
                          <w:p>
                            <w:pPr>
                              <w:spacing w:line="225" w:lineRule="exact" w:before="0"/>
                              <w:ind w:left="20" w:right="0" w:firstLine="0"/>
                              <w:jc w:val="left"/>
                              <w:rPr>
                                <w:rFonts w:ascii="Calibri"/>
                                <w:b/>
                                <w:sz w:val="20"/>
                              </w:rPr>
                            </w:pPr>
                            <w:r>
                              <w:rPr>
                                <w:rFonts w:ascii="Calibri"/>
                                <w:b/>
                                <w:sz w:val="20"/>
                              </w:rPr>
                              <w:t>Liver</w:t>
                            </w:r>
                            <w:r>
                              <w:rPr>
                                <w:rFonts w:ascii="Calibri"/>
                                <w:b/>
                                <w:spacing w:val="-4"/>
                                <w:sz w:val="20"/>
                              </w:rPr>
                              <w:t> </w:t>
                            </w:r>
                            <w:r>
                              <w:rPr>
                                <w:rFonts w:ascii="Calibri"/>
                                <w:b/>
                                <w:sz w:val="20"/>
                              </w:rPr>
                              <w:t>to</w:t>
                            </w:r>
                            <w:r>
                              <w:rPr>
                                <w:rFonts w:ascii="Calibri"/>
                                <w:b/>
                                <w:spacing w:val="-6"/>
                                <w:sz w:val="20"/>
                              </w:rPr>
                              <w:t> </w:t>
                            </w:r>
                            <w:r>
                              <w:rPr>
                                <w:rFonts w:ascii="Calibri"/>
                                <w:b/>
                                <w:sz w:val="20"/>
                              </w:rPr>
                              <w:t>body</w:t>
                            </w:r>
                            <w:r>
                              <w:rPr>
                                <w:rFonts w:ascii="Calibri"/>
                                <w:b/>
                                <w:spacing w:val="-12"/>
                                <w:sz w:val="20"/>
                              </w:rPr>
                              <w:t> </w:t>
                            </w:r>
                            <w:r>
                              <w:rPr>
                                <w:rFonts w:ascii="Calibri"/>
                                <w:b/>
                                <w:sz w:val="20"/>
                              </w:rPr>
                              <w:t>weight</w:t>
                            </w:r>
                            <w:r>
                              <w:rPr>
                                <w:rFonts w:ascii="Calibri"/>
                                <w:b/>
                                <w:spacing w:val="-5"/>
                                <w:sz w:val="20"/>
                              </w:rPr>
                              <w:t> </w:t>
                            </w:r>
                            <w:r>
                              <w:rPr>
                                <w:rFonts w:ascii="Calibri"/>
                                <w:b/>
                                <w:spacing w:val="-4"/>
                                <w:sz w:val="20"/>
                              </w:rPr>
                              <w:t>ratio</w:t>
                            </w:r>
                          </w:p>
                        </w:txbxContent>
                      </wps:txbx>
                      <wps:bodyPr wrap="square" lIns="0" tIns="0" rIns="0" bIns="0" rtlCol="0" vert="vert270">
                        <a:noAutofit/>
                      </wps:bodyPr>
                    </wps:wsp>
                  </a:graphicData>
                </a:graphic>
              </wp:anchor>
            </w:drawing>
          </mc:Choice>
          <mc:Fallback>
            <w:pict>
              <v:shape style="position:absolute;margin-left:114.440002pt;margin-top:3.936959pt;width:12.1pt;height:109.1pt;mso-position-horizontal-relative:page;mso-position-vertical-relative:paragraph;z-index:15761408" type="#_x0000_t202" id="docshape22"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Liver</w:t>
                      </w:r>
                      <w:r>
                        <w:rPr>
                          <w:rFonts w:ascii="Calibri"/>
                          <w:b/>
                          <w:spacing w:val="-4"/>
                          <w:sz w:val="20"/>
                        </w:rPr>
                        <w:t> </w:t>
                      </w:r>
                      <w:r>
                        <w:rPr>
                          <w:rFonts w:ascii="Calibri"/>
                          <w:b/>
                          <w:sz w:val="20"/>
                        </w:rPr>
                        <w:t>to</w:t>
                      </w:r>
                      <w:r>
                        <w:rPr>
                          <w:rFonts w:ascii="Calibri"/>
                          <w:b/>
                          <w:spacing w:val="-6"/>
                          <w:sz w:val="20"/>
                        </w:rPr>
                        <w:t> </w:t>
                      </w:r>
                      <w:r>
                        <w:rPr>
                          <w:rFonts w:ascii="Calibri"/>
                          <w:b/>
                          <w:sz w:val="20"/>
                        </w:rPr>
                        <w:t>body</w:t>
                      </w:r>
                      <w:r>
                        <w:rPr>
                          <w:rFonts w:ascii="Calibri"/>
                          <w:b/>
                          <w:spacing w:val="-12"/>
                          <w:sz w:val="20"/>
                        </w:rPr>
                        <w:t> </w:t>
                      </w:r>
                      <w:r>
                        <w:rPr>
                          <w:rFonts w:ascii="Calibri"/>
                          <w:b/>
                          <w:sz w:val="20"/>
                        </w:rPr>
                        <w:t>weight</w:t>
                      </w:r>
                      <w:r>
                        <w:rPr>
                          <w:rFonts w:ascii="Calibri"/>
                          <w:b/>
                          <w:spacing w:val="-5"/>
                          <w:sz w:val="20"/>
                        </w:rPr>
                        <w:t> </w:t>
                      </w:r>
                      <w:r>
                        <w:rPr>
                          <w:rFonts w:ascii="Calibri"/>
                          <w:b/>
                          <w:spacing w:val="-4"/>
                          <w:sz w:val="20"/>
                        </w:rPr>
                        <w:t>ratio</w:t>
                      </w:r>
                    </w:p>
                  </w:txbxContent>
                </v:textbox>
                <w10:wrap type="none"/>
              </v:shape>
            </w:pict>
          </mc:Fallback>
        </mc:AlternateContent>
      </w:r>
      <w:r>
        <w:rPr>
          <w:rFonts w:ascii="Calibri"/>
          <w:spacing w:val="-2"/>
          <w:sz w:val="20"/>
        </w:rPr>
        <w:t>0.035</w:t>
      </w:r>
    </w:p>
    <w:p>
      <w:pPr>
        <w:spacing w:before="133"/>
        <w:ind w:left="0" w:right="0" w:firstLine="0"/>
        <w:jc w:val="right"/>
        <w:rPr>
          <w:rFonts w:ascii="Calibri"/>
          <w:sz w:val="20"/>
        </w:rPr>
      </w:pPr>
      <w:r>
        <w:rPr>
          <w:rFonts w:ascii="Calibri"/>
          <w:spacing w:val="-4"/>
          <w:sz w:val="20"/>
        </w:rPr>
        <w:t>0.03</w:t>
      </w:r>
    </w:p>
    <w:p>
      <w:pPr>
        <w:spacing w:before="133"/>
        <w:ind w:left="0" w:right="0" w:firstLine="0"/>
        <w:jc w:val="right"/>
        <w:rPr>
          <w:rFonts w:ascii="Calibri"/>
          <w:sz w:val="20"/>
        </w:rPr>
      </w:pPr>
      <w:r>
        <w:rPr>
          <w:rFonts w:ascii="Calibri"/>
          <w:spacing w:val="-2"/>
          <w:sz w:val="20"/>
        </w:rPr>
        <w:t>0.025</w:t>
      </w:r>
    </w:p>
    <w:p>
      <w:pPr>
        <w:spacing w:before="133"/>
        <w:ind w:left="0" w:right="0" w:firstLine="0"/>
        <w:jc w:val="right"/>
        <w:rPr>
          <w:rFonts w:ascii="Calibri"/>
          <w:sz w:val="20"/>
        </w:rPr>
      </w:pPr>
      <w:r>
        <w:rPr>
          <w:rFonts w:ascii="Calibri"/>
          <w:spacing w:val="-4"/>
          <w:sz w:val="20"/>
        </w:rPr>
        <w:t>0.02</w:t>
      </w:r>
    </w:p>
    <w:p>
      <w:pPr>
        <w:spacing w:before="133"/>
        <w:ind w:left="0" w:right="0" w:firstLine="0"/>
        <w:jc w:val="right"/>
        <w:rPr>
          <w:rFonts w:ascii="Calibri"/>
          <w:sz w:val="20"/>
        </w:rPr>
      </w:pPr>
      <w:r>
        <w:rPr>
          <w:rFonts w:ascii="Calibri"/>
          <w:spacing w:val="-2"/>
          <w:sz w:val="20"/>
        </w:rPr>
        <w:t>0.015</w:t>
      </w:r>
    </w:p>
    <w:p>
      <w:pPr>
        <w:spacing w:before="133"/>
        <w:ind w:left="0" w:right="0" w:firstLine="0"/>
        <w:jc w:val="right"/>
        <w:rPr>
          <w:rFonts w:ascii="Calibri"/>
          <w:sz w:val="20"/>
        </w:rPr>
      </w:pPr>
      <w:r>
        <w:rPr>
          <w:rFonts w:ascii="Calibri"/>
          <w:spacing w:val="-4"/>
          <w:sz w:val="20"/>
        </w:rPr>
        <w:t>0.01</w:t>
      </w:r>
    </w:p>
    <w:p>
      <w:pPr>
        <w:spacing w:before="133"/>
        <w:ind w:left="0" w:right="0" w:firstLine="0"/>
        <w:jc w:val="right"/>
        <w:rPr>
          <w:rFonts w:ascii="Calibri"/>
          <w:sz w:val="20"/>
        </w:rPr>
      </w:pPr>
      <w:r>
        <w:rPr>
          <w:rFonts w:ascii="Calibri"/>
          <w:spacing w:val="-2"/>
          <w:sz w:val="20"/>
        </w:rPr>
        <w:t>0.005</w:t>
      </w:r>
    </w:p>
    <w:p>
      <w:pPr>
        <w:spacing w:before="133"/>
        <w:ind w:left="0" w:right="0" w:firstLine="0"/>
        <w:jc w:val="right"/>
        <w:rPr>
          <w:rFonts w:ascii="Calibri"/>
          <w:sz w:val="20"/>
        </w:rPr>
      </w:pPr>
      <w:r>
        <w:rPr>
          <w:rFonts w:ascii="Calibri"/>
          <w:spacing w:val="-10"/>
          <w:sz w:val="20"/>
        </w:rPr>
        <w:t>0</w:t>
      </w:r>
    </w:p>
    <w:p>
      <w:pPr>
        <w:spacing w:line="240" w:lineRule="auto" w:before="0"/>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8"/>
        <w:rPr>
          <w:rFonts w:ascii="Calibri"/>
          <w:sz w:val="20"/>
        </w:rPr>
      </w:pPr>
    </w:p>
    <w:p>
      <w:pPr>
        <w:tabs>
          <w:tab w:pos="1941" w:val="left" w:leader="none"/>
          <w:tab w:pos="3456" w:val="left" w:leader="none"/>
          <w:tab w:pos="4946" w:val="left" w:leader="none"/>
        </w:tabs>
        <w:spacing w:before="0"/>
        <w:ind w:left="278" w:right="0" w:firstLine="0"/>
        <w:jc w:val="left"/>
        <w:rPr>
          <w:rFonts w:ascii="Calibri"/>
          <w:sz w:val="20"/>
        </w:rPr>
      </w:pPr>
      <w:r>
        <w:rPr/>
        <mc:AlternateContent>
          <mc:Choice Requires="wps">
            <w:drawing>
              <wp:anchor distT="0" distB="0" distL="0" distR="0" allowOverlap="1" layoutInCell="1" locked="0" behindDoc="0" simplePos="0" relativeHeight="15760896">
                <wp:simplePos x="0" y="0"/>
                <wp:positionH relativeFrom="page">
                  <wp:posOffset>2055876</wp:posOffset>
                </wp:positionH>
                <wp:positionV relativeFrom="paragraph">
                  <wp:posOffset>-2277687</wp:posOffset>
                </wp:positionV>
                <wp:extent cx="3825240" cy="216408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3825240" cy="2164080"/>
                          <a:chExt cx="3825240" cy="2164080"/>
                        </a:xfrm>
                      </wpg:grpSpPr>
                      <pic:pic>
                        <pic:nvPicPr>
                          <pic:cNvPr id="90" name="Image 90"/>
                          <pic:cNvPicPr/>
                        </pic:nvPicPr>
                        <pic:blipFill>
                          <a:blip r:embed="rId22" cstate="print"/>
                          <a:stretch>
                            <a:fillRect/>
                          </a:stretch>
                        </pic:blipFill>
                        <pic:spPr>
                          <a:xfrm>
                            <a:off x="292682" y="379478"/>
                            <a:ext cx="252834" cy="1778886"/>
                          </a:xfrm>
                          <a:prstGeom prst="rect">
                            <a:avLst/>
                          </a:prstGeom>
                        </pic:spPr>
                      </pic:pic>
                      <pic:pic>
                        <pic:nvPicPr>
                          <pic:cNvPr id="91" name="Image 91"/>
                          <pic:cNvPicPr/>
                        </pic:nvPicPr>
                        <pic:blipFill>
                          <a:blip r:embed="rId23" cstate="print"/>
                          <a:stretch>
                            <a:fillRect/>
                          </a:stretch>
                        </pic:blipFill>
                        <pic:spPr>
                          <a:xfrm>
                            <a:off x="1240545" y="473942"/>
                            <a:ext cx="2145772" cy="1684422"/>
                          </a:xfrm>
                          <a:prstGeom prst="rect">
                            <a:avLst/>
                          </a:prstGeom>
                        </pic:spPr>
                      </pic:pic>
                      <pic:pic>
                        <pic:nvPicPr>
                          <pic:cNvPr id="92" name="Image 92"/>
                          <pic:cNvPicPr/>
                        </pic:nvPicPr>
                        <pic:blipFill>
                          <a:blip r:embed="rId24" cstate="print"/>
                          <a:stretch>
                            <a:fillRect/>
                          </a:stretch>
                        </pic:blipFill>
                        <pic:spPr>
                          <a:xfrm>
                            <a:off x="1415796" y="460248"/>
                            <a:ext cx="2173224" cy="1698116"/>
                          </a:xfrm>
                          <a:prstGeom prst="rect">
                            <a:avLst/>
                          </a:prstGeom>
                        </pic:spPr>
                      </pic:pic>
                      <wps:wsp>
                        <wps:cNvPr id="93" name="Graphic 93"/>
                        <wps:cNvSpPr/>
                        <wps:spPr>
                          <a:xfrm>
                            <a:off x="325247" y="387095"/>
                            <a:ext cx="189230" cy="1771650"/>
                          </a:xfrm>
                          <a:custGeom>
                            <a:avLst/>
                            <a:gdLst/>
                            <a:ahLst/>
                            <a:cxnLst/>
                            <a:rect l="l" t="t" r="r" b="b"/>
                            <a:pathLst>
                              <a:path w="189230" h="1771650">
                                <a:moveTo>
                                  <a:pt x="189230" y="0"/>
                                </a:moveTo>
                                <a:lnTo>
                                  <a:pt x="0" y="0"/>
                                </a:lnTo>
                                <a:lnTo>
                                  <a:pt x="0" y="1771269"/>
                                </a:lnTo>
                                <a:lnTo>
                                  <a:pt x="189230" y="1771269"/>
                                </a:lnTo>
                                <a:lnTo>
                                  <a:pt x="189230" y="0"/>
                                </a:lnTo>
                                <a:close/>
                              </a:path>
                            </a:pathLst>
                          </a:custGeom>
                          <a:solidFill>
                            <a:srgbClr val="9BBA58"/>
                          </a:solidFill>
                        </wps:spPr>
                        <wps:bodyPr wrap="square" lIns="0" tIns="0" rIns="0" bIns="0" rtlCol="0">
                          <a:prstTxWarp prst="textNoShape">
                            <a:avLst/>
                          </a:prstTxWarp>
                          <a:noAutofit/>
                        </wps:bodyPr>
                      </wps:wsp>
                      <wps:wsp>
                        <wps:cNvPr id="94" name="Graphic 94"/>
                        <wps:cNvSpPr/>
                        <wps:spPr>
                          <a:xfrm>
                            <a:off x="1270127" y="481837"/>
                            <a:ext cx="2082164" cy="1677035"/>
                          </a:xfrm>
                          <a:custGeom>
                            <a:avLst/>
                            <a:gdLst/>
                            <a:ahLst/>
                            <a:cxnLst/>
                            <a:rect l="l" t="t" r="r" b="b"/>
                            <a:pathLst>
                              <a:path w="2082164" h="1677035">
                                <a:moveTo>
                                  <a:pt x="188976" y="0"/>
                                </a:moveTo>
                                <a:lnTo>
                                  <a:pt x="0" y="0"/>
                                </a:lnTo>
                                <a:lnTo>
                                  <a:pt x="0" y="1676527"/>
                                </a:lnTo>
                                <a:lnTo>
                                  <a:pt x="188976" y="1676527"/>
                                </a:lnTo>
                                <a:lnTo>
                                  <a:pt x="188976" y="0"/>
                                </a:lnTo>
                                <a:close/>
                              </a:path>
                              <a:path w="2082164" h="1677035">
                                <a:moveTo>
                                  <a:pt x="1136904" y="97536"/>
                                </a:moveTo>
                                <a:lnTo>
                                  <a:pt x="947928" y="97536"/>
                                </a:lnTo>
                                <a:lnTo>
                                  <a:pt x="947928" y="1676527"/>
                                </a:lnTo>
                                <a:lnTo>
                                  <a:pt x="1136904" y="1676527"/>
                                </a:lnTo>
                                <a:lnTo>
                                  <a:pt x="1136904" y="97536"/>
                                </a:lnTo>
                                <a:close/>
                              </a:path>
                              <a:path w="2082164" h="1677035">
                                <a:moveTo>
                                  <a:pt x="2081784" y="527304"/>
                                </a:moveTo>
                                <a:lnTo>
                                  <a:pt x="1892808" y="527304"/>
                                </a:lnTo>
                                <a:lnTo>
                                  <a:pt x="1892808" y="1676527"/>
                                </a:lnTo>
                                <a:lnTo>
                                  <a:pt x="2081784" y="1676527"/>
                                </a:lnTo>
                                <a:lnTo>
                                  <a:pt x="2081784" y="527304"/>
                                </a:lnTo>
                                <a:close/>
                              </a:path>
                            </a:pathLst>
                          </a:custGeom>
                          <a:solidFill>
                            <a:srgbClr val="C0504D"/>
                          </a:solidFill>
                        </wps:spPr>
                        <wps:bodyPr wrap="square" lIns="0" tIns="0" rIns="0" bIns="0" rtlCol="0">
                          <a:prstTxWarp prst="textNoShape">
                            <a:avLst/>
                          </a:prstTxWarp>
                          <a:noAutofit/>
                        </wps:bodyPr>
                      </wps:wsp>
                      <wps:wsp>
                        <wps:cNvPr id="95" name="Graphic 95"/>
                        <wps:cNvSpPr/>
                        <wps:spPr>
                          <a:xfrm>
                            <a:off x="1459103" y="481837"/>
                            <a:ext cx="2082164" cy="1677035"/>
                          </a:xfrm>
                          <a:custGeom>
                            <a:avLst/>
                            <a:gdLst/>
                            <a:ahLst/>
                            <a:cxnLst/>
                            <a:rect l="l" t="t" r="r" b="b"/>
                            <a:pathLst>
                              <a:path w="2082164" h="1677035">
                                <a:moveTo>
                                  <a:pt x="192024" y="0"/>
                                </a:moveTo>
                                <a:lnTo>
                                  <a:pt x="0" y="0"/>
                                </a:lnTo>
                                <a:lnTo>
                                  <a:pt x="0" y="1676527"/>
                                </a:lnTo>
                                <a:lnTo>
                                  <a:pt x="192024" y="1676527"/>
                                </a:lnTo>
                                <a:lnTo>
                                  <a:pt x="192024" y="0"/>
                                </a:lnTo>
                                <a:close/>
                              </a:path>
                              <a:path w="2082164" h="1677035">
                                <a:moveTo>
                                  <a:pt x="1136904" y="240792"/>
                                </a:moveTo>
                                <a:lnTo>
                                  <a:pt x="947928" y="240792"/>
                                </a:lnTo>
                                <a:lnTo>
                                  <a:pt x="947928" y="1676527"/>
                                </a:lnTo>
                                <a:lnTo>
                                  <a:pt x="1136904" y="1676527"/>
                                </a:lnTo>
                                <a:lnTo>
                                  <a:pt x="1136904" y="240792"/>
                                </a:lnTo>
                                <a:close/>
                              </a:path>
                              <a:path w="2082164" h="1677035">
                                <a:moveTo>
                                  <a:pt x="2081784" y="0"/>
                                </a:moveTo>
                                <a:lnTo>
                                  <a:pt x="1892808" y="0"/>
                                </a:lnTo>
                                <a:lnTo>
                                  <a:pt x="1892808" y="1676527"/>
                                </a:lnTo>
                                <a:lnTo>
                                  <a:pt x="2081784" y="1676527"/>
                                </a:lnTo>
                                <a:lnTo>
                                  <a:pt x="2081784" y="0"/>
                                </a:lnTo>
                                <a:close/>
                              </a:path>
                            </a:pathLst>
                          </a:custGeom>
                          <a:solidFill>
                            <a:srgbClr val="4F81BC"/>
                          </a:solidFill>
                        </wps:spPr>
                        <wps:bodyPr wrap="square" lIns="0" tIns="0" rIns="0" bIns="0" rtlCol="0">
                          <a:prstTxWarp prst="textNoShape">
                            <a:avLst/>
                          </a:prstTxWarp>
                          <a:noAutofit/>
                        </wps:bodyPr>
                      </wps:wsp>
                      <wps:wsp>
                        <wps:cNvPr id="96" name="Graphic 96"/>
                        <wps:cNvSpPr/>
                        <wps:spPr>
                          <a:xfrm>
                            <a:off x="391286" y="182245"/>
                            <a:ext cx="2895600" cy="827405"/>
                          </a:xfrm>
                          <a:custGeom>
                            <a:avLst/>
                            <a:gdLst/>
                            <a:ahLst/>
                            <a:cxnLst/>
                            <a:rect l="l" t="t" r="r" b="b"/>
                            <a:pathLst>
                              <a:path w="2895600" h="827405">
                                <a:moveTo>
                                  <a:pt x="28575" y="204850"/>
                                </a:moveTo>
                                <a:lnTo>
                                  <a:pt x="28575" y="204850"/>
                                </a:lnTo>
                                <a:lnTo>
                                  <a:pt x="28575" y="0"/>
                                </a:lnTo>
                              </a:path>
                              <a:path w="2895600" h="827405">
                                <a:moveTo>
                                  <a:pt x="0" y="0"/>
                                </a:moveTo>
                                <a:lnTo>
                                  <a:pt x="57150" y="0"/>
                                </a:lnTo>
                              </a:path>
                              <a:path w="2895600" h="827405">
                                <a:moveTo>
                                  <a:pt x="974725" y="300608"/>
                                </a:moveTo>
                                <a:lnTo>
                                  <a:pt x="974725" y="300608"/>
                                </a:lnTo>
                                <a:lnTo>
                                  <a:pt x="974725" y="228600"/>
                                </a:lnTo>
                              </a:path>
                              <a:path w="2895600" h="827405">
                                <a:moveTo>
                                  <a:pt x="946150" y="228600"/>
                                </a:moveTo>
                                <a:lnTo>
                                  <a:pt x="1003300" y="228600"/>
                                </a:lnTo>
                              </a:path>
                              <a:path w="2895600" h="827405">
                                <a:moveTo>
                                  <a:pt x="1920875" y="396367"/>
                                </a:moveTo>
                                <a:lnTo>
                                  <a:pt x="1920875" y="396367"/>
                                </a:lnTo>
                                <a:lnTo>
                                  <a:pt x="1920875" y="354075"/>
                                </a:lnTo>
                              </a:path>
                              <a:path w="2895600" h="827405">
                                <a:moveTo>
                                  <a:pt x="1892300" y="354075"/>
                                </a:moveTo>
                                <a:lnTo>
                                  <a:pt x="1949450" y="354075"/>
                                </a:lnTo>
                              </a:path>
                              <a:path w="2895600" h="827405">
                                <a:moveTo>
                                  <a:pt x="2867025" y="827151"/>
                                </a:moveTo>
                                <a:lnTo>
                                  <a:pt x="2867025" y="827151"/>
                                </a:lnTo>
                                <a:lnTo>
                                  <a:pt x="2867025" y="827151"/>
                                </a:lnTo>
                              </a:path>
                              <a:path w="2895600" h="827405">
                                <a:moveTo>
                                  <a:pt x="2838450" y="827151"/>
                                </a:moveTo>
                                <a:lnTo>
                                  <a:pt x="2895600" y="827151"/>
                                </a:lnTo>
                              </a:path>
                              <a:path w="2895600" h="827405">
                                <a:moveTo>
                                  <a:pt x="1163954" y="300608"/>
                                </a:moveTo>
                                <a:lnTo>
                                  <a:pt x="1163954" y="300608"/>
                                </a:lnTo>
                                <a:lnTo>
                                  <a:pt x="1163954" y="216153"/>
                                </a:lnTo>
                              </a:path>
                              <a:path w="2895600" h="827405">
                                <a:moveTo>
                                  <a:pt x="1135379" y="216153"/>
                                </a:moveTo>
                                <a:lnTo>
                                  <a:pt x="1192529" y="216153"/>
                                </a:lnTo>
                              </a:path>
                              <a:path w="2895600" h="827405">
                                <a:moveTo>
                                  <a:pt x="2110104" y="540003"/>
                                </a:moveTo>
                                <a:lnTo>
                                  <a:pt x="2110104" y="540003"/>
                                </a:lnTo>
                                <a:lnTo>
                                  <a:pt x="2110104" y="449199"/>
                                </a:lnTo>
                              </a:path>
                              <a:path w="2895600" h="827405">
                                <a:moveTo>
                                  <a:pt x="2081529" y="449199"/>
                                </a:moveTo>
                                <a:lnTo>
                                  <a:pt x="2138679" y="449199"/>
                                </a:lnTo>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0" y="4572"/>
                            <a:ext cx="3825240" cy="2155190"/>
                          </a:xfrm>
                          <a:custGeom>
                            <a:avLst/>
                            <a:gdLst/>
                            <a:ahLst/>
                            <a:cxnLst/>
                            <a:rect l="l" t="t" r="r" b="b"/>
                            <a:pathLst>
                              <a:path w="3825240" h="2155190">
                                <a:moveTo>
                                  <a:pt x="39624" y="2154936"/>
                                </a:moveTo>
                                <a:lnTo>
                                  <a:pt x="39624" y="0"/>
                                </a:lnTo>
                              </a:path>
                              <a:path w="3825240" h="2155190">
                                <a:moveTo>
                                  <a:pt x="0" y="2154936"/>
                                </a:moveTo>
                                <a:lnTo>
                                  <a:pt x="39624" y="2154936"/>
                                </a:lnTo>
                              </a:path>
                              <a:path w="3825240" h="2155190">
                                <a:moveTo>
                                  <a:pt x="0" y="1914144"/>
                                </a:moveTo>
                                <a:lnTo>
                                  <a:pt x="39624" y="1914144"/>
                                </a:lnTo>
                              </a:path>
                              <a:path w="3825240" h="2155190">
                                <a:moveTo>
                                  <a:pt x="0" y="1676400"/>
                                </a:moveTo>
                                <a:lnTo>
                                  <a:pt x="39624" y="1676400"/>
                                </a:lnTo>
                              </a:path>
                              <a:path w="3825240" h="2155190">
                                <a:moveTo>
                                  <a:pt x="0" y="1435607"/>
                                </a:moveTo>
                                <a:lnTo>
                                  <a:pt x="39624" y="1435607"/>
                                </a:lnTo>
                              </a:path>
                              <a:path w="3825240" h="2155190">
                                <a:moveTo>
                                  <a:pt x="0" y="1197864"/>
                                </a:moveTo>
                                <a:lnTo>
                                  <a:pt x="39624" y="1197864"/>
                                </a:lnTo>
                              </a:path>
                              <a:path w="3825240" h="2155190">
                                <a:moveTo>
                                  <a:pt x="0" y="957072"/>
                                </a:moveTo>
                                <a:lnTo>
                                  <a:pt x="39624" y="957072"/>
                                </a:lnTo>
                              </a:path>
                              <a:path w="3825240" h="2155190">
                                <a:moveTo>
                                  <a:pt x="0" y="719327"/>
                                </a:moveTo>
                                <a:lnTo>
                                  <a:pt x="39624" y="719327"/>
                                </a:lnTo>
                              </a:path>
                              <a:path w="3825240" h="2155190">
                                <a:moveTo>
                                  <a:pt x="0" y="478536"/>
                                </a:moveTo>
                                <a:lnTo>
                                  <a:pt x="39624" y="478536"/>
                                </a:lnTo>
                              </a:path>
                              <a:path w="3825240" h="2155190">
                                <a:moveTo>
                                  <a:pt x="0" y="240792"/>
                                </a:moveTo>
                                <a:lnTo>
                                  <a:pt x="39624" y="240792"/>
                                </a:lnTo>
                              </a:path>
                              <a:path w="3825240" h="2155190">
                                <a:moveTo>
                                  <a:pt x="0" y="0"/>
                                </a:moveTo>
                                <a:lnTo>
                                  <a:pt x="39624" y="0"/>
                                </a:lnTo>
                              </a:path>
                              <a:path w="3825240" h="2155190">
                                <a:moveTo>
                                  <a:pt x="39624" y="2154936"/>
                                </a:moveTo>
                                <a:lnTo>
                                  <a:pt x="3825240" y="2154936"/>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1.880005pt;margin-top:-179.345474pt;width:301.2pt;height:170.4pt;mso-position-horizontal-relative:page;mso-position-vertical-relative:paragraph;z-index:15760896" id="docshapegroup23" coordorigin="3238,-3587" coordsize="6024,3408">
                <v:shape style="position:absolute;left:3698;top:-2990;width:399;height:2802" type="#_x0000_t75" id="docshape24" stroked="false">
                  <v:imagedata r:id="rId22" o:title=""/>
                </v:shape>
                <v:shape style="position:absolute;left:5191;top:-2841;width:3380;height:2653" type="#_x0000_t75" id="docshape25" stroked="false">
                  <v:imagedata r:id="rId23" o:title=""/>
                </v:shape>
                <v:shape style="position:absolute;left:5467;top:-2863;width:3423;height:2675" type="#_x0000_t75" id="docshape26" stroked="false">
                  <v:imagedata r:id="rId24" o:title=""/>
                </v:shape>
                <v:rect style="position:absolute;left:3749;top:-2978;width:298;height:2790" id="docshape27" filled="true" fillcolor="#9bba58" stroked="false">
                  <v:fill type="solid"/>
                </v:rect>
                <v:shape style="position:absolute;left:5237;top:-2829;width:3279;height:2641" id="docshape28" coordorigin="5238,-2828" coordsize="3279,2641" path="m5535,-2828l5238,-2828,5238,-188,5535,-188,5535,-2828xm7028,-2675l6731,-2675,6731,-188,7028,-188,7028,-2675xm8516,-1998l8219,-1998,8219,-188,8516,-188,8516,-1998xe" filled="true" fillcolor="#c0504d" stroked="false">
                  <v:path arrowok="t"/>
                  <v:fill type="solid"/>
                </v:shape>
                <v:shape style="position:absolute;left:5535;top:-2829;width:3279;height:2641" id="docshape29" coordorigin="5535,-2828" coordsize="3279,2641" path="m5838,-2828l5535,-2828,5535,-188,5838,-188,5838,-2828xm7326,-2449l7028,-2449,7028,-188,7326,-188,7326,-2449xm8814,-2828l8516,-2828,8516,-188,8814,-188,8814,-2828xe" filled="true" fillcolor="#4f81bc" stroked="false">
                  <v:path arrowok="t"/>
                  <v:fill type="solid"/>
                </v:shape>
                <v:shape style="position:absolute;left:3853;top:-3300;width:4560;height:1303" id="docshape30" coordorigin="3854,-3300" coordsize="4560,1303" path="m3899,-2977l3899,-2977,3899,-3300m3854,-3300l3944,-3300m5389,-2827l5389,-2827,5389,-2940m5344,-2940l5434,-2940m6879,-2676l6879,-2676,6879,-2742m6834,-2742l6924,-2742m8369,-1997l8369,-1997,8369,-1997m8324,-1997l8414,-1997m5687,-2827l5687,-2827,5687,-2960m5642,-2960l5732,-2960m7177,-2450l7177,-2450,7177,-2593m7132,-2593l7222,-2593e" filled="false" stroked="true" strokeweight="1pt" strokecolor="#000000">
                  <v:path arrowok="t"/>
                  <v:stroke dashstyle="solid"/>
                </v:shape>
                <v:shape style="position:absolute;left:3237;top:-3580;width:6024;height:3394" id="docshape31" coordorigin="3238,-3580" coordsize="6024,3394" path="m3300,-186l3300,-3580m3238,-186l3300,-186m3238,-565l3300,-565m3238,-940l3300,-940m3238,-1319l3300,-1319m3238,-1693l3300,-1693m3238,-2073l3300,-2073m3238,-2447l3300,-2447m3238,-2826l3300,-2826m3238,-3201l3300,-3201m3238,-3580l3300,-3580m3300,-186l9262,-186e" filled="false" stroked="true" strokeweight=".72pt" strokecolor="#858585">
                  <v:path arrowok="t"/>
                  <v:stroke dashstyle="solid"/>
                </v:shape>
                <w10:wrap type="none"/>
              </v:group>
            </w:pict>
          </mc:Fallback>
        </mc:AlternateContent>
      </w:r>
      <w:r>
        <w:rPr>
          <w:rFonts w:ascii="Calibri"/>
          <w:sz w:val="20"/>
        </w:rPr>
        <w:t>Olive</w:t>
      </w:r>
      <w:r>
        <w:rPr>
          <w:rFonts w:ascii="Calibri"/>
          <w:spacing w:val="-12"/>
          <w:sz w:val="20"/>
        </w:rPr>
        <w:t> </w:t>
      </w:r>
      <w:r>
        <w:rPr>
          <w:rFonts w:ascii="Calibri"/>
          <w:sz w:val="20"/>
        </w:rPr>
        <w:t>oil</w:t>
      </w:r>
      <w:r>
        <w:rPr>
          <w:rFonts w:ascii="Calibri"/>
          <w:spacing w:val="64"/>
          <w:w w:val="150"/>
          <w:sz w:val="20"/>
        </w:rPr>
        <w:t> </w:t>
      </w:r>
      <w:r>
        <w:rPr>
          <w:rFonts w:ascii="Calibri"/>
          <w:spacing w:val="-2"/>
          <w:sz w:val="20"/>
        </w:rPr>
        <w:t>(10*)</w:t>
      </w:r>
      <w:r>
        <w:rPr>
          <w:rFonts w:ascii="Calibri"/>
          <w:sz w:val="20"/>
        </w:rPr>
        <w:tab/>
        <w:t>125</w:t>
      </w:r>
      <w:r>
        <w:rPr>
          <w:rFonts w:ascii="Calibri"/>
          <w:spacing w:val="-8"/>
          <w:sz w:val="20"/>
        </w:rPr>
        <w:t> </w:t>
      </w:r>
      <w:r>
        <w:rPr>
          <w:rFonts w:ascii="Calibri"/>
          <w:spacing w:val="-2"/>
          <w:sz w:val="20"/>
        </w:rPr>
        <w:t>mg/kg</w:t>
      </w:r>
      <w:r>
        <w:rPr>
          <w:rFonts w:ascii="Calibri"/>
          <w:sz w:val="20"/>
        </w:rPr>
        <w:tab/>
      </w:r>
      <w:r>
        <w:rPr>
          <w:rFonts w:ascii="Calibri"/>
          <w:spacing w:val="-2"/>
          <w:sz w:val="20"/>
        </w:rPr>
        <w:t>250mg/kg</w:t>
      </w:r>
      <w:r>
        <w:rPr>
          <w:rFonts w:ascii="Calibri"/>
          <w:sz w:val="20"/>
        </w:rPr>
        <w:tab/>
      </w:r>
      <w:r>
        <w:rPr>
          <w:rFonts w:ascii="Calibri"/>
          <w:spacing w:val="-2"/>
          <w:sz w:val="20"/>
        </w:rPr>
        <w:t>500mg/kg</w:t>
      </w:r>
    </w:p>
    <w:p>
      <w:pPr>
        <w:spacing w:before="150"/>
        <w:ind w:left="473" w:right="0" w:firstLine="0"/>
        <w:jc w:val="center"/>
        <w:rPr>
          <w:rFonts w:ascii="Calibri"/>
          <w:b/>
          <w:sz w:val="20"/>
        </w:rPr>
      </w:pPr>
      <w:r>
        <w:rPr>
          <w:rFonts w:ascii="Calibri"/>
          <w:b/>
          <w:spacing w:val="-2"/>
          <w:sz w:val="20"/>
        </w:rPr>
        <w:t>Treatment</w:t>
      </w:r>
    </w:p>
    <w:p>
      <w:pPr>
        <w:spacing w:line="240" w:lineRule="auto" w:before="0"/>
        <w:rPr>
          <w:rFonts w:ascii="Calibri"/>
          <w:b/>
          <w:sz w:val="20"/>
        </w:rPr>
      </w:pPr>
      <w:r>
        <w:rPr/>
        <w:br w:type="column"/>
      </w:r>
      <w:r>
        <w:rPr>
          <w:rFonts w:ascii="Calibri"/>
          <w:b/>
          <w:sz w:val="20"/>
        </w:rPr>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7"/>
        <w:rPr>
          <w:rFonts w:ascii="Calibri"/>
          <w:b/>
          <w:sz w:val="20"/>
        </w:rPr>
      </w:pPr>
    </w:p>
    <w:p>
      <w:pPr>
        <w:spacing w:line="355" w:lineRule="auto" w:before="0"/>
        <w:ind w:left="608" w:right="1056" w:firstLine="0"/>
        <w:jc w:val="left"/>
        <w:rPr>
          <w:rFonts w:ascii="Calibri"/>
          <w:sz w:val="20"/>
        </w:rPr>
      </w:pPr>
      <w:r>
        <w:rPr>
          <w:position w:val="1"/>
        </w:rPr>
        <w:drawing>
          <wp:inline distT="0" distB="0" distL="0" distR="0">
            <wp:extent cx="70103" cy="70103"/>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25" cstate="print"/>
                    <a:stretch>
                      <a:fillRect/>
                    </a:stretch>
                  </pic:blipFill>
                  <pic:spPr>
                    <a:xfrm>
                      <a:off x="0" y="0"/>
                      <a:ext cx="70103" cy="70103"/>
                    </a:xfrm>
                    <a:prstGeom prst="rect">
                      <a:avLst/>
                    </a:prstGeom>
                  </pic:spPr>
                </pic:pic>
              </a:graphicData>
            </a:graphic>
          </wp:inline>
        </w:drawing>
      </w:r>
      <w:r>
        <w:rPr>
          <w:position w:val="1"/>
        </w:rPr>
      </w:r>
      <w:r>
        <w:rPr>
          <w:sz w:val="20"/>
        </w:rPr>
        <w:t> </w:t>
      </w:r>
      <w:r>
        <w:rPr>
          <w:rFonts w:ascii="Calibri"/>
          <w:sz w:val="20"/>
        </w:rPr>
        <w:t>UME </w:t>
      </w:r>
      <w:r>
        <w:rPr>
          <w:rFonts w:ascii="Calibri"/>
          <w:position w:val="1"/>
          <w:sz w:val="20"/>
        </w:rPr>
        <w:drawing>
          <wp:inline distT="0" distB="0" distL="0" distR="0">
            <wp:extent cx="70103" cy="67055"/>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26" cstate="print"/>
                    <a:stretch>
                      <a:fillRect/>
                    </a:stretch>
                  </pic:blipFill>
                  <pic:spPr>
                    <a:xfrm>
                      <a:off x="0" y="0"/>
                      <a:ext cx="70103" cy="67055"/>
                    </a:xfrm>
                    <a:prstGeom prst="rect">
                      <a:avLst/>
                    </a:prstGeom>
                  </pic:spPr>
                </pic:pic>
              </a:graphicData>
            </a:graphic>
          </wp:inline>
        </w:drawing>
      </w:r>
      <w:r>
        <w:rPr>
          <w:rFonts w:ascii="Calibri"/>
          <w:position w:val="1"/>
          <w:sz w:val="20"/>
        </w:rPr>
      </w:r>
      <w:r>
        <w:rPr>
          <w:spacing w:val="-13"/>
          <w:sz w:val="20"/>
        </w:rPr>
        <w:t> </w:t>
      </w:r>
      <w:r>
        <w:rPr>
          <w:rFonts w:ascii="Calibri"/>
          <w:sz w:val="20"/>
        </w:rPr>
        <w:t>SDME</w:t>
      </w:r>
    </w:p>
    <w:p>
      <w:pPr>
        <w:spacing w:after="0" w:line="355" w:lineRule="auto"/>
        <w:jc w:val="left"/>
        <w:rPr>
          <w:rFonts w:ascii="Calibri"/>
          <w:sz w:val="20"/>
        </w:rPr>
        <w:sectPr>
          <w:pgSz w:w="11910" w:h="16840"/>
          <w:pgMar w:header="0" w:footer="1012" w:top="1460" w:bottom="1200" w:left="960" w:right="620"/>
          <w:cols w:num="3" w:equalWidth="0">
            <w:col w:w="2161" w:space="40"/>
            <w:col w:w="5772" w:space="39"/>
            <w:col w:w="2318"/>
          </w:cols>
        </w:sectPr>
      </w:pPr>
    </w:p>
    <w:p>
      <w:pPr>
        <w:pStyle w:val="BodyText"/>
        <w:spacing w:before="227"/>
        <w:rPr>
          <w:rFonts w:ascii="Calibri"/>
        </w:rPr>
      </w:pPr>
    </w:p>
    <w:p>
      <w:pPr>
        <w:pStyle w:val="Heading2"/>
        <w:spacing w:line="362" w:lineRule="auto"/>
        <w:ind w:left="1028" w:right="670" w:firstLine="0"/>
        <w:jc w:val="left"/>
      </w:pPr>
      <w:r>
        <w:rPr/>
        <w:t>Figure</w:t>
      </w:r>
      <w:r>
        <w:rPr>
          <w:spacing w:val="-2"/>
        </w:rPr>
        <w:t> </w:t>
      </w:r>
      <w:r>
        <w:rPr/>
        <w:t>4.2. Liver</w:t>
      </w:r>
      <w:r>
        <w:rPr>
          <w:spacing w:val="-7"/>
        </w:rPr>
        <w:t> </w:t>
      </w:r>
      <w:r>
        <w:rPr/>
        <w:t>to</w:t>
      </w:r>
      <w:r>
        <w:rPr>
          <w:spacing w:val="-6"/>
        </w:rPr>
        <w:t> </w:t>
      </w:r>
      <w:r>
        <w:rPr/>
        <w:t>Body</w:t>
      </w:r>
      <w:r>
        <w:rPr>
          <w:spacing w:val="-6"/>
        </w:rPr>
        <w:t> </w:t>
      </w:r>
      <w:r>
        <w:rPr/>
        <w:t>Weight</w:t>
      </w:r>
      <w:r>
        <w:rPr>
          <w:spacing w:val="-4"/>
        </w:rPr>
        <w:t> </w:t>
      </w:r>
      <w:r>
        <w:rPr/>
        <w:t>Ratio in</w:t>
      </w:r>
      <w:r>
        <w:rPr>
          <w:spacing w:val="-5"/>
        </w:rPr>
        <w:t> </w:t>
      </w:r>
      <w:r>
        <w:rPr/>
        <w:t>Male</w:t>
      </w:r>
      <w:r>
        <w:rPr>
          <w:spacing w:val="-1"/>
        </w:rPr>
        <w:t> </w:t>
      </w:r>
      <w:r>
        <w:rPr/>
        <w:t>Wistar</w:t>
      </w:r>
      <w:r>
        <w:rPr>
          <w:spacing w:val="-7"/>
        </w:rPr>
        <w:t> </w:t>
      </w:r>
      <w:r>
        <w:rPr/>
        <w:t>Rats</w:t>
      </w:r>
      <w:r>
        <w:rPr>
          <w:spacing w:val="-2"/>
        </w:rPr>
        <w:t> </w:t>
      </w:r>
      <w:r>
        <w:rPr/>
        <w:t>that Received Undetoxified and Detoxified </w:t>
      </w:r>
      <w:r>
        <w:rPr>
          <w:i/>
        </w:rPr>
        <w:t>Jatropha curcas </w:t>
      </w:r>
      <w:r>
        <w:rPr/>
        <w:t>Oils</w:t>
      </w:r>
    </w:p>
    <w:p>
      <w:pPr>
        <w:pStyle w:val="BodyText"/>
        <w:spacing w:before="100"/>
        <w:rPr>
          <w:b/>
        </w:rPr>
      </w:pPr>
    </w:p>
    <w:p>
      <w:pPr>
        <w:spacing w:before="1"/>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6"/>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8"/>
          <w:sz w:val="22"/>
        </w:rPr>
        <w:t> </w:t>
      </w:r>
      <w:r>
        <w:rPr>
          <w:sz w:val="22"/>
        </w:rPr>
        <w:t>Detoxified</w:t>
      </w:r>
      <w:r>
        <w:rPr>
          <w:spacing w:val="-9"/>
          <w:sz w:val="22"/>
        </w:rPr>
        <w:t> </w:t>
      </w:r>
      <w:r>
        <w:rPr>
          <w:sz w:val="22"/>
        </w:rPr>
        <w:t>Mechanically</w:t>
      </w:r>
      <w:r>
        <w:rPr>
          <w:spacing w:val="-3"/>
          <w:sz w:val="22"/>
        </w:rPr>
        <w:t> </w:t>
      </w:r>
      <w:r>
        <w:rPr>
          <w:spacing w:val="-2"/>
          <w:sz w:val="22"/>
        </w:rPr>
        <w:t>Extracted</w:t>
      </w:r>
    </w:p>
    <w:p>
      <w:pPr>
        <w:spacing w:before="126"/>
        <w:ind w:left="1028" w:right="0" w:firstLine="0"/>
        <w:jc w:val="left"/>
        <w:rPr>
          <w:sz w:val="22"/>
        </w:rPr>
      </w:pPr>
      <w:r>
        <w:rPr>
          <w:sz w:val="22"/>
          <w:vertAlign w:val="superscript"/>
        </w:rPr>
        <w:t>*</w:t>
      </w:r>
      <w:r>
        <w:rPr>
          <w:sz w:val="22"/>
          <w:vertAlign w:val="baseline"/>
        </w:rPr>
        <w:t> =</w:t>
      </w:r>
      <w:r>
        <w:rPr>
          <w:spacing w:val="-6"/>
          <w:sz w:val="22"/>
          <w:vertAlign w:val="baseline"/>
        </w:rPr>
        <w:t> </w:t>
      </w:r>
      <w:r>
        <w:rPr>
          <w:sz w:val="22"/>
          <w:vertAlign w:val="baseline"/>
        </w:rPr>
        <w:t>ml/kg;</w:t>
      </w:r>
      <w:r>
        <w:rPr>
          <w:spacing w:val="-1"/>
          <w:sz w:val="22"/>
          <w:vertAlign w:val="baseline"/>
        </w:rPr>
        <w:t> </w:t>
      </w:r>
      <w:r>
        <w:rPr>
          <w:sz w:val="22"/>
          <w:vertAlign w:val="baseline"/>
        </w:rPr>
        <w:t>n</w:t>
      </w:r>
      <w:r>
        <w:rPr>
          <w:spacing w:val="-6"/>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4"/>
          <w:sz w:val="22"/>
          <w:vertAlign w:val="baseline"/>
        </w:rPr>
        <w:t> </w:t>
      </w:r>
      <w:r>
        <w:rPr>
          <w:sz w:val="22"/>
          <w:vertAlign w:val="baseline"/>
        </w:rPr>
        <w:t>rats);</w:t>
      </w:r>
      <w:r>
        <w:rPr>
          <w:spacing w:val="-5"/>
          <w:sz w:val="22"/>
          <w:vertAlign w:val="baseline"/>
        </w:rPr>
        <w:t> </w:t>
      </w:r>
      <w:r>
        <w:rPr>
          <w:sz w:val="22"/>
          <w:vertAlign w:val="baseline"/>
        </w:rPr>
        <w:t>Drug</w:t>
      </w:r>
      <w:r>
        <w:rPr>
          <w:spacing w:val="-12"/>
          <w:sz w:val="22"/>
          <w:vertAlign w:val="baseline"/>
        </w:rPr>
        <w:t> </w:t>
      </w:r>
      <w:r>
        <w:rPr>
          <w:sz w:val="22"/>
          <w:vertAlign w:val="baseline"/>
        </w:rPr>
        <w:t>administration;</w:t>
      </w:r>
      <w:r>
        <w:rPr>
          <w:spacing w:val="-1"/>
          <w:sz w:val="22"/>
          <w:vertAlign w:val="baseline"/>
        </w:rPr>
        <w:t> </w:t>
      </w:r>
      <w:r>
        <w:rPr>
          <w:sz w:val="22"/>
          <w:vertAlign w:val="baseline"/>
        </w:rPr>
        <w:t>p.o. daily</w:t>
      </w:r>
      <w:r>
        <w:rPr>
          <w:spacing w:val="-6"/>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line="360" w:lineRule="auto" w:before="126"/>
        <w:ind w:left="1061" w:right="858" w:hanging="34"/>
        <w:jc w:val="left"/>
        <w:rPr>
          <w:sz w:val="22"/>
        </w:rPr>
      </w:pPr>
      <w:r>
        <w:rPr>
          <w:sz w:val="22"/>
        </w:rPr>
        <w:t>Values</w:t>
      </w:r>
      <w:r>
        <w:rPr>
          <w:spacing w:val="-2"/>
          <w:sz w:val="22"/>
        </w:rPr>
        <w:t> </w:t>
      </w:r>
      <w:r>
        <w:rPr>
          <w:sz w:val="22"/>
        </w:rPr>
        <w:t>are</w:t>
      </w:r>
      <w:r>
        <w:rPr>
          <w:spacing w:val="-3"/>
          <w:sz w:val="22"/>
        </w:rPr>
        <w:t> </w:t>
      </w:r>
      <w:r>
        <w:rPr>
          <w:sz w:val="22"/>
        </w:rPr>
        <w:t>mean</w:t>
      </w:r>
      <w:r>
        <w:rPr>
          <w:spacing w:val="-7"/>
          <w:sz w:val="22"/>
        </w:rPr>
        <w:t> </w:t>
      </w:r>
      <w:r>
        <w:rPr>
          <w:sz w:val="22"/>
        </w:rPr>
        <w:t>±</w:t>
      </w:r>
      <w:r>
        <w:rPr>
          <w:spacing w:val="-3"/>
          <w:sz w:val="22"/>
        </w:rPr>
        <w:t> </w:t>
      </w:r>
      <w:r>
        <w:rPr>
          <w:sz w:val="22"/>
        </w:rPr>
        <w:t>S.E.M.;</w:t>
      </w:r>
      <w:r>
        <w:rPr>
          <w:spacing w:val="-6"/>
          <w:sz w:val="22"/>
        </w:rPr>
        <w:t> </w:t>
      </w:r>
      <w:r>
        <w:rPr>
          <w:sz w:val="22"/>
        </w:rPr>
        <w:t>Data</w:t>
      </w:r>
      <w:r>
        <w:rPr>
          <w:spacing w:val="-9"/>
          <w:sz w:val="22"/>
        </w:rPr>
        <w:t> </w:t>
      </w:r>
      <w:r>
        <w:rPr>
          <w:sz w:val="22"/>
        </w:rPr>
        <w:t>analyzed</w:t>
      </w:r>
      <w:r>
        <w:rPr>
          <w:spacing w:val="-7"/>
          <w:sz w:val="22"/>
        </w:rPr>
        <w:t> </w:t>
      </w:r>
      <w:r>
        <w:rPr>
          <w:sz w:val="22"/>
        </w:rPr>
        <w:t>using</w:t>
      </w:r>
      <w:r>
        <w:rPr>
          <w:spacing w:val="-7"/>
          <w:sz w:val="22"/>
        </w:rPr>
        <w:t> </w:t>
      </w:r>
      <w:r>
        <w:rPr>
          <w:sz w:val="22"/>
        </w:rPr>
        <w:t>one</w:t>
      </w:r>
      <w:r>
        <w:rPr>
          <w:spacing w:val="-4"/>
          <w:sz w:val="22"/>
        </w:rPr>
        <w:t> </w:t>
      </w:r>
      <w:r>
        <w:rPr>
          <w:sz w:val="22"/>
        </w:rPr>
        <w:t>way</w:t>
      </w:r>
      <w:r>
        <w:rPr>
          <w:spacing w:val="-7"/>
          <w:sz w:val="22"/>
        </w:rPr>
        <w:t> </w:t>
      </w:r>
      <w:r>
        <w:rPr>
          <w:sz w:val="22"/>
        </w:rPr>
        <w:t>ANOVA</w:t>
      </w:r>
      <w:r>
        <w:rPr>
          <w:spacing w:val="-4"/>
          <w:sz w:val="22"/>
        </w:rPr>
        <w:t> </w:t>
      </w:r>
      <w:r>
        <w:rPr>
          <w:sz w:val="22"/>
        </w:rPr>
        <w:t>and</w:t>
      </w:r>
      <w:r>
        <w:rPr>
          <w:spacing w:val="-7"/>
          <w:sz w:val="22"/>
        </w:rPr>
        <w:t> </w:t>
      </w:r>
      <w:r>
        <w:rPr>
          <w:sz w:val="22"/>
        </w:rPr>
        <w:t>Bonferonni‟s</w:t>
      </w:r>
      <w:r>
        <w:rPr>
          <w:spacing w:val="-2"/>
          <w:sz w:val="22"/>
        </w:rPr>
        <w:t> </w:t>
      </w:r>
      <w:r>
        <w:rPr>
          <w:sz w:val="22"/>
        </w:rPr>
        <w:t>post</w:t>
      </w:r>
      <w:r>
        <w:rPr>
          <w:spacing w:val="-1"/>
          <w:sz w:val="22"/>
        </w:rPr>
        <w:t> </w:t>
      </w:r>
      <w:r>
        <w:rPr>
          <w:sz w:val="22"/>
        </w:rPr>
        <w:t>hoc No significant difference between groups and control and among groups at p&lt;0.05</w:t>
      </w:r>
    </w:p>
    <w:p>
      <w:pPr>
        <w:spacing w:after="0" w:line="360" w:lineRule="auto"/>
        <w:jc w:val="left"/>
        <w:rPr>
          <w:sz w:val="22"/>
        </w:rPr>
        <w:sectPr>
          <w:type w:val="continuous"/>
          <w:pgSz w:w="11910" w:h="16840"/>
          <w:pgMar w:header="0" w:footer="1012" w:top="1340" w:bottom="280" w:left="960" w:right="620"/>
        </w:sectPr>
      </w:pPr>
    </w:p>
    <w:p>
      <w:pPr>
        <w:spacing w:before="38"/>
        <w:ind w:left="1700" w:right="0" w:firstLine="0"/>
        <w:jc w:val="left"/>
        <w:rPr>
          <w:rFonts w:ascii="Calibri"/>
          <w:sz w:val="20"/>
        </w:rPr>
      </w:pPr>
      <w:r>
        <w:rPr/>
        <mc:AlternateContent>
          <mc:Choice Requires="wps">
            <w:drawing>
              <wp:anchor distT="0" distB="0" distL="0" distR="0" allowOverlap="1" layoutInCell="1" locked="0" behindDoc="0" simplePos="0" relativeHeight="15761920">
                <wp:simplePos x="0" y="0"/>
                <wp:positionH relativeFrom="page">
                  <wp:posOffset>2055876</wp:posOffset>
                </wp:positionH>
                <wp:positionV relativeFrom="paragraph">
                  <wp:posOffset>103631</wp:posOffset>
                </wp:positionV>
                <wp:extent cx="3385185" cy="257111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3385185" cy="2571115"/>
                          <a:chExt cx="3385185" cy="2571115"/>
                        </a:xfrm>
                      </wpg:grpSpPr>
                      <pic:pic>
                        <pic:nvPicPr>
                          <pic:cNvPr id="101" name="Image 101"/>
                          <pic:cNvPicPr/>
                        </pic:nvPicPr>
                        <pic:blipFill>
                          <a:blip r:embed="rId27" cstate="print"/>
                          <a:stretch>
                            <a:fillRect/>
                          </a:stretch>
                        </pic:blipFill>
                        <pic:spPr>
                          <a:xfrm>
                            <a:off x="188976" y="531875"/>
                            <a:ext cx="301751" cy="1997837"/>
                          </a:xfrm>
                          <a:prstGeom prst="rect">
                            <a:avLst/>
                          </a:prstGeom>
                        </pic:spPr>
                      </pic:pic>
                      <pic:pic>
                        <pic:nvPicPr>
                          <pic:cNvPr id="102" name="Image 102"/>
                          <pic:cNvPicPr/>
                        </pic:nvPicPr>
                        <pic:blipFill>
                          <a:blip r:embed="rId28" cstate="print"/>
                          <a:stretch>
                            <a:fillRect/>
                          </a:stretch>
                        </pic:blipFill>
                        <pic:spPr>
                          <a:xfrm>
                            <a:off x="1024138" y="595883"/>
                            <a:ext cx="1972035" cy="1933829"/>
                          </a:xfrm>
                          <a:prstGeom prst="rect">
                            <a:avLst/>
                          </a:prstGeom>
                        </pic:spPr>
                      </pic:pic>
                      <pic:pic>
                        <pic:nvPicPr>
                          <pic:cNvPr id="103" name="Image 103"/>
                          <pic:cNvPicPr/>
                        </pic:nvPicPr>
                        <pic:blipFill>
                          <a:blip r:embed="rId29" cstate="print"/>
                          <a:stretch>
                            <a:fillRect/>
                          </a:stretch>
                        </pic:blipFill>
                        <pic:spPr>
                          <a:xfrm>
                            <a:off x="1248155" y="393191"/>
                            <a:ext cx="1999488" cy="2136521"/>
                          </a:xfrm>
                          <a:prstGeom prst="rect">
                            <a:avLst/>
                          </a:prstGeom>
                        </pic:spPr>
                      </pic:pic>
                      <wps:wsp>
                        <wps:cNvPr id="104" name="Graphic 104"/>
                        <wps:cNvSpPr/>
                        <wps:spPr>
                          <a:xfrm>
                            <a:off x="220218" y="540766"/>
                            <a:ext cx="238760" cy="1989455"/>
                          </a:xfrm>
                          <a:custGeom>
                            <a:avLst/>
                            <a:gdLst/>
                            <a:ahLst/>
                            <a:cxnLst/>
                            <a:rect l="l" t="t" r="r" b="b"/>
                            <a:pathLst>
                              <a:path w="238760" h="1989455">
                                <a:moveTo>
                                  <a:pt x="238506" y="0"/>
                                </a:moveTo>
                                <a:lnTo>
                                  <a:pt x="0" y="0"/>
                                </a:lnTo>
                                <a:lnTo>
                                  <a:pt x="0" y="1988947"/>
                                </a:lnTo>
                                <a:lnTo>
                                  <a:pt x="238506" y="1988947"/>
                                </a:lnTo>
                                <a:lnTo>
                                  <a:pt x="238506" y="0"/>
                                </a:lnTo>
                                <a:close/>
                              </a:path>
                            </a:pathLst>
                          </a:custGeom>
                          <a:solidFill>
                            <a:srgbClr val="9BBA58"/>
                          </a:solidFill>
                        </wps:spPr>
                        <wps:bodyPr wrap="square" lIns="0" tIns="0" rIns="0" bIns="0" rtlCol="0">
                          <a:prstTxWarp prst="textNoShape">
                            <a:avLst/>
                          </a:prstTxWarp>
                          <a:noAutofit/>
                        </wps:bodyPr>
                      </wps:wsp>
                      <wps:wsp>
                        <wps:cNvPr id="105" name="Graphic 105"/>
                        <wps:cNvSpPr/>
                        <wps:spPr>
                          <a:xfrm>
                            <a:off x="1053719" y="603757"/>
                            <a:ext cx="1908175" cy="1925955"/>
                          </a:xfrm>
                          <a:custGeom>
                            <a:avLst/>
                            <a:gdLst/>
                            <a:ahLst/>
                            <a:cxnLst/>
                            <a:rect l="l" t="t" r="r" b="b"/>
                            <a:pathLst>
                              <a:path w="1908175" h="1925955">
                                <a:moveTo>
                                  <a:pt x="240792" y="158496"/>
                                </a:moveTo>
                                <a:lnTo>
                                  <a:pt x="0" y="158496"/>
                                </a:lnTo>
                                <a:lnTo>
                                  <a:pt x="0" y="1925955"/>
                                </a:lnTo>
                                <a:lnTo>
                                  <a:pt x="240792" y="1925955"/>
                                </a:lnTo>
                                <a:lnTo>
                                  <a:pt x="240792" y="158496"/>
                                </a:lnTo>
                                <a:close/>
                              </a:path>
                              <a:path w="1908175" h="1925955">
                                <a:moveTo>
                                  <a:pt x="1075944" y="0"/>
                                </a:moveTo>
                                <a:lnTo>
                                  <a:pt x="835152" y="0"/>
                                </a:lnTo>
                                <a:lnTo>
                                  <a:pt x="835152" y="1925955"/>
                                </a:lnTo>
                                <a:lnTo>
                                  <a:pt x="1075944" y="1925955"/>
                                </a:lnTo>
                                <a:lnTo>
                                  <a:pt x="1075944" y="0"/>
                                </a:lnTo>
                                <a:close/>
                              </a:path>
                              <a:path w="1908175" h="1925955">
                                <a:moveTo>
                                  <a:pt x="1908048" y="347472"/>
                                </a:moveTo>
                                <a:lnTo>
                                  <a:pt x="1670304" y="347472"/>
                                </a:lnTo>
                                <a:lnTo>
                                  <a:pt x="1670304" y="1925955"/>
                                </a:lnTo>
                                <a:lnTo>
                                  <a:pt x="1908048" y="1925955"/>
                                </a:lnTo>
                                <a:lnTo>
                                  <a:pt x="1908048" y="347472"/>
                                </a:lnTo>
                                <a:close/>
                              </a:path>
                            </a:pathLst>
                          </a:custGeom>
                          <a:solidFill>
                            <a:srgbClr val="C0504D"/>
                          </a:solidFill>
                        </wps:spPr>
                        <wps:bodyPr wrap="square" lIns="0" tIns="0" rIns="0" bIns="0" rtlCol="0">
                          <a:prstTxWarp prst="textNoShape">
                            <a:avLst/>
                          </a:prstTxWarp>
                          <a:noAutofit/>
                        </wps:bodyPr>
                      </wps:wsp>
                      <wps:wsp>
                        <wps:cNvPr id="106" name="Graphic 106"/>
                        <wps:cNvSpPr/>
                        <wps:spPr>
                          <a:xfrm>
                            <a:off x="1294511" y="414781"/>
                            <a:ext cx="1908175" cy="2115185"/>
                          </a:xfrm>
                          <a:custGeom>
                            <a:avLst/>
                            <a:gdLst/>
                            <a:ahLst/>
                            <a:cxnLst/>
                            <a:rect l="l" t="t" r="r" b="b"/>
                            <a:pathLst>
                              <a:path w="1908175" h="2115185">
                                <a:moveTo>
                                  <a:pt x="237744" y="377952"/>
                                </a:moveTo>
                                <a:lnTo>
                                  <a:pt x="0" y="377952"/>
                                </a:lnTo>
                                <a:lnTo>
                                  <a:pt x="0" y="2114931"/>
                                </a:lnTo>
                                <a:lnTo>
                                  <a:pt x="237744" y="2114931"/>
                                </a:lnTo>
                                <a:lnTo>
                                  <a:pt x="237744" y="377952"/>
                                </a:lnTo>
                                <a:close/>
                              </a:path>
                              <a:path w="1908175" h="2115185">
                                <a:moveTo>
                                  <a:pt x="1072896" y="124968"/>
                                </a:moveTo>
                                <a:lnTo>
                                  <a:pt x="835152" y="124968"/>
                                </a:lnTo>
                                <a:lnTo>
                                  <a:pt x="835152" y="2114931"/>
                                </a:lnTo>
                                <a:lnTo>
                                  <a:pt x="1072896" y="2114931"/>
                                </a:lnTo>
                                <a:lnTo>
                                  <a:pt x="1072896" y="124968"/>
                                </a:lnTo>
                                <a:close/>
                              </a:path>
                              <a:path w="1908175" h="2115185">
                                <a:moveTo>
                                  <a:pt x="1908048" y="0"/>
                                </a:moveTo>
                                <a:lnTo>
                                  <a:pt x="1667256" y="0"/>
                                </a:lnTo>
                                <a:lnTo>
                                  <a:pt x="1667256" y="2114931"/>
                                </a:lnTo>
                                <a:lnTo>
                                  <a:pt x="1908048" y="2114931"/>
                                </a:lnTo>
                                <a:lnTo>
                                  <a:pt x="1908048" y="0"/>
                                </a:lnTo>
                                <a:close/>
                              </a:path>
                            </a:pathLst>
                          </a:custGeom>
                          <a:solidFill>
                            <a:srgbClr val="4F81BC"/>
                          </a:solidFill>
                        </wps:spPr>
                        <wps:bodyPr wrap="square" lIns="0" tIns="0" rIns="0" bIns="0" rtlCol="0">
                          <a:prstTxWarp prst="textNoShape">
                            <a:avLst/>
                          </a:prstTxWarp>
                          <a:noAutofit/>
                        </wps:bodyPr>
                      </wps:wsp>
                      <wps:wsp>
                        <wps:cNvPr id="107" name="Graphic 107"/>
                        <wps:cNvSpPr/>
                        <wps:spPr>
                          <a:xfrm>
                            <a:off x="310895" y="326136"/>
                            <a:ext cx="2561590" cy="625475"/>
                          </a:xfrm>
                          <a:custGeom>
                            <a:avLst/>
                            <a:gdLst/>
                            <a:ahLst/>
                            <a:cxnLst/>
                            <a:rect l="l" t="t" r="r" b="b"/>
                            <a:pathLst>
                              <a:path w="2561590" h="625475">
                                <a:moveTo>
                                  <a:pt x="28575" y="214629"/>
                                </a:moveTo>
                                <a:lnTo>
                                  <a:pt x="28575" y="214629"/>
                                </a:lnTo>
                                <a:lnTo>
                                  <a:pt x="28575" y="0"/>
                                </a:lnTo>
                              </a:path>
                              <a:path w="2561590" h="625475">
                                <a:moveTo>
                                  <a:pt x="0" y="0"/>
                                </a:moveTo>
                                <a:lnTo>
                                  <a:pt x="57150" y="0"/>
                                </a:lnTo>
                              </a:path>
                              <a:path w="2561590" h="625475">
                                <a:moveTo>
                                  <a:pt x="863345" y="435609"/>
                                </a:moveTo>
                                <a:lnTo>
                                  <a:pt x="863345" y="435609"/>
                                </a:lnTo>
                                <a:lnTo>
                                  <a:pt x="863345" y="315722"/>
                                </a:lnTo>
                              </a:path>
                              <a:path w="2561590" h="625475">
                                <a:moveTo>
                                  <a:pt x="834770" y="315722"/>
                                </a:moveTo>
                                <a:lnTo>
                                  <a:pt x="891920" y="315722"/>
                                </a:lnTo>
                              </a:path>
                              <a:path w="2561590" h="625475">
                                <a:moveTo>
                                  <a:pt x="1698116" y="277749"/>
                                </a:moveTo>
                                <a:lnTo>
                                  <a:pt x="1698116" y="277749"/>
                                </a:lnTo>
                                <a:lnTo>
                                  <a:pt x="1698116" y="119887"/>
                                </a:lnTo>
                              </a:path>
                              <a:path w="2561590" h="625475">
                                <a:moveTo>
                                  <a:pt x="1669541" y="119887"/>
                                </a:moveTo>
                                <a:lnTo>
                                  <a:pt x="1726691" y="119887"/>
                                </a:lnTo>
                              </a:path>
                              <a:path w="2561590" h="625475">
                                <a:moveTo>
                                  <a:pt x="2532888" y="625093"/>
                                </a:moveTo>
                                <a:lnTo>
                                  <a:pt x="2532888" y="625093"/>
                                </a:lnTo>
                                <a:lnTo>
                                  <a:pt x="2532888" y="625093"/>
                                </a:lnTo>
                              </a:path>
                              <a:path w="2561590" h="625475">
                                <a:moveTo>
                                  <a:pt x="2504313" y="625093"/>
                                </a:moveTo>
                                <a:lnTo>
                                  <a:pt x="2561463" y="625093"/>
                                </a:lnTo>
                              </a:path>
                              <a:path w="2561590" h="625475">
                                <a:moveTo>
                                  <a:pt x="1101852" y="467232"/>
                                </a:moveTo>
                                <a:lnTo>
                                  <a:pt x="1101852" y="467232"/>
                                </a:lnTo>
                                <a:lnTo>
                                  <a:pt x="1101852" y="356742"/>
                                </a:lnTo>
                              </a:path>
                              <a:path w="2561590" h="625475">
                                <a:moveTo>
                                  <a:pt x="1073277" y="356742"/>
                                </a:moveTo>
                                <a:lnTo>
                                  <a:pt x="1130427" y="356742"/>
                                </a:lnTo>
                              </a:path>
                              <a:path w="2561590" h="625475">
                                <a:moveTo>
                                  <a:pt x="1936623" y="214629"/>
                                </a:moveTo>
                                <a:lnTo>
                                  <a:pt x="1936623" y="214629"/>
                                </a:lnTo>
                                <a:lnTo>
                                  <a:pt x="1936623" y="44196"/>
                                </a:lnTo>
                              </a:path>
                              <a:path w="2561590" h="625475">
                                <a:moveTo>
                                  <a:pt x="1908048" y="44196"/>
                                </a:moveTo>
                                <a:lnTo>
                                  <a:pt x="1965198" y="44196"/>
                                </a:lnTo>
                              </a:path>
                            </a:pathLst>
                          </a:custGeom>
                          <a:ln w="12700">
                            <a:solidFill>
                              <a:srgbClr val="000000"/>
                            </a:solidFill>
                            <a:prstDash val="solid"/>
                          </a:ln>
                        </wps:spPr>
                        <wps:bodyPr wrap="square" lIns="0" tIns="0" rIns="0" bIns="0" rtlCol="0">
                          <a:prstTxWarp prst="textNoShape">
                            <a:avLst/>
                          </a:prstTxWarp>
                          <a:noAutofit/>
                        </wps:bodyPr>
                      </wps:wsp>
                      <wps:wsp>
                        <wps:cNvPr id="108" name="Graphic 108"/>
                        <wps:cNvSpPr/>
                        <wps:spPr>
                          <a:xfrm>
                            <a:off x="0" y="4572"/>
                            <a:ext cx="3380740" cy="2566670"/>
                          </a:xfrm>
                          <a:custGeom>
                            <a:avLst/>
                            <a:gdLst/>
                            <a:ahLst/>
                            <a:cxnLst/>
                            <a:rect l="l" t="t" r="r" b="b"/>
                            <a:pathLst>
                              <a:path w="3380740" h="2566670">
                                <a:moveTo>
                                  <a:pt x="39624" y="2523744"/>
                                </a:moveTo>
                                <a:lnTo>
                                  <a:pt x="39624" y="0"/>
                                </a:lnTo>
                              </a:path>
                              <a:path w="3380740" h="2566670">
                                <a:moveTo>
                                  <a:pt x="0" y="2523744"/>
                                </a:moveTo>
                                <a:lnTo>
                                  <a:pt x="39624" y="2523744"/>
                                </a:lnTo>
                              </a:path>
                              <a:path w="3380740" h="2566670">
                                <a:moveTo>
                                  <a:pt x="0" y="2206752"/>
                                </a:moveTo>
                                <a:lnTo>
                                  <a:pt x="39624" y="2206752"/>
                                </a:lnTo>
                              </a:path>
                              <a:path w="3380740" h="2566670">
                                <a:moveTo>
                                  <a:pt x="0" y="1892807"/>
                                </a:moveTo>
                                <a:lnTo>
                                  <a:pt x="39624" y="1892807"/>
                                </a:lnTo>
                              </a:path>
                              <a:path w="3380740" h="2566670">
                                <a:moveTo>
                                  <a:pt x="0" y="1578864"/>
                                </a:moveTo>
                                <a:lnTo>
                                  <a:pt x="39624" y="1578864"/>
                                </a:lnTo>
                              </a:path>
                              <a:path w="3380740" h="2566670">
                                <a:moveTo>
                                  <a:pt x="0" y="1261872"/>
                                </a:moveTo>
                                <a:lnTo>
                                  <a:pt x="39624" y="1261872"/>
                                </a:lnTo>
                              </a:path>
                              <a:path w="3380740" h="2566670">
                                <a:moveTo>
                                  <a:pt x="0" y="944879"/>
                                </a:moveTo>
                                <a:lnTo>
                                  <a:pt x="39624" y="944879"/>
                                </a:lnTo>
                              </a:path>
                              <a:path w="3380740" h="2566670">
                                <a:moveTo>
                                  <a:pt x="0" y="630936"/>
                                </a:moveTo>
                                <a:lnTo>
                                  <a:pt x="39624" y="630936"/>
                                </a:lnTo>
                              </a:path>
                              <a:path w="3380740" h="2566670">
                                <a:moveTo>
                                  <a:pt x="0" y="316992"/>
                                </a:moveTo>
                                <a:lnTo>
                                  <a:pt x="39624" y="316992"/>
                                </a:lnTo>
                              </a:path>
                              <a:path w="3380740" h="2566670">
                                <a:moveTo>
                                  <a:pt x="0" y="0"/>
                                </a:moveTo>
                                <a:lnTo>
                                  <a:pt x="39624" y="0"/>
                                </a:lnTo>
                              </a:path>
                              <a:path w="3380740" h="2566670">
                                <a:moveTo>
                                  <a:pt x="39624" y="2523744"/>
                                </a:moveTo>
                                <a:lnTo>
                                  <a:pt x="3380232" y="2523744"/>
                                </a:lnTo>
                              </a:path>
                              <a:path w="3380740" h="2566670">
                                <a:moveTo>
                                  <a:pt x="39624" y="2523744"/>
                                </a:moveTo>
                                <a:lnTo>
                                  <a:pt x="39624" y="2566416"/>
                                </a:lnTo>
                              </a:path>
                              <a:path w="3380740" h="2566670">
                                <a:moveTo>
                                  <a:pt x="874776" y="2523744"/>
                                </a:moveTo>
                                <a:lnTo>
                                  <a:pt x="874776" y="2566416"/>
                                </a:lnTo>
                              </a:path>
                              <a:path w="3380740" h="2566670">
                                <a:moveTo>
                                  <a:pt x="1709927" y="2523744"/>
                                </a:moveTo>
                                <a:lnTo>
                                  <a:pt x="1709927" y="2566416"/>
                                </a:lnTo>
                              </a:path>
                              <a:path w="3380740" h="2566670">
                                <a:moveTo>
                                  <a:pt x="2545079" y="2523744"/>
                                </a:moveTo>
                                <a:lnTo>
                                  <a:pt x="2545079" y="2566416"/>
                                </a:lnTo>
                              </a:path>
                              <a:path w="3380740" h="2566670">
                                <a:moveTo>
                                  <a:pt x="3380232" y="2523744"/>
                                </a:moveTo>
                                <a:lnTo>
                                  <a:pt x="3380232" y="2566416"/>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1.880005pt;margin-top:8.16pt;width:266.55pt;height:202.45pt;mso-position-horizontal-relative:page;mso-position-vertical-relative:paragraph;z-index:15761920" id="docshapegroup32" coordorigin="3238,163" coordsize="5331,4049">
                <v:shape style="position:absolute;left:3535;top:1000;width:476;height:3147" type="#_x0000_t75" id="docshape33" stroked="false">
                  <v:imagedata r:id="rId27" o:title=""/>
                </v:shape>
                <v:shape style="position:absolute;left:4850;top:1101;width:3106;height:3046" type="#_x0000_t75" id="docshape34" stroked="false">
                  <v:imagedata r:id="rId28" o:title=""/>
                </v:shape>
                <v:shape style="position:absolute;left:5203;top:782;width:3149;height:3365" type="#_x0000_t75" id="docshape35" stroked="false">
                  <v:imagedata r:id="rId29" o:title=""/>
                </v:shape>
                <v:rect style="position:absolute;left:3584;top:1014;width:376;height:3133" id="docshape36" filled="true" fillcolor="#9bba58" stroked="false">
                  <v:fill type="solid"/>
                </v:rect>
                <v:shape style="position:absolute;left:4897;top:1114;width:3005;height:3033" id="docshape37" coordorigin="4897,1114" coordsize="3005,3033" path="m5276,1364l4897,1364,4897,4147,5276,4147,5276,1364xm6591,1114l6212,1114,6212,4147,6591,4147,6591,1114xm7902,1661l7527,1661,7527,4147,7902,4147,7902,1661xe" filled="true" fillcolor="#c0504d" stroked="false">
                  <v:path arrowok="t"/>
                  <v:fill type="solid"/>
                </v:shape>
                <v:shape style="position:absolute;left:5276;top:816;width:3005;height:3331" id="docshape38" coordorigin="5276,816" coordsize="3005,3331" path="m5651,1412l5276,1412,5276,4147,5651,4147,5651,1412xm6966,1013l6591,1013,6591,4147,6966,4147,6966,1013xm8281,816l7902,816,7902,4147,8281,4147,8281,816xe" filled="true" fillcolor="#4f81bc" stroked="false">
                  <v:path arrowok="t"/>
                  <v:fill type="solid"/>
                </v:shape>
                <v:shape style="position:absolute;left:3727;top:676;width:4034;height:985" id="docshape39" coordorigin="3727,677" coordsize="4034,985" path="m3772,1015l3772,1015,3772,677m3727,677l3817,677m5087,1363l5087,1363,5087,1174m5042,1174l5132,1174m6401,1114l6401,1114,6401,866m6356,866l6446,866m7716,1661l7716,1661,7716,1661m7671,1661l7761,1661m5462,1413l5462,1413,5462,1239m5417,1239l5507,1239m6777,1015l6777,1015,6777,746m6732,746l6822,746e" filled="false" stroked="true" strokeweight="1pt" strokecolor="#000000">
                  <v:path arrowok="t"/>
                  <v:stroke dashstyle="solid"/>
                </v:shape>
                <v:shape style="position:absolute;left:3237;top:170;width:5324;height:4042" id="docshape40" coordorigin="3238,170" coordsize="5324,4042" path="m3300,4145l3300,170m3238,4145l3300,4145m3238,3646l3300,3646m3238,3151l3300,3151m3238,2657l3300,2657m3238,2158l3300,2158m3238,1658l3300,1658m3238,1164l3300,1164m3238,670l3300,670m3238,170l3300,170m3300,4145l8561,4145m3300,4145l3300,4212m4615,4145l4615,4212m5930,4145l5930,4212m7246,4145l7246,4212m8561,4145l8561,4212e" filled="false" stroked="true" strokeweight=".72pt" strokecolor="#858585">
                  <v:path arrowok="t"/>
                  <v:stroke dashstyle="solid"/>
                </v:shape>
                <w10:wrap type="none"/>
              </v:group>
            </w:pict>
          </mc:Fallback>
        </mc:AlternateContent>
      </w:r>
      <w:r>
        <w:rPr>
          <w:rFonts w:ascii="Calibri"/>
          <w:spacing w:val="-2"/>
          <w:sz w:val="20"/>
        </w:rPr>
        <w:t>0.008</w:t>
      </w:r>
    </w:p>
    <w:p>
      <w:pPr>
        <w:pStyle w:val="BodyText"/>
        <w:spacing w:before="9"/>
        <w:rPr>
          <w:rFonts w:ascii="Calibri"/>
          <w:sz w:val="20"/>
        </w:rPr>
      </w:pPr>
    </w:p>
    <w:p>
      <w:pPr>
        <w:spacing w:before="0"/>
        <w:ind w:left="1700" w:right="0" w:firstLine="0"/>
        <w:jc w:val="left"/>
        <w:rPr>
          <w:rFonts w:ascii="Calibri"/>
          <w:sz w:val="20"/>
        </w:rPr>
      </w:pPr>
      <w:r>
        <w:rPr>
          <w:rFonts w:ascii="Calibri"/>
          <w:spacing w:val="-2"/>
          <w:sz w:val="20"/>
        </w:rPr>
        <w:t>0.007</w:t>
      </w:r>
    </w:p>
    <w:p>
      <w:pPr>
        <w:pStyle w:val="BodyText"/>
        <w:spacing w:before="9"/>
        <w:rPr>
          <w:rFonts w:ascii="Calibri"/>
          <w:sz w:val="20"/>
        </w:rPr>
      </w:pPr>
    </w:p>
    <w:p>
      <w:pPr>
        <w:spacing w:before="0"/>
        <w:ind w:left="1700" w:right="0" w:firstLine="0"/>
        <w:jc w:val="left"/>
        <w:rPr>
          <w:rFonts w:ascii="Calibri"/>
          <w:sz w:val="20"/>
        </w:rPr>
      </w:pPr>
      <w:r>
        <w:rPr/>
        <mc:AlternateContent>
          <mc:Choice Requires="wps">
            <w:drawing>
              <wp:anchor distT="0" distB="0" distL="0" distR="0" allowOverlap="1" layoutInCell="1" locked="0" behindDoc="0" simplePos="0" relativeHeight="15762432">
                <wp:simplePos x="0" y="0"/>
                <wp:positionH relativeFrom="page">
                  <wp:posOffset>1453388</wp:posOffset>
                </wp:positionH>
                <wp:positionV relativeFrom="paragraph">
                  <wp:posOffset>-41891</wp:posOffset>
                </wp:positionV>
                <wp:extent cx="153670" cy="149542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53670" cy="1495425"/>
                        </a:xfrm>
                        <a:prstGeom prst="rect">
                          <a:avLst/>
                        </a:prstGeom>
                      </wps:spPr>
                      <wps:txbx>
                        <w:txbxContent>
                          <w:p>
                            <w:pPr>
                              <w:spacing w:line="225" w:lineRule="exact" w:before="0"/>
                              <w:ind w:left="20" w:right="0" w:firstLine="0"/>
                              <w:jc w:val="left"/>
                              <w:rPr>
                                <w:rFonts w:ascii="Calibri"/>
                                <w:b/>
                                <w:sz w:val="20"/>
                              </w:rPr>
                            </w:pPr>
                            <w:r>
                              <w:rPr>
                                <w:rFonts w:ascii="Calibri"/>
                                <w:b/>
                                <w:sz w:val="20"/>
                              </w:rPr>
                              <w:t>Kidney</w:t>
                            </w:r>
                            <w:r>
                              <w:rPr>
                                <w:rFonts w:ascii="Calibri"/>
                                <w:b/>
                                <w:spacing w:val="-7"/>
                                <w:sz w:val="20"/>
                              </w:rPr>
                              <w:t> </w:t>
                            </w:r>
                            <w:r>
                              <w:rPr>
                                <w:rFonts w:ascii="Calibri"/>
                                <w:b/>
                                <w:sz w:val="20"/>
                              </w:rPr>
                              <w:t>to</w:t>
                            </w:r>
                            <w:r>
                              <w:rPr>
                                <w:rFonts w:ascii="Calibri"/>
                                <w:b/>
                                <w:spacing w:val="1"/>
                                <w:sz w:val="20"/>
                              </w:rPr>
                              <w:t> </w:t>
                            </w:r>
                            <w:r>
                              <w:rPr>
                                <w:rFonts w:ascii="Calibri"/>
                                <w:b/>
                                <w:sz w:val="20"/>
                              </w:rPr>
                              <w:t>body</w:t>
                            </w:r>
                            <w:r>
                              <w:rPr>
                                <w:rFonts w:ascii="Calibri"/>
                                <w:b/>
                                <w:spacing w:val="-12"/>
                                <w:sz w:val="20"/>
                              </w:rPr>
                              <w:t> </w:t>
                            </w:r>
                            <w:r>
                              <w:rPr>
                                <w:rFonts w:ascii="Calibri"/>
                                <w:b/>
                                <w:sz w:val="20"/>
                              </w:rPr>
                              <w:t>weight</w:t>
                            </w:r>
                            <w:r>
                              <w:rPr>
                                <w:rFonts w:ascii="Calibri"/>
                                <w:b/>
                                <w:spacing w:val="-4"/>
                                <w:sz w:val="20"/>
                              </w:rPr>
                              <w:t> ratio</w:t>
                            </w:r>
                          </w:p>
                        </w:txbxContent>
                      </wps:txbx>
                      <wps:bodyPr wrap="square" lIns="0" tIns="0" rIns="0" bIns="0" rtlCol="0" vert="vert270">
                        <a:noAutofit/>
                      </wps:bodyPr>
                    </wps:wsp>
                  </a:graphicData>
                </a:graphic>
              </wp:anchor>
            </w:drawing>
          </mc:Choice>
          <mc:Fallback>
            <w:pict>
              <v:shape style="position:absolute;margin-left:114.440002pt;margin-top:-3.298542pt;width:12.1pt;height:117.75pt;mso-position-horizontal-relative:page;mso-position-vertical-relative:paragraph;z-index:15762432" type="#_x0000_t202" id="docshape41"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Kidney</w:t>
                      </w:r>
                      <w:r>
                        <w:rPr>
                          <w:rFonts w:ascii="Calibri"/>
                          <w:b/>
                          <w:spacing w:val="-7"/>
                          <w:sz w:val="20"/>
                        </w:rPr>
                        <w:t> </w:t>
                      </w:r>
                      <w:r>
                        <w:rPr>
                          <w:rFonts w:ascii="Calibri"/>
                          <w:b/>
                          <w:sz w:val="20"/>
                        </w:rPr>
                        <w:t>to</w:t>
                      </w:r>
                      <w:r>
                        <w:rPr>
                          <w:rFonts w:ascii="Calibri"/>
                          <w:b/>
                          <w:spacing w:val="1"/>
                          <w:sz w:val="20"/>
                        </w:rPr>
                        <w:t> </w:t>
                      </w:r>
                      <w:r>
                        <w:rPr>
                          <w:rFonts w:ascii="Calibri"/>
                          <w:b/>
                          <w:sz w:val="20"/>
                        </w:rPr>
                        <w:t>body</w:t>
                      </w:r>
                      <w:r>
                        <w:rPr>
                          <w:rFonts w:ascii="Calibri"/>
                          <w:b/>
                          <w:spacing w:val="-12"/>
                          <w:sz w:val="20"/>
                        </w:rPr>
                        <w:t> </w:t>
                      </w:r>
                      <w:r>
                        <w:rPr>
                          <w:rFonts w:ascii="Calibri"/>
                          <w:b/>
                          <w:sz w:val="20"/>
                        </w:rPr>
                        <w:t>weight</w:t>
                      </w:r>
                      <w:r>
                        <w:rPr>
                          <w:rFonts w:ascii="Calibri"/>
                          <w:b/>
                          <w:spacing w:val="-4"/>
                          <w:sz w:val="20"/>
                        </w:rPr>
                        <w:t> ratio</w:t>
                      </w:r>
                    </w:p>
                  </w:txbxContent>
                </v:textbox>
                <w10:wrap type="none"/>
              </v:shape>
            </w:pict>
          </mc:Fallback>
        </mc:AlternateContent>
      </w:r>
      <w:r>
        <w:rPr>
          <w:rFonts w:ascii="Calibri"/>
          <w:spacing w:val="-2"/>
          <w:sz w:val="20"/>
        </w:rPr>
        <w:t>0.006</w:t>
      </w:r>
    </w:p>
    <w:p>
      <w:pPr>
        <w:pStyle w:val="BodyText"/>
        <w:spacing w:before="9"/>
        <w:rPr>
          <w:rFonts w:ascii="Calibri"/>
          <w:sz w:val="20"/>
        </w:rPr>
      </w:pPr>
    </w:p>
    <w:p>
      <w:pPr>
        <w:spacing w:before="0"/>
        <w:ind w:left="1700" w:right="0" w:firstLine="0"/>
        <w:jc w:val="left"/>
        <w:rPr>
          <w:rFonts w:ascii="Calibri"/>
          <w:sz w:val="20"/>
        </w:rPr>
      </w:pPr>
      <w:r>
        <w:rPr>
          <w:rFonts w:ascii="Calibri"/>
          <w:spacing w:val="-2"/>
          <w:sz w:val="20"/>
        </w:rPr>
        <w:t>0.005</w:t>
      </w:r>
    </w:p>
    <w:p>
      <w:pPr>
        <w:pStyle w:val="BodyText"/>
        <w:spacing w:before="9"/>
        <w:rPr>
          <w:rFonts w:ascii="Calibri"/>
          <w:sz w:val="15"/>
        </w:rPr>
      </w:pPr>
    </w:p>
    <w:p>
      <w:pPr>
        <w:spacing w:after="0"/>
        <w:rPr>
          <w:rFonts w:ascii="Calibri"/>
          <w:sz w:val="15"/>
        </w:rPr>
        <w:sectPr>
          <w:pgSz w:w="11910" w:h="16840"/>
          <w:pgMar w:header="0" w:footer="1012" w:top="1460" w:bottom="1200" w:left="960" w:right="620"/>
        </w:sectPr>
      </w:pPr>
    </w:p>
    <w:p>
      <w:pPr>
        <w:spacing w:before="62"/>
        <w:ind w:left="0" w:right="38" w:firstLine="0"/>
        <w:jc w:val="right"/>
        <w:rPr>
          <w:rFonts w:ascii="Calibri"/>
          <w:sz w:val="20"/>
        </w:rPr>
      </w:pPr>
      <w:r>
        <w:rPr>
          <w:rFonts w:ascii="Calibri"/>
          <w:spacing w:val="-2"/>
          <w:sz w:val="20"/>
        </w:rPr>
        <w:t>0.004</w:t>
      </w:r>
    </w:p>
    <w:p>
      <w:pPr>
        <w:pStyle w:val="BodyText"/>
        <w:spacing w:before="9"/>
        <w:rPr>
          <w:rFonts w:ascii="Calibri"/>
          <w:sz w:val="20"/>
        </w:rPr>
      </w:pPr>
    </w:p>
    <w:p>
      <w:pPr>
        <w:spacing w:before="0"/>
        <w:ind w:left="0" w:right="38" w:firstLine="0"/>
        <w:jc w:val="right"/>
        <w:rPr>
          <w:rFonts w:ascii="Calibri"/>
          <w:sz w:val="20"/>
        </w:rPr>
      </w:pPr>
      <w:r>
        <w:rPr>
          <w:rFonts w:ascii="Calibri"/>
          <w:spacing w:val="-2"/>
          <w:sz w:val="20"/>
        </w:rPr>
        <w:t>0.003</w:t>
      </w:r>
    </w:p>
    <w:p>
      <w:pPr>
        <w:pStyle w:val="BodyText"/>
        <w:spacing w:before="9"/>
        <w:rPr>
          <w:rFonts w:ascii="Calibri"/>
          <w:sz w:val="20"/>
        </w:rPr>
      </w:pPr>
    </w:p>
    <w:p>
      <w:pPr>
        <w:spacing w:before="0"/>
        <w:ind w:left="0" w:right="38" w:firstLine="0"/>
        <w:jc w:val="right"/>
        <w:rPr>
          <w:rFonts w:ascii="Calibri"/>
          <w:sz w:val="20"/>
        </w:rPr>
      </w:pPr>
      <w:r>
        <w:rPr>
          <w:rFonts w:ascii="Calibri"/>
          <w:spacing w:val="-2"/>
          <w:sz w:val="20"/>
        </w:rPr>
        <w:t>0.002</w:t>
      </w:r>
    </w:p>
    <w:p>
      <w:pPr>
        <w:spacing w:line="240" w:lineRule="auto" w:before="62"/>
        <w:rPr>
          <w:rFonts w:ascii="Calibri"/>
          <w:sz w:val="20"/>
        </w:rPr>
      </w:pPr>
      <w:r>
        <w:rPr/>
        <w:br w:type="column"/>
      </w:r>
      <w:r>
        <w:rPr>
          <w:rFonts w:ascii="Calibri"/>
          <w:sz w:val="20"/>
        </w:rPr>
      </w:r>
    </w:p>
    <w:p>
      <w:pPr>
        <w:spacing w:line="355" w:lineRule="auto" w:before="0"/>
        <w:ind w:left="1538" w:right="1758" w:firstLine="0"/>
        <w:jc w:val="left"/>
        <w:rPr>
          <w:rFonts w:ascii="Calibri"/>
          <w:sz w:val="20"/>
        </w:rPr>
      </w:pPr>
      <w:r>
        <w:rPr>
          <w:position w:val="1"/>
        </w:rPr>
        <w:drawing>
          <wp:inline distT="0" distB="0" distL="0" distR="0">
            <wp:extent cx="70103" cy="70103"/>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25" cstate="print"/>
                    <a:stretch>
                      <a:fillRect/>
                    </a:stretch>
                  </pic:blipFill>
                  <pic:spPr>
                    <a:xfrm>
                      <a:off x="0" y="0"/>
                      <a:ext cx="70103" cy="70103"/>
                    </a:xfrm>
                    <a:prstGeom prst="rect">
                      <a:avLst/>
                    </a:prstGeom>
                  </pic:spPr>
                </pic:pic>
              </a:graphicData>
            </a:graphic>
          </wp:inline>
        </w:drawing>
      </w:r>
      <w:r>
        <w:rPr>
          <w:position w:val="1"/>
        </w:rPr>
      </w:r>
      <w:r>
        <w:rPr>
          <w:sz w:val="20"/>
        </w:rPr>
        <w:t> </w:t>
      </w:r>
      <w:r>
        <w:rPr>
          <w:rFonts w:ascii="Calibri"/>
          <w:sz w:val="20"/>
        </w:rPr>
        <w:t>UME </w:t>
      </w:r>
      <w:r>
        <w:rPr>
          <w:rFonts w:ascii="Calibri"/>
          <w:position w:val="1"/>
          <w:sz w:val="20"/>
        </w:rPr>
        <w:drawing>
          <wp:inline distT="0" distB="0" distL="0" distR="0">
            <wp:extent cx="70103" cy="67055"/>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26" cstate="print"/>
                    <a:stretch>
                      <a:fillRect/>
                    </a:stretch>
                  </pic:blipFill>
                  <pic:spPr>
                    <a:xfrm>
                      <a:off x="0" y="0"/>
                      <a:ext cx="70103" cy="67055"/>
                    </a:xfrm>
                    <a:prstGeom prst="rect">
                      <a:avLst/>
                    </a:prstGeom>
                  </pic:spPr>
                </pic:pic>
              </a:graphicData>
            </a:graphic>
          </wp:inline>
        </w:drawing>
      </w:r>
      <w:r>
        <w:rPr>
          <w:rFonts w:ascii="Calibri"/>
          <w:position w:val="1"/>
          <w:sz w:val="20"/>
        </w:rPr>
      </w:r>
      <w:r>
        <w:rPr>
          <w:spacing w:val="-13"/>
          <w:sz w:val="20"/>
        </w:rPr>
        <w:t> </w:t>
      </w:r>
      <w:r>
        <w:rPr>
          <w:rFonts w:ascii="Calibri"/>
          <w:sz w:val="20"/>
        </w:rPr>
        <w:t>SDME</w:t>
      </w:r>
    </w:p>
    <w:p>
      <w:pPr>
        <w:spacing w:after="0" w:line="355" w:lineRule="auto"/>
        <w:jc w:val="left"/>
        <w:rPr>
          <w:rFonts w:ascii="Calibri"/>
          <w:sz w:val="20"/>
        </w:rPr>
        <w:sectPr>
          <w:type w:val="continuous"/>
          <w:pgSz w:w="11910" w:h="16840"/>
          <w:pgMar w:header="0" w:footer="1012" w:top="1340" w:bottom="280" w:left="960" w:right="620"/>
          <w:cols w:num="2" w:equalWidth="0">
            <w:col w:w="2199" w:space="4183"/>
            <w:col w:w="3948"/>
          </w:cols>
        </w:sectPr>
      </w:pPr>
    </w:p>
    <w:p>
      <w:pPr>
        <w:pStyle w:val="BodyText"/>
        <w:spacing w:before="9"/>
        <w:rPr>
          <w:rFonts w:ascii="Calibri"/>
          <w:sz w:val="20"/>
        </w:rPr>
      </w:pPr>
    </w:p>
    <w:p>
      <w:pPr>
        <w:spacing w:before="0"/>
        <w:ind w:left="1700" w:right="0" w:firstLine="0"/>
        <w:jc w:val="left"/>
        <w:rPr>
          <w:rFonts w:ascii="Calibri"/>
          <w:sz w:val="20"/>
        </w:rPr>
      </w:pPr>
      <w:r>
        <w:rPr>
          <w:rFonts w:ascii="Calibri"/>
          <w:spacing w:val="-2"/>
          <w:sz w:val="20"/>
        </w:rPr>
        <w:t>0.001</w:t>
      </w:r>
    </w:p>
    <w:p>
      <w:pPr>
        <w:pStyle w:val="BodyText"/>
        <w:spacing w:before="8"/>
        <w:rPr>
          <w:rFonts w:ascii="Calibri"/>
          <w:sz w:val="20"/>
        </w:rPr>
      </w:pPr>
    </w:p>
    <w:p>
      <w:pPr>
        <w:spacing w:before="1"/>
        <w:ind w:left="2055" w:right="0" w:firstLine="0"/>
        <w:jc w:val="left"/>
        <w:rPr>
          <w:rFonts w:ascii="Calibri"/>
          <w:sz w:val="20"/>
        </w:rPr>
      </w:pPr>
      <w:r>
        <w:rPr>
          <w:rFonts w:ascii="Calibri"/>
          <w:spacing w:val="-10"/>
          <w:sz w:val="20"/>
        </w:rPr>
        <w:t>0</w:t>
      </w:r>
    </w:p>
    <w:p>
      <w:pPr>
        <w:tabs>
          <w:tab w:pos="3904" w:val="left" w:leader="none"/>
          <w:tab w:pos="5219" w:val="left" w:leader="none"/>
          <w:tab w:pos="6534" w:val="left" w:leader="none"/>
        </w:tabs>
        <w:spacing w:before="74"/>
        <w:ind w:left="2440" w:right="0" w:firstLine="0"/>
        <w:jc w:val="left"/>
        <w:rPr>
          <w:rFonts w:ascii="Calibri"/>
          <w:sz w:val="20"/>
        </w:rPr>
      </w:pPr>
      <w:r>
        <w:rPr>
          <w:rFonts w:ascii="Calibri"/>
          <w:sz w:val="20"/>
        </w:rPr>
        <w:t>Olive</w:t>
      </w:r>
      <w:r>
        <w:rPr>
          <w:rFonts w:ascii="Calibri"/>
          <w:spacing w:val="-12"/>
          <w:sz w:val="20"/>
        </w:rPr>
        <w:t> </w:t>
      </w:r>
      <w:r>
        <w:rPr>
          <w:rFonts w:ascii="Calibri"/>
          <w:sz w:val="20"/>
        </w:rPr>
        <w:t>oil</w:t>
      </w:r>
      <w:r>
        <w:rPr>
          <w:rFonts w:ascii="Calibri"/>
          <w:spacing w:val="-4"/>
          <w:sz w:val="20"/>
        </w:rPr>
        <w:t> </w:t>
      </w:r>
      <w:r>
        <w:rPr>
          <w:rFonts w:ascii="Calibri"/>
          <w:spacing w:val="-2"/>
          <w:sz w:val="20"/>
        </w:rPr>
        <w:t>(10*)</w:t>
      </w:r>
      <w:r>
        <w:rPr>
          <w:rFonts w:ascii="Calibri"/>
          <w:sz w:val="20"/>
        </w:rPr>
        <w:tab/>
      </w:r>
      <w:r>
        <w:rPr>
          <w:rFonts w:ascii="Calibri"/>
          <w:spacing w:val="-2"/>
          <w:sz w:val="20"/>
        </w:rPr>
        <w:t>125mg/kg</w:t>
      </w:r>
      <w:r>
        <w:rPr>
          <w:rFonts w:ascii="Calibri"/>
          <w:sz w:val="20"/>
        </w:rPr>
        <w:tab/>
      </w:r>
      <w:r>
        <w:rPr>
          <w:rFonts w:ascii="Calibri"/>
          <w:spacing w:val="-2"/>
          <w:sz w:val="20"/>
        </w:rPr>
        <w:t>250mg/kg</w:t>
      </w:r>
      <w:r>
        <w:rPr>
          <w:rFonts w:ascii="Calibri"/>
          <w:sz w:val="20"/>
        </w:rPr>
        <w:tab/>
      </w:r>
      <w:r>
        <w:rPr>
          <w:rFonts w:ascii="Calibri"/>
          <w:spacing w:val="-2"/>
          <w:sz w:val="20"/>
        </w:rPr>
        <w:t>500mg/kg</w:t>
      </w:r>
    </w:p>
    <w:p>
      <w:pPr>
        <w:spacing w:before="150"/>
        <w:ind w:left="0" w:right="387" w:firstLine="0"/>
        <w:jc w:val="center"/>
        <w:rPr>
          <w:rFonts w:ascii="Calibri"/>
          <w:b/>
          <w:sz w:val="20"/>
        </w:rPr>
      </w:pPr>
      <w:r>
        <w:rPr>
          <w:rFonts w:ascii="Calibri"/>
          <w:b/>
          <w:spacing w:val="-2"/>
          <w:sz w:val="20"/>
        </w:rPr>
        <w:t>Treatment</w:t>
      </w:r>
    </w:p>
    <w:p>
      <w:pPr>
        <w:pStyle w:val="BodyText"/>
        <w:spacing w:before="98"/>
        <w:rPr>
          <w:rFonts w:ascii="Calibri"/>
          <w:b/>
        </w:rPr>
      </w:pPr>
    </w:p>
    <w:p>
      <w:pPr>
        <w:pStyle w:val="Heading2"/>
        <w:spacing w:line="360" w:lineRule="auto"/>
        <w:ind w:left="1028" w:right="670" w:firstLine="0"/>
        <w:jc w:val="left"/>
      </w:pPr>
      <w:r>
        <w:rPr/>
        <w:t>Figure</w:t>
      </w:r>
      <w:r>
        <w:rPr>
          <w:spacing w:val="-2"/>
        </w:rPr>
        <w:t> </w:t>
      </w:r>
      <w:r>
        <w:rPr/>
        <w:t>4.3.</w:t>
      </w:r>
      <w:r>
        <w:rPr>
          <w:spacing w:val="-3"/>
        </w:rPr>
        <w:t> </w:t>
      </w:r>
      <w:r>
        <w:rPr/>
        <w:t>Kidney</w:t>
      </w:r>
      <w:r>
        <w:rPr>
          <w:spacing w:val="-5"/>
        </w:rPr>
        <w:t> </w:t>
      </w:r>
      <w:r>
        <w:rPr/>
        <w:t>to</w:t>
      </w:r>
      <w:r>
        <w:rPr>
          <w:spacing w:val="-4"/>
        </w:rPr>
        <w:t> </w:t>
      </w:r>
      <w:r>
        <w:rPr/>
        <w:t>Body</w:t>
      </w:r>
      <w:r>
        <w:rPr>
          <w:spacing w:val="-5"/>
        </w:rPr>
        <w:t> </w:t>
      </w:r>
      <w:r>
        <w:rPr/>
        <w:t>Weight</w:t>
      </w:r>
      <w:r>
        <w:rPr>
          <w:spacing w:val="-4"/>
        </w:rPr>
        <w:t> </w:t>
      </w:r>
      <w:r>
        <w:rPr/>
        <w:t>Ratio</w:t>
      </w:r>
      <w:r>
        <w:rPr>
          <w:spacing w:val="-4"/>
        </w:rPr>
        <w:t> </w:t>
      </w:r>
      <w:r>
        <w:rPr/>
        <w:t>in</w:t>
      </w:r>
      <w:r>
        <w:rPr>
          <w:spacing w:val="-4"/>
        </w:rPr>
        <w:t> </w:t>
      </w:r>
      <w:r>
        <w:rPr/>
        <w:t>Male</w:t>
      </w:r>
      <w:r>
        <w:rPr>
          <w:spacing w:val="-1"/>
        </w:rPr>
        <w:t> </w:t>
      </w:r>
      <w:r>
        <w:rPr/>
        <w:t>Wistar</w:t>
      </w:r>
      <w:r>
        <w:rPr>
          <w:spacing w:val="-5"/>
        </w:rPr>
        <w:t> </w:t>
      </w:r>
      <w:r>
        <w:rPr/>
        <w:t>Rats</w:t>
      </w:r>
      <w:r>
        <w:rPr>
          <w:spacing w:val="-3"/>
        </w:rPr>
        <w:t> </w:t>
      </w:r>
      <w:r>
        <w:rPr/>
        <w:t>that Received Undetoxified and Detoxified </w:t>
      </w:r>
      <w:r>
        <w:rPr>
          <w:i/>
        </w:rPr>
        <w:t>Jatropha curcas </w:t>
      </w:r>
      <w:r>
        <w:rPr/>
        <w:t>Oils</w:t>
      </w:r>
    </w:p>
    <w:p>
      <w:pPr>
        <w:pStyle w:val="BodyText"/>
        <w:spacing w:before="139"/>
        <w:rPr>
          <w:b/>
        </w:rPr>
      </w:pPr>
    </w:p>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7"/>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9"/>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6"/>
        <w:ind w:left="1028" w:right="0" w:firstLine="0"/>
        <w:jc w:val="left"/>
        <w:rPr>
          <w:sz w:val="22"/>
        </w:rPr>
      </w:pPr>
      <w:r>
        <w:rPr>
          <w:sz w:val="22"/>
          <w:vertAlign w:val="superscript"/>
        </w:rPr>
        <w:t>*</w:t>
      </w:r>
      <w:r>
        <w:rPr>
          <w:spacing w:val="1"/>
          <w:sz w:val="22"/>
          <w:vertAlign w:val="baseline"/>
        </w:rPr>
        <w:t> </w:t>
      </w:r>
      <w:r>
        <w:rPr>
          <w:sz w:val="22"/>
          <w:vertAlign w:val="baseline"/>
        </w:rPr>
        <w:t>=</w:t>
      </w:r>
      <w:r>
        <w:rPr>
          <w:spacing w:val="-7"/>
          <w:sz w:val="22"/>
          <w:vertAlign w:val="baseline"/>
        </w:rPr>
        <w:t> </w:t>
      </w:r>
      <w:r>
        <w:rPr>
          <w:sz w:val="22"/>
          <w:vertAlign w:val="baseline"/>
        </w:rPr>
        <w:t>ml/kg;</w:t>
      </w:r>
      <w:r>
        <w:rPr>
          <w:spacing w:val="-1"/>
          <w:sz w:val="22"/>
          <w:vertAlign w:val="baseline"/>
        </w:rPr>
        <w:t> </w:t>
      </w:r>
      <w:r>
        <w:rPr>
          <w:sz w:val="22"/>
          <w:vertAlign w:val="baseline"/>
        </w:rPr>
        <w:t>n</w:t>
      </w:r>
      <w:r>
        <w:rPr>
          <w:spacing w:val="-6"/>
          <w:sz w:val="22"/>
          <w:vertAlign w:val="baseline"/>
        </w:rPr>
        <w:t> </w:t>
      </w:r>
      <w:r>
        <w:rPr>
          <w:sz w:val="22"/>
          <w:vertAlign w:val="baseline"/>
        </w:rPr>
        <w:t>=</w:t>
      </w:r>
      <w:r>
        <w:rPr>
          <w:spacing w:val="-2"/>
          <w:sz w:val="22"/>
          <w:vertAlign w:val="baseline"/>
        </w:rPr>
        <w:t> </w:t>
      </w:r>
      <w:r>
        <w:rPr>
          <w:sz w:val="22"/>
          <w:vertAlign w:val="baseline"/>
        </w:rPr>
        <w:t>5</w:t>
      </w:r>
      <w:r>
        <w:rPr>
          <w:spacing w:val="-2"/>
          <w:sz w:val="22"/>
          <w:vertAlign w:val="baseline"/>
        </w:rPr>
        <w:t> </w:t>
      </w:r>
      <w:r>
        <w:rPr>
          <w:sz w:val="22"/>
          <w:vertAlign w:val="baseline"/>
        </w:rPr>
        <w:t>(number</w:t>
      </w:r>
      <w:r>
        <w:rPr>
          <w:spacing w:val="1"/>
          <w:sz w:val="22"/>
          <w:vertAlign w:val="baseline"/>
        </w:rPr>
        <w:t> </w:t>
      </w:r>
      <w:r>
        <w:rPr>
          <w:sz w:val="22"/>
          <w:vertAlign w:val="baseline"/>
        </w:rPr>
        <w:t>of</w:t>
      </w:r>
      <w:r>
        <w:rPr>
          <w:spacing w:val="-3"/>
          <w:sz w:val="22"/>
          <w:vertAlign w:val="baseline"/>
        </w:rPr>
        <w:t> </w:t>
      </w:r>
      <w:r>
        <w:rPr>
          <w:sz w:val="22"/>
          <w:vertAlign w:val="baseline"/>
        </w:rPr>
        <w:t>rats);</w:t>
      </w:r>
      <w:r>
        <w:rPr>
          <w:spacing w:val="-6"/>
          <w:sz w:val="22"/>
          <w:vertAlign w:val="baseline"/>
        </w:rPr>
        <w:t> </w:t>
      </w:r>
      <w:r>
        <w:rPr>
          <w:sz w:val="22"/>
          <w:vertAlign w:val="baseline"/>
        </w:rPr>
        <w:t>Drug</w:t>
      </w:r>
      <w:r>
        <w:rPr>
          <w:spacing w:val="-11"/>
          <w:sz w:val="22"/>
          <w:vertAlign w:val="baseline"/>
        </w:rPr>
        <w:t> </w:t>
      </w:r>
      <w:r>
        <w:rPr>
          <w:sz w:val="22"/>
          <w:vertAlign w:val="baseline"/>
        </w:rPr>
        <w:t>administration;</w:t>
      </w:r>
      <w:r>
        <w:rPr>
          <w:spacing w:val="-1"/>
          <w:sz w:val="22"/>
          <w:vertAlign w:val="baseline"/>
        </w:rPr>
        <w:t> </w:t>
      </w:r>
      <w:r>
        <w:rPr>
          <w:sz w:val="22"/>
          <w:vertAlign w:val="baseline"/>
        </w:rPr>
        <w:t>p.o. daily</w:t>
      </w:r>
      <w:r>
        <w:rPr>
          <w:spacing w:val="-6"/>
          <w:sz w:val="22"/>
          <w:vertAlign w:val="baseline"/>
        </w:rPr>
        <w:t> </w:t>
      </w:r>
      <w:r>
        <w:rPr>
          <w:sz w:val="22"/>
          <w:vertAlign w:val="baseline"/>
        </w:rPr>
        <w:t>for</w:t>
      </w:r>
      <w:r>
        <w:rPr>
          <w:spacing w:val="1"/>
          <w:sz w:val="22"/>
          <w:vertAlign w:val="baseline"/>
        </w:rPr>
        <w:t> </w:t>
      </w:r>
      <w:r>
        <w:rPr>
          <w:sz w:val="22"/>
          <w:vertAlign w:val="baseline"/>
        </w:rPr>
        <w:t>14</w:t>
      </w:r>
      <w:r>
        <w:rPr>
          <w:spacing w:val="-2"/>
          <w:sz w:val="22"/>
          <w:vertAlign w:val="baseline"/>
        </w:rPr>
        <w:t> </w:t>
      </w:r>
      <w:r>
        <w:rPr>
          <w:spacing w:val="-4"/>
          <w:sz w:val="22"/>
          <w:vertAlign w:val="baseline"/>
        </w:rPr>
        <w:t>days</w:t>
      </w:r>
    </w:p>
    <w:p>
      <w:pPr>
        <w:spacing w:line="360" w:lineRule="auto" w:before="126"/>
        <w:ind w:left="1061" w:right="858" w:hanging="34"/>
        <w:jc w:val="left"/>
        <w:rPr>
          <w:sz w:val="22"/>
        </w:rPr>
      </w:pPr>
      <w:r>
        <w:rPr>
          <w:sz w:val="22"/>
        </w:rPr>
        <w:t>Values</w:t>
      </w:r>
      <w:r>
        <w:rPr>
          <w:spacing w:val="-2"/>
          <w:sz w:val="22"/>
        </w:rPr>
        <w:t> </w:t>
      </w:r>
      <w:r>
        <w:rPr>
          <w:sz w:val="22"/>
        </w:rPr>
        <w:t>are</w:t>
      </w:r>
      <w:r>
        <w:rPr>
          <w:spacing w:val="-3"/>
          <w:sz w:val="22"/>
        </w:rPr>
        <w:t> </w:t>
      </w:r>
      <w:r>
        <w:rPr>
          <w:sz w:val="22"/>
        </w:rPr>
        <w:t>mean</w:t>
      </w:r>
      <w:r>
        <w:rPr>
          <w:spacing w:val="-7"/>
          <w:sz w:val="22"/>
        </w:rPr>
        <w:t> </w:t>
      </w:r>
      <w:r>
        <w:rPr>
          <w:sz w:val="22"/>
        </w:rPr>
        <w:t>±</w:t>
      </w:r>
      <w:r>
        <w:rPr>
          <w:spacing w:val="-3"/>
          <w:sz w:val="22"/>
        </w:rPr>
        <w:t> </w:t>
      </w:r>
      <w:r>
        <w:rPr>
          <w:sz w:val="22"/>
        </w:rPr>
        <w:t>S.E.M.;</w:t>
      </w:r>
      <w:r>
        <w:rPr>
          <w:spacing w:val="-6"/>
          <w:sz w:val="22"/>
        </w:rPr>
        <w:t> </w:t>
      </w:r>
      <w:r>
        <w:rPr>
          <w:sz w:val="22"/>
        </w:rPr>
        <w:t>Data</w:t>
      </w:r>
      <w:r>
        <w:rPr>
          <w:spacing w:val="-9"/>
          <w:sz w:val="22"/>
        </w:rPr>
        <w:t> </w:t>
      </w:r>
      <w:r>
        <w:rPr>
          <w:sz w:val="22"/>
        </w:rPr>
        <w:t>analyzed</w:t>
      </w:r>
      <w:r>
        <w:rPr>
          <w:spacing w:val="-7"/>
          <w:sz w:val="22"/>
        </w:rPr>
        <w:t> </w:t>
      </w:r>
      <w:r>
        <w:rPr>
          <w:sz w:val="22"/>
        </w:rPr>
        <w:t>using</w:t>
      </w:r>
      <w:r>
        <w:rPr>
          <w:spacing w:val="-7"/>
          <w:sz w:val="22"/>
        </w:rPr>
        <w:t> </w:t>
      </w:r>
      <w:r>
        <w:rPr>
          <w:sz w:val="22"/>
        </w:rPr>
        <w:t>one</w:t>
      </w:r>
      <w:r>
        <w:rPr>
          <w:spacing w:val="-4"/>
          <w:sz w:val="22"/>
        </w:rPr>
        <w:t> </w:t>
      </w:r>
      <w:r>
        <w:rPr>
          <w:sz w:val="22"/>
        </w:rPr>
        <w:t>way</w:t>
      </w:r>
      <w:r>
        <w:rPr>
          <w:spacing w:val="-4"/>
          <w:sz w:val="22"/>
        </w:rPr>
        <w:t> </w:t>
      </w:r>
      <w:r>
        <w:rPr>
          <w:sz w:val="22"/>
        </w:rPr>
        <w:t>ANOVA</w:t>
      </w:r>
      <w:r>
        <w:rPr>
          <w:spacing w:val="-7"/>
          <w:sz w:val="22"/>
        </w:rPr>
        <w:t> </w:t>
      </w:r>
      <w:r>
        <w:rPr>
          <w:sz w:val="22"/>
        </w:rPr>
        <w:t>and</w:t>
      </w:r>
      <w:r>
        <w:rPr>
          <w:spacing w:val="-7"/>
          <w:sz w:val="22"/>
        </w:rPr>
        <w:t> </w:t>
      </w:r>
      <w:r>
        <w:rPr>
          <w:sz w:val="22"/>
        </w:rPr>
        <w:t>Bonferonni‟s</w:t>
      </w:r>
      <w:r>
        <w:rPr>
          <w:spacing w:val="-2"/>
          <w:sz w:val="22"/>
        </w:rPr>
        <w:t> </w:t>
      </w:r>
      <w:r>
        <w:rPr>
          <w:sz w:val="22"/>
        </w:rPr>
        <w:t>post</w:t>
      </w:r>
      <w:r>
        <w:rPr>
          <w:spacing w:val="-1"/>
          <w:sz w:val="22"/>
        </w:rPr>
        <w:t> </w:t>
      </w:r>
      <w:r>
        <w:rPr>
          <w:sz w:val="22"/>
        </w:rPr>
        <w:t>hoc No significant difference between groups and control and among groups at p&lt;0.05</w:t>
      </w:r>
    </w:p>
    <w:p>
      <w:pPr>
        <w:spacing w:after="0" w:line="360" w:lineRule="auto"/>
        <w:jc w:val="left"/>
        <w:rPr>
          <w:sz w:val="22"/>
        </w:rPr>
        <w:sectPr>
          <w:type w:val="continuous"/>
          <w:pgSz w:w="11910" w:h="16840"/>
          <w:pgMar w:header="0" w:footer="1012" w:top="1340" w:bottom="280" w:left="960" w:right="620"/>
        </w:sectPr>
      </w:pPr>
    </w:p>
    <w:p>
      <w:pPr>
        <w:pStyle w:val="Heading2"/>
        <w:numPr>
          <w:ilvl w:val="1"/>
          <w:numId w:val="20"/>
        </w:numPr>
        <w:tabs>
          <w:tab w:pos="1748" w:val="left" w:leader="none"/>
        </w:tabs>
        <w:spacing w:line="360" w:lineRule="auto" w:before="64" w:after="0"/>
        <w:ind w:left="1748" w:right="806" w:hanging="721"/>
        <w:jc w:val="left"/>
      </w:pPr>
      <w:r>
        <w:rPr/>
        <w:t>Effects of Undetoxified and Detoxified </w:t>
      </w:r>
      <w:r>
        <w:rPr>
          <w:i/>
        </w:rPr>
        <w:t>J</w:t>
      </w:r>
      <w:r>
        <w:rPr/>
        <w:t>. </w:t>
      </w:r>
      <w:r>
        <w:rPr>
          <w:i/>
        </w:rPr>
        <w:t>curcas </w:t>
      </w:r>
      <w:r>
        <w:rPr/>
        <w:t>Oils on Formalin-Induced Pain in Mice</w:t>
      </w:r>
    </w:p>
    <w:p>
      <w:pPr>
        <w:pStyle w:val="BodyText"/>
        <w:spacing w:before="135"/>
        <w:rPr>
          <w:b/>
        </w:rPr>
      </w:pPr>
    </w:p>
    <w:p>
      <w:pPr>
        <w:pStyle w:val="BodyText"/>
        <w:spacing w:line="480" w:lineRule="auto"/>
        <w:ind w:left="1028" w:right="799"/>
        <w:jc w:val="both"/>
      </w:pPr>
      <w:r>
        <w:rPr/>
        <w:t>In the first phase, only the standard drug (pentazocine, 10 mg/kg) and undetoxified 500 mg/kg groups produced significantly (p&lt;0.05) reduced paw licking scores compared to the control. The standard drug group produced the lowest paw licking score (1.4±0.24) followed by undetoxified 500 mg/kg (1.6±0.40). In the second phase, there were significant (p&lt;0.05) reduction in paw licking scores in the standard drug, 250 mg/kg undetoxified and detoxified oils as well as 500 mg/kg undetoxified and detoxified oils groups compared to the control. The standard drug produced the lowest paw licking score (1.0±0.00), followed by undetoxified at 500 mg/kg (1.2±0.24) and detoxified at 250 mg/kg (1.4±0.5).</w:t>
      </w:r>
    </w:p>
    <w:p>
      <w:pPr>
        <w:spacing w:after="0" w:line="480" w:lineRule="auto"/>
        <w:jc w:val="both"/>
        <w:sectPr>
          <w:pgSz w:w="11910" w:h="16840"/>
          <w:pgMar w:header="0" w:footer="1012" w:top="1340" w:bottom="1200" w:left="960" w:right="620"/>
        </w:sectPr>
      </w:pPr>
    </w:p>
    <w:p>
      <w:pPr>
        <w:spacing w:before="139"/>
        <w:ind w:left="0" w:right="2153" w:firstLine="0"/>
        <w:jc w:val="right"/>
        <w:rPr>
          <w:rFonts w:ascii="Calibri"/>
          <w:sz w:val="20"/>
        </w:rPr>
      </w:pPr>
      <w:r>
        <w:rPr/>
        <mc:AlternateContent>
          <mc:Choice Requires="wps">
            <w:drawing>
              <wp:anchor distT="0" distB="0" distL="0" distR="0" allowOverlap="1" layoutInCell="1" locked="0" behindDoc="0" simplePos="0" relativeHeight="15764992">
                <wp:simplePos x="0" y="0"/>
                <wp:positionH relativeFrom="page">
                  <wp:posOffset>1927860</wp:posOffset>
                </wp:positionH>
                <wp:positionV relativeFrom="paragraph">
                  <wp:posOffset>166570</wp:posOffset>
                </wp:positionV>
                <wp:extent cx="3944620" cy="151193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3944620" cy="1511935"/>
                          <a:chExt cx="3944620" cy="1511935"/>
                        </a:xfrm>
                      </wpg:grpSpPr>
                      <pic:pic>
                        <pic:nvPicPr>
                          <pic:cNvPr id="113" name="Image 113"/>
                          <pic:cNvPicPr/>
                        </pic:nvPicPr>
                        <pic:blipFill>
                          <a:blip r:embed="rId30" cstate="print"/>
                          <a:stretch>
                            <a:fillRect/>
                          </a:stretch>
                        </pic:blipFill>
                        <pic:spPr>
                          <a:xfrm>
                            <a:off x="155559" y="382531"/>
                            <a:ext cx="161320" cy="1125339"/>
                          </a:xfrm>
                          <a:prstGeom prst="rect">
                            <a:avLst/>
                          </a:prstGeom>
                        </pic:spPr>
                      </pic:pic>
                      <pic:pic>
                        <pic:nvPicPr>
                          <pic:cNvPr id="114" name="Image 114"/>
                          <pic:cNvPicPr/>
                        </pic:nvPicPr>
                        <pic:blipFill>
                          <a:blip r:embed="rId31" cstate="print"/>
                          <a:stretch>
                            <a:fillRect/>
                          </a:stretch>
                        </pic:blipFill>
                        <pic:spPr>
                          <a:xfrm>
                            <a:off x="643239" y="897683"/>
                            <a:ext cx="161320" cy="610187"/>
                          </a:xfrm>
                          <a:prstGeom prst="rect">
                            <a:avLst/>
                          </a:prstGeom>
                        </pic:spPr>
                      </pic:pic>
                      <pic:pic>
                        <pic:nvPicPr>
                          <pic:cNvPr id="115" name="Image 115"/>
                          <pic:cNvPicPr/>
                        </pic:nvPicPr>
                        <pic:blipFill>
                          <a:blip r:embed="rId32" cstate="print"/>
                          <a:stretch>
                            <a:fillRect/>
                          </a:stretch>
                        </pic:blipFill>
                        <pic:spPr>
                          <a:xfrm>
                            <a:off x="1130919" y="467896"/>
                            <a:ext cx="161320" cy="1039974"/>
                          </a:xfrm>
                          <a:prstGeom prst="rect">
                            <a:avLst/>
                          </a:prstGeom>
                        </pic:spPr>
                      </pic:pic>
                      <pic:pic>
                        <pic:nvPicPr>
                          <pic:cNvPr id="116" name="Image 116"/>
                          <pic:cNvPicPr/>
                        </pic:nvPicPr>
                        <pic:blipFill>
                          <a:blip r:embed="rId33" cstate="print"/>
                          <a:stretch>
                            <a:fillRect/>
                          </a:stretch>
                        </pic:blipFill>
                        <pic:spPr>
                          <a:xfrm>
                            <a:off x="1618599" y="467896"/>
                            <a:ext cx="165930" cy="1039974"/>
                          </a:xfrm>
                          <a:prstGeom prst="rect">
                            <a:avLst/>
                          </a:prstGeom>
                        </pic:spPr>
                      </pic:pic>
                      <pic:pic>
                        <pic:nvPicPr>
                          <pic:cNvPr id="117" name="Image 117"/>
                          <pic:cNvPicPr/>
                        </pic:nvPicPr>
                        <pic:blipFill>
                          <a:blip r:embed="rId34" cstate="print"/>
                          <a:stretch>
                            <a:fillRect/>
                          </a:stretch>
                        </pic:blipFill>
                        <pic:spPr>
                          <a:xfrm>
                            <a:off x="2104718" y="897683"/>
                            <a:ext cx="165930" cy="610187"/>
                          </a:xfrm>
                          <a:prstGeom prst="rect">
                            <a:avLst/>
                          </a:prstGeom>
                        </pic:spPr>
                      </pic:pic>
                      <pic:pic>
                        <pic:nvPicPr>
                          <pic:cNvPr id="118" name="Image 118"/>
                          <pic:cNvPicPr/>
                        </pic:nvPicPr>
                        <pic:blipFill>
                          <a:blip r:embed="rId35" cstate="print"/>
                          <a:stretch>
                            <a:fillRect/>
                          </a:stretch>
                        </pic:blipFill>
                        <pic:spPr>
                          <a:xfrm>
                            <a:off x="2597007" y="382531"/>
                            <a:ext cx="161320" cy="1125339"/>
                          </a:xfrm>
                          <a:prstGeom prst="rect">
                            <a:avLst/>
                          </a:prstGeom>
                        </pic:spPr>
                      </pic:pic>
                      <pic:pic>
                        <pic:nvPicPr>
                          <pic:cNvPr id="119" name="Image 119"/>
                          <pic:cNvPicPr/>
                        </pic:nvPicPr>
                        <pic:blipFill>
                          <a:blip r:embed="rId36" cstate="print"/>
                          <a:stretch>
                            <a:fillRect/>
                          </a:stretch>
                        </pic:blipFill>
                        <pic:spPr>
                          <a:xfrm>
                            <a:off x="3084687" y="812304"/>
                            <a:ext cx="161320" cy="695566"/>
                          </a:xfrm>
                          <a:prstGeom prst="rect">
                            <a:avLst/>
                          </a:prstGeom>
                        </pic:spPr>
                      </pic:pic>
                      <pic:pic>
                        <pic:nvPicPr>
                          <pic:cNvPr id="120" name="Image 120"/>
                          <pic:cNvPicPr/>
                        </pic:nvPicPr>
                        <pic:blipFill>
                          <a:blip r:embed="rId37" cstate="print"/>
                          <a:stretch>
                            <a:fillRect/>
                          </a:stretch>
                        </pic:blipFill>
                        <pic:spPr>
                          <a:xfrm>
                            <a:off x="3572367" y="638565"/>
                            <a:ext cx="161320" cy="869305"/>
                          </a:xfrm>
                          <a:prstGeom prst="rect">
                            <a:avLst/>
                          </a:prstGeom>
                        </pic:spPr>
                      </pic:pic>
                      <pic:pic>
                        <pic:nvPicPr>
                          <pic:cNvPr id="121" name="Image 121"/>
                          <pic:cNvPicPr/>
                        </pic:nvPicPr>
                        <pic:blipFill>
                          <a:blip r:embed="rId38" cstate="print"/>
                          <a:stretch>
                            <a:fillRect/>
                          </a:stretch>
                        </pic:blipFill>
                        <pic:spPr>
                          <a:xfrm>
                            <a:off x="239268" y="195071"/>
                            <a:ext cx="188975" cy="1312799"/>
                          </a:xfrm>
                          <a:prstGeom prst="rect">
                            <a:avLst/>
                          </a:prstGeom>
                        </pic:spPr>
                      </pic:pic>
                      <pic:pic>
                        <pic:nvPicPr>
                          <pic:cNvPr id="122" name="Image 122"/>
                          <pic:cNvPicPr/>
                        </pic:nvPicPr>
                        <pic:blipFill>
                          <a:blip r:embed="rId39" cstate="print"/>
                          <a:stretch>
                            <a:fillRect/>
                          </a:stretch>
                        </pic:blipFill>
                        <pic:spPr>
                          <a:xfrm>
                            <a:off x="726948" y="1054608"/>
                            <a:ext cx="188975" cy="453263"/>
                          </a:xfrm>
                          <a:prstGeom prst="rect">
                            <a:avLst/>
                          </a:prstGeom>
                        </pic:spPr>
                      </pic:pic>
                      <pic:pic>
                        <pic:nvPicPr>
                          <pic:cNvPr id="123" name="Image 123"/>
                          <pic:cNvPicPr/>
                        </pic:nvPicPr>
                        <pic:blipFill>
                          <a:blip r:embed="rId40" cstate="print"/>
                          <a:stretch>
                            <a:fillRect/>
                          </a:stretch>
                        </pic:blipFill>
                        <pic:spPr>
                          <a:xfrm>
                            <a:off x="1214627" y="368808"/>
                            <a:ext cx="188975" cy="1139063"/>
                          </a:xfrm>
                          <a:prstGeom prst="rect">
                            <a:avLst/>
                          </a:prstGeom>
                        </pic:spPr>
                      </pic:pic>
                      <pic:pic>
                        <pic:nvPicPr>
                          <pic:cNvPr id="124" name="Image 124"/>
                          <pic:cNvPicPr/>
                        </pic:nvPicPr>
                        <pic:blipFill>
                          <a:blip r:embed="rId41" cstate="print"/>
                          <a:stretch>
                            <a:fillRect/>
                          </a:stretch>
                        </pic:blipFill>
                        <pic:spPr>
                          <a:xfrm>
                            <a:off x="1702307" y="624840"/>
                            <a:ext cx="188975" cy="883030"/>
                          </a:xfrm>
                          <a:prstGeom prst="rect">
                            <a:avLst/>
                          </a:prstGeom>
                        </pic:spPr>
                      </pic:pic>
                      <pic:pic>
                        <pic:nvPicPr>
                          <pic:cNvPr id="125" name="Image 125"/>
                          <pic:cNvPicPr/>
                        </pic:nvPicPr>
                        <pic:blipFill>
                          <a:blip r:embed="rId42" cstate="print"/>
                          <a:stretch>
                            <a:fillRect/>
                          </a:stretch>
                        </pic:blipFill>
                        <pic:spPr>
                          <a:xfrm>
                            <a:off x="2193035" y="969263"/>
                            <a:ext cx="188975" cy="538606"/>
                          </a:xfrm>
                          <a:prstGeom prst="rect">
                            <a:avLst/>
                          </a:prstGeom>
                        </pic:spPr>
                      </pic:pic>
                      <pic:pic>
                        <pic:nvPicPr>
                          <pic:cNvPr id="126" name="Image 126"/>
                          <pic:cNvPicPr/>
                        </pic:nvPicPr>
                        <pic:blipFill>
                          <a:blip r:embed="rId43" cstate="print"/>
                          <a:stretch>
                            <a:fillRect/>
                          </a:stretch>
                        </pic:blipFill>
                        <pic:spPr>
                          <a:xfrm>
                            <a:off x="2680716" y="283463"/>
                            <a:ext cx="188975" cy="1224406"/>
                          </a:xfrm>
                          <a:prstGeom prst="rect">
                            <a:avLst/>
                          </a:prstGeom>
                        </pic:spPr>
                      </pic:pic>
                      <pic:pic>
                        <pic:nvPicPr>
                          <pic:cNvPr id="127" name="Image 127"/>
                          <pic:cNvPicPr/>
                        </pic:nvPicPr>
                        <pic:blipFill>
                          <a:blip r:embed="rId44" cstate="print"/>
                          <a:stretch>
                            <a:fillRect/>
                          </a:stretch>
                        </pic:blipFill>
                        <pic:spPr>
                          <a:xfrm>
                            <a:off x="3168395" y="883919"/>
                            <a:ext cx="188975" cy="623951"/>
                          </a:xfrm>
                          <a:prstGeom prst="rect">
                            <a:avLst/>
                          </a:prstGeom>
                        </pic:spPr>
                      </pic:pic>
                      <pic:pic>
                        <pic:nvPicPr>
                          <pic:cNvPr id="128" name="Image 128"/>
                          <pic:cNvPicPr/>
                        </pic:nvPicPr>
                        <pic:blipFill>
                          <a:blip r:embed="rId45" cstate="print"/>
                          <a:stretch>
                            <a:fillRect/>
                          </a:stretch>
                        </pic:blipFill>
                        <pic:spPr>
                          <a:xfrm>
                            <a:off x="3656076" y="798576"/>
                            <a:ext cx="188975" cy="709294"/>
                          </a:xfrm>
                          <a:prstGeom prst="rect">
                            <a:avLst/>
                          </a:prstGeom>
                        </pic:spPr>
                      </pic:pic>
                      <pic:pic>
                        <pic:nvPicPr>
                          <pic:cNvPr id="129" name="Image 129"/>
                          <pic:cNvPicPr/>
                        </pic:nvPicPr>
                        <pic:blipFill>
                          <a:blip r:embed="rId46" cstate="print"/>
                          <a:stretch>
                            <a:fillRect/>
                          </a:stretch>
                        </pic:blipFill>
                        <pic:spPr>
                          <a:xfrm>
                            <a:off x="187070" y="218947"/>
                            <a:ext cx="195299" cy="1288923"/>
                          </a:xfrm>
                          <a:prstGeom prst="rect">
                            <a:avLst/>
                          </a:prstGeom>
                        </pic:spPr>
                      </pic:pic>
                      <pic:pic>
                        <pic:nvPicPr>
                          <pic:cNvPr id="130" name="Image 130"/>
                          <pic:cNvPicPr/>
                        </pic:nvPicPr>
                        <pic:blipFill>
                          <a:blip r:embed="rId47" cstate="print"/>
                          <a:stretch>
                            <a:fillRect/>
                          </a:stretch>
                        </pic:blipFill>
                        <pic:spPr>
                          <a:xfrm>
                            <a:off x="675258" y="906348"/>
                            <a:ext cx="195300" cy="601522"/>
                          </a:xfrm>
                          <a:prstGeom prst="rect">
                            <a:avLst/>
                          </a:prstGeom>
                        </pic:spPr>
                      </pic:pic>
                      <pic:pic>
                        <pic:nvPicPr>
                          <pic:cNvPr id="131" name="Image 131"/>
                          <pic:cNvPicPr/>
                        </pic:nvPicPr>
                        <pic:blipFill>
                          <a:blip r:embed="rId48" cstate="print"/>
                          <a:stretch>
                            <a:fillRect/>
                          </a:stretch>
                        </pic:blipFill>
                        <pic:spPr>
                          <a:xfrm>
                            <a:off x="1163447" y="390766"/>
                            <a:ext cx="195172" cy="1117104"/>
                          </a:xfrm>
                          <a:prstGeom prst="rect">
                            <a:avLst/>
                          </a:prstGeom>
                        </pic:spPr>
                      </pic:pic>
                      <pic:pic>
                        <pic:nvPicPr>
                          <pic:cNvPr id="132" name="Image 132"/>
                          <pic:cNvPicPr/>
                        </pic:nvPicPr>
                        <pic:blipFill>
                          <a:blip r:embed="rId49" cstate="print"/>
                          <a:stretch>
                            <a:fillRect/>
                          </a:stretch>
                        </pic:blipFill>
                        <pic:spPr>
                          <a:xfrm>
                            <a:off x="1651635" y="476694"/>
                            <a:ext cx="195172" cy="1031176"/>
                          </a:xfrm>
                          <a:prstGeom prst="rect">
                            <a:avLst/>
                          </a:prstGeom>
                        </pic:spPr>
                      </pic:pic>
                      <pic:pic>
                        <pic:nvPicPr>
                          <pic:cNvPr id="133" name="Image 133"/>
                          <pic:cNvPicPr/>
                        </pic:nvPicPr>
                        <pic:blipFill>
                          <a:blip r:embed="rId50" cstate="print"/>
                          <a:stretch>
                            <a:fillRect/>
                          </a:stretch>
                        </pic:blipFill>
                        <pic:spPr>
                          <a:xfrm>
                            <a:off x="2139823" y="906348"/>
                            <a:ext cx="195173" cy="601522"/>
                          </a:xfrm>
                          <a:prstGeom prst="rect">
                            <a:avLst/>
                          </a:prstGeom>
                        </pic:spPr>
                      </pic:pic>
                      <pic:pic>
                        <pic:nvPicPr>
                          <pic:cNvPr id="134" name="Image 134"/>
                          <pic:cNvPicPr/>
                        </pic:nvPicPr>
                        <pic:blipFill>
                          <a:blip r:embed="rId51" cstate="print"/>
                          <a:stretch>
                            <a:fillRect/>
                          </a:stretch>
                        </pic:blipFill>
                        <pic:spPr>
                          <a:xfrm>
                            <a:off x="3116072" y="820419"/>
                            <a:ext cx="195299" cy="687451"/>
                          </a:xfrm>
                          <a:prstGeom prst="rect">
                            <a:avLst/>
                          </a:prstGeom>
                        </pic:spPr>
                      </pic:pic>
                      <pic:pic>
                        <pic:nvPicPr>
                          <pic:cNvPr id="135" name="Image 135"/>
                          <pic:cNvPicPr/>
                        </pic:nvPicPr>
                        <pic:blipFill>
                          <a:blip r:embed="rId52" cstate="print"/>
                          <a:stretch>
                            <a:fillRect/>
                          </a:stretch>
                        </pic:blipFill>
                        <pic:spPr>
                          <a:xfrm>
                            <a:off x="2628010" y="304838"/>
                            <a:ext cx="195172" cy="1203032"/>
                          </a:xfrm>
                          <a:prstGeom prst="rect">
                            <a:avLst/>
                          </a:prstGeom>
                        </pic:spPr>
                      </pic:pic>
                      <pic:pic>
                        <pic:nvPicPr>
                          <pic:cNvPr id="136" name="Image 136"/>
                          <pic:cNvPicPr/>
                        </pic:nvPicPr>
                        <pic:blipFill>
                          <a:blip r:embed="rId53" cstate="print"/>
                          <a:stretch>
                            <a:fillRect/>
                          </a:stretch>
                        </pic:blipFill>
                        <pic:spPr>
                          <a:xfrm>
                            <a:off x="3604259" y="648563"/>
                            <a:ext cx="195300" cy="859307"/>
                          </a:xfrm>
                          <a:prstGeom prst="rect">
                            <a:avLst/>
                          </a:prstGeom>
                        </pic:spPr>
                      </pic:pic>
                      <wps:wsp>
                        <wps:cNvPr id="137" name="Graphic 137"/>
                        <wps:cNvSpPr/>
                        <wps:spPr>
                          <a:xfrm>
                            <a:off x="207263" y="190880"/>
                            <a:ext cx="3572510" cy="887730"/>
                          </a:xfrm>
                          <a:custGeom>
                            <a:avLst/>
                            <a:gdLst/>
                            <a:ahLst/>
                            <a:cxnLst/>
                            <a:rect l="l" t="t" r="r" b="b"/>
                            <a:pathLst>
                              <a:path w="3572510" h="887730">
                                <a:moveTo>
                                  <a:pt x="28575" y="199770"/>
                                </a:moveTo>
                                <a:lnTo>
                                  <a:pt x="28575" y="199770"/>
                                </a:lnTo>
                                <a:lnTo>
                                  <a:pt x="28575" y="94614"/>
                                </a:lnTo>
                              </a:path>
                              <a:path w="3572510" h="887730">
                                <a:moveTo>
                                  <a:pt x="0" y="94614"/>
                                </a:moveTo>
                                <a:lnTo>
                                  <a:pt x="57150" y="94614"/>
                                </a:lnTo>
                              </a:path>
                              <a:path w="3572510" h="887730">
                                <a:moveTo>
                                  <a:pt x="516763" y="715390"/>
                                </a:moveTo>
                                <a:lnTo>
                                  <a:pt x="516763" y="715390"/>
                                </a:lnTo>
                                <a:lnTo>
                                  <a:pt x="516763" y="563244"/>
                                </a:lnTo>
                              </a:path>
                              <a:path w="3572510" h="887730">
                                <a:moveTo>
                                  <a:pt x="488188" y="563244"/>
                                </a:moveTo>
                                <a:lnTo>
                                  <a:pt x="545338" y="563244"/>
                                </a:lnTo>
                              </a:path>
                              <a:path w="3572510" h="887730">
                                <a:moveTo>
                                  <a:pt x="1004951" y="285750"/>
                                </a:moveTo>
                                <a:lnTo>
                                  <a:pt x="1004951" y="285750"/>
                                </a:lnTo>
                                <a:lnTo>
                                  <a:pt x="1004951" y="184785"/>
                                </a:lnTo>
                              </a:path>
                              <a:path w="3572510" h="887730">
                                <a:moveTo>
                                  <a:pt x="976376" y="184785"/>
                                </a:moveTo>
                                <a:lnTo>
                                  <a:pt x="1033526" y="184785"/>
                                </a:lnTo>
                              </a:path>
                              <a:path w="3572510" h="887730">
                                <a:moveTo>
                                  <a:pt x="1493139" y="285750"/>
                                </a:moveTo>
                                <a:lnTo>
                                  <a:pt x="1493139" y="285750"/>
                                </a:lnTo>
                                <a:lnTo>
                                  <a:pt x="1493139" y="146176"/>
                                </a:lnTo>
                              </a:path>
                              <a:path w="3572510" h="887730">
                                <a:moveTo>
                                  <a:pt x="1464564" y="146176"/>
                                </a:moveTo>
                                <a:lnTo>
                                  <a:pt x="1521714" y="146176"/>
                                </a:lnTo>
                              </a:path>
                              <a:path w="3572510" h="887730">
                                <a:moveTo>
                                  <a:pt x="1981327" y="715390"/>
                                </a:moveTo>
                                <a:lnTo>
                                  <a:pt x="1981327" y="715390"/>
                                </a:lnTo>
                                <a:lnTo>
                                  <a:pt x="1981327" y="480060"/>
                                </a:lnTo>
                              </a:path>
                              <a:path w="3572510" h="887730">
                                <a:moveTo>
                                  <a:pt x="1952752" y="480060"/>
                                </a:moveTo>
                                <a:lnTo>
                                  <a:pt x="2009902" y="480060"/>
                                </a:lnTo>
                              </a:path>
                              <a:path w="3572510" h="887730">
                                <a:moveTo>
                                  <a:pt x="2469515" y="199770"/>
                                </a:moveTo>
                                <a:lnTo>
                                  <a:pt x="2469515" y="199770"/>
                                </a:lnTo>
                                <a:lnTo>
                                  <a:pt x="2469515" y="27939"/>
                                </a:lnTo>
                              </a:path>
                              <a:path w="3572510" h="887730">
                                <a:moveTo>
                                  <a:pt x="2440940" y="27939"/>
                                </a:moveTo>
                                <a:lnTo>
                                  <a:pt x="2498090" y="27939"/>
                                </a:lnTo>
                              </a:path>
                              <a:path w="3572510" h="887730">
                                <a:moveTo>
                                  <a:pt x="2957703" y="629538"/>
                                </a:moveTo>
                                <a:lnTo>
                                  <a:pt x="2957703" y="629538"/>
                                </a:lnTo>
                                <a:lnTo>
                                  <a:pt x="2957703" y="481329"/>
                                </a:lnTo>
                              </a:path>
                              <a:path w="3572510" h="887730">
                                <a:moveTo>
                                  <a:pt x="2929128" y="481329"/>
                                </a:moveTo>
                                <a:lnTo>
                                  <a:pt x="2986278" y="481329"/>
                                </a:lnTo>
                              </a:path>
                              <a:path w="3572510" h="887730">
                                <a:moveTo>
                                  <a:pt x="3445891" y="457580"/>
                                </a:moveTo>
                                <a:lnTo>
                                  <a:pt x="3445891" y="457580"/>
                                </a:lnTo>
                                <a:lnTo>
                                  <a:pt x="3445891" y="265429"/>
                                </a:lnTo>
                              </a:path>
                              <a:path w="3572510" h="887730">
                                <a:moveTo>
                                  <a:pt x="3417316" y="265429"/>
                                </a:moveTo>
                                <a:lnTo>
                                  <a:pt x="3474466" y="265429"/>
                                </a:lnTo>
                              </a:path>
                              <a:path w="3572510" h="887730">
                                <a:moveTo>
                                  <a:pt x="126237" y="27939"/>
                                </a:moveTo>
                                <a:lnTo>
                                  <a:pt x="126237" y="27939"/>
                                </a:lnTo>
                                <a:lnTo>
                                  <a:pt x="126237" y="27939"/>
                                </a:lnTo>
                              </a:path>
                              <a:path w="3572510" h="887730">
                                <a:moveTo>
                                  <a:pt x="97662" y="27939"/>
                                </a:moveTo>
                                <a:lnTo>
                                  <a:pt x="154812" y="27939"/>
                                </a:lnTo>
                              </a:path>
                              <a:path w="3572510" h="887730">
                                <a:moveTo>
                                  <a:pt x="614426" y="887221"/>
                                </a:moveTo>
                                <a:lnTo>
                                  <a:pt x="614426" y="887221"/>
                                </a:lnTo>
                                <a:lnTo>
                                  <a:pt x="614426" y="781812"/>
                                </a:lnTo>
                              </a:path>
                              <a:path w="3572510" h="887730">
                                <a:moveTo>
                                  <a:pt x="585851" y="781812"/>
                                </a:moveTo>
                                <a:lnTo>
                                  <a:pt x="643001" y="781812"/>
                                </a:lnTo>
                              </a:path>
                              <a:path w="3572510" h="887730">
                                <a:moveTo>
                                  <a:pt x="1102614" y="199770"/>
                                </a:moveTo>
                                <a:lnTo>
                                  <a:pt x="1102614" y="199770"/>
                                </a:lnTo>
                                <a:lnTo>
                                  <a:pt x="1102614" y="12953"/>
                                </a:lnTo>
                              </a:path>
                              <a:path w="3572510" h="887730">
                                <a:moveTo>
                                  <a:pt x="1074039" y="12953"/>
                                </a:moveTo>
                                <a:lnTo>
                                  <a:pt x="1131189" y="12953"/>
                                </a:lnTo>
                              </a:path>
                              <a:path w="3572510" h="887730">
                                <a:moveTo>
                                  <a:pt x="1590802" y="457580"/>
                                </a:moveTo>
                                <a:lnTo>
                                  <a:pt x="1590802" y="457580"/>
                                </a:lnTo>
                                <a:lnTo>
                                  <a:pt x="1590802" y="371728"/>
                                </a:lnTo>
                              </a:path>
                              <a:path w="3572510" h="887730">
                                <a:moveTo>
                                  <a:pt x="1562227" y="371728"/>
                                </a:moveTo>
                                <a:lnTo>
                                  <a:pt x="1619377" y="371728"/>
                                </a:lnTo>
                              </a:path>
                              <a:path w="3572510" h="887730">
                                <a:moveTo>
                                  <a:pt x="2078989" y="801369"/>
                                </a:moveTo>
                                <a:lnTo>
                                  <a:pt x="2078989" y="801369"/>
                                </a:lnTo>
                                <a:lnTo>
                                  <a:pt x="2078989" y="665479"/>
                                </a:lnTo>
                              </a:path>
                              <a:path w="3572510" h="887730">
                                <a:moveTo>
                                  <a:pt x="2050414" y="665479"/>
                                </a:moveTo>
                                <a:lnTo>
                                  <a:pt x="2107565" y="665479"/>
                                </a:lnTo>
                              </a:path>
                              <a:path w="3572510" h="887730">
                                <a:moveTo>
                                  <a:pt x="2567178" y="113918"/>
                                </a:moveTo>
                                <a:lnTo>
                                  <a:pt x="2567178" y="113918"/>
                                </a:lnTo>
                                <a:lnTo>
                                  <a:pt x="2567178" y="0"/>
                                </a:lnTo>
                              </a:path>
                              <a:path w="3572510" h="887730">
                                <a:moveTo>
                                  <a:pt x="2538603" y="0"/>
                                </a:moveTo>
                                <a:lnTo>
                                  <a:pt x="2595753" y="0"/>
                                </a:lnTo>
                              </a:path>
                              <a:path w="3572510" h="887730">
                                <a:moveTo>
                                  <a:pt x="3055366" y="715390"/>
                                </a:moveTo>
                                <a:lnTo>
                                  <a:pt x="3055366" y="715390"/>
                                </a:lnTo>
                                <a:lnTo>
                                  <a:pt x="3055366" y="629538"/>
                                </a:lnTo>
                              </a:path>
                              <a:path w="3572510" h="887730">
                                <a:moveTo>
                                  <a:pt x="3026791" y="629538"/>
                                </a:moveTo>
                                <a:lnTo>
                                  <a:pt x="3083941" y="629538"/>
                                </a:lnTo>
                              </a:path>
                              <a:path w="3572510" h="887730">
                                <a:moveTo>
                                  <a:pt x="3543554" y="629538"/>
                                </a:moveTo>
                                <a:lnTo>
                                  <a:pt x="3543554" y="629538"/>
                                </a:lnTo>
                                <a:lnTo>
                                  <a:pt x="3543554" y="524255"/>
                                </a:lnTo>
                              </a:path>
                              <a:path w="3572510" h="887730">
                                <a:moveTo>
                                  <a:pt x="3514979" y="524255"/>
                                </a:moveTo>
                                <a:lnTo>
                                  <a:pt x="3572129" y="524255"/>
                                </a:lnTo>
                              </a:path>
                            </a:pathLst>
                          </a:custGeom>
                          <a:ln w="12700">
                            <a:solidFill>
                              <a:srgbClr val="000000"/>
                            </a:solidFill>
                            <a:prstDash val="solid"/>
                          </a:ln>
                        </wps:spPr>
                        <wps:bodyPr wrap="square" lIns="0" tIns="0" rIns="0" bIns="0" rtlCol="0">
                          <a:prstTxWarp prst="textNoShape">
                            <a:avLst/>
                          </a:prstTxWarp>
                          <a:noAutofit/>
                        </wps:bodyPr>
                      </wps:wsp>
                      <wps:wsp>
                        <wps:cNvPr id="138" name="Graphic 138"/>
                        <wps:cNvSpPr/>
                        <wps:spPr>
                          <a:xfrm>
                            <a:off x="0" y="4572"/>
                            <a:ext cx="3944620" cy="1503045"/>
                          </a:xfrm>
                          <a:custGeom>
                            <a:avLst/>
                            <a:gdLst/>
                            <a:ahLst/>
                            <a:cxnLst/>
                            <a:rect l="l" t="t" r="r" b="b"/>
                            <a:pathLst>
                              <a:path w="3944620" h="1503045">
                                <a:moveTo>
                                  <a:pt x="39623" y="1502664"/>
                                </a:moveTo>
                                <a:lnTo>
                                  <a:pt x="39623" y="0"/>
                                </a:lnTo>
                              </a:path>
                              <a:path w="3944620" h="1503045">
                                <a:moveTo>
                                  <a:pt x="0" y="1502664"/>
                                </a:moveTo>
                                <a:lnTo>
                                  <a:pt x="39623" y="1502664"/>
                                </a:lnTo>
                              </a:path>
                              <a:path w="3944620" h="1503045">
                                <a:moveTo>
                                  <a:pt x="0" y="1289303"/>
                                </a:moveTo>
                                <a:lnTo>
                                  <a:pt x="39623" y="1289303"/>
                                </a:lnTo>
                              </a:path>
                              <a:path w="3944620" h="1503045">
                                <a:moveTo>
                                  <a:pt x="0" y="1072896"/>
                                </a:moveTo>
                                <a:lnTo>
                                  <a:pt x="39623" y="1072896"/>
                                </a:lnTo>
                              </a:path>
                              <a:path w="3944620" h="1503045">
                                <a:moveTo>
                                  <a:pt x="0" y="859536"/>
                                </a:moveTo>
                                <a:lnTo>
                                  <a:pt x="39623" y="859536"/>
                                </a:lnTo>
                              </a:path>
                              <a:path w="3944620" h="1503045">
                                <a:moveTo>
                                  <a:pt x="0" y="643127"/>
                                </a:moveTo>
                                <a:lnTo>
                                  <a:pt x="39623" y="643127"/>
                                </a:lnTo>
                              </a:path>
                              <a:path w="3944620" h="1503045">
                                <a:moveTo>
                                  <a:pt x="0" y="429767"/>
                                </a:moveTo>
                                <a:lnTo>
                                  <a:pt x="39623" y="429767"/>
                                </a:lnTo>
                              </a:path>
                              <a:path w="3944620" h="1503045">
                                <a:moveTo>
                                  <a:pt x="0" y="213360"/>
                                </a:moveTo>
                                <a:lnTo>
                                  <a:pt x="39623" y="213360"/>
                                </a:lnTo>
                              </a:path>
                              <a:path w="3944620" h="1503045">
                                <a:moveTo>
                                  <a:pt x="0" y="0"/>
                                </a:moveTo>
                                <a:lnTo>
                                  <a:pt x="39623" y="0"/>
                                </a:lnTo>
                              </a:path>
                              <a:path w="3944620" h="1503045">
                                <a:moveTo>
                                  <a:pt x="39623" y="1502664"/>
                                </a:moveTo>
                                <a:lnTo>
                                  <a:pt x="3944112" y="1502664"/>
                                </a:lnTo>
                              </a:path>
                            </a:pathLst>
                          </a:custGeom>
                          <a:ln w="9144">
                            <a:solidFill>
                              <a:srgbClr val="858585"/>
                            </a:solidFill>
                            <a:prstDash val="solid"/>
                          </a:ln>
                        </wps:spPr>
                        <wps:bodyPr wrap="square" lIns="0" tIns="0" rIns="0" bIns="0" rtlCol="0">
                          <a:prstTxWarp prst="textNoShape">
                            <a:avLst/>
                          </a:prstTxWarp>
                          <a:noAutofit/>
                        </wps:bodyPr>
                      </wps:wsp>
                      <wps:wsp>
                        <wps:cNvPr id="139" name="Textbox 139"/>
                        <wps:cNvSpPr txBox="1"/>
                        <wps:spPr>
                          <a:xfrm>
                            <a:off x="1766061" y="447700"/>
                            <a:ext cx="58419" cy="95250"/>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0" name="Textbox 140"/>
                        <wps:cNvSpPr txBox="1"/>
                        <wps:spPr>
                          <a:xfrm>
                            <a:off x="699262" y="607313"/>
                            <a:ext cx="58419" cy="94615"/>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1" name="Textbox 141"/>
                        <wps:cNvSpPr txBox="1"/>
                        <wps:spPr>
                          <a:xfrm>
                            <a:off x="2159507" y="543559"/>
                            <a:ext cx="58419" cy="94615"/>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2" name="Textbox 142"/>
                        <wps:cNvSpPr txBox="1"/>
                        <wps:spPr>
                          <a:xfrm>
                            <a:off x="3740150" y="596645"/>
                            <a:ext cx="58419" cy="94615"/>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3" name="Textbox 143"/>
                        <wps:cNvSpPr txBox="1"/>
                        <wps:spPr>
                          <a:xfrm>
                            <a:off x="810513" y="795401"/>
                            <a:ext cx="58419" cy="94615"/>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4" name="Textbox 144"/>
                        <wps:cNvSpPr txBox="1"/>
                        <wps:spPr>
                          <a:xfrm>
                            <a:off x="2276601" y="745515"/>
                            <a:ext cx="58419" cy="95250"/>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s:wsp>
                        <wps:cNvPr id="145" name="Textbox 145"/>
                        <wps:cNvSpPr txBox="1"/>
                        <wps:spPr>
                          <a:xfrm>
                            <a:off x="3245866" y="720979"/>
                            <a:ext cx="58419" cy="94615"/>
                          </a:xfrm>
                          <a:prstGeom prst="rect">
                            <a:avLst/>
                          </a:prstGeom>
                        </wps:spPr>
                        <wps:txbx>
                          <w:txbxContent>
                            <w:p>
                              <w:pPr>
                                <w:spacing w:line="149" w:lineRule="exact" w:before="0"/>
                                <w:ind w:left="0" w:right="0" w:firstLine="0"/>
                                <w:jc w:val="left"/>
                                <w:rPr>
                                  <w:rFonts w:ascii="Calibri"/>
                                  <w:sz w:val="15"/>
                                </w:rPr>
                              </w:pPr>
                              <w:r>
                                <w:rPr>
                                  <w:rFonts w:ascii="Calibri"/>
                                  <w:spacing w:val="-10"/>
                                  <w:sz w:val="15"/>
                                </w:rPr>
                                <w:t>a</w:t>
                              </w:r>
                            </w:p>
                          </w:txbxContent>
                        </wps:txbx>
                        <wps:bodyPr wrap="square" lIns="0" tIns="0" rIns="0" bIns="0" rtlCol="0">
                          <a:noAutofit/>
                        </wps:bodyPr>
                      </wps:wsp>
                    </wpg:wgp>
                  </a:graphicData>
                </a:graphic>
              </wp:anchor>
            </w:drawing>
          </mc:Choice>
          <mc:Fallback>
            <w:pict>
              <v:group style="position:absolute;margin-left:151.800003pt;margin-top:13.115781pt;width:310.6pt;height:119.05pt;mso-position-horizontal-relative:page;mso-position-vertical-relative:paragraph;z-index:15764992" id="docshapegroup42" coordorigin="3036,262" coordsize="6212,2381">
                <v:shape style="position:absolute;left:3280;top:864;width:255;height:1773" type="#_x0000_t75" id="docshape43" stroked="false">
                  <v:imagedata r:id="rId30" o:title=""/>
                </v:shape>
                <v:shape style="position:absolute;left:4048;top:1676;width:255;height:961" type="#_x0000_t75" id="docshape44" stroked="false">
                  <v:imagedata r:id="rId31" o:title=""/>
                </v:shape>
                <v:shape style="position:absolute;left:4816;top:999;width:255;height:1638" type="#_x0000_t75" id="docshape45" stroked="false">
                  <v:imagedata r:id="rId32" o:title=""/>
                </v:shape>
                <v:shape style="position:absolute;left:5584;top:999;width:262;height:1638" type="#_x0000_t75" id="docshape46" stroked="false">
                  <v:imagedata r:id="rId33" o:title=""/>
                </v:shape>
                <v:shape style="position:absolute;left:6350;top:1676;width:262;height:961" type="#_x0000_t75" id="docshape47" stroked="false">
                  <v:imagedata r:id="rId34" o:title=""/>
                </v:shape>
                <v:shape style="position:absolute;left:7125;top:864;width:255;height:1773" type="#_x0000_t75" id="docshape48" stroked="false">
                  <v:imagedata r:id="rId35" o:title=""/>
                </v:shape>
                <v:shape style="position:absolute;left:7893;top:1541;width:255;height:1096" type="#_x0000_t75" id="docshape49" stroked="false">
                  <v:imagedata r:id="rId36" o:title=""/>
                </v:shape>
                <v:shape style="position:absolute;left:8661;top:1267;width:255;height:1369" type="#_x0000_t75" id="docshape50" stroked="false">
                  <v:imagedata r:id="rId37" o:title=""/>
                </v:shape>
                <v:shape style="position:absolute;left:3412;top:569;width:298;height:2068" type="#_x0000_t75" id="docshape51" stroked="false">
                  <v:imagedata r:id="rId38" o:title=""/>
                </v:shape>
                <v:shape style="position:absolute;left:4180;top:1923;width:298;height:714" type="#_x0000_t75" id="docshape52" stroked="false">
                  <v:imagedata r:id="rId39" o:title=""/>
                </v:shape>
                <v:shape style="position:absolute;left:4948;top:843;width:298;height:1794" type="#_x0000_t75" id="docshape53" stroked="false">
                  <v:imagedata r:id="rId40" o:title=""/>
                </v:shape>
                <v:shape style="position:absolute;left:5716;top:1246;width:298;height:1391" type="#_x0000_t75" id="docshape54" stroked="false">
                  <v:imagedata r:id="rId41" o:title=""/>
                </v:shape>
                <v:shape style="position:absolute;left:6489;top:1788;width:298;height:849" type="#_x0000_t75" id="docshape55" stroked="false">
                  <v:imagedata r:id="rId42" o:title=""/>
                </v:shape>
                <v:shape style="position:absolute;left:7257;top:708;width:298;height:1929" type="#_x0000_t75" id="docshape56" stroked="false">
                  <v:imagedata r:id="rId43" o:title=""/>
                </v:shape>
                <v:shape style="position:absolute;left:8025;top:1654;width:298;height:983" type="#_x0000_t75" id="docshape57" stroked="false">
                  <v:imagedata r:id="rId44" o:title=""/>
                </v:shape>
                <v:shape style="position:absolute;left:8793;top:1519;width:298;height:1117" type="#_x0000_t75" id="docshape58" stroked="false">
                  <v:imagedata r:id="rId45" o:title=""/>
                </v:shape>
                <v:shape style="position:absolute;left:3330;top:607;width:308;height:2030" type="#_x0000_t75" id="docshape59" stroked="false">
                  <v:imagedata r:id="rId46" o:title=""/>
                </v:shape>
                <v:shape style="position:absolute;left:4099;top:1689;width:308;height:948" type="#_x0000_t75" id="docshape60" stroked="false">
                  <v:imagedata r:id="rId47" o:title=""/>
                </v:shape>
                <v:shape style="position:absolute;left:4868;top:877;width:308;height:1760" type="#_x0000_t75" id="docshape61" stroked="false">
                  <v:imagedata r:id="rId48" o:title=""/>
                </v:shape>
                <v:shape style="position:absolute;left:5637;top:1013;width:308;height:1624" type="#_x0000_t75" id="docshape62" stroked="false">
                  <v:imagedata r:id="rId49" o:title=""/>
                </v:shape>
                <v:shape style="position:absolute;left:6405;top:1689;width:308;height:948" type="#_x0000_t75" id="docshape63" stroked="false">
                  <v:imagedata r:id="rId50" o:title=""/>
                </v:shape>
                <v:shape style="position:absolute;left:7943;top:1554;width:308;height:1083" type="#_x0000_t75" id="docshape64" stroked="false">
                  <v:imagedata r:id="rId51" o:title=""/>
                </v:shape>
                <v:shape style="position:absolute;left:7174;top:742;width:308;height:1895" type="#_x0000_t75" id="docshape65" stroked="false">
                  <v:imagedata r:id="rId52" o:title=""/>
                </v:shape>
                <v:shape style="position:absolute;left:8712;top:1283;width:308;height:1354" type="#_x0000_t75" id="docshape66" stroked="false">
                  <v:imagedata r:id="rId53" o:title=""/>
                </v:shape>
                <v:shape style="position:absolute;left:3362;top:562;width:5626;height:1398" id="docshape67" coordorigin="3362,563" coordsize="5626,1398" path="m3407,878l3407,878,3407,712m3362,712l3452,712m4176,1690l4176,1690,4176,1450m4131,1450l4221,1450m4945,1013l4945,1013,4945,854m4900,854l4990,854m5714,1013l5714,1013,5714,793m5669,793l5759,793m6483,1690l6483,1690,6483,1319m6438,1319l6528,1319m7251,878l7251,878,7251,607m7206,607l7296,607m8020,1554l8020,1554,8020,1321m7975,1321l8065,1321m8789,1284l8789,1284,8789,981m8744,981l8834,981m3561,607l3561,607,3561,607m3516,607l3606,607m4330,1960l4330,1960,4330,1794m4285,1794l4375,1794m5099,878l5099,878,5099,583m5054,583l5144,583m5868,1284l5868,1284,5868,1148m5823,1148l5913,1148m6636,1825l6636,1825,6636,1611m6591,1611l6681,1611m7405,742l7405,742,7405,563m7360,563l7450,563m8174,1690l8174,1690,8174,1554m8129,1554l8219,1554m8943,1554l8943,1554,8943,1389m8898,1389l8988,1389e" filled="false" stroked="true" strokeweight="1pt" strokecolor="#000000">
                  <v:path arrowok="t"/>
                  <v:stroke dashstyle="solid"/>
                </v:shape>
                <v:shape style="position:absolute;left:3036;top:269;width:6212;height:2367" id="docshape68" coordorigin="3036,270" coordsize="6212,2367" path="m3098,2636l3098,270m3036,2636l3098,2636m3036,2300l3098,2300m3036,1959l3098,1959m3036,1623l3098,1623m3036,1282l3098,1282m3036,946l3098,946m3036,606l3098,606m3036,270l3098,270m3098,2636l9247,2636e" filled="false" stroked="true" strokeweight=".72pt" strokecolor="#858585">
                  <v:path arrowok="t"/>
                  <v:stroke dashstyle="solid"/>
                </v:shape>
                <v:shape style="position:absolute;left:5817;top:967;width:92;height:150" type="#_x0000_t202" id="docshape69"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4137;top:1218;width:92;height:149" type="#_x0000_t202" id="docshape70"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6436;top:1118;width:92;height:149" type="#_x0000_t202" id="docshape71"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8926;top:1201;width:92;height:149" type="#_x0000_t202" id="docshape72"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4312;top:1514;width:92;height:149" type="#_x0000_t202" id="docshape73"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6621;top:1436;width:92;height:150" type="#_x0000_t202" id="docshape74"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v:shape style="position:absolute;left:8147;top:1397;width:92;height:149" type="#_x0000_t202" id="docshape75" filled="false" stroked="false">
                  <v:textbox inset="0,0,0,0">
                    <w:txbxContent>
                      <w:p>
                        <w:pPr>
                          <w:spacing w:line="149" w:lineRule="exact" w:before="0"/>
                          <w:ind w:left="0" w:right="0" w:firstLine="0"/>
                          <w:jc w:val="left"/>
                          <w:rPr>
                            <w:rFonts w:ascii="Calibri"/>
                            <w:sz w:val="15"/>
                          </w:rPr>
                        </w:pPr>
                        <w:r>
                          <w:rPr>
                            <w:rFonts w:ascii="Calibri"/>
                            <w:spacing w:val="-10"/>
                            <w:sz w:val="15"/>
                          </w:rPr>
                          <w:t>a</w:t>
                        </w:r>
                      </w:p>
                    </w:txbxContent>
                  </v:textbox>
                  <w10:wrap type="none"/>
                </v:shape>
                <w10:wrap type="none"/>
              </v:group>
            </w:pict>
          </mc:Fallback>
        </mc:AlternateContent>
      </w:r>
      <w:r>
        <w:rPr>
          <w:rFonts w:ascii="Calibri"/>
          <w:spacing w:val="-5"/>
          <w:sz w:val="20"/>
        </w:rPr>
        <w:t>3.5</w:t>
      </w:r>
    </w:p>
    <w:p>
      <w:pPr>
        <w:spacing w:before="94"/>
        <w:ind w:left="0" w:right="2153" w:firstLine="0"/>
        <w:jc w:val="right"/>
        <w:rPr>
          <w:rFonts w:ascii="Calibri"/>
          <w:sz w:val="20"/>
        </w:rPr>
      </w:pPr>
      <w:r>
        <w:rPr>
          <w:rFonts w:ascii="Calibri"/>
          <w:spacing w:val="-10"/>
          <w:sz w:val="20"/>
        </w:rPr>
        <w:t>3</w:t>
      </w:r>
    </w:p>
    <w:p>
      <w:pPr>
        <w:spacing w:before="95"/>
        <w:ind w:left="0" w:right="2153" w:firstLine="0"/>
        <w:jc w:val="right"/>
        <w:rPr>
          <w:rFonts w:ascii="Calibri"/>
          <w:sz w:val="20"/>
        </w:rPr>
      </w:pPr>
      <w:r>
        <w:rPr/>
        <mc:AlternateContent>
          <mc:Choice Requires="wps">
            <w:drawing>
              <wp:anchor distT="0" distB="0" distL="0" distR="0" allowOverlap="1" layoutInCell="1" locked="0" behindDoc="0" simplePos="0" relativeHeight="15766016">
                <wp:simplePos x="0" y="0"/>
                <wp:positionH relativeFrom="page">
                  <wp:posOffset>1453388</wp:posOffset>
                </wp:positionH>
                <wp:positionV relativeFrom="paragraph">
                  <wp:posOffset>169080</wp:posOffset>
                </wp:positionV>
                <wp:extent cx="153670" cy="59817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53670" cy="598170"/>
                        </a:xfrm>
                        <a:prstGeom prst="rect">
                          <a:avLst/>
                        </a:prstGeom>
                      </wps:spPr>
                      <wps:txbx>
                        <w:txbxContent>
                          <w:p>
                            <w:pPr>
                              <w:spacing w:line="225" w:lineRule="exact" w:before="0"/>
                              <w:ind w:left="20" w:right="0" w:firstLine="0"/>
                              <w:jc w:val="left"/>
                              <w:rPr>
                                <w:rFonts w:ascii="Calibri"/>
                                <w:b/>
                                <w:sz w:val="20"/>
                              </w:rPr>
                            </w:pPr>
                            <w:r>
                              <w:rPr>
                                <w:rFonts w:ascii="Calibri"/>
                                <w:b/>
                                <w:sz w:val="20"/>
                              </w:rPr>
                              <w:t>Pain</w:t>
                            </w:r>
                            <w:r>
                              <w:rPr>
                                <w:rFonts w:ascii="Calibri"/>
                                <w:b/>
                                <w:spacing w:val="39"/>
                                <w:sz w:val="20"/>
                              </w:rPr>
                              <w:t> </w:t>
                            </w:r>
                            <w:r>
                              <w:rPr>
                                <w:rFonts w:ascii="Calibri"/>
                                <w:b/>
                                <w:spacing w:val="-2"/>
                                <w:sz w:val="20"/>
                              </w:rPr>
                              <w:t>score</w:t>
                            </w:r>
                          </w:p>
                        </w:txbxContent>
                      </wps:txbx>
                      <wps:bodyPr wrap="square" lIns="0" tIns="0" rIns="0" bIns="0" rtlCol="0" vert="vert270">
                        <a:noAutofit/>
                      </wps:bodyPr>
                    </wps:wsp>
                  </a:graphicData>
                </a:graphic>
              </wp:anchor>
            </w:drawing>
          </mc:Choice>
          <mc:Fallback>
            <w:pict>
              <v:shape style="position:absolute;margin-left:114.440002pt;margin-top:13.313445pt;width:12.1pt;height:47.1pt;mso-position-horizontal-relative:page;mso-position-vertical-relative:paragraph;z-index:15766016" type="#_x0000_t202" id="docshape76"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Pain</w:t>
                      </w:r>
                      <w:r>
                        <w:rPr>
                          <w:rFonts w:ascii="Calibri"/>
                          <w:b/>
                          <w:spacing w:val="39"/>
                          <w:sz w:val="20"/>
                        </w:rPr>
                        <w:t> </w:t>
                      </w:r>
                      <w:r>
                        <w:rPr>
                          <w:rFonts w:ascii="Calibri"/>
                          <w:b/>
                          <w:spacing w:val="-2"/>
                          <w:sz w:val="20"/>
                        </w:rPr>
                        <w:t>score</w:t>
                      </w:r>
                    </w:p>
                  </w:txbxContent>
                </v:textbox>
                <w10:wrap type="none"/>
              </v:shape>
            </w:pict>
          </mc:Fallback>
        </mc:AlternateContent>
      </w:r>
      <w:r>
        <w:rPr>
          <w:rFonts w:ascii="Calibri"/>
          <w:spacing w:val="-5"/>
          <w:sz w:val="20"/>
        </w:rPr>
        <w:t>2.5</w:t>
      </w:r>
    </w:p>
    <w:p>
      <w:pPr>
        <w:spacing w:before="94"/>
        <w:ind w:left="0" w:right="2153" w:firstLine="0"/>
        <w:jc w:val="right"/>
        <w:rPr>
          <w:rFonts w:ascii="Calibri"/>
          <w:sz w:val="20"/>
        </w:rPr>
      </w:pPr>
      <w:r>
        <w:rPr>
          <w:rFonts w:ascii="Calibri"/>
          <w:spacing w:val="-10"/>
          <w:sz w:val="20"/>
        </w:rPr>
        <w:t>2</w:t>
      </w:r>
    </w:p>
    <w:p>
      <w:pPr>
        <w:pStyle w:val="ListParagraph"/>
        <w:numPr>
          <w:ilvl w:val="1"/>
          <w:numId w:val="15"/>
        </w:numPr>
        <w:tabs>
          <w:tab w:pos="254" w:val="left" w:leader="none"/>
        </w:tabs>
        <w:spacing w:line="240" w:lineRule="auto" w:before="94" w:after="0"/>
        <w:ind w:left="254" w:right="2153" w:hanging="254"/>
        <w:jc w:val="right"/>
        <w:rPr>
          <w:rFonts w:ascii="Calibri" w:hAnsi="Calibri"/>
          <w:sz w:val="18"/>
        </w:rPr>
      </w:pPr>
      <w:r>
        <w:rPr>
          <w:rFonts w:ascii="Calibri" w:hAnsi="Calibri"/>
          <w:w w:val="100"/>
          <w:sz w:val="20"/>
        </w:rPr>
        <w:t>​</w:t>
      </w:r>
    </w:p>
    <w:p>
      <w:pPr>
        <w:spacing w:before="94"/>
        <w:ind w:left="0" w:right="2153" w:firstLine="0"/>
        <w:jc w:val="right"/>
        <w:rPr>
          <w:rFonts w:ascii="Calibri"/>
          <w:sz w:val="20"/>
        </w:rPr>
      </w:pPr>
      <w:r>
        <w:rPr>
          <w:rFonts w:ascii="Calibri"/>
          <w:spacing w:val="-10"/>
          <w:sz w:val="20"/>
        </w:rPr>
        <w:t>1</w:t>
      </w:r>
    </w:p>
    <w:p>
      <w:pPr>
        <w:spacing w:before="95"/>
        <w:ind w:left="0" w:right="2153" w:firstLine="0"/>
        <w:jc w:val="right"/>
        <w:rPr>
          <w:rFonts w:ascii="Calibri"/>
          <w:sz w:val="20"/>
        </w:rPr>
      </w:pPr>
      <w:r>
        <w:rPr>
          <w:rFonts w:ascii="Calibri"/>
          <w:spacing w:val="-5"/>
          <w:sz w:val="20"/>
        </w:rPr>
        <w:t>0.5</w:t>
      </w:r>
    </w:p>
    <w:p>
      <w:pPr>
        <w:spacing w:before="94"/>
        <w:ind w:left="0" w:right="2153" w:firstLine="0"/>
        <w:jc w:val="right"/>
        <w:rPr>
          <w:rFonts w:ascii="Calibri"/>
          <w:sz w:val="20"/>
        </w:rPr>
      </w:pPr>
      <w:r>
        <w:rPr/>
        <mc:AlternateContent>
          <mc:Choice Requires="wps">
            <w:drawing>
              <wp:anchor distT="0" distB="0" distL="0" distR="0" allowOverlap="1" layoutInCell="1" locked="0" behindDoc="0" simplePos="0" relativeHeight="15765504">
                <wp:simplePos x="0" y="0"/>
                <wp:positionH relativeFrom="page">
                  <wp:posOffset>3776726</wp:posOffset>
                </wp:positionH>
                <wp:positionV relativeFrom="paragraph">
                  <wp:posOffset>298025</wp:posOffset>
                </wp:positionV>
                <wp:extent cx="1884680" cy="44958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884680" cy="449580"/>
                          <a:chExt cx="1884680" cy="449580"/>
                        </a:xfrm>
                      </wpg:grpSpPr>
                      <pic:pic>
                        <pic:nvPicPr>
                          <pic:cNvPr id="148" name="Image 148"/>
                          <pic:cNvPicPr/>
                        </pic:nvPicPr>
                        <pic:blipFill>
                          <a:blip r:embed="rId54" cstate="print"/>
                          <a:stretch>
                            <a:fillRect/>
                          </a:stretch>
                        </pic:blipFill>
                        <pic:spPr>
                          <a:xfrm>
                            <a:off x="0" y="507"/>
                            <a:ext cx="419988" cy="400050"/>
                          </a:xfrm>
                          <a:prstGeom prst="rect">
                            <a:avLst/>
                          </a:prstGeom>
                        </pic:spPr>
                      </pic:pic>
                      <pic:pic>
                        <pic:nvPicPr>
                          <pic:cNvPr id="149" name="Image 149"/>
                          <pic:cNvPicPr/>
                        </pic:nvPicPr>
                        <pic:blipFill>
                          <a:blip r:embed="rId55" cstate="print"/>
                          <a:stretch>
                            <a:fillRect/>
                          </a:stretch>
                        </pic:blipFill>
                        <pic:spPr>
                          <a:xfrm>
                            <a:off x="453390" y="0"/>
                            <a:ext cx="454787" cy="449579"/>
                          </a:xfrm>
                          <a:prstGeom prst="rect">
                            <a:avLst/>
                          </a:prstGeom>
                        </pic:spPr>
                      </pic:pic>
                      <pic:pic>
                        <pic:nvPicPr>
                          <pic:cNvPr id="150" name="Image 150"/>
                          <pic:cNvPicPr/>
                        </pic:nvPicPr>
                        <pic:blipFill>
                          <a:blip r:embed="rId56" cstate="print"/>
                          <a:stretch>
                            <a:fillRect/>
                          </a:stretch>
                        </pic:blipFill>
                        <pic:spPr>
                          <a:xfrm>
                            <a:off x="941577" y="0"/>
                            <a:ext cx="454787" cy="449579"/>
                          </a:xfrm>
                          <a:prstGeom prst="rect">
                            <a:avLst/>
                          </a:prstGeom>
                        </pic:spPr>
                      </pic:pic>
                      <pic:pic>
                        <pic:nvPicPr>
                          <pic:cNvPr id="151" name="Image 151"/>
                          <pic:cNvPicPr/>
                        </pic:nvPicPr>
                        <pic:blipFill>
                          <a:blip r:embed="rId57" cstate="print"/>
                          <a:stretch>
                            <a:fillRect/>
                          </a:stretch>
                        </pic:blipFill>
                        <pic:spPr>
                          <a:xfrm>
                            <a:off x="1429766" y="0"/>
                            <a:ext cx="454787" cy="449579"/>
                          </a:xfrm>
                          <a:prstGeom prst="rect">
                            <a:avLst/>
                          </a:prstGeom>
                        </pic:spPr>
                      </pic:pic>
                    </wpg:wgp>
                  </a:graphicData>
                </a:graphic>
              </wp:anchor>
            </w:drawing>
          </mc:Choice>
          <mc:Fallback>
            <w:pict>
              <v:group style="position:absolute;margin-left:297.380005pt;margin-top:23.466562pt;width:148.4pt;height:35.4pt;mso-position-horizontal-relative:page;mso-position-vertical-relative:paragraph;z-index:15765504" id="docshapegroup77" coordorigin="5948,469" coordsize="2968,708">
                <v:shape style="position:absolute;left:5947;top:470;width:662;height:630" type="#_x0000_t75" id="docshape78" stroked="false">
                  <v:imagedata r:id="rId54" o:title=""/>
                </v:shape>
                <v:shape style="position:absolute;left:6661;top:469;width:717;height:708" type="#_x0000_t75" id="docshape79" stroked="false">
                  <v:imagedata r:id="rId55" o:title=""/>
                </v:shape>
                <v:shape style="position:absolute;left:7430;top:469;width:717;height:708" type="#_x0000_t75" id="docshape80" stroked="false">
                  <v:imagedata r:id="rId56" o:title=""/>
                </v:shape>
                <v:shape style="position:absolute;left:8199;top:469;width:717;height:708" type="#_x0000_t75" id="docshape81" stroked="false">
                  <v:imagedata r:id="rId57" o:title=""/>
                </v:shape>
                <w10:wrap type="none"/>
              </v:group>
            </w:pict>
          </mc:Fallback>
        </mc:AlternateContent>
      </w:r>
      <w:r>
        <w:rPr>
          <w:rFonts w:ascii="Calibri"/>
          <w:spacing w:val="-10"/>
          <w:sz w:val="20"/>
        </w:rPr>
        <w:t>0</w:t>
      </w:r>
    </w:p>
    <w:p>
      <w:pPr>
        <w:pStyle w:val="BodyText"/>
        <w:spacing w:before="10"/>
        <w:rPr>
          <w:rFonts w:ascii="Calibri"/>
          <w:sz w:val="8"/>
        </w:rPr>
      </w:pPr>
      <w:r>
        <w:rPr/>
        <w:drawing>
          <wp:anchor distT="0" distB="0" distL="0" distR="0" allowOverlap="1" layoutInCell="1" locked="0" behindDoc="1" simplePos="0" relativeHeight="487622144">
            <wp:simplePos x="0" y="0"/>
            <wp:positionH relativeFrom="page">
              <wp:posOffset>1698860</wp:posOffset>
            </wp:positionH>
            <wp:positionV relativeFrom="paragraph">
              <wp:posOffset>86481</wp:posOffset>
            </wp:positionV>
            <wp:extent cx="541929" cy="533400"/>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58" cstate="print"/>
                    <a:stretch>
                      <a:fillRect/>
                    </a:stretch>
                  </pic:blipFill>
                  <pic:spPr>
                    <a:xfrm>
                      <a:off x="0" y="0"/>
                      <a:ext cx="541929" cy="533400"/>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2359914</wp:posOffset>
            </wp:positionH>
            <wp:positionV relativeFrom="paragraph">
              <wp:posOffset>107436</wp:posOffset>
            </wp:positionV>
            <wp:extent cx="349123" cy="342900"/>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59" cstate="print"/>
                    <a:stretch>
                      <a:fillRect/>
                    </a:stretch>
                  </pic:blipFill>
                  <pic:spPr>
                    <a:xfrm>
                      <a:off x="0" y="0"/>
                      <a:ext cx="349123" cy="342900"/>
                    </a:xfrm>
                    <a:prstGeom prst="rect">
                      <a:avLst/>
                    </a:prstGeom>
                  </pic:spPr>
                </pic:pic>
              </a:graphicData>
            </a:graphic>
          </wp:anchor>
        </w:drawing>
      </w:r>
      <w:r>
        <w:rPr/>
        <w:drawing>
          <wp:anchor distT="0" distB="0" distL="0" distR="0" allowOverlap="1" layoutInCell="1" locked="0" behindDoc="1" simplePos="0" relativeHeight="487623168">
            <wp:simplePos x="0" y="0"/>
            <wp:positionH relativeFrom="page">
              <wp:posOffset>2800350</wp:posOffset>
            </wp:positionH>
            <wp:positionV relativeFrom="paragraph">
              <wp:posOffset>83814</wp:posOffset>
            </wp:positionV>
            <wp:extent cx="420116" cy="400050"/>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60" cstate="print"/>
                    <a:stretch>
                      <a:fillRect/>
                    </a:stretch>
                  </pic:blipFill>
                  <pic:spPr>
                    <a:xfrm>
                      <a:off x="0" y="0"/>
                      <a:ext cx="420116" cy="400050"/>
                    </a:xfrm>
                    <a:prstGeom prst="rect">
                      <a:avLst/>
                    </a:prstGeom>
                  </pic:spPr>
                </pic:pic>
              </a:graphicData>
            </a:graphic>
          </wp:anchor>
        </w:drawing>
      </w:r>
    </w:p>
    <w:p>
      <w:pPr>
        <w:spacing w:line="240" w:lineRule="auto" w:before="0"/>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74"/>
        <w:rPr>
          <w:rFonts w:ascii="Calibri"/>
          <w:sz w:val="20"/>
        </w:rPr>
      </w:pPr>
      <w:r>
        <w:rPr/>
        <w:drawing>
          <wp:anchor distT="0" distB="0" distL="0" distR="0" allowOverlap="1" layoutInCell="1" locked="0" behindDoc="1" simplePos="0" relativeHeight="487623680">
            <wp:simplePos x="0" y="0"/>
            <wp:positionH relativeFrom="page">
              <wp:posOffset>3288538</wp:posOffset>
            </wp:positionH>
            <wp:positionV relativeFrom="paragraph">
              <wp:posOffset>281120</wp:posOffset>
            </wp:positionV>
            <wp:extent cx="419988" cy="400050"/>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61" cstate="print"/>
                    <a:stretch>
                      <a:fillRect/>
                    </a:stretch>
                  </pic:blipFill>
                  <pic:spPr>
                    <a:xfrm>
                      <a:off x="0" y="0"/>
                      <a:ext cx="419988" cy="400050"/>
                    </a:xfrm>
                    <a:prstGeom prst="rect">
                      <a:avLst/>
                    </a:prstGeom>
                  </pic:spPr>
                </pic:pic>
              </a:graphicData>
            </a:graphic>
          </wp:anchor>
        </w:drawing>
      </w:r>
    </w:p>
    <w:p>
      <w:pPr>
        <w:pStyle w:val="BodyText"/>
        <w:spacing w:before="187"/>
        <w:rPr>
          <w:rFonts w:ascii="Calibri"/>
          <w:sz w:val="20"/>
        </w:rPr>
      </w:pPr>
    </w:p>
    <w:p>
      <w:pPr>
        <w:spacing w:before="0"/>
        <w:ind w:left="272" w:right="0" w:firstLine="0"/>
        <w:jc w:val="left"/>
        <w:rPr>
          <w:rFonts w:ascii="Calibri"/>
          <w:b/>
          <w:sz w:val="20"/>
        </w:rPr>
      </w:pPr>
      <w:r>
        <w:rPr>
          <w:rFonts w:ascii="Calibri"/>
          <w:b/>
          <w:sz w:val="20"/>
        </w:rPr>
        <w:t>Treatment</w:t>
      </w:r>
      <w:r>
        <w:rPr>
          <w:rFonts w:ascii="Calibri"/>
          <w:b/>
          <w:spacing w:val="-10"/>
          <w:sz w:val="20"/>
        </w:rPr>
        <w:t> </w:t>
      </w:r>
      <w:r>
        <w:rPr>
          <w:rFonts w:ascii="Calibri"/>
          <w:b/>
          <w:spacing w:val="-2"/>
          <w:sz w:val="20"/>
        </w:rPr>
        <w:t>(mg/kg)</w:t>
      </w:r>
    </w:p>
    <w:p>
      <w:pPr>
        <w:spacing w:line="240" w:lineRule="auto" w:before="0"/>
        <w:rPr>
          <w:rFonts w:ascii="Calibri"/>
          <w:b/>
          <w:sz w:val="20"/>
        </w:rPr>
      </w:pPr>
      <w:r>
        <w:rPr/>
        <w:br w:type="column"/>
      </w:r>
      <w:r>
        <w:rPr>
          <w:rFonts w:ascii="Calibri"/>
          <w:b/>
          <w:sz w:val="20"/>
        </w:rPr>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48"/>
        <w:rPr>
          <w:rFonts w:ascii="Calibri"/>
          <w:b/>
          <w:sz w:val="20"/>
        </w:rPr>
      </w:pPr>
    </w:p>
    <w:p>
      <w:pPr>
        <w:spacing w:before="0"/>
        <w:ind w:left="1700" w:right="0" w:firstLine="0"/>
        <w:jc w:val="left"/>
        <w:rPr>
          <w:rFonts w:ascii="Calibri"/>
          <w:sz w:val="20"/>
        </w:rPr>
      </w:pPr>
      <w:r>
        <w:rPr>
          <w:position w:val="1"/>
        </w:rPr>
        <w:drawing>
          <wp:inline distT="0" distB="0" distL="0" distR="0">
            <wp:extent cx="69752" cy="69752"/>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62" cstate="print"/>
                    <a:stretch>
                      <a:fillRect/>
                    </a:stretch>
                  </pic:blipFill>
                  <pic:spPr>
                    <a:xfrm>
                      <a:off x="0" y="0"/>
                      <a:ext cx="69752" cy="69752"/>
                    </a:xfrm>
                    <a:prstGeom prst="rect">
                      <a:avLst/>
                    </a:prstGeom>
                  </pic:spPr>
                </pic:pic>
              </a:graphicData>
            </a:graphic>
          </wp:inline>
        </w:drawing>
      </w:r>
      <w:r>
        <w:rPr>
          <w:position w:val="1"/>
        </w:rPr>
      </w:r>
      <w:r>
        <w:rPr>
          <w:sz w:val="20"/>
        </w:rPr>
        <w:t> </w:t>
      </w:r>
      <w:r>
        <w:rPr>
          <w:rFonts w:ascii="Calibri"/>
          <w:sz w:val="20"/>
        </w:rPr>
        <w:t>Phase</w:t>
      </w:r>
      <w:r>
        <w:rPr>
          <w:rFonts w:ascii="Calibri"/>
          <w:spacing w:val="-4"/>
          <w:sz w:val="20"/>
        </w:rPr>
        <w:t> </w:t>
      </w:r>
      <w:r>
        <w:rPr>
          <w:rFonts w:ascii="Calibri"/>
          <w:sz w:val="20"/>
        </w:rPr>
        <w:t>1</w:t>
      </w:r>
    </w:p>
    <w:p>
      <w:pPr>
        <w:spacing w:before="117"/>
        <w:ind w:left="1700" w:right="0" w:firstLine="0"/>
        <w:jc w:val="left"/>
        <w:rPr>
          <w:rFonts w:ascii="Calibri"/>
          <w:sz w:val="20"/>
        </w:rPr>
      </w:pPr>
      <w:r>
        <w:rPr>
          <w:position w:val="1"/>
        </w:rPr>
        <w:drawing>
          <wp:inline distT="0" distB="0" distL="0" distR="0">
            <wp:extent cx="69752" cy="69752"/>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63" cstate="print"/>
                    <a:stretch>
                      <a:fillRect/>
                    </a:stretch>
                  </pic:blipFill>
                  <pic:spPr>
                    <a:xfrm>
                      <a:off x="0" y="0"/>
                      <a:ext cx="69752" cy="69752"/>
                    </a:xfrm>
                    <a:prstGeom prst="rect">
                      <a:avLst/>
                    </a:prstGeom>
                  </pic:spPr>
                </pic:pic>
              </a:graphicData>
            </a:graphic>
          </wp:inline>
        </w:drawing>
      </w:r>
      <w:r>
        <w:rPr>
          <w:position w:val="1"/>
        </w:rPr>
      </w:r>
      <w:r>
        <w:rPr>
          <w:sz w:val="20"/>
        </w:rPr>
        <w:t> </w:t>
      </w:r>
      <w:r>
        <w:rPr>
          <w:rFonts w:ascii="Calibri"/>
          <w:sz w:val="20"/>
        </w:rPr>
        <w:t>Phase</w:t>
      </w:r>
      <w:r>
        <w:rPr>
          <w:rFonts w:ascii="Calibri"/>
          <w:spacing w:val="-4"/>
          <w:sz w:val="20"/>
        </w:rPr>
        <w:t> </w:t>
      </w:r>
      <w:r>
        <w:rPr>
          <w:rFonts w:ascii="Calibri"/>
          <w:sz w:val="20"/>
        </w:rPr>
        <w:t>2</w:t>
      </w:r>
    </w:p>
    <w:p>
      <w:pPr>
        <w:spacing w:after="0"/>
        <w:jc w:val="left"/>
        <w:rPr>
          <w:rFonts w:ascii="Calibri"/>
          <w:sz w:val="20"/>
        </w:rPr>
        <w:sectPr>
          <w:type w:val="continuous"/>
          <w:pgSz w:w="11910" w:h="16840"/>
          <w:pgMar w:header="0" w:footer="1012" w:top="1340" w:bottom="280" w:left="960" w:right="620"/>
          <w:cols w:num="3" w:equalWidth="0">
            <w:col w:w="4112" w:space="40"/>
            <w:col w:w="1902" w:space="856"/>
            <w:col w:w="3420"/>
          </w:cols>
        </w:sectPr>
      </w:pPr>
    </w:p>
    <w:p>
      <w:pPr>
        <w:pStyle w:val="BodyText"/>
        <w:spacing w:before="119"/>
        <w:rPr>
          <w:rFonts w:ascii="Calibri"/>
        </w:rPr>
      </w:pPr>
    </w:p>
    <w:p>
      <w:pPr>
        <w:pStyle w:val="Heading2"/>
        <w:spacing w:line="360" w:lineRule="auto"/>
        <w:ind w:left="1748" w:right="1779" w:hanging="721"/>
        <w:jc w:val="left"/>
      </w:pPr>
      <w:r>
        <w:rPr/>
        <w:t>Figure</w:t>
      </w:r>
      <w:r>
        <w:rPr>
          <w:spacing w:val="-5"/>
        </w:rPr>
        <w:t> </w:t>
      </w:r>
      <w:r>
        <w:rPr/>
        <w:t>4.4.</w:t>
      </w:r>
      <w:r>
        <w:rPr>
          <w:spacing w:val="-2"/>
        </w:rPr>
        <w:t> </w:t>
      </w:r>
      <w:r>
        <w:rPr/>
        <w:t>Effects</w:t>
      </w:r>
      <w:r>
        <w:rPr>
          <w:spacing w:val="-6"/>
        </w:rPr>
        <w:t> </w:t>
      </w:r>
      <w:r>
        <w:rPr/>
        <w:t>of</w:t>
      </w:r>
      <w:r>
        <w:rPr>
          <w:spacing w:val="-7"/>
        </w:rPr>
        <w:t> </w:t>
      </w:r>
      <w:r>
        <w:rPr/>
        <w:t>Undetoxified</w:t>
      </w:r>
      <w:r>
        <w:rPr>
          <w:spacing w:val="-2"/>
        </w:rPr>
        <w:t> </w:t>
      </w:r>
      <w:r>
        <w:rPr/>
        <w:t>and</w:t>
      </w:r>
      <w:r>
        <w:rPr>
          <w:spacing w:val="-3"/>
        </w:rPr>
        <w:t> </w:t>
      </w:r>
      <w:r>
        <w:rPr/>
        <w:t>Detoxified</w:t>
      </w:r>
      <w:r>
        <w:rPr>
          <w:spacing w:val="-3"/>
        </w:rPr>
        <w:t> </w:t>
      </w:r>
      <w:r>
        <w:rPr>
          <w:i/>
        </w:rPr>
        <w:t>Jatropha</w:t>
      </w:r>
      <w:r>
        <w:rPr>
          <w:i/>
          <w:spacing w:val="-3"/>
        </w:rPr>
        <w:t> </w:t>
      </w:r>
      <w:r>
        <w:rPr>
          <w:i/>
        </w:rPr>
        <w:t>curcas</w:t>
      </w:r>
      <w:r>
        <w:rPr>
          <w:i/>
          <w:spacing w:val="-6"/>
        </w:rPr>
        <w:t> </w:t>
      </w:r>
      <w:r>
        <w:rPr/>
        <w:t>Oils</w:t>
      </w:r>
      <w:r>
        <w:rPr>
          <w:spacing w:val="-6"/>
        </w:rPr>
        <w:t> </w:t>
      </w:r>
      <w:r>
        <w:rPr/>
        <w:t>on Formalin-Induced Pain in Mice.</w:t>
      </w:r>
    </w:p>
    <w:p>
      <w:pPr>
        <w:pStyle w:val="BodyText"/>
        <w:spacing w:before="139"/>
        <w:rPr>
          <w:b/>
        </w:rPr>
      </w:pPr>
    </w:p>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line="360" w:lineRule="auto" w:before="126"/>
        <w:ind w:left="1028" w:right="4105" w:firstLine="0"/>
        <w:jc w:val="left"/>
        <w:rPr>
          <w:sz w:val="22"/>
        </w:rPr>
      </w:pPr>
      <w:r>
        <w:rPr>
          <w:sz w:val="22"/>
        </w:rPr>
        <w:t>SDME</w:t>
      </w:r>
      <w:r>
        <w:rPr>
          <w:spacing w:val="-6"/>
          <w:sz w:val="22"/>
        </w:rPr>
        <w:t> </w:t>
      </w:r>
      <w:r>
        <w:rPr>
          <w:sz w:val="22"/>
        </w:rPr>
        <w:t>=</w:t>
      </w:r>
      <w:r>
        <w:rPr>
          <w:spacing w:val="-10"/>
          <w:sz w:val="22"/>
        </w:rPr>
        <w:t> </w:t>
      </w:r>
      <w:r>
        <w:rPr>
          <w:sz w:val="22"/>
        </w:rPr>
        <w:t>Synthetically</w:t>
      </w:r>
      <w:r>
        <w:rPr>
          <w:spacing w:val="-10"/>
          <w:sz w:val="22"/>
        </w:rPr>
        <w:t> </w:t>
      </w:r>
      <w:r>
        <w:rPr>
          <w:sz w:val="22"/>
        </w:rPr>
        <w:t>Detoxified</w:t>
      </w:r>
      <w:r>
        <w:rPr>
          <w:spacing w:val="-10"/>
          <w:sz w:val="22"/>
        </w:rPr>
        <w:t> </w:t>
      </w:r>
      <w:r>
        <w:rPr>
          <w:sz w:val="22"/>
        </w:rPr>
        <w:t>Mechanically</w:t>
      </w:r>
      <w:r>
        <w:rPr>
          <w:spacing w:val="-10"/>
          <w:sz w:val="22"/>
        </w:rPr>
        <w:t> </w:t>
      </w:r>
      <w:r>
        <w:rPr>
          <w:sz w:val="22"/>
        </w:rPr>
        <w:t>Extracted STD = Standard drug (pentazocine)</w:t>
      </w:r>
    </w:p>
    <w:p>
      <w:pPr>
        <w:spacing w:before="0"/>
        <w:ind w:left="1028" w:right="0" w:firstLine="0"/>
        <w:jc w:val="left"/>
        <w:rPr>
          <w:sz w:val="20"/>
        </w:rPr>
      </w:pPr>
      <w:r>
        <w:rPr>
          <w:sz w:val="22"/>
          <w:vertAlign w:val="superscript"/>
        </w:rPr>
        <w:t>*</w:t>
      </w:r>
      <w:r>
        <w:rPr>
          <w:spacing w:val="-1"/>
          <w:sz w:val="22"/>
          <w:vertAlign w:val="baseline"/>
        </w:rPr>
        <w:t> </w:t>
      </w:r>
      <w:r>
        <w:rPr>
          <w:sz w:val="22"/>
          <w:vertAlign w:val="baseline"/>
        </w:rPr>
        <w:t>=</w:t>
      </w:r>
      <w:r>
        <w:rPr>
          <w:spacing w:val="-8"/>
          <w:sz w:val="22"/>
          <w:vertAlign w:val="baseline"/>
        </w:rPr>
        <w:t> </w:t>
      </w:r>
      <w:r>
        <w:rPr>
          <w:sz w:val="22"/>
          <w:vertAlign w:val="baseline"/>
        </w:rPr>
        <w:t>ml/kg;</w:t>
      </w:r>
      <w:r>
        <w:rPr>
          <w:spacing w:val="-2"/>
          <w:sz w:val="22"/>
          <w:vertAlign w:val="baseline"/>
        </w:rPr>
        <w:t> </w:t>
      </w:r>
      <w:r>
        <w:rPr>
          <w:sz w:val="22"/>
          <w:vertAlign w:val="baseline"/>
        </w:rPr>
        <w:t>n</w:t>
      </w:r>
      <w:r>
        <w:rPr>
          <w:spacing w:val="-7"/>
          <w:sz w:val="22"/>
          <w:vertAlign w:val="baseline"/>
        </w:rPr>
        <w:t> </w:t>
      </w:r>
      <w:r>
        <w:rPr>
          <w:sz w:val="22"/>
          <w:vertAlign w:val="baseline"/>
        </w:rPr>
        <w:t>=</w:t>
      </w:r>
      <w:r>
        <w:rPr>
          <w:spacing w:val="-4"/>
          <w:sz w:val="22"/>
          <w:vertAlign w:val="baseline"/>
        </w:rPr>
        <w:t> </w:t>
      </w:r>
      <w:r>
        <w:rPr>
          <w:sz w:val="22"/>
          <w:vertAlign w:val="baseline"/>
        </w:rPr>
        <w:t>5</w:t>
      </w:r>
      <w:r>
        <w:rPr>
          <w:spacing w:val="-3"/>
          <w:sz w:val="22"/>
          <w:vertAlign w:val="baseline"/>
        </w:rPr>
        <w:t> </w:t>
      </w:r>
      <w:r>
        <w:rPr>
          <w:sz w:val="22"/>
          <w:vertAlign w:val="baseline"/>
        </w:rPr>
        <w:t>(number of mice);</w:t>
      </w:r>
      <w:r>
        <w:rPr>
          <w:spacing w:val="-3"/>
          <w:sz w:val="22"/>
          <w:vertAlign w:val="baseline"/>
        </w:rPr>
        <w:t> </w:t>
      </w:r>
      <w:r>
        <w:rPr>
          <w:sz w:val="20"/>
          <w:vertAlign w:val="baseline"/>
        </w:rPr>
        <w:t>Drug</w:t>
      </w:r>
      <w:r>
        <w:rPr>
          <w:spacing w:val="-7"/>
          <w:sz w:val="20"/>
          <w:vertAlign w:val="baseline"/>
        </w:rPr>
        <w:t> </w:t>
      </w:r>
      <w:r>
        <w:rPr>
          <w:sz w:val="20"/>
          <w:vertAlign w:val="baseline"/>
        </w:rPr>
        <w:t>administration;</w:t>
      </w:r>
      <w:r>
        <w:rPr>
          <w:spacing w:val="-10"/>
          <w:sz w:val="20"/>
          <w:vertAlign w:val="baseline"/>
        </w:rPr>
        <w:t> </w:t>
      </w:r>
      <w:r>
        <w:rPr>
          <w:spacing w:val="-4"/>
          <w:sz w:val="20"/>
          <w:vertAlign w:val="baseline"/>
        </w:rPr>
        <w:t>p.o.</w:t>
      </w:r>
    </w:p>
    <w:p>
      <w:pPr>
        <w:spacing w:before="127"/>
        <w:ind w:left="1028" w:right="0" w:firstLine="0"/>
        <w:jc w:val="left"/>
        <w:rPr>
          <w:sz w:val="22"/>
        </w:rPr>
      </w:pPr>
      <w:r>
        <w:rPr>
          <w:sz w:val="22"/>
        </w:rPr>
        <w:t>Values</w:t>
      </w:r>
      <w:r>
        <w:rPr>
          <w:spacing w:val="-3"/>
          <w:sz w:val="22"/>
        </w:rPr>
        <w:t> </w:t>
      </w:r>
      <w:r>
        <w:rPr>
          <w:sz w:val="22"/>
        </w:rPr>
        <w:t>are</w:t>
      </w:r>
      <w:r>
        <w:rPr>
          <w:spacing w:val="-4"/>
          <w:sz w:val="22"/>
        </w:rPr>
        <w:t> </w:t>
      </w:r>
      <w:r>
        <w:rPr>
          <w:sz w:val="22"/>
        </w:rPr>
        <w:t>mean</w:t>
      </w:r>
      <w:r>
        <w:rPr>
          <w:spacing w:val="-8"/>
          <w:sz w:val="22"/>
        </w:rPr>
        <w:t> </w:t>
      </w:r>
      <w:r>
        <w:rPr>
          <w:sz w:val="22"/>
        </w:rPr>
        <w:t>±</w:t>
      </w:r>
      <w:r>
        <w:rPr>
          <w:spacing w:val="-4"/>
          <w:sz w:val="22"/>
        </w:rPr>
        <w:t> </w:t>
      </w:r>
      <w:r>
        <w:rPr>
          <w:sz w:val="22"/>
        </w:rPr>
        <w:t>S.E.M.;</w:t>
      </w:r>
      <w:r>
        <w:rPr>
          <w:spacing w:val="-6"/>
          <w:sz w:val="22"/>
        </w:rPr>
        <w:t> </w:t>
      </w:r>
      <w:r>
        <w:rPr>
          <w:sz w:val="22"/>
        </w:rPr>
        <w:t>Data</w:t>
      </w:r>
      <w:r>
        <w:rPr>
          <w:spacing w:val="-9"/>
          <w:sz w:val="22"/>
        </w:rPr>
        <w:t> </w:t>
      </w:r>
      <w:r>
        <w:rPr>
          <w:sz w:val="22"/>
        </w:rPr>
        <w:t>analyzed</w:t>
      </w:r>
      <w:r>
        <w:rPr>
          <w:spacing w:val="-8"/>
          <w:sz w:val="22"/>
        </w:rPr>
        <w:t> </w:t>
      </w:r>
      <w:r>
        <w:rPr>
          <w:sz w:val="22"/>
        </w:rPr>
        <w:t>using</w:t>
      </w:r>
      <w:r>
        <w:rPr>
          <w:spacing w:val="-7"/>
          <w:sz w:val="22"/>
        </w:rPr>
        <w:t> </w:t>
      </w:r>
      <w:r>
        <w:rPr>
          <w:sz w:val="22"/>
        </w:rPr>
        <w:t>one</w:t>
      </w:r>
      <w:r>
        <w:rPr>
          <w:spacing w:val="-5"/>
          <w:sz w:val="22"/>
        </w:rPr>
        <w:t> </w:t>
      </w:r>
      <w:r>
        <w:rPr>
          <w:sz w:val="22"/>
        </w:rPr>
        <w:t>way</w:t>
      </w:r>
      <w:r>
        <w:rPr>
          <w:spacing w:val="-5"/>
          <w:sz w:val="22"/>
        </w:rPr>
        <w:t> </w:t>
      </w:r>
      <w:r>
        <w:rPr>
          <w:sz w:val="22"/>
        </w:rPr>
        <w:t>ANOVA</w:t>
      </w:r>
      <w:r>
        <w:rPr>
          <w:spacing w:val="-7"/>
          <w:sz w:val="22"/>
        </w:rPr>
        <w:t> </w:t>
      </w:r>
      <w:r>
        <w:rPr>
          <w:sz w:val="22"/>
        </w:rPr>
        <w:t>and</w:t>
      </w:r>
      <w:r>
        <w:rPr>
          <w:spacing w:val="-8"/>
          <w:sz w:val="22"/>
        </w:rPr>
        <w:t> </w:t>
      </w:r>
      <w:r>
        <w:rPr>
          <w:sz w:val="22"/>
        </w:rPr>
        <w:t>Dunnett‟s</w:t>
      </w:r>
      <w:r>
        <w:rPr>
          <w:spacing w:val="-3"/>
          <w:sz w:val="22"/>
        </w:rPr>
        <w:t> </w:t>
      </w:r>
      <w:r>
        <w:rPr>
          <w:sz w:val="22"/>
        </w:rPr>
        <w:t>post</w:t>
      </w:r>
      <w:r>
        <w:rPr>
          <w:spacing w:val="-2"/>
          <w:sz w:val="22"/>
        </w:rPr>
        <w:t> </w:t>
      </w:r>
      <w:r>
        <w:rPr>
          <w:spacing w:val="-5"/>
          <w:sz w:val="22"/>
        </w:rPr>
        <w:t>hoc</w:t>
      </w:r>
    </w:p>
    <w:p>
      <w:pPr>
        <w:spacing w:after="0"/>
        <w:jc w:val="left"/>
        <w:rPr>
          <w:sz w:val="22"/>
        </w:rPr>
        <w:sectPr>
          <w:type w:val="continuous"/>
          <w:pgSz w:w="11910" w:h="16840"/>
          <w:pgMar w:header="0" w:footer="1012" w:top="1340" w:bottom="280" w:left="960" w:right="620"/>
        </w:sectPr>
      </w:pPr>
    </w:p>
    <w:p>
      <w:pPr>
        <w:spacing w:before="104"/>
        <w:ind w:left="1028" w:right="0" w:firstLine="0"/>
        <w:jc w:val="both"/>
        <w:rPr>
          <w:sz w:val="22"/>
        </w:rPr>
      </w:pPr>
      <w:r>
        <w:rPr>
          <w:sz w:val="22"/>
          <w:vertAlign w:val="superscript"/>
        </w:rPr>
        <w:t>a</w:t>
      </w:r>
      <w:r>
        <w:rPr>
          <w:spacing w:val="-26"/>
          <w:sz w:val="22"/>
          <w:vertAlign w:val="baseline"/>
        </w:rPr>
        <w:t> </w:t>
      </w:r>
      <w:r>
        <w:rPr>
          <w:sz w:val="22"/>
          <w:vertAlign w:val="baseline"/>
        </w:rPr>
        <w:t>significantly</w:t>
      </w:r>
      <w:r>
        <w:rPr>
          <w:spacing w:val="-3"/>
          <w:sz w:val="22"/>
          <w:vertAlign w:val="baseline"/>
        </w:rPr>
        <w:t> </w:t>
      </w:r>
      <w:r>
        <w:rPr>
          <w:sz w:val="22"/>
          <w:vertAlign w:val="baseline"/>
        </w:rPr>
        <w:t>different from</w:t>
      </w:r>
      <w:r>
        <w:rPr>
          <w:spacing w:val="-9"/>
          <w:sz w:val="22"/>
          <w:vertAlign w:val="baseline"/>
        </w:rPr>
        <w:t> </w:t>
      </w:r>
      <w:r>
        <w:rPr>
          <w:sz w:val="22"/>
          <w:vertAlign w:val="baseline"/>
        </w:rPr>
        <w:t>the</w:t>
      </w:r>
      <w:r>
        <w:rPr>
          <w:spacing w:val="-7"/>
          <w:sz w:val="22"/>
          <w:vertAlign w:val="baseline"/>
        </w:rPr>
        <w:t> </w:t>
      </w:r>
      <w:r>
        <w:rPr>
          <w:sz w:val="22"/>
          <w:vertAlign w:val="baseline"/>
        </w:rPr>
        <w:t>control</w:t>
      </w:r>
      <w:r>
        <w:rPr>
          <w:spacing w:val="-5"/>
          <w:sz w:val="22"/>
          <w:vertAlign w:val="baseline"/>
        </w:rPr>
        <w:t> </w:t>
      </w:r>
      <w:r>
        <w:rPr>
          <w:sz w:val="22"/>
          <w:vertAlign w:val="baseline"/>
        </w:rPr>
        <w:t>group</w:t>
      </w:r>
      <w:r>
        <w:rPr>
          <w:spacing w:val="-1"/>
          <w:sz w:val="22"/>
          <w:vertAlign w:val="baseline"/>
        </w:rPr>
        <w:t> </w:t>
      </w:r>
      <w:r>
        <w:rPr>
          <w:sz w:val="22"/>
          <w:vertAlign w:val="baseline"/>
        </w:rPr>
        <w:t>at </w:t>
      </w:r>
      <w:r>
        <w:rPr>
          <w:spacing w:val="-2"/>
          <w:sz w:val="22"/>
          <w:vertAlign w:val="baseline"/>
        </w:rPr>
        <w:t>p&lt;0.05</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1"/>
        <w:rPr>
          <w:sz w:val="22"/>
        </w:rPr>
      </w:pPr>
    </w:p>
    <w:p>
      <w:pPr>
        <w:pStyle w:val="Heading2"/>
        <w:numPr>
          <w:ilvl w:val="1"/>
          <w:numId w:val="20"/>
        </w:numPr>
        <w:tabs>
          <w:tab w:pos="1748" w:val="left" w:leader="none"/>
        </w:tabs>
        <w:spacing w:line="360" w:lineRule="auto" w:before="1" w:after="0"/>
        <w:ind w:left="1748" w:right="806" w:hanging="721"/>
        <w:jc w:val="left"/>
      </w:pPr>
      <w:r>
        <w:rPr/>
        <w:t>Effects of Undetoxified and Detoxified </w:t>
      </w:r>
      <w:r>
        <w:rPr>
          <w:i/>
        </w:rPr>
        <w:t>J. curcas </w:t>
      </w:r>
      <w:r>
        <w:rPr/>
        <w:t>Oils on Hot Plate Latency in Mice</w:t>
      </w:r>
    </w:p>
    <w:p>
      <w:pPr>
        <w:pStyle w:val="BodyText"/>
        <w:spacing w:before="129"/>
        <w:rPr>
          <w:b/>
        </w:rPr>
      </w:pPr>
    </w:p>
    <w:p>
      <w:pPr>
        <w:pStyle w:val="BodyText"/>
        <w:spacing w:line="480" w:lineRule="auto" w:before="1"/>
        <w:ind w:left="1028" w:right="795"/>
        <w:jc w:val="both"/>
      </w:pPr>
      <w:r>
        <w:rPr/>
        <w:t>Pretreatment with pentazocine (10 mg/kg) produced the highest significant (p&lt;0.05) increase in pain reaction time both at the early and late stages having its highest analgesic activity at 60 min time interval (10.56±1.10).</w:t>
      </w:r>
      <w:r>
        <w:rPr>
          <w:spacing w:val="80"/>
        </w:rPr>
        <w:t> </w:t>
      </w:r>
      <w:r>
        <w:rPr/>
        <w:t>The undetoxified </w:t>
      </w:r>
      <w:r>
        <w:rPr>
          <w:i/>
        </w:rPr>
        <w:t>J. curcas </w:t>
      </w:r>
      <w:r>
        <w:rPr/>
        <w:t>oil at 125 mg/kg (5.20±0.23) and 500 mg/kg (10.80±0.03) produced greater significant (p&lt;0.05) increases in pain reaction time at 120 min time interval where they produced their highest analgesic activity compared to the detoxified </w:t>
      </w:r>
      <w:r>
        <w:rPr>
          <w:i/>
        </w:rPr>
        <w:t>J. curcas </w:t>
      </w:r>
      <w:r>
        <w:rPr/>
        <w:t>oil at 125 mg/kg (6.51±0.66) and 500 mg/kg (6.84±0.31) at the same time (Table 4.12).</w:t>
      </w:r>
    </w:p>
    <w:p>
      <w:pPr>
        <w:pStyle w:val="BodyText"/>
        <w:spacing w:before="147"/>
      </w:pPr>
    </w:p>
    <w:p>
      <w:pPr>
        <w:pStyle w:val="Heading2"/>
        <w:spacing w:line="360" w:lineRule="auto"/>
        <w:ind w:left="1028" w:right="801" w:firstLine="0"/>
      </w:pPr>
      <w:r>
        <w:rPr/>
        <w:t>Table 4.12: Effects of Undetoxified and Detoxified </w:t>
      </w:r>
      <w:r>
        <w:rPr>
          <w:i/>
        </w:rPr>
        <w:t>Jatropha curcas </w:t>
      </w:r>
      <w:r>
        <w:rPr/>
        <w:t>Oils on Hot Plate Latency in Mice</w:t>
      </w:r>
    </w:p>
    <w:p>
      <w:pPr>
        <w:pStyle w:val="BodyText"/>
        <w:spacing w:before="182" w:after="1"/>
        <w:rPr>
          <w:b/>
          <w:sz w:val="20"/>
        </w:rPr>
      </w:pPr>
    </w:p>
    <w:tbl>
      <w:tblPr>
        <w:tblW w:w="0" w:type="auto"/>
        <w:jc w:val="left"/>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2"/>
        <w:gridCol w:w="825"/>
        <w:gridCol w:w="1225"/>
        <w:gridCol w:w="1297"/>
        <w:gridCol w:w="1410"/>
        <w:gridCol w:w="1442"/>
        <w:gridCol w:w="1474"/>
      </w:tblGrid>
      <w:tr>
        <w:trPr>
          <w:trHeight w:val="854" w:hRule="atLeast"/>
        </w:trPr>
        <w:tc>
          <w:tcPr>
            <w:tcW w:w="8755" w:type="dxa"/>
            <w:gridSpan w:val="7"/>
            <w:tcBorders>
              <w:top w:val="single" w:sz="4" w:space="0" w:color="000000"/>
            </w:tcBorders>
          </w:tcPr>
          <w:p>
            <w:pPr>
              <w:pStyle w:val="TableParagraph"/>
              <w:tabs>
                <w:tab w:pos="3827" w:val="left" w:leader="none"/>
              </w:tabs>
              <w:spacing w:line="380" w:lineRule="exact" w:before="14"/>
              <w:ind w:left="1142" w:right="2965" w:hanging="1023"/>
              <w:rPr>
                <w:sz w:val="24"/>
              </w:rPr>
            </w:pPr>
            <w:r>
              <w:rPr>
                <w:sz w:val="24"/>
              </w:rPr>
              <w:t>Treatment</w:t>
            </w:r>
            <w:r>
              <w:rPr>
                <w:spacing w:val="40"/>
                <w:sz w:val="24"/>
              </w:rPr>
              <w:t> </w:t>
            </w:r>
            <w:r>
              <w:rPr>
                <w:sz w:val="24"/>
              </w:rPr>
              <w:t>Dose</w:t>
              <w:tab/>
              <w:t>Response</w:t>
            </w:r>
            <w:r>
              <w:rPr>
                <w:spacing w:val="-15"/>
                <w:sz w:val="24"/>
              </w:rPr>
              <w:t> </w:t>
            </w:r>
            <w:r>
              <w:rPr>
                <w:sz w:val="24"/>
              </w:rPr>
              <w:t>time</w:t>
            </w:r>
            <w:r>
              <w:rPr>
                <w:spacing w:val="-15"/>
                <w:sz w:val="24"/>
              </w:rPr>
              <w:t> </w:t>
            </w:r>
            <w:r>
              <w:rPr>
                <w:sz w:val="24"/>
              </w:rPr>
              <w:t>(Sec) </w:t>
            </w:r>
            <w:r>
              <w:rPr>
                <w:spacing w:val="-2"/>
                <w:sz w:val="24"/>
              </w:rPr>
              <w:t>(mg/kg)</w:t>
            </w:r>
          </w:p>
        </w:tc>
      </w:tr>
      <w:tr>
        <w:trPr>
          <w:trHeight w:val="475" w:hRule="atLeast"/>
        </w:trPr>
        <w:tc>
          <w:tcPr>
            <w:tcW w:w="1082" w:type="dxa"/>
            <w:tcBorders>
              <w:bottom w:val="single" w:sz="4" w:space="0" w:color="000000"/>
            </w:tcBorders>
          </w:tcPr>
          <w:p>
            <w:pPr>
              <w:pStyle w:val="TableParagraph"/>
              <w:rPr>
                <w:sz w:val="22"/>
              </w:rPr>
            </w:pPr>
          </w:p>
        </w:tc>
        <w:tc>
          <w:tcPr>
            <w:tcW w:w="825" w:type="dxa"/>
            <w:tcBorders>
              <w:bottom w:val="single" w:sz="4" w:space="0" w:color="000000"/>
            </w:tcBorders>
          </w:tcPr>
          <w:p>
            <w:pPr>
              <w:pStyle w:val="TableParagraph"/>
              <w:rPr>
                <w:sz w:val="22"/>
              </w:rPr>
            </w:pPr>
          </w:p>
        </w:tc>
        <w:tc>
          <w:tcPr>
            <w:tcW w:w="1225" w:type="dxa"/>
            <w:tcBorders>
              <w:top w:val="single" w:sz="4" w:space="0" w:color="000000"/>
              <w:bottom w:val="single" w:sz="4" w:space="0" w:color="000000"/>
            </w:tcBorders>
          </w:tcPr>
          <w:p>
            <w:pPr>
              <w:pStyle w:val="TableParagraph"/>
              <w:spacing w:before="95"/>
              <w:ind w:left="105"/>
              <w:rPr>
                <w:sz w:val="24"/>
              </w:rPr>
            </w:pPr>
            <w:r>
              <w:rPr>
                <w:sz w:val="24"/>
              </w:rPr>
              <w:t>0</w:t>
            </w:r>
            <w:r>
              <w:rPr>
                <w:spacing w:val="2"/>
                <w:sz w:val="24"/>
              </w:rPr>
              <w:t> </w:t>
            </w:r>
            <w:r>
              <w:rPr>
                <w:spacing w:val="-5"/>
                <w:sz w:val="24"/>
              </w:rPr>
              <w:t>min</w:t>
            </w:r>
          </w:p>
        </w:tc>
        <w:tc>
          <w:tcPr>
            <w:tcW w:w="1297" w:type="dxa"/>
            <w:tcBorders>
              <w:top w:val="single" w:sz="4" w:space="0" w:color="000000"/>
              <w:bottom w:val="single" w:sz="4" w:space="0" w:color="000000"/>
            </w:tcBorders>
          </w:tcPr>
          <w:p>
            <w:pPr>
              <w:pStyle w:val="TableParagraph"/>
              <w:spacing w:before="95"/>
              <w:ind w:left="143"/>
              <w:rPr>
                <w:sz w:val="24"/>
              </w:rPr>
            </w:pPr>
            <w:r>
              <w:rPr>
                <w:sz w:val="24"/>
              </w:rPr>
              <w:t>30</w:t>
            </w:r>
            <w:r>
              <w:rPr>
                <w:spacing w:val="2"/>
                <w:sz w:val="24"/>
              </w:rPr>
              <w:t> </w:t>
            </w:r>
            <w:r>
              <w:rPr>
                <w:spacing w:val="-5"/>
                <w:sz w:val="24"/>
              </w:rPr>
              <w:t>min</w:t>
            </w:r>
          </w:p>
        </w:tc>
        <w:tc>
          <w:tcPr>
            <w:tcW w:w="1410" w:type="dxa"/>
            <w:tcBorders>
              <w:top w:val="single" w:sz="4" w:space="0" w:color="000000"/>
              <w:bottom w:val="single" w:sz="4" w:space="0" w:color="000000"/>
            </w:tcBorders>
          </w:tcPr>
          <w:p>
            <w:pPr>
              <w:pStyle w:val="TableParagraph"/>
              <w:spacing w:before="95"/>
              <w:ind w:left="104"/>
              <w:rPr>
                <w:sz w:val="24"/>
              </w:rPr>
            </w:pPr>
            <w:r>
              <w:rPr>
                <w:sz w:val="24"/>
              </w:rPr>
              <w:t>60</w:t>
            </w:r>
            <w:r>
              <w:rPr>
                <w:spacing w:val="2"/>
                <w:sz w:val="24"/>
              </w:rPr>
              <w:t> </w:t>
            </w:r>
            <w:r>
              <w:rPr>
                <w:spacing w:val="-5"/>
                <w:sz w:val="24"/>
              </w:rPr>
              <w:t>min</w:t>
            </w:r>
          </w:p>
        </w:tc>
        <w:tc>
          <w:tcPr>
            <w:tcW w:w="1442" w:type="dxa"/>
            <w:tcBorders>
              <w:top w:val="single" w:sz="4" w:space="0" w:color="000000"/>
              <w:bottom w:val="single" w:sz="4" w:space="0" w:color="000000"/>
            </w:tcBorders>
          </w:tcPr>
          <w:p>
            <w:pPr>
              <w:pStyle w:val="TableParagraph"/>
              <w:spacing w:before="95"/>
              <w:ind w:left="134"/>
              <w:rPr>
                <w:sz w:val="24"/>
              </w:rPr>
            </w:pPr>
            <w:r>
              <w:rPr>
                <w:sz w:val="24"/>
              </w:rPr>
              <w:t>90</w:t>
            </w:r>
            <w:r>
              <w:rPr>
                <w:spacing w:val="2"/>
                <w:sz w:val="24"/>
              </w:rPr>
              <w:t> </w:t>
            </w:r>
            <w:r>
              <w:rPr>
                <w:spacing w:val="-5"/>
                <w:sz w:val="24"/>
              </w:rPr>
              <w:t>min</w:t>
            </w:r>
          </w:p>
        </w:tc>
        <w:tc>
          <w:tcPr>
            <w:tcW w:w="1474" w:type="dxa"/>
            <w:tcBorders>
              <w:top w:val="single" w:sz="4" w:space="0" w:color="000000"/>
              <w:bottom w:val="single" w:sz="4" w:space="0" w:color="000000"/>
            </w:tcBorders>
          </w:tcPr>
          <w:p>
            <w:pPr>
              <w:pStyle w:val="TableParagraph"/>
              <w:spacing w:before="95"/>
              <w:ind w:left="133"/>
              <w:rPr>
                <w:sz w:val="24"/>
              </w:rPr>
            </w:pPr>
            <w:r>
              <w:rPr>
                <w:sz w:val="24"/>
              </w:rPr>
              <w:t>120</w:t>
            </w:r>
            <w:r>
              <w:rPr>
                <w:spacing w:val="2"/>
                <w:sz w:val="24"/>
              </w:rPr>
              <w:t> </w:t>
            </w:r>
            <w:r>
              <w:rPr>
                <w:spacing w:val="-5"/>
                <w:sz w:val="24"/>
              </w:rPr>
              <w:t>min</w:t>
            </w:r>
          </w:p>
        </w:tc>
      </w:tr>
      <w:tr>
        <w:trPr>
          <w:trHeight w:val="454" w:hRule="atLeast"/>
        </w:trPr>
        <w:tc>
          <w:tcPr>
            <w:tcW w:w="1082" w:type="dxa"/>
            <w:tcBorders>
              <w:top w:val="single" w:sz="4" w:space="0" w:color="000000"/>
            </w:tcBorders>
          </w:tcPr>
          <w:p>
            <w:pPr>
              <w:pStyle w:val="TableParagraph"/>
              <w:spacing w:before="94"/>
              <w:ind w:left="120"/>
              <w:rPr>
                <w:sz w:val="24"/>
              </w:rPr>
            </w:pPr>
            <w:r>
              <w:rPr>
                <w:sz w:val="24"/>
              </w:rPr>
              <w:t>Olive</w:t>
            </w:r>
            <w:r>
              <w:rPr>
                <w:spacing w:val="-5"/>
                <w:sz w:val="24"/>
              </w:rPr>
              <w:t> oil</w:t>
            </w:r>
          </w:p>
        </w:tc>
        <w:tc>
          <w:tcPr>
            <w:tcW w:w="825" w:type="dxa"/>
            <w:tcBorders>
              <w:top w:val="single" w:sz="4" w:space="0" w:color="000000"/>
            </w:tcBorders>
          </w:tcPr>
          <w:p>
            <w:pPr>
              <w:pStyle w:val="TableParagraph"/>
              <w:spacing w:before="94"/>
              <w:ind w:left="118"/>
              <w:rPr>
                <w:sz w:val="24"/>
              </w:rPr>
            </w:pPr>
            <w:r>
              <w:rPr>
                <w:spacing w:val="-5"/>
                <w:sz w:val="24"/>
              </w:rPr>
              <w:t>10</w:t>
            </w:r>
            <w:r>
              <w:rPr>
                <w:spacing w:val="-5"/>
                <w:sz w:val="24"/>
                <w:vertAlign w:val="superscript"/>
              </w:rPr>
              <w:t>*</w:t>
            </w:r>
          </w:p>
        </w:tc>
        <w:tc>
          <w:tcPr>
            <w:tcW w:w="1225" w:type="dxa"/>
            <w:tcBorders>
              <w:top w:val="single" w:sz="4" w:space="0" w:color="000000"/>
            </w:tcBorders>
          </w:tcPr>
          <w:p>
            <w:pPr>
              <w:pStyle w:val="TableParagraph"/>
              <w:spacing w:before="94"/>
              <w:ind w:left="105"/>
              <w:rPr>
                <w:sz w:val="24"/>
              </w:rPr>
            </w:pPr>
            <w:r>
              <w:rPr>
                <w:spacing w:val="-2"/>
                <w:sz w:val="24"/>
              </w:rPr>
              <w:t>3.17±0.14</w:t>
            </w:r>
          </w:p>
        </w:tc>
        <w:tc>
          <w:tcPr>
            <w:tcW w:w="1297" w:type="dxa"/>
            <w:tcBorders>
              <w:top w:val="single" w:sz="4" w:space="0" w:color="000000"/>
            </w:tcBorders>
          </w:tcPr>
          <w:p>
            <w:pPr>
              <w:pStyle w:val="TableParagraph"/>
              <w:spacing w:before="94"/>
              <w:ind w:left="143"/>
              <w:rPr>
                <w:sz w:val="24"/>
              </w:rPr>
            </w:pPr>
            <w:r>
              <w:rPr>
                <w:spacing w:val="-2"/>
                <w:sz w:val="24"/>
              </w:rPr>
              <w:t>3.46±0.06</w:t>
            </w:r>
          </w:p>
        </w:tc>
        <w:tc>
          <w:tcPr>
            <w:tcW w:w="1410" w:type="dxa"/>
            <w:tcBorders>
              <w:top w:val="single" w:sz="4" w:space="0" w:color="000000"/>
            </w:tcBorders>
          </w:tcPr>
          <w:p>
            <w:pPr>
              <w:pStyle w:val="TableParagraph"/>
              <w:spacing w:before="94"/>
              <w:ind w:left="104"/>
              <w:rPr>
                <w:sz w:val="24"/>
              </w:rPr>
            </w:pPr>
            <w:r>
              <w:rPr>
                <w:spacing w:val="-2"/>
                <w:sz w:val="24"/>
              </w:rPr>
              <w:t>4.05±1.67</w:t>
            </w:r>
          </w:p>
        </w:tc>
        <w:tc>
          <w:tcPr>
            <w:tcW w:w="1442" w:type="dxa"/>
            <w:tcBorders>
              <w:top w:val="single" w:sz="4" w:space="0" w:color="000000"/>
            </w:tcBorders>
          </w:tcPr>
          <w:p>
            <w:pPr>
              <w:pStyle w:val="TableParagraph"/>
              <w:spacing w:before="94"/>
              <w:ind w:left="134"/>
              <w:rPr>
                <w:sz w:val="24"/>
              </w:rPr>
            </w:pPr>
            <w:r>
              <w:rPr>
                <w:spacing w:val="-2"/>
                <w:sz w:val="24"/>
              </w:rPr>
              <w:t>3.29±0.77</w:t>
            </w:r>
          </w:p>
        </w:tc>
        <w:tc>
          <w:tcPr>
            <w:tcW w:w="1474" w:type="dxa"/>
            <w:tcBorders>
              <w:top w:val="single" w:sz="4" w:space="0" w:color="000000"/>
            </w:tcBorders>
          </w:tcPr>
          <w:p>
            <w:pPr>
              <w:pStyle w:val="TableParagraph"/>
              <w:spacing w:before="94"/>
              <w:ind w:left="133"/>
              <w:rPr>
                <w:sz w:val="24"/>
              </w:rPr>
            </w:pPr>
            <w:r>
              <w:rPr>
                <w:spacing w:val="-2"/>
                <w:sz w:val="24"/>
              </w:rPr>
              <w:t>4.90±0.32</w:t>
            </w:r>
          </w:p>
        </w:tc>
      </w:tr>
      <w:tr>
        <w:trPr>
          <w:trHeight w:val="477" w:hRule="atLeast"/>
        </w:trPr>
        <w:tc>
          <w:tcPr>
            <w:tcW w:w="1082" w:type="dxa"/>
          </w:tcPr>
          <w:p>
            <w:pPr>
              <w:pStyle w:val="TableParagraph"/>
              <w:spacing w:before="115"/>
              <w:ind w:left="120"/>
              <w:rPr>
                <w:sz w:val="24"/>
              </w:rPr>
            </w:pPr>
            <w:r>
              <w:rPr>
                <w:spacing w:val="-5"/>
                <w:sz w:val="24"/>
              </w:rPr>
              <w:t>STD</w:t>
            </w:r>
          </w:p>
        </w:tc>
        <w:tc>
          <w:tcPr>
            <w:tcW w:w="825" w:type="dxa"/>
          </w:tcPr>
          <w:p>
            <w:pPr>
              <w:pStyle w:val="TableParagraph"/>
              <w:spacing w:before="115"/>
              <w:ind w:left="118"/>
              <w:rPr>
                <w:sz w:val="24"/>
              </w:rPr>
            </w:pPr>
            <w:r>
              <w:rPr>
                <w:spacing w:val="-5"/>
                <w:sz w:val="24"/>
              </w:rPr>
              <w:t>10</w:t>
            </w:r>
          </w:p>
        </w:tc>
        <w:tc>
          <w:tcPr>
            <w:tcW w:w="1225" w:type="dxa"/>
          </w:tcPr>
          <w:p>
            <w:pPr>
              <w:pStyle w:val="TableParagraph"/>
              <w:spacing w:before="115"/>
              <w:ind w:left="105"/>
              <w:rPr>
                <w:sz w:val="24"/>
              </w:rPr>
            </w:pPr>
            <w:r>
              <w:rPr>
                <w:spacing w:val="-2"/>
                <w:sz w:val="24"/>
              </w:rPr>
              <w:t>2.77±0.92</w:t>
            </w:r>
          </w:p>
        </w:tc>
        <w:tc>
          <w:tcPr>
            <w:tcW w:w="1297" w:type="dxa"/>
          </w:tcPr>
          <w:p>
            <w:pPr>
              <w:pStyle w:val="TableParagraph"/>
              <w:spacing w:before="115"/>
              <w:ind w:left="143"/>
              <w:rPr>
                <w:sz w:val="24"/>
              </w:rPr>
            </w:pPr>
            <w:r>
              <w:rPr>
                <w:spacing w:val="-2"/>
                <w:sz w:val="24"/>
              </w:rPr>
              <w:t>5.95±0.39</w:t>
            </w:r>
            <w:r>
              <w:rPr>
                <w:spacing w:val="-2"/>
                <w:sz w:val="24"/>
                <w:vertAlign w:val="superscript"/>
              </w:rPr>
              <w:t>a</w:t>
            </w:r>
          </w:p>
        </w:tc>
        <w:tc>
          <w:tcPr>
            <w:tcW w:w="1410" w:type="dxa"/>
          </w:tcPr>
          <w:p>
            <w:pPr>
              <w:pStyle w:val="TableParagraph"/>
              <w:spacing w:before="115"/>
              <w:ind w:left="104"/>
              <w:rPr>
                <w:sz w:val="24"/>
              </w:rPr>
            </w:pPr>
            <w:r>
              <w:rPr>
                <w:spacing w:val="-2"/>
                <w:sz w:val="24"/>
              </w:rPr>
              <w:t>10.56±1.10</w:t>
            </w:r>
            <w:r>
              <w:rPr>
                <w:spacing w:val="-2"/>
                <w:sz w:val="24"/>
                <w:vertAlign w:val="superscript"/>
              </w:rPr>
              <w:t>a</w:t>
            </w:r>
          </w:p>
        </w:tc>
        <w:tc>
          <w:tcPr>
            <w:tcW w:w="1442" w:type="dxa"/>
          </w:tcPr>
          <w:p>
            <w:pPr>
              <w:pStyle w:val="TableParagraph"/>
              <w:spacing w:before="115"/>
              <w:ind w:left="134"/>
              <w:rPr>
                <w:sz w:val="24"/>
              </w:rPr>
            </w:pPr>
            <w:r>
              <w:rPr>
                <w:spacing w:val="-2"/>
                <w:sz w:val="24"/>
              </w:rPr>
              <w:t>7.85±0.25</w:t>
            </w:r>
            <w:r>
              <w:rPr>
                <w:spacing w:val="-2"/>
                <w:sz w:val="24"/>
                <w:vertAlign w:val="superscript"/>
              </w:rPr>
              <w:t>a</w:t>
            </w:r>
          </w:p>
        </w:tc>
        <w:tc>
          <w:tcPr>
            <w:tcW w:w="1474" w:type="dxa"/>
          </w:tcPr>
          <w:p>
            <w:pPr>
              <w:pStyle w:val="TableParagraph"/>
              <w:spacing w:before="115"/>
              <w:ind w:left="133"/>
              <w:rPr>
                <w:sz w:val="24"/>
              </w:rPr>
            </w:pPr>
            <w:r>
              <w:rPr>
                <w:spacing w:val="-2"/>
                <w:sz w:val="24"/>
              </w:rPr>
              <w:t>10.33±0.33</w:t>
            </w:r>
            <w:r>
              <w:rPr>
                <w:spacing w:val="-2"/>
                <w:sz w:val="24"/>
                <w:vertAlign w:val="superscript"/>
              </w:rPr>
              <w:t>a</w:t>
            </w:r>
          </w:p>
        </w:tc>
      </w:tr>
      <w:tr>
        <w:trPr>
          <w:trHeight w:val="477" w:hRule="atLeast"/>
        </w:trPr>
        <w:tc>
          <w:tcPr>
            <w:tcW w:w="1082" w:type="dxa"/>
          </w:tcPr>
          <w:p>
            <w:pPr>
              <w:pStyle w:val="TableParagraph"/>
              <w:spacing w:before="118"/>
              <w:ind w:left="120"/>
              <w:rPr>
                <w:sz w:val="24"/>
              </w:rPr>
            </w:pPr>
            <w:r>
              <w:rPr>
                <w:spacing w:val="-5"/>
                <w:sz w:val="24"/>
              </w:rPr>
              <w:t>UME</w:t>
            </w:r>
          </w:p>
        </w:tc>
        <w:tc>
          <w:tcPr>
            <w:tcW w:w="825" w:type="dxa"/>
          </w:tcPr>
          <w:p>
            <w:pPr>
              <w:pStyle w:val="TableParagraph"/>
              <w:spacing w:before="118"/>
              <w:ind w:left="118"/>
              <w:rPr>
                <w:sz w:val="24"/>
              </w:rPr>
            </w:pPr>
            <w:r>
              <w:rPr>
                <w:spacing w:val="-5"/>
                <w:sz w:val="24"/>
              </w:rPr>
              <w:t>125</w:t>
            </w:r>
          </w:p>
        </w:tc>
        <w:tc>
          <w:tcPr>
            <w:tcW w:w="1225" w:type="dxa"/>
          </w:tcPr>
          <w:p>
            <w:pPr>
              <w:pStyle w:val="TableParagraph"/>
              <w:spacing w:before="118"/>
              <w:ind w:left="105"/>
              <w:rPr>
                <w:sz w:val="24"/>
              </w:rPr>
            </w:pPr>
            <w:r>
              <w:rPr>
                <w:spacing w:val="-2"/>
                <w:sz w:val="24"/>
              </w:rPr>
              <w:t>3.58±0.36</w:t>
            </w:r>
          </w:p>
        </w:tc>
        <w:tc>
          <w:tcPr>
            <w:tcW w:w="1297" w:type="dxa"/>
          </w:tcPr>
          <w:p>
            <w:pPr>
              <w:pStyle w:val="TableParagraph"/>
              <w:spacing w:before="118"/>
              <w:ind w:left="143"/>
              <w:rPr>
                <w:sz w:val="24"/>
              </w:rPr>
            </w:pPr>
            <w:r>
              <w:rPr>
                <w:spacing w:val="-2"/>
                <w:sz w:val="24"/>
              </w:rPr>
              <w:t>6.61±0.96</w:t>
            </w:r>
            <w:r>
              <w:rPr>
                <w:spacing w:val="-2"/>
                <w:sz w:val="24"/>
                <w:vertAlign w:val="superscript"/>
              </w:rPr>
              <w:t>a</w:t>
            </w:r>
          </w:p>
        </w:tc>
        <w:tc>
          <w:tcPr>
            <w:tcW w:w="1410" w:type="dxa"/>
          </w:tcPr>
          <w:p>
            <w:pPr>
              <w:pStyle w:val="TableParagraph"/>
              <w:spacing w:before="118"/>
              <w:ind w:left="104"/>
              <w:rPr>
                <w:sz w:val="24"/>
              </w:rPr>
            </w:pPr>
            <w:r>
              <w:rPr>
                <w:spacing w:val="-2"/>
                <w:sz w:val="24"/>
              </w:rPr>
              <w:t>4.80±0.57</w:t>
            </w:r>
          </w:p>
        </w:tc>
        <w:tc>
          <w:tcPr>
            <w:tcW w:w="1442" w:type="dxa"/>
          </w:tcPr>
          <w:p>
            <w:pPr>
              <w:pStyle w:val="TableParagraph"/>
              <w:spacing w:before="118"/>
              <w:ind w:left="134"/>
              <w:rPr>
                <w:sz w:val="24"/>
              </w:rPr>
            </w:pPr>
            <w:r>
              <w:rPr>
                <w:spacing w:val="-2"/>
                <w:sz w:val="24"/>
              </w:rPr>
              <w:t>5.20±0.23</w:t>
            </w:r>
            <w:r>
              <w:rPr>
                <w:spacing w:val="-2"/>
                <w:sz w:val="24"/>
                <w:vertAlign w:val="superscript"/>
              </w:rPr>
              <w:t>a</w:t>
            </w:r>
          </w:p>
        </w:tc>
        <w:tc>
          <w:tcPr>
            <w:tcW w:w="1474" w:type="dxa"/>
          </w:tcPr>
          <w:p>
            <w:pPr>
              <w:pStyle w:val="TableParagraph"/>
              <w:spacing w:before="118"/>
              <w:ind w:left="133"/>
              <w:rPr>
                <w:sz w:val="24"/>
              </w:rPr>
            </w:pPr>
            <w:r>
              <w:rPr>
                <w:spacing w:val="-2"/>
                <w:sz w:val="24"/>
              </w:rPr>
              <w:t>6.96±0.34</w:t>
            </w:r>
            <w:r>
              <w:rPr>
                <w:spacing w:val="-2"/>
                <w:sz w:val="24"/>
                <w:vertAlign w:val="superscript"/>
              </w:rPr>
              <w:t>a</w:t>
            </w:r>
          </w:p>
        </w:tc>
      </w:tr>
      <w:tr>
        <w:trPr>
          <w:trHeight w:val="475" w:hRule="atLeast"/>
        </w:trPr>
        <w:tc>
          <w:tcPr>
            <w:tcW w:w="1082" w:type="dxa"/>
          </w:tcPr>
          <w:p>
            <w:pPr>
              <w:pStyle w:val="TableParagraph"/>
              <w:rPr>
                <w:sz w:val="22"/>
              </w:rPr>
            </w:pPr>
          </w:p>
        </w:tc>
        <w:tc>
          <w:tcPr>
            <w:tcW w:w="825" w:type="dxa"/>
          </w:tcPr>
          <w:p>
            <w:pPr>
              <w:pStyle w:val="TableParagraph"/>
              <w:spacing w:before="115"/>
              <w:ind w:left="118"/>
              <w:rPr>
                <w:sz w:val="24"/>
              </w:rPr>
            </w:pPr>
            <w:r>
              <w:rPr>
                <w:spacing w:val="-5"/>
                <w:sz w:val="24"/>
              </w:rPr>
              <w:t>250</w:t>
            </w:r>
          </w:p>
        </w:tc>
        <w:tc>
          <w:tcPr>
            <w:tcW w:w="1225" w:type="dxa"/>
          </w:tcPr>
          <w:p>
            <w:pPr>
              <w:pStyle w:val="TableParagraph"/>
              <w:spacing w:before="115"/>
              <w:ind w:left="105"/>
              <w:rPr>
                <w:sz w:val="24"/>
              </w:rPr>
            </w:pPr>
            <w:r>
              <w:rPr>
                <w:spacing w:val="-2"/>
                <w:sz w:val="24"/>
              </w:rPr>
              <w:t>3.29±0.10</w:t>
            </w:r>
          </w:p>
        </w:tc>
        <w:tc>
          <w:tcPr>
            <w:tcW w:w="1297" w:type="dxa"/>
          </w:tcPr>
          <w:p>
            <w:pPr>
              <w:pStyle w:val="TableParagraph"/>
              <w:spacing w:before="115"/>
              <w:ind w:left="143"/>
              <w:rPr>
                <w:sz w:val="24"/>
              </w:rPr>
            </w:pPr>
            <w:r>
              <w:rPr>
                <w:spacing w:val="-2"/>
                <w:sz w:val="24"/>
              </w:rPr>
              <w:t>6.27±0.79</w:t>
            </w:r>
            <w:r>
              <w:rPr>
                <w:spacing w:val="-2"/>
                <w:sz w:val="24"/>
                <w:vertAlign w:val="superscript"/>
              </w:rPr>
              <w:t>a</w:t>
            </w:r>
          </w:p>
        </w:tc>
        <w:tc>
          <w:tcPr>
            <w:tcW w:w="1410" w:type="dxa"/>
          </w:tcPr>
          <w:p>
            <w:pPr>
              <w:pStyle w:val="TableParagraph"/>
              <w:spacing w:before="115"/>
              <w:ind w:left="104"/>
              <w:rPr>
                <w:sz w:val="24"/>
              </w:rPr>
            </w:pPr>
            <w:r>
              <w:rPr>
                <w:spacing w:val="-2"/>
                <w:sz w:val="24"/>
              </w:rPr>
              <w:t>5.26±0.19</w:t>
            </w:r>
          </w:p>
        </w:tc>
        <w:tc>
          <w:tcPr>
            <w:tcW w:w="1442" w:type="dxa"/>
          </w:tcPr>
          <w:p>
            <w:pPr>
              <w:pStyle w:val="TableParagraph"/>
              <w:spacing w:before="115"/>
              <w:ind w:left="134"/>
              <w:rPr>
                <w:sz w:val="24"/>
              </w:rPr>
            </w:pPr>
            <w:r>
              <w:rPr>
                <w:spacing w:val="-2"/>
                <w:sz w:val="24"/>
              </w:rPr>
              <w:t>5.35±0.03</w:t>
            </w:r>
            <w:r>
              <w:rPr>
                <w:spacing w:val="-2"/>
                <w:sz w:val="24"/>
                <w:vertAlign w:val="superscript"/>
              </w:rPr>
              <w:t>a</w:t>
            </w:r>
          </w:p>
        </w:tc>
        <w:tc>
          <w:tcPr>
            <w:tcW w:w="1474" w:type="dxa"/>
          </w:tcPr>
          <w:p>
            <w:pPr>
              <w:pStyle w:val="TableParagraph"/>
              <w:spacing w:before="115"/>
              <w:ind w:left="133"/>
              <w:rPr>
                <w:sz w:val="24"/>
              </w:rPr>
            </w:pPr>
            <w:r>
              <w:rPr>
                <w:spacing w:val="-2"/>
                <w:sz w:val="24"/>
              </w:rPr>
              <w:t>6.73±0.94</w:t>
            </w:r>
            <w:r>
              <w:rPr>
                <w:spacing w:val="-2"/>
                <w:sz w:val="24"/>
                <w:vertAlign w:val="superscript"/>
              </w:rPr>
              <w:t>a</w:t>
            </w:r>
          </w:p>
        </w:tc>
      </w:tr>
      <w:tr>
        <w:trPr>
          <w:trHeight w:val="475" w:hRule="atLeast"/>
        </w:trPr>
        <w:tc>
          <w:tcPr>
            <w:tcW w:w="1082" w:type="dxa"/>
          </w:tcPr>
          <w:p>
            <w:pPr>
              <w:pStyle w:val="TableParagraph"/>
              <w:rPr>
                <w:sz w:val="22"/>
              </w:rPr>
            </w:pPr>
          </w:p>
        </w:tc>
        <w:tc>
          <w:tcPr>
            <w:tcW w:w="825" w:type="dxa"/>
          </w:tcPr>
          <w:p>
            <w:pPr>
              <w:pStyle w:val="TableParagraph"/>
              <w:spacing w:before="115"/>
              <w:ind w:left="118"/>
              <w:rPr>
                <w:sz w:val="24"/>
              </w:rPr>
            </w:pPr>
            <w:r>
              <w:rPr>
                <w:spacing w:val="-5"/>
                <w:sz w:val="24"/>
              </w:rPr>
              <w:t>500</w:t>
            </w:r>
          </w:p>
        </w:tc>
        <w:tc>
          <w:tcPr>
            <w:tcW w:w="1225" w:type="dxa"/>
          </w:tcPr>
          <w:p>
            <w:pPr>
              <w:pStyle w:val="TableParagraph"/>
              <w:spacing w:before="115"/>
              <w:ind w:left="105"/>
              <w:rPr>
                <w:sz w:val="24"/>
              </w:rPr>
            </w:pPr>
            <w:r>
              <w:rPr>
                <w:spacing w:val="-2"/>
                <w:sz w:val="24"/>
              </w:rPr>
              <w:t>3.85±0.66</w:t>
            </w:r>
          </w:p>
        </w:tc>
        <w:tc>
          <w:tcPr>
            <w:tcW w:w="1297" w:type="dxa"/>
          </w:tcPr>
          <w:p>
            <w:pPr>
              <w:pStyle w:val="TableParagraph"/>
              <w:spacing w:before="115"/>
              <w:ind w:left="143"/>
              <w:rPr>
                <w:sz w:val="24"/>
              </w:rPr>
            </w:pPr>
            <w:r>
              <w:rPr>
                <w:spacing w:val="-2"/>
                <w:sz w:val="24"/>
              </w:rPr>
              <w:t>6.54±0.42</w:t>
            </w:r>
            <w:r>
              <w:rPr>
                <w:spacing w:val="-2"/>
                <w:sz w:val="24"/>
                <w:vertAlign w:val="superscript"/>
              </w:rPr>
              <w:t>a</w:t>
            </w:r>
          </w:p>
        </w:tc>
        <w:tc>
          <w:tcPr>
            <w:tcW w:w="1410" w:type="dxa"/>
          </w:tcPr>
          <w:p>
            <w:pPr>
              <w:pStyle w:val="TableParagraph"/>
              <w:spacing w:before="115"/>
              <w:ind w:left="104"/>
              <w:rPr>
                <w:sz w:val="24"/>
              </w:rPr>
            </w:pPr>
            <w:r>
              <w:rPr>
                <w:spacing w:val="-2"/>
                <w:sz w:val="24"/>
              </w:rPr>
              <w:t>6.97±0.87</w:t>
            </w:r>
            <w:r>
              <w:rPr>
                <w:spacing w:val="-2"/>
                <w:sz w:val="24"/>
                <w:vertAlign w:val="superscript"/>
              </w:rPr>
              <w:t>a</w:t>
            </w:r>
          </w:p>
        </w:tc>
        <w:tc>
          <w:tcPr>
            <w:tcW w:w="1442" w:type="dxa"/>
          </w:tcPr>
          <w:p>
            <w:pPr>
              <w:pStyle w:val="TableParagraph"/>
              <w:spacing w:before="115"/>
              <w:ind w:left="134"/>
              <w:rPr>
                <w:sz w:val="24"/>
              </w:rPr>
            </w:pPr>
            <w:r>
              <w:rPr>
                <w:spacing w:val="-2"/>
                <w:sz w:val="24"/>
              </w:rPr>
              <w:t>10.21±0.64</w:t>
            </w:r>
            <w:r>
              <w:rPr>
                <w:spacing w:val="-2"/>
                <w:sz w:val="24"/>
                <w:vertAlign w:val="superscript"/>
              </w:rPr>
              <w:t>a</w:t>
            </w:r>
          </w:p>
        </w:tc>
        <w:tc>
          <w:tcPr>
            <w:tcW w:w="1474" w:type="dxa"/>
          </w:tcPr>
          <w:p>
            <w:pPr>
              <w:pStyle w:val="TableParagraph"/>
              <w:spacing w:before="115"/>
              <w:ind w:left="133"/>
              <w:rPr>
                <w:sz w:val="24"/>
              </w:rPr>
            </w:pPr>
            <w:r>
              <w:rPr>
                <w:spacing w:val="-2"/>
                <w:sz w:val="24"/>
              </w:rPr>
              <w:t>10.80±1.62</w:t>
            </w:r>
            <w:r>
              <w:rPr>
                <w:spacing w:val="-2"/>
                <w:sz w:val="24"/>
                <w:vertAlign w:val="superscript"/>
              </w:rPr>
              <w:t>a</w:t>
            </w:r>
          </w:p>
        </w:tc>
      </w:tr>
      <w:tr>
        <w:trPr>
          <w:trHeight w:val="475" w:hRule="atLeast"/>
        </w:trPr>
        <w:tc>
          <w:tcPr>
            <w:tcW w:w="1082" w:type="dxa"/>
          </w:tcPr>
          <w:p>
            <w:pPr>
              <w:pStyle w:val="TableParagraph"/>
              <w:spacing w:before="115"/>
              <w:ind w:left="120"/>
              <w:rPr>
                <w:sz w:val="24"/>
              </w:rPr>
            </w:pPr>
            <w:r>
              <w:rPr>
                <w:spacing w:val="-4"/>
                <w:sz w:val="24"/>
              </w:rPr>
              <w:t>SDME</w:t>
            </w:r>
          </w:p>
        </w:tc>
        <w:tc>
          <w:tcPr>
            <w:tcW w:w="825" w:type="dxa"/>
          </w:tcPr>
          <w:p>
            <w:pPr>
              <w:pStyle w:val="TableParagraph"/>
              <w:spacing w:before="115"/>
              <w:ind w:left="118"/>
              <w:rPr>
                <w:sz w:val="24"/>
              </w:rPr>
            </w:pPr>
            <w:r>
              <w:rPr>
                <w:spacing w:val="-5"/>
                <w:sz w:val="24"/>
              </w:rPr>
              <w:t>125</w:t>
            </w:r>
          </w:p>
        </w:tc>
        <w:tc>
          <w:tcPr>
            <w:tcW w:w="1225" w:type="dxa"/>
          </w:tcPr>
          <w:p>
            <w:pPr>
              <w:pStyle w:val="TableParagraph"/>
              <w:spacing w:before="115"/>
              <w:ind w:left="105"/>
              <w:rPr>
                <w:sz w:val="24"/>
              </w:rPr>
            </w:pPr>
            <w:r>
              <w:rPr>
                <w:spacing w:val="-2"/>
                <w:sz w:val="24"/>
              </w:rPr>
              <w:t>3.90±0.28</w:t>
            </w:r>
          </w:p>
        </w:tc>
        <w:tc>
          <w:tcPr>
            <w:tcW w:w="1297" w:type="dxa"/>
          </w:tcPr>
          <w:p>
            <w:pPr>
              <w:pStyle w:val="TableParagraph"/>
              <w:spacing w:before="115"/>
              <w:ind w:left="143"/>
              <w:rPr>
                <w:sz w:val="24"/>
              </w:rPr>
            </w:pPr>
            <w:r>
              <w:rPr>
                <w:spacing w:val="-2"/>
                <w:sz w:val="24"/>
              </w:rPr>
              <w:t>5.27±0.61</w:t>
            </w:r>
            <w:r>
              <w:rPr>
                <w:spacing w:val="-2"/>
                <w:sz w:val="24"/>
                <w:vertAlign w:val="superscript"/>
              </w:rPr>
              <w:t>a</w:t>
            </w:r>
          </w:p>
        </w:tc>
        <w:tc>
          <w:tcPr>
            <w:tcW w:w="1410" w:type="dxa"/>
          </w:tcPr>
          <w:p>
            <w:pPr>
              <w:pStyle w:val="TableParagraph"/>
              <w:spacing w:before="115"/>
              <w:ind w:left="104"/>
              <w:rPr>
                <w:sz w:val="24"/>
              </w:rPr>
            </w:pPr>
            <w:r>
              <w:rPr>
                <w:spacing w:val="-2"/>
                <w:sz w:val="24"/>
              </w:rPr>
              <w:t>4.79±0.56</w:t>
            </w:r>
          </w:p>
        </w:tc>
        <w:tc>
          <w:tcPr>
            <w:tcW w:w="1442" w:type="dxa"/>
          </w:tcPr>
          <w:p>
            <w:pPr>
              <w:pStyle w:val="TableParagraph"/>
              <w:spacing w:before="115"/>
              <w:ind w:left="134"/>
              <w:rPr>
                <w:sz w:val="24"/>
              </w:rPr>
            </w:pPr>
            <w:r>
              <w:rPr>
                <w:spacing w:val="-2"/>
                <w:sz w:val="24"/>
              </w:rPr>
              <w:t>5.20±0.23</w:t>
            </w:r>
            <w:r>
              <w:rPr>
                <w:spacing w:val="-2"/>
                <w:sz w:val="24"/>
                <w:vertAlign w:val="superscript"/>
              </w:rPr>
              <w:t>a</w:t>
            </w:r>
          </w:p>
        </w:tc>
        <w:tc>
          <w:tcPr>
            <w:tcW w:w="1474" w:type="dxa"/>
          </w:tcPr>
          <w:p>
            <w:pPr>
              <w:pStyle w:val="TableParagraph"/>
              <w:spacing w:before="115"/>
              <w:ind w:left="133"/>
              <w:rPr>
                <w:sz w:val="24"/>
              </w:rPr>
            </w:pPr>
            <w:r>
              <w:rPr>
                <w:spacing w:val="-2"/>
                <w:sz w:val="24"/>
              </w:rPr>
              <w:t>6.51±0.66</w:t>
            </w:r>
          </w:p>
        </w:tc>
      </w:tr>
      <w:tr>
        <w:trPr>
          <w:trHeight w:val="475" w:hRule="atLeast"/>
        </w:trPr>
        <w:tc>
          <w:tcPr>
            <w:tcW w:w="1082" w:type="dxa"/>
          </w:tcPr>
          <w:p>
            <w:pPr>
              <w:pStyle w:val="TableParagraph"/>
              <w:rPr>
                <w:sz w:val="22"/>
              </w:rPr>
            </w:pPr>
          </w:p>
        </w:tc>
        <w:tc>
          <w:tcPr>
            <w:tcW w:w="825" w:type="dxa"/>
          </w:tcPr>
          <w:p>
            <w:pPr>
              <w:pStyle w:val="TableParagraph"/>
              <w:spacing w:before="115"/>
              <w:ind w:left="118"/>
              <w:rPr>
                <w:sz w:val="24"/>
              </w:rPr>
            </w:pPr>
            <w:r>
              <w:rPr>
                <w:spacing w:val="-5"/>
                <w:sz w:val="24"/>
              </w:rPr>
              <w:t>250</w:t>
            </w:r>
          </w:p>
        </w:tc>
        <w:tc>
          <w:tcPr>
            <w:tcW w:w="1225" w:type="dxa"/>
          </w:tcPr>
          <w:p>
            <w:pPr>
              <w:pStyle w:val="TableParagraph"/>
              <w:spacing w:before="115"/>
              <w:ind w:left="105"/>
              <w:rPr>
                <w:sz w:val="24"/>
              </w:rPr>
            </w:pPr>
            <w:r>
              <w:rPr>
                <w:spacing w:val="-2"/>
                <w:sz w:val="24"/>
              </w:rPr>
              <w:t>2.57±0.20</w:t>
            </w:r>
          </w:p>
        </w:tc>
        <w:tc>
          <w:tcPr>
            <w:tcW w:w="1297" w:type="dxa"/>
          </w:tcPr>
          <w:p>
            <w:pPr>
              <w:pStyle w:val="TableParagraph"/>
              <w:spacing w:before="115"/>
              <w:ind w:left="143"/>
              <w:rPr>
                <w:sz w:val="24"/>
              </w:rPr>
            </w:pPr>
            <w:r>
              <w:rPr>
                <w:spacing w:val="-2"/>
                <w:sz w:val="24"/>
              </w:rPr>
              <w:t>4.60±0.31</w:t>
            </w:r>
          </w:p>
        </w:tc>
        <w:tc>
          <w:tcPr>
            <w:tcW w:w="1410" w:type="dxa"/>
          </w:tcPr>
          <w:p>
            <w:pPr>
              <w:pStyle w:val="TableParagraph"/>
              <w:spacing w:before="115"/>
              <w:ind w:left="104"/>
              <w:rPr>
                <w:sz w:val="24"/>
              </w:rPr>
            </w:pPr>
            <w:r>
              <w:rPr>
                <w:spacing w:val="-2"/>
                <w:sz w:val="24"/>
              </w:rPr>
              <w:t>4.14±0.21</w:t>
            </w:r>
          </w:p>
        </w:tc>
        <w:tc>
          <w:tcPr>
            <w:tcW w:w="1442" w:type="dxa"/>
          </w:tcPr>
          <w:p>
            <w:pPr>
              <w:pStyle w:val="TableParagraph"/>
              <w:spacing w:before="115"/>
              <w:ind w:left="134"/>
              <w:rPr>
                <w:sz w:val="24"/>
              </w:rPr>
            </w:pPr>
            <w:r>
              <w:rPr>
                <w:spacing w:val="-2"/>
                <w:sz w:val="24"/>
              </w:rPr>
              <w:t>5.17±0.64</w:t>
            </w:r>
            <w:r>
              <w:rPr>
                <w:spacing w:val="-2"/>
                <w:sz w:val="24"/>
                <w:vertAlign w:val="superscript"/>
              </w:rPr>
              <w:t>a</w:t>
            </w:r>
          </w:p>
        </w:tc>
        <w:tc>
          <w:tcPr>
            <w:tcW w:w="1474" w:type="dxa"/>
          </w:tcPr>
          <w:p>
            <w:pPr>
              <w:pStyle w:val="TableParagraph"/>
              <w:spacing w:before="115"/>
              <w:ind w:left="133"/>
              <w:rPr>
                <w:sz w:val="24"/>
              </w:rPr>
            </w:pPr>
            <w:r>
              <w:rPr>
                <w:spacing w:val="-2"/>
                <w:sz w:val="24"/>
              </w:rPr>
              <w:t>6.84±0.56</w:t>
            </w:r>
            <w:r>
              <w:rPr>
                <w:spacing w:val="-2"/>
                <w:sz w:val="24"/>
                <w:vertAlign w:val="superscript"/>
              </w:rPr>
              <w:t>a</w:t>
            </w:r>
          </w:p>
        </w:tc>
      </w:tr>
      <w:tr>
        <w:trPr>
          <w:trHeight w:val="500" w:hRule="atLeast"/>
        </w:trPr>
        <w:tc>
          <w:tcPr>
            <w:tcW w:w="1082" w:type="dxa"/>
            <w:tcBorders>
              <w:bottom w:val="single" w:sz="4" w:space="0" w:color="000000"/>
            </w:tcBorders>
          </w:tcPr>
          <w:p>
            <w:pPr>
              <w:pStyle w:val="TableParagraph"/>
              <w:rPr>
                <w:sz w:val="22"/>
              </w:rPr>
            </w:pPr>
          </w:p>
        </w:tc>
        <w:tc>
          <w:tcPr>
            <w:tcW w:w="825" w:type="dxa"/>
            <w:tcBorders>
              <w:bottom w:val="single" w:sz="4" w:space="0" w:color="000000"/>
            </w:tcBorders>
          </w:tcPr>
          <w:p>
            <w:pPr>
              <w:pStyle w:val="TableParagraph"/>
              <w:spacing w:before="115"/>
              <w:ind w:left="118"/>
              <w:rPr>
                <w:sz w:val="24"/>
              </w:rPr>
            </w:pPr>
            <w:r>
              <w:rPr>
                <w:spacing w:val="-5"/>
                <w:sz w:val="24"/>
              </w:rPr>
              <w:t>500</w:t>
            </w:r>
          </w:p>
        </w:tc>
        <w:tc>
          <w:tcPr>
            <w:tcW w:w="1225" w:type="dxa"/>
            <w:tcBorders>
              <w:bottom w:val="single" w:sz="4" w:space="0" w:color="000000"/>
            </w:tcBorders>
          </w:tcPr>
          <w:p>
            <w:pPr>
              <w:pStyle w:val="TableParagraph"/>
              <w:spacing w:before="115"/>
              <w:ind w:left="105"/>
              <w:rPr>
                <w:sz w:val="24"/>
              </w:rPr>
            </w:pPr>
            <w:r>
              <w:rPr>
                <w:spacing w:val="-2"/>
                <w:sz w:val="24"/>
              </w:rPr>
              <w:t>3.24±0.05</w:t>
            </w:r>
          </w:p>
        </w:tc>
        <w:tc>
          <w:tcPr>
            <w:tcW w:w="1297" w:type="dxa"/>
            <w:tcBorders>
              <w:bottom w:val="single" w:sz="4" w:space="0" w:color="000000"/>
            </w:tcBorders>
          </w:tcPr>
          <w:p>
            <w:pPr>
              <w:pStyle w:val="TableParagraph"/>
              <w:spacing w:before="115"/>
              <w:ind w:left="143"/>
              <w:rPr>
                <w:sz w:val="24"/>
              </w:rPr>
            </w:pPr>
            <w:r>
              <w:rPr>
                <w:spacing w:val="-2"/>
                <w:sz w:val="24"/>
              </w:rPr>
              <w:t>5.01±0.56</w:t>
            </w:r>
            <w:r>
              <w:rPr>
                <w:spacing w:val="-2"/>
                <w:sz w:val="24"/>
                <w:vertAlign w:val="superscript"/>
              </w:rPr>
              <w:t>a</w:t>
            </w:r>
          </w:p>
        </w:tc>
        <w:tc>
          <w:tcPr>
            <w:tcW w:w="1410" w:type="dxa"/>
            <w:tcBorders>
              <w:bottom w:val="single" w:sz="4" w:space="0" w:color="000000"/>
            </w:tcBorders>
          </w:tcPr>
          <w:p>
            <w:pPr>
              <w:pStyle w:val="TableParagraph"/>
              <w:spacing w:before="115"/>
              <w:ind w:left="104"/>
              <w:rPr>
                <w:sz w:val="24"/>
              </w:rPr>
            </w:pPr>
            <w:r>
              <w:rPr>
                <w:spacing w:val="-2"/>
                <w:sz w:val="24"/>
              </w:rPr>
              <w:t>4.64±0.04</w:t>
            </w:r>
          </w:p>
        </w:tc>
        <w:tc>
          <w:tcPr>
            <w:tcW w:w="1442" w:type="dxa"/>
            <w:tcBorders>
              <w:bottom w:val="single" w:sz="4" w:space="0" w:color="000000"/>
            </w:tcBorders>
          </w:tcPr>
          <w:p>
            <w:pPr>
              <w:pStyle w:val="TableParagraph"/>
              <w:spacing w:before="115"/>
              <w:ind w:left="134"/>
              <w:rPr>
                <w:sz w:val="24"/>
              </w:rPr>
            </w:pPr>
            <w:r>
              <w:rPr>
                <w:spacing w:val="-2"/>
                <w:sz w:val="24"/>
              </w:rPr>
              <w:t>5.16±0.15</w:t>
            </w:r>
            <w:r>
              <w:rPr>
                <w:spacing w:val="-2"/>
                <w:sz w:val="24"/>
                <w:vertAlign w:val="superscript"/>
              </w:rPr>
              <w:t>a</w:t>
            </w:r>
          </w:p>
        </w:tc>
        <w:tc>
          <w:tcPr>
            <w:tcW w:w="1474" w:type="dxa"/>
            <w:tcBorders>
              <w:bottom w:val="single" w:sz="4" w:space="0" w:color="000000"/>
            </w:tcBorders>
          </w:tcPr>
          <w:p>
            <w:pPr>
              <w:pStyle w:val="TableParagraph"/>
              <w:spacing w:before="115"/>
              <w:ind w:left="133"/>
              <w:rPr>
                <w:sz w:val="24"/>
              </w:rPr>
            </w:pPr>
            <w:r>
              <w:rPr>
                <w:spacing w:val="-2"/>
                <w:sz w:val="24"/>
              </w:rPr>
              <w:t>6.96±0.31</w:t>
            </w:r>
            <w:r>
              <w:rPr>
                <w:spacing w:val="-2"/>
                <w:sz w:val="24"/>
                <w:vertAlign w:val="superscript"/>
              </w:rPr>
              <w:t>a</w:t>
            </w:r>
          </w:p>
        </w:tc>
      </w:tr>
    </w:tbl>
    <w:p>
      <w:pPr>
        <w:spacing w:before="0"/>
        <w:ind w:left="1028" w:right="0" w:firstLine="0"/>
        <w:jc w:val="left"/>
        <w:rPr>
          <w:sz w:val="20"/>
        </w:rPr>
      </w:pPr>
      <w:r>
        <w:rPr>
          <w:sz w:val="20"/>
        </w:rPr>
        <w:t>UME</w:t>
      </w:r>
      <w:r>
        <w:rPr>
          <w:spacing w:val="-11"/>
          <w:sz w:val="20"/>
        </w:rPr>
        <w:t> </w:t>
      </w:r>
      <w:r>
        <w:rPr>
          <w:sz w:val="20"/>
        </w:rPr>
        <w:t>=</w:t>
      </w:r>
      <w:r>
        <w:rPr>
          <w:spacing w:val="-8"/>
          <w:sz w:val="20"/>
        </w:rPr>
        <w:t> </w:t>
      </w:r>
      <w:r>
        <w:rPr>
          <w:sz w:val="20"/>
        </w:rPr>
        <w:t>Undetoxified</w:t>
      </w:r>
      <w:r>
        <w:rPr>
          <w:spacing w:val="-8"/>
          <w:sz w:val="20"/>
        </w:rPr>
        <w:t> </w:t>
      </w:r>
      <w:r>
        <w:rPr>
          <w:sz w:val="20"/>
        </w:rPr>
        <w:t>Mechanically</w:t>
      </w:r>
      <w:r>
        <w:rPr>
          <w:spacing w:val="-12"/>
          <w:sz w:val="20"/>
        </w:rPr>
        <w:t> </w:t>
      </w:r>
      <w:r>
        <w:rPr>
          <w:spacing w:val="-2"/>
          <w:sz w:val="20"/>
        </w:rPr>
        <w:t>Extracted</w:t>
      </w:r>
    </w:p>
    <w:p>
      <w:pPr>
        <w:spacing w:after="0"/>
        <w:jc w:val="left"/>
        <w:rPr>
          <w:sz w:val="20"/>
        </w:rPr>
        <w:sectPr>
          <w:pgSz w:w="11910" w:h="16840"/>
          <w:pgMar w:header="0" w:footer="1012" w:top="1300" w:bottom="1200" w:left="960" w:right="620"/>
        </w:sectPr>
      </w:pPr>
    </w:p>
    <w:p>
      <w:pPr>
        <w:spacing w:line="360" w:lineRule="auto" w:before="78"/>
        <w:ind w:left="1028" w:right="4317" w:firstLine="0"/>
        <w:jc w:val="left"/>
        <w:rPr>
          <w:sz w:val="20"/>
        </w:rPr>
      </w:pPr>
      <w:r>
        <w:rPr>
          <w:sz w:val="20"/>
        </w:rPr>
        <w:t>SDME</w:t>
      </w:r>
      <w:r>
        <w:rPr>
          <w:spacing w:val="-2"/>
          <w:sz w:val="20"/>
        </w:rPr>
        <w:t> </w:t>
      </w:r>
      <w:r>
        <w:rPr>
          <w:sz w:val="20"/>
        </w:rPr>
        <w:t>=</w:t>
      </w:r>
      <w:r>
        <w:rPr>
          <w:spacing w:val="-7"/>
          <w:sz w:val="20"/>
        </w:rPr>
        <w:t> </w:t>
      </w:r>
      <w:r>
        <w:rPr>
          <w:sz w:val="20"/>
        </w:rPr>
        <w:t>Synthetically</w:t>
      </w:r>
      <w:r>
        <w:rPr>
          <w:spacing w:val="-13"/>
          <w:sz w:val="20"/>
        </w:rPr>
        <w:t> </w:t>
      </w:r>
      <w:r>
        <w:rPr>
          <w:sz w:val="20"/>
        </w:rPr>
        <w:t>Detoxified</w:t>
      </w:r>
      <w:r>
        <w:rPr>
          <w:spacing w:val="-4"/>
          <w:sz w:val="20"/>
        </w:rPr>
        <w:t> </w:t>
      </w:r>
      <w:r>
        <w:rPr>
          <w:sz w:val="20"/>
        </w:rPr>
        <w:t>Mechanically</w:t>
      </w:r>
      <w:r>
        <w:rPr>
          <w:spacing w:val="-13"/>
          <w:sz w:val="20"/>
        </w:rPr>
        <w:t> </w:t>
      </w:r>
      <w:r>
        <w:rPr>
          <w:sz w:val="20"/>
        </w:rPr>
        <w:t>Extracted STD = Standard drug (pentazocine)</w:t>
      </w:r>
    </w:p>
    <w:p>
      <w:pPr>
        <w:spacing w:before="1"/>
        <w:ind w:left="1028" w:right="0" w:firstLine="0"/>
        <w:jc w:val="left"/>
        <w:rPr>
          <w:sz w:val="20"/>
        </w:rPr>
      </w:pPr>
      <w:r>
        <w:rPr>
          <w:sz w:val="20"/>
          <w:vertAlign w:val="superscript"/>
        </w:rPr>
        <w:t>*</w:t>
      </w:r>
      <w:r>
        <w:rPr>
          <w:spacing w:val="-4"/>
          <w:sz w:val="20"/>
          <w:vertAlign w:val="baseline"/>
        </w:rPr>
        <w:t> </w:t>
      </w:r>
      <w:r>
        <w:rPr>
          <w:sz w:val="20"/>
          <w:vertAlign w:val="baseline"/>
        </w:rPr>
        <w:t>=</w:t>
      </w:r>
      <w:r>
        <w:rPr>
          <w:spacing w:val="-5"/>
          <w:sz w:val="20"/>
          <w:vertAlign w:val="baseline"/>
        </w:rPr>
        <w:t> </w:t>
      </w:r>
      <w:r>
        <w:rPr>
          <w:sz w:val="20"/>
          <w:vertAlign w:val="baseline"/>
        </w:rPr>
        <w:t>ml/kg;</w:t>
      </w:r>
      <w:r>
        <w:rPr>
          <w:spacing w:val="-10"/>
          <w:sz w:val="20"/>
          <w:vertAlign w:val="baseline"/>
        </w:rPr>
        <w:t> </w:t>
      </w:r>
      <w:r>
        <w:rPr>
          <w:sz w:val="20"/>
          <w:vertAlign w:val="baseline"/>
        </w:rPr>
        <w:t>n</w:t>
      </w:r>
      <w:r>
        <w:rPr>
          <w:spacing w:val="-2"/>
          <w:sz w:val="20"/>
          <w:vertAlign w:val="baseline"/>
        </w:rPr>
        <w:t> </w:t>
      </w:r>
      <w:r>
        <w:rPr>
          <w:sz w:val="20"/>
          <w:vertAlign w:val="baseline"/>
        </w:rPr>
        <w:t>=</w:t>
      </w:r>
      <w:r>
        <w:rPr>
          <w:spacing w:val="-5"/>
          <w:sz w:val="20"/>
          <w:vertAlign w:val="baseline"/>
        </w:rPr>
        <w:t> </w:t>
      </w:r>
      <w:r>
        <w:rPr>
          <w:sz w:val="20"/>
          <w:vertAlign w:val="baseline"/>
        </w:rPr>
        <w:t>5</w:t>
      </w:r>
      <w:r>
        <w:rPr>
          <w:spacing w:val="-6"/>
          <w:sz w:val="20"/>
          <w:vertAlign w:val="baseline"/>
        </w:rPr>
        <w:t> </w:t>
      </w:r>
      <w:r>
        <w:rPr>
          <w:sz w:val="20"/>
          <w:vertAlign w:val="baseline"/>
        </w:rPr>
        <w:t>(number</w:t>
      </w:r>
      <w:r>
        <w:rPr>
          <w:spacing w:val="2"/>
          <w:sz w:val="20"/>
          <w:vertAlign w:val="baseline"/>
        </w:rPr>
        <w:t> </w:t>
      </w:r>
      <w:r>
        <w:rPr>
          <w:sz w:val="20"/>
          <w:vertAlign w:val="baseline"/>
        </w:rPr>
        <w:t>of</w:t>
      </w:r>
      <w:r>
        <w:rPr>
          <w:spacing w:val="-7"/>
          <w:sz w:val="20"/>
          <w:vertAlign w:val="baseline"/>
        </w:rPr>
        <w:t> </w:t>
      </w:r>
      <w:r>
        <w:rPr>
          <w:sz w:val="20"/>
          <w:vertAlign w:val="baseline"/>
        </w:rPr>
        <w:t>mice); Drug</w:t>
      </w:r>
      <w:r>
        <w:rPr>
          <w:spacing w:val="-10"/>
          <w:sz w:val="20"/>
          <w:vertAlign w:val="baseline"/>
        </w:rPr>
        <w:t> </w:t>
      </w:r>
      <w:r>
        <w:rPr>
          <w:sz w:val="20"/>
          <w:vertAlign w:val="baseline"/>
        </w:rPr>
        <w:t>administration;</w:t>
      </w:r>
      <w:r>
        <w:rPr>
          <w:spacing w:val="-5"/>
          <w:sz w:val="20"/>
          <w:vertAlign w:val="baseline"/>
        </w:rPr>
        <w:t> </w:t>
      </w:r>
      <w:r>
        <w:rPr>
          <w:spacing w:val="-4"/>
          <w:sz w:val="20"/>
          <w:vertAlign w:val="baseline"/>
        </w:rPr>
        <w:t>p.o.</w:t>
      </w:r>
    </w:p>
    <w:p>
      <w:pPr>
        <w:spacing w:before="117"/>
        <w:ind w:left="1028" w:right="0" w:firstLine="0"/>
        <w:jc w:val="left"/>
        <w:rPr>
          <w:sz w:val="20"/>
        </w:rPr>
      </w:pPr>
      <w:r>
        <w:rPr>
          <w:sz w:val="20"/>
        </w:rPr>
        <w:t>Values</w:t>
      </w:r>
      <w:r>
        <w:rPr>
          <w:spacing w:val="-7"/>
          <w:sz w:val="20"/>
        </w:rPr>
        <w:t> </w:t>
      </w:r>
      <w:r>
        <w:rPr>
          <w:sz w:val="20"/>
        </w:rPr>
        <w:t>are</w:t>
      </w:r>
      <w:r>
        <w:rPr>
          <w:spacing w:val="-11"/>
          <w:sz w:val="20"/>
        </w:rPr>
        <w:t> </w:t>
      </w:r>
      <w:r>
        <w:rPr>
          <w:sz w:val="20"/>
        </w:rPr>
        <w:t>mean</w:t>
      </w:r>
      <w:r>
        <w:rPr>
          <w:spacing w:val="-4"/>
          <w:sz w:val="20"/>
        </w:rPr>
        <w:t> </w:t>
      </w:r>
      <w:r>
        <w:rPr>
          <w:sz w:val="20"/>
        </w:rPr>
        <w:t>±</w:t>
      </w:r>
      <w:r>
        <w:rPr>
          <w:spacing w:val="-9"/>
          <w:sz w:val="20"/>
        </w:rPr>
        <w:t> </w:t>
      </w:r>
      <w:r>
        <w:rPr>
          <w:sz w:val="20"/>
        </w:rPr>
        <w:t>S.E.M;</w:t>
      </w:r>
      <w:r>
        <w:rPr>
          <w:spacing w:val="-3"/>
          <w:sz w:val="20"/>
        </w:rPr>
        <w:t> </w:t>
      </w:r>
      <w:r>
        <w:rPr>
          <w:sz w:val="20"/>
        </w:rPr>
        <w:t>Data</w:t>
      </w:r>
      <w:r>
        <w:rPr>
          <w:spacing w:val="-7"/>
          <w:sz w:val="20"/>
        </w:rPr>
        <w:t> </w:t>
      </w:r>
      <w:r>
        <w:rPr>
          <w:sz w:val="20"/>
        </w:rPr>
        <w:t>analyzed</w:t>
      </w:r>
      <w:r>
        <w:rPr>
          <w:spacing w:val="-4"/>
          <w:sz w:val="20"/>
        </w:rPr>
        <w:t> </w:t>
      </w:r>
      <w:r>
        <w:rPr>
          <w:sz w:val="20"/>
        </w:rPr>
        <w:t>using</w:t>
      </w:r>
      <w:r>
        <w:rPr>
          <w:spacing w:val="-9"/>
          <w:sz w:val="20"/>
        </w:rPr>
        <w:t> </w:t>
      </w:r>
      <w:r>
        <w:rPr>
          <w:sz w:val="20"/>
        </w:rPr>
        <w:t>one</w:t>
      </w:r>
      <w:r>
        <w:rPr>
          <w:spacing w:val="-7"/>
          <w:sz w:val="20"/>
        </w:rPr>
        <w:t> </w:t>
      </w:r>
      <w:r>
        <w:rPr>
          <w:sz w:val="20"/>
        </w:rPr>
        <w:t>way</w:t>
      </w:r>
      <w:r>
        <w:rPr>
          <w:spacing w:val="-13"/>
          <w:sz w:val="20"/>
        </w:rPr>
        <w:t> </w:t>
      </w:r>
      <w:r>
        <w:rPr>
          <w:sz w:val="20"/>
        </w:rPr>
        <w:t>ANOVA</w:t>
      </w:r>
      <w:r>
        <w:rPr>
          <w:spacing w:val="-6"/>
          <w:sz w:val="20"/>
        </w:rPr>
        <w:t> </w:t>
      </w:r>
      <w:r>
        <w:rPr>
          <w:sz w:val="20"/>
        </w:rPr>
        <w:t>and</w:t>
      </w:r>
      <w:r>
        <w:rPr>
          <w:spacing w:val="-9"/>
          <w:sz w:val="20"/>
        </w:rPr>
        <w:t> </w:t>
      </w:r>
      <w:r>
        <w:rPr>
          <w:sz w:val="20"/>
        </w:rPr>
        <w:t>Dunnett‟s</w:t>
      </w:r>
      <w:r>
        <w:rPr>
          <w:spacing w:val="-6"/>
          <w:sz w:val="20"/>
        </w:rPr>
        <w:t> </w:t>
      </w:r>
      <w:r>
        <w:rPr>
          <w:sz w:val="20"/>
        </w:rPr>
        <w:t>post</w:t>
      </w:r>
      <w:r>
        <w:rPr>
          <w:spacing w:val="-7"/>
          <w:sz w:val="20"/>
        </w:rPr>
        <w:t> </w:t>
      </w:r>
      <w:r>
        <w:rPr>
          <w:spacing w:val="-5"/>
          <w:sz w:val="20"/>
        </w:rPr>
        <w:t>hoc</w:t>
      </w:r>
    </w:p>
    <w:p>
      <w:pPr>
        <w:spacing w:before="115"/>
        <w:ind w:left="1028" w:right="0" w:firstLine="0"/>
        <w:jc w:val="left"/>
        <w:rPr>
          <w:sz w:val="20"/>
        </w:rPr>
      </w:pPr>
      <w:r>
        <w:rPr>
          <w:sz w:val="20"/>
          <w:vertAlign w:val="superscript"/>
        </w:rPr>
        <w:t>a</w:t>
      </w:r>
      <w:r>
        <w:rPr>
          <w:spacing w:val="-17"/>
          <w:sz w:val="20"/>
          <w:vertAlign w:val="baseline"/>
        </w:rPr>
        <w:t> </w:t>
      </w:r>
      <w:r>
        <w:rPr>
          <w:sz w:val="20"/>
          <w:vertAlign w:val="baseline"/>
        </w:rPr>
        <w:t>significantly</w:t>
      </w:r>
      <w:r>
        <w:rPr>
          <w:spacing w:val="-13"/>
          <w:sz w:val="20"/>
          <w:vertAlign w:val="baseline"/>
        </w:rPr>
        <w:t> </w:t>
      </w:r>
      <w:r>
        <w:rPr>
          <w:sz w:val="20"/>
          <w:vertAlign w:val="baseline"/>
        </w:rPr>
        <w:t>different</w:t>
      </w:r>
      <w:r>
        <w:rPr>
          <w:spacing w:val="-10"/>
          <w:sz w:val="20"/>
          <w:vertAlign w:val="baseline"/>
        </w:rPr>
        <w:t> </w:t>
      </w:r>
      <w:r>
        <w:rPr>
          <w:sz w:val="20"/>
          <w:vertAlign w:val="baseline"/>
        </w:rPr>
        <w:t>from</w:t>
      </w:r>
      <w:r>
        <w:rPr>
          <w:spacing w:val="-6"/>
          <w:sz w:val="20"/>
          <w:vertAlign w:val="baseline"/>
        </w:rPr>
        <w:t> </w:t>
      </w:r>
      <w:r>
        <w:rPr>
          <w:sz w:val="20"/>
          <w:vertAlign w:val="baseline"/>
        </w:rPr>
        <w:t>the</w:t>
      </w:r>
      <w:r>
        <w:rPr>
          <w:spacing w:val="-7"/>
          <w:sz w:val="20"/>
          <w:vertAlign w:val="baseline"/>
        </w:rPr>
        <w:t> </w:t>
      </w:r>
      <w:r>
        <w:rPr>
          <w:sz w:val="20"/>
          <w:vertAlign w:val="baseline"/>
        </w:rPr>
        <w:t>control</w:t>
      </w:r>
      <w:r>
        <w:rPr>
          <w:spacing w:val="-6"/>
          <w:sz w:val="20"/>
          <w:vertAlign w:val="baseline"/>
        </w:rPr>
        <w:t> </w:t>
      </w:r>
      <w:r>
        <w:rPr>
          <w:sz w:val="20"/>
          <w:vertAlign w:val="baseline"/>
        </w:rPr>
        <w:t>group</w:t>
      </w:r>
      <w:r>
        <w:rPr>
          <w:spacing w:val="-4"/>
          <w:sz w:val="20"/>
          <w:vertAlign w:val="baseline"/>
        </w:rPr>
        <w:t> </w:t>
      </w:r>
      <w:r>
        <w:rPr>
          <w:sz w:val="20"/>
          <w:vertAlign w:val="baseline"/>
        </w:rPr>
        <w:t>at</w:t>
      </w:r>
      <w:r>
        <w:rPr>
          <w:spacing w:val="-6"/>
          <w:sz w:val="20"/>
          <w:vertAlign w:val="baseline"/>
        </w:rPr>
        <w:t> </w:t>
      </w:r>
      <w:r>
        <w:rPr>
          <w:spacing w:val="-2"/>
          <w:sz w:val="20"/>
          <w:vertAlign w:val="baseline"/>
        </w:rPr>
        <w:t>p&lt;0.05</w:t>
      </w:r>
    </w:p>
    <w:p>
      <w:pPr>
        <w:spacing w:after="0"/>
        <w:jc w:val="left"/>
        <w:rPr>
          <w:sz w:val="20"/>
        </w:rPr>
        <w:sectPr>
          <w:pgSz w:w="11910" w:h="16840"/>
          <w:pgMar w:header="0" w:footer="1012" w:top="1320" w:bottom="1200" w:left="960" w:right="620"/>
        </w:sectPr>
      </w:pPr>
    </w:p>
    <w:p>
      <w:pPr>
        <w:pStyle w:val="Heading2"/>
        <w:numPr>
          <w:ilvl w:val="1"/>
          <w:numId w:val="20"/>
        </w:numPr>
        <w:tabs>
          <w:tab w:pos="1748" w:val="left" w:leader="none"/>
        </w:tabs>
        <w:spacing w:line="360" w:lineRule="auto" w:before="64" w:after="0"/>
        <w:ind w:left="1748" w:right="807" w:hanging="721"/>
        <w:jc w:val="left"/>
      </w:pPr>
      <w:r>
        <w:rPr/>
        <w:t>Effects of Undetoxified and Detoxified </w:t>
      </w:r>
      <w:r>
        <w:rPr>
          <w:i/>
        </w:rPr>
        <w:t>J. curcas </w:t>
      </w:r>
      <w:r>
        <w:rPr/>
        <w:t>Oils on Hot Plate Induced Pain Inhibition</w:t>
      </w:r>
    </w:p>
    <w:p>
      <w:pPr>
        <w:pStyle w:val="BodyText"/>
        <w:spacing w:before="135"/>
        <w:rPr>
          <w:b/>
        </w:rPr>
      </w:pPr>
    </w:p>
    <w:p>
      <w:pPr>
        <w:pStyle w:val="BodyText"/>
        <w:spacing w:line="480" w:lineRule="auto"/>
        <w:ind w:left="1028" w:right="1252"/>
        <w:jc w:val="both"/>
      </w:pPr>
      <w:r>
        <w:rPr/>
        <w:t>Pretreatment with pentazocine (10 mg/kg) produced the highest significant</w:t>
      </w:r>
      <w:r>
        <w:rPr>
          <w:spacing w:val="40"/>
        </w:rPr>
        <w:t> </w:t>
      </w:r>
      <w:r>
        <w:rPr/>
        <w:t>(p&lt;0.05) increase in pain reaction time both at the early and late stages having its highest analgesic activity</w:t>
      </w:r>
      <w:r>
        <w:rPr>
          <w:spacing w:val="-2"/>
        </w:rPr>
        <w:t> </w:t>
      </w:r>
      <w:r>
        <w:rPr/>
        <w:t>at 60 min</w:t>
      </w:r>
      <w:r>
        <w:rPr>
          <w:spacing w:val="-2"/>
        </w:rPr>
        <w:t> </w:t>
      </w:r>
      <w:r>
        <w:rPr/>
        <w:t>(73.7%).</w:t>
      </w:r>
      <w:r>
        <w:rPr>
          <w:spacing w:val="40"/>
        </w:rPr>
        <w:t> </w:t>
      </w:r>
      <w:r>
        <w:rPr/>
        <w:t>The undetoxified </w:t>
      </w:r>
      <w:r>
        <w:rPr>
          <w:i/>
        </w:rPr>
        <w:t>J. curcas </w:t>
      </w:r>
      <w:r>
        <w:rPr/>
        <w:t>oil</w:t>
      </w:r>
      <w:r>
        <w:rPr>
          <w:spacing w:val="-2"/>
        </w:rPr>
        <w:t> </w:t>
      </w:r>
      <w:r>
        <w:rPr/>
        <w:t>at 125 mg/kg (48.5%) and 500 mg/kg (64.3%) produced greater significant (p&lt;0.05) increases in pain reaction time at 120 min time interval where they produced their highest analgesic activity compared to the detoxified </w:t>
      </w:r>
      <w:r>
        <w:rPr>
          <w:i/>
        </w:rPr>
        <w:t>J. curcas </w:t>
      </w:r>
      <w:r>
        <w:rPr/>
        <w:t>oil at 125 mg/kg (40.1%) and 500 mg/kg (53.4%) at the same time. However, detoxified oil produced greater significant (p&lt;0.05) increase in pain reaction time at 250 mg/kg (62.4%) and 120 min time interval compared to the undetoxified (51.1%) at the same dose and time.</w:t>
      </w:r>
    </w:p>
    <w:p>
      <w:pPr>
        <w:spacing w:before="29"/>
        <w:ind w:left="1355" w:right="0" w:firstLine="0"/>
        <w:jc w:val="left"/>
        <w:rPr>
          <w:rFonts w:ascii="Calibri"/>
          <w:sz w:val="20"/>
        </w:rPr>
      </w:pPr>
      <w:r>
        <w:rPr/>
        <mc:AlternateContent>
          <mc:Choice Requires="wps">
            <w:drawing>
              <wp:anchor distT="0" distB="0" distL="0" distR="0" allowOverlap="1" layoutInCell="1" locked="0" behindDoc="0" simplePos="0" relativeHeight="15766528">
                <wp:simplePos x="0" y="0"/>
                <wp:positionH relativeFrom="page">
                  <wp:posOffset>1674876</wp:posOffset>
                </wp:positionH>
                <wp:positionV relativeFrom="paragraph">
                  <wp:posOffset>96496</wp:posOffset>
                </wp:positionV>
                <wp:extent cx="3694429" cy="266700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3694429" cy="2667000"/>
                          <a:chExt cx="3694429" cy="2667000"/>
                        </a:xfrm>
                      </wpg:grpSpPr>
                      <pic:pic>
                        <pic:nvPicPr>
                          <pic:cNvPr id="159" name="Image 159"/>
                          <pic:cNvPicPr/>
                        </pic:nvPicPr>
                        <pic:blipFill>
                          <a:blip r:embed="rId64" cstate="print"/>
                          <a:stretch>
                            <a:fillRect/>
                          </a:stretch>
                        </pic:blipFill>
                        <pic:spPr>
                          <a:xfrm>
                            <a:off x="146304" y="1790658"/>
                            <a:ext cx="155447" cy="870626"/>
                          </a:xfrm>
                          <a:prstGeom prst="rect">
                            <a:avLst/>
                          </a:prstGeom>
                        </pic:spPr>
                      </pic:pic>
                      <pic:pic>
                        <pic:nvPicPr>
                          <pic:cNvPr id="160" name="Image 160"/>
                          <pic:cNvPicPr/>
                        </pic:nvPicPr>
                        <pic:blipFill>
                          <a:blip r:embed="rId65" cstate="print"/>
                          <a:stretch>
                            <a:fillRect/>
                          </a:stretch>
                        </pic:blipFill>
                        <pic:spPr>
                          <a:xfrm>
                            <a:off x="1060703" y="2037530"/>
                            <a:ext cx="155447" cy="623754"/>
                          </a:xfrm>
                          <a:prstGeom prst="rect">
                            <a:avLst/>
                          </a:prstGeom>
                        </pic:spPr>
                      </pic:pic>
                      <pic:pic>
                        <pic:nvPicPr>
                          <pic:cNvPr id="161" name="Image 161"/>
                          <pic:cNvPicPr/>
                        </pic:nvPicPr>
                        <pic:blipFill>
                          <a:blip r:embed="rId66" cstate="print"/>
                          <a:stretch>
                            <a:fillRect/>
                          </a:stretch>
                        </pic:blipFill>
                        <pic:spPr>
                          <a:xfrm>
                            <a:off x="1972055" y="1821161"/>
                            <a:ext cx="160020" cy="840123"/>
                          </a:xfrm>
                          <a:prstGeom prst="rect">
                            <a:avLst/>
                          </a:prstGeom>
                        </pic:spPr>
                      </pic:pic>
                      <pic:pic>
                        <pic:nvPicPr>
                          <pic:cNvPr id="162" name="Image 162"/>
                          <pic:cNvPicPr/>
                        </pic:nvPicPr>
                        <pic:blipFill>
                          <a:blip r:embed="rId67" cstate="print"/>
                          <a:stretch>
                            <a:fillRect/>
                          </a:stretch>
                        </pic:blipFill>
                        <pic:spPr>
                          <a:xfrm>
                            <a:off x="2886455" y="1321311"/>
                            <a:ext cx="155448" cy="1339973"/>
                          </a:xfrm>
                          <a:prstGeom prst="rect">
                            <a:avLst/>
                          </a:prstGeom>
                        </pic:spPr>
                      </pic:pic>
                      <pic:pic>
                        <pic:nvPicPr>
                          <pic:cNvPr id="163" name="Image 163"/>
                          <pic:cNvPicPr/>
                        </pic:nvPicPr>
                        <pic:blipFill>
                          <a:blip r:embed="rId68" cstate="print"/>
                          <a:stretch>
                            <a:fillRect/>
                          </a:stretch>
                        </pic:blipFill>
                        <pic:spPr>
                          <a:xfrm>
                            <a:off x="224027" y="1027175"/>
                            <a:ext cx="2923032" cy="1634108"/>
                          </a:xfrm>
                          <a:prstGeom prst="rect">
                            <a:avLst/>
                          </a:prstGeom>
                        </pic:spPr>
                      </pic:pic>
                      <pic:pic>
                        <pic:nvPicPr>
                          <pic:cNvPr id="164" name="Image 164"/>
                          <pic:cNvPicPr/>
                        </pic:nvPicPr>
                        <pic:blipFill>
                          <a:blip r:embed="rId69" cstate="print"/>
                          <a:stretch>
                            <a:fillRect/>
                          </a:stretch>
                        </pic:blipFill>
                        <pic:spPr>
                          <a:xfrm>
                            <a:off x="315468" y="566927"/>
                            <a:ext cx="2923032" cy="2094357"/>
                          </a:xfrm>
                          <a:prstGeom prst="rect">
                            <a:avLst/>
                          </a:prstGeom>
                        </pic:spPr>
                      </pic:pic>
                      <pic:pic>
                        <pic:nvPicPr>
                          <pic:cNvPr id="165" name="Image 165"/>
                          <pic:cNvPicPr/>
                        </pic:nvPicPr>
                        <pic:blipFill>
                          <a:blip r:embed="rId70" cstate="print"/>
                          <a:stretch>
                            <a:fillRect/>
                          </a:stretch>
                        </pic:blipFill>
                        <pic:spPr>
                          <a:xfrm>
                            <a:off x="406908" y="1060703"/>
                            <a:ext cx="182880" cy="1600581"/>
                          </a:xfrm>
                          <a:prstGeom prst="rect">
                            <a:avLst/>
                          </a:prstGeom>
                        </pic:spPr>
                      </pic:pic>
                      <pic:pic>
                        <pic:nvPicPr>
                          <pic:cNvPr id="166" name="Image 166"/>
                          <pic:cNvPicPr/>
                        </pic:nvPicPr>
                        <pic:blipFill>
                          <a:blip r:embed="rId71" cstate="print"/>
                          <a:stretch>
                            <a:fillRect/>
                          </a:stretch>
                        </pic:blipFill>
                        <pic:spPr>
                          <a:xfrm>
                            <a:off x="1321308" y="1395983"/>
                            <a:ext cx="182880" cy="1265301"/>
                          </a:xfrm>
                          <a:prstGeom prst="rect">
                            <a:avLst/>
                          </a:prstGeom>
                        </pic:spPr>
                      </pic:pic>
                      <pic:pic>
                        <pic:nvPicPr>
                          <pic:cNvPr id="167" name="Image 167"/>
                          <pic:cNvPicPr/>
                        </pic:nvPicPr>
                        <pic:blipFill>
                          <a:blip r:embed="rId72" cstate="print"/>
                          <a:stretch>
                            <a:fillRect/>
                          </a:stretch>
                        </pic:blipFill>
                        <pic:spPr>
                          <a:xfrm>
                            <a:off x="2232660" y="1359408"/>
                            <a:ext cx="182879" cy="1301877"/>
                          </a:xfrm>
                          <a:prstGeom prst="rect">
                            <a:avLst/>
                          </a:prstGeom>
                        </pic:spPr>
                      </pic:pic>
                      <pic:pic>
                        <pic:nvPicPr>
                          <pic:cNvPr id="168" name="Image 168"/>
                          <pic:cNvPicPr/>
                        </pic:nvPicPr>
                        <pic:blipFill>
                          <a:blip r:embed="rId73" cstate="print"/>
                          <a:stretch>
                            <a:fillRect/>
                          </a:stretch>
                        </pic:blipFill>
                        <pic:spPr>
                          <a:xfrm>
                            <a:off x="3147060" y="941832"/>
                            <a:ext cx="182879" cy="1719453"/>
                          </a:xfrm>
                          <a:prstGeom prst="rect">
                            <a:avLst/>
                          </a:prstGeom>
                        </pic:spPr>
                      </pic:pic>
                      <pic:pic>
                        <pic:nvPicPr>
                          <pic:cNvPr id="169" name="Image 169"/>
                          <pic:cNvPicPr/>
                        </pic:nvPicPr>
                        <pic:blipFill>
                          <a:blip r:embed="rId74" cstate="print"/>
                          <a:stretch>
                            <a:fillRect/>
                          </a:stretch>
                        </pic:blipFill>
                        <pic:spPr>
                          <a:xfrm>
                            <a:off x="498348" y="865632"/>
                            <a:ext cx="2923031" cy="1795653"/>
                          </a:xfrm>
                          <a:prstGeom prst="rect">
                            <a:avLst/>
                          </a:prstGeom>
                        </pic:spPr>
                      </pic:pic>
                      <pic:pic>
                        <pic:nvPicPr>
                          <pic:cNvPr id="170" name="Image 170"/>
                          <pic:cNvPicPr/>
                        </pic:nvPicPr>
                        <pic:blipFill>
                          <a:blip r:embed="rId75" cstate="print"/>
                          <a:stretch>
                            <a:fillRect/>
                          </a:stretch>
                        </pic:blipFill>
                        <pic:spPr>
                          <a:xfrm>
                            <a:off x="589787" y="1274063"/>
                            <a:ext cx="182880" cy="1387221"/>
                          </a:xfrm>
                          <a:prstGeom prst="rect">
                            <a:avLst/>
                          </a:prstGeom>
                        </pic:spPr>
                      </pic:pic>
                      <pic:pic>
                        <pic:nvPicPr>
                          <pic:cNvPr id="171" name="Image 171"/>
                          <pic:cNvPicPr/>
                        </pic:nvPicPr>
                        <pic:blipFill>
                          <a:blip r:embed="rId76" cstate="print"/>
                          <a:stretch>
                            <a:fillRect/>
                          </a:stretch>
                        </pic:blipFill>
                        <pic:spPr>
                          <a:xfrm>
                            <a:off x="1504188" y="1155191"/>
                            <a:ext cx="182879" cy="1506093"/>
                          </a:xfrm>
                          <a:prstGeom prst="rect">
                            <a:avLst/>
                          </a:prstGeom>
                        </pic:spPr>
                      </pic:pic>
                      <pic:pic>
                        <pic:nvPicPr>
                          <pic:cNvPr id="172" name="Image 172"/>
                          <pic:cNvPicPr/>
                        </pic:nvPicPr>
                        <pic:blipFill>
                          <a:blip r:embed="rId77" cstate="print"/>
                          <a:stretch>
                            <a:fillRect/>
                          </a:stretch>
                        </pic:blipFill>
                        <pic:spPr>
                          <a:xfrm>
                            <a:off x="2415539" y="573023"/>
                            <a:ext cx="182879" cy="2088260"/>
                          </a:xfrm>
                          <a:prstGeom prst="rect">
                            <a:avLst/>
                          </a:prstGeom>
                        </pic:spPr>
                      </pic:pic>
                      <pic:pic>
                        <pic:nvPicPr>
                          <pic:cNvPr id="173" name="Image 173"/>
                          <pic:cNvPicPr/>
                        </pic:nvPicPr>
                        <pic:blipFill>
                          <a:blip r:embed="rId78" cstate="print"/>
                          <a:stretch>
                            <a:fillRect/>
                          </a:stretch>
                        </pic:blipFill>
                        <pic:spPr>
                          <a:xfrm>
                            <a:off x="3329940" y="502919"/>
                            <a:ext cx="182879" cy="2158365"/>
                          </a:xfrm>
                          <a:prstGeom prst="rect">
                            <a:avLst/>
                          </a:prstGeom>
                        </pic:spPr>
                      </pic:pic>
                      <pic:pic>
                        <pic:nvPicPr>
                          <pic:cNvPr id="174" name="Image 174"/>
                          <pic:cNvPicPr/>
                        </pic:nvPicPr>
                        <pic:blipFill>
                          <a:blip r:embed="rId79" cstate="print"/>
                          <a:stretch>
                            <a:fillRect/>
                          </a:stretch>
                        </pic:blipFill>
                        <pic:spPr>
                          <a:xfrm>
                            <a:off x="681227" y="188976"/>
                            <a:ext cx="2923032" cy="2472309"/>
                          </a:xfrm>
                          <a:prstGeom prst="rect">
                            <a:avLst/>
                          </a:prstGeom>
                        </pic:spPr>
                      </pic:pic>
                      <pic:pic>
                        <pic:nvPicPr>
                          <pic:cNvPr id="175" name="Image 175"/>
                          <pic:cNvPicPr/>
                        </pic:nvPicPr>
                        <pic:blipFill>
                          <a:blip r:embed="rId80" cstate="print"/>
                          <a:stretch>
                            <a:fillRect/>
                          </a:stretch>
                        </pic:blipFill>
                        <pic:spPr>
                          <a:xfrm>
                            <a:off x="179323" y="1800961"/>
                            <a:ext cx="91300" cy="860323"/>
                          </a:xfrm>
                          <a:prstGeom prst="rect">
                            <a:avLst/>
                          </a:prstGeom>
                        </pic:spPr>
                      </pic:pic>
                      <pic:pic>
                        <pic:nvPicPr>
                          <pic:cNvPr id="176" name="Image 176"/>
                          <pic:cNvPicPr/>
                        </pic:nvPicPr>
                        <pic:blipFill>
                          <a:blip r:embed="rId81" cstate="print"/>
                          <a:stretch>
                            <a:fillRect/>
                          </a:stretch>
                        </pic:blipFill>
                        <pic:spPr>
                          <a:xfrm>
                            <a:off x="1092327" y="2046770"/>
                            <a:ext cx="91301" cy="614514"/>
                          </a:xfrm>
                          <a:prstGeom prst="rect">
                            <a:avLst/>
                          </a:prstGeom>
                        </pic:spPr>
                      </pic:pic>
                      <pic:pic>
                        <pic:nvPicPr>
                          <pic:cNvPr id="177" name="Image 177"/>
                          <pic:cNvPicPr/>
                        </pic:nvPicPr>
                        <pic:blipFill>
                          <a:blip r:embed="rId82" cstate="print"/>
                          <a:stretch>
                            <a:fillRect/>
                          </a:stretch>
                        </pic:blipFill>
                        <pic:spPr>
                          <a:xfrm>
                            <a:off x="2918460" y="1329308"/>
                            <a:ext cx="91300" cy="1331976"/>
                          </a:xfrm>
                          <a:prstGeom prst="rect">
                            <a:avLst/>
                          </a:prstGeom>
                        </pic:spPr>
                      </pic:pic>
                      <pic:pic>
                        <pic:nvPicPr>
                          <pic:cNvPr id="178" name="Image 178"/>
                          <pic:cNvPicPr/>
                        </pic:nvPicPr>
                        <pic:blipFill>
                          <a:blip r:embed="rId83" cstate="print"/>
                          <a:stretch>
                            <a:fillRect/>
                          </a:stretch>
                        </pic:blipFill>
                        <pic:spPr>
                          <a:xfrm>
                            <a:off x="2005329" y="1830857"/>
                            <a:ext cx="91301" cy="830427"/>
                          </a:xfrm>
                          <a:prstGeom prst="rect">
                            <a:avLst/>
                          </a:prstGeom>
                        </pic:spPr>
                      </pic:pic>
                      <wps:wsp>
                        <wps:cNvPr id="179" name="Graphic 179"/>
                        <wps:cNvSpPr/>
                        <wps:spPr>
                          <a:xfrm>
                            <a:off x="271145" y="1050670"/>
                            <a:ext cx="2828925" cy="1610995"/>
                          </a:xfrm>
                          <a:custGeom>
                            <a:avLst/>
                            <a:gdLst/>
                            <a:ahLst/>
                            <a:cxnLst/>
                            <a:rect l="l" t="t" r="r" b="b"/>
                            <a:pathLst>
                              <a:path w="2828925" h="1610995">
                                <a:moveTo>
                                  <a:pt x="91440" y="88392"/>
                                </a:moveTo>
                                <a:lnTo>
                                  <a:pt x="0" y="88392"/>
                                </a:lnTo>
                                <a:lnTo>
                                  <a:pt x="0" y="1610614"/>
                                </a:lnTo>
                                <a:lnTo>
                                  <a:pt x="91440" y="1610614"/>
                                </a:lnTo>
                                <a:lnTo>
                                  <a:pt x="91440" y="88392"/>
                                </a:lnTo>
                                <a:close/>
                              </a:path>
                              <a:path w="2828925" h="1610995">
                                <a:moveTo>
                                  <a:pt x="1002792" y="768096"/>
                                </a:moveTo>
                                <a:lnTo>
                                  <a:pt x="911352" y="768096"/>
                                </a:lnTo>
                                <a:lnTo>
                                  <a:pt x="911352" y="1610614"/>
                                </a:lnTo>
                                <a:lnTo>
                                  <a:pt x="1002792" y="1610614"/>
                                </a:lnTo>
                                <a:lnTo>
                                  <a:pt x="1002792" y="768096"/>
                                </a:lnTo>
                                <a:close/>
                              </a:path>
                              <a:path w="2828925" h="1610995">
                                <a:moveTo>
                                  <a:pt x="1917192" y="576072"/>
                                </a:moveTo>
                                <a:lnTo>
                                  <a:pt x="1825752" y="576072"/>
                                </a:lnTo>
                                <a:lnTo>
                                  <a:pt x="1825752" y="1610614"/>
                                </a:lnTo>
                                <a:lnTo>
                                  <a:pt x="1917192" y="1610614"/>
                                </a:lnTo>
                                <a:lnTo>
                                  <a:pt x="1917192" y="576072"/>
                                </a:lnTo>
                                <a:close/>
                              </a:path>
                              <a:path w="2828925" h="1610995">
                                <a:moveTo>
                                  <a:pt x="2828544" y="0"/>
                                </a:moveTo>
                                <a:lnTo>
                                  <a:pt x="2737104" y="0"/>
                                </a:lnTo>
                                <a:lnTo>
                                  <a:pt x="2737104" y="1610614"/>
                                </a:lnTo>
                                <a:lnTo>
                                  <a:pt x="2828544" y="1610614"/>
                                </a:lnTo>
                                <a:lnTo>
                                  <a:pt x="2828544" y="0"/>
                                </a:lnTo>
                                <a:close/>
                              </a:path>
                            </a:pathLst>
                          </a:custGeom>
                          <a:solidFill>
                            <a:srgbClr val="C00000"/>
                          </a:solidFill>
                        </wps:spPr>
                        <wps:bodyPr wrap="square" lIns="0" tIns="0" rIns="0" bIns="0" rtlCol="0">
                          <a:prstTxWarp prst="textNoShape">
                            <a:avLst/>
                          </a:prstTxWarp>
                          <a:noAutofit/>
                        </wps:bodyPr>
                      </wps:wsp>
                      <wps:wsp>
                        <wps:cNvPr id="180" name="Graphic 180"/>
                        <wps:cNvSpPr/>
                        <wps:spPr>
                          <a:xfrm>
                            <a:off x="362585" y="587374"/>
                            <a:ext cx="2828925" cy="2073910"/>
                          </a:xfrm>
                          <a:custGeom>
                            <a:avLst/>
                            <a:gdLst/>
                            <a:ahLst/>
                            <a:cxnLst/>
                            <a:rect l="l" t="t" r="r" b="b"/>
                            <a:pathLst>
                              <a:path w="2828925" h="2073910">
                                <a:moveTo>
                                  <a:pt x="91440" y="609600"/>
                                </a:moveTo>
                                <a:lnTo>
                                  <a:pt x="0" y="609600"/>
                                </a:lnTo>
                                <a:lnTo>
                                  <a:pt x="0" y="2073910"/>
                                </a:lnTo>
                                <a:lnTo>
                                  <a:pt x="91440" y="2073910"/>
                                </a:lnTo>
                                <a:lnTo>
                                  <a:pt x="91440" y="609600"/>
                                </a:lnTo>
                                <a:close/>
                              </a:path>
                              <a:path w="2828925" h="2073910">
                                <a:moveTo>
                                  <a:pt x="1002792" y="813816"/>
                                </a:moveTo>
                                <a:lnTo>
                                  <a:pt x="911352" y="813816"/>
                                </a:lnTo>
                                <a:lnTo>
                                  <a:pt x="911352" y="2073910"/>
                                </a:lnTo>
                                <a:lnTo>
                                  <a:pt x="1002792" y="2073910"/>
                                </a:lnTo>
                                <a:lnTo>
                                  <a:pt x="1002792" y="813816"/>
                                </a:lnTo>
                                <a:close/>
                              </a:path>
                              <a:path w="2828925" h="2073910">
                                <a:moveTo>
                                  <a:pt x="1917192" y="414528"/>
                                </a:moveTo>
                                <a:lnTo>
                                  <a:pt x="1825752" y="414528"/>
                                </a:lnTo>
                                <a:lnTo>
                                  <a:pt x="1825752" y="2073910"/>
                                </a:lnTo>
                                <a:lnTo>
                                  <a:pt x="1917192" y="2073910"/>
                                </a:lnTo>
                                <a:lnTo>
                                  <a:pt x="1917192" y="414528"/>
                                </a:lnTo>
                                <a:close/>
                              </a:path>
                              <a:path w="2828925" h="2073910">
                                <a:moveTo>
                                  <a:pt x="2828544" y="0"/>
                                </a:moveTo>
                                <a:lnTo>
                                  <a:pt x="2737104" y="0"/>
                                </a:lnTo>
                                <a:lnTo>
                                  <a:pt x="2737104" y="2073910"/>
                                </a:lnTo>
                                <a:lnTo>
                                  <a:pt x="2828544" y="2073910"/>
                                </a:lnTo>
                                <a:lnTo>
                                  <a:pt x="2828544" y="0"/>
                                </a:lnTo>
                                <a:close/>
                              </a:path>
                            </a:pathLst>
                          </a:custGeom>
                          <a:solidFill>
                            <a:srgbClr val="FFC000"/>
                          </a:solidFill>
                        </wps:spPr>
                        <wps:bodyPr wrap="square" lIns="0" tIns="0" rIns="0" bIns="0" rtlCol="0">
                          <a:prstTxWarp prst="textNoShape">
                            <a:avLst/>
                          </a:prstTxWarp>
                          <a:noAutofit/>
                        </wps:bodyPr>
                      </wps:wsp>
                      <pic:pic>
                        <pic:nvPicPr>
                          <pic:cNvPr id="181" name="Image 181"/>
                          <pic:cNvPicPr/>
                        </pic:nvPicPr>
                        <pic:blipFill>
                          <a:blip r:embed="rId84" cstate="print"/>
                          <a:stretch>
                            <a:fillRect/>
                          </a:stretch>
                        </pic:blipFill>
                        <pic:spPr>
                          <a:xfrm>
                            <a:off x="453262" y="1083436"/>
                            <a:ext cx="91301" cy="1577847"/>
                          </a:xfrm>
                          <a:prstGeom prst="rect">
                            <a:avLst/>
                          </a:prstGeom>
                        </pic:spPr>
                      </pic:pic>
                      <pic:pic>
                        <pic:nvPicPr>
                          <pic:cNvPr id="182" name="Image 182"/>
                          <pic:cNvPicPr/>
                        </pic:nvPicPr>
                        <pic:blipFill>
                          <a:blip r:embed="rId85" cstate="print"/>
                          <a:stretch>
                            <a:fillRect/>
                          </a:stretch>
                        </pic:blipFill>
                        <pic:spPr>
                          <a:xfrm>
                            <a:off x="1366266" y="1418958"/>
                            <a:ext cx="91300" cy="1242326"/>
                          </a:xfrm>
                          <a:prstGeom prst="rect">
                            <a:avLst/>
                          </a:prstGeom>
                        </pic:spPr>
                      </pic:pic>
                      <pic:pic>
                        <pic:nvPicPr>
                          <pic:cNvPr id="183" name="Image 183"/>
                          <pic:cNvPicPr/>
                        </pic:nvPicPr>
                        <pic:blipFill>
                          <a:blip r:embed="rId86" cstate="print"/>
                          <a:stretch>
                            <a:fillRect/>
                          </a:stretch>
                        </pic:blipFill>
                        <pic:spPr>
                          <a:xfrm>
                            <a:off x="2279269" y="1382394"/>
                            <a:ext cx="91300" cy="1278890"/>
                          </a:xfrm>
                          <a:prstGeom prst="rect">
                            <a:avLst/>
                          </a:prstGeom>
                        </pic:spPr>
                      </pic:pic>
                      <pic:pic>
                        <pic:nvPicPr>
                          <pic:cNvPr id="184" name="Image 184"/>
                          <pic:cNvPicPr/>
                        </pic:nvPicPr>
                        <pic:blipFill>
                          <a:blip r:embed="rId87" cstate="print"/>
                          <a:stretch>
                            <a:fillRect/>
                          </a:stretch>
                        </pic:blipFill>
                        <pic:spPr>
                          <a:xfrm>
                            <a:off x="3192272" y="963930"/>
                            <a:ext cx="91301" cy="1697355"/>
                          </a:xfrm>
                          <a:prstGeom prst="rect">
                            <a:avLst/>
                          </a:prstGeom>
                        </pic:spPr>
                      </pic:pic>
                      <wps:wsp>
                        <wps:cNvPr id="185" name="Graphic 185"/>
                        <wps:cNvSpPr/>
                        <wps:spPr>
                          <a:xfrm>
                            <a:off x="545465" y="886078"/>
                            <a:ext cx="2828925" cy="1775460"/>
                          </a:xfrm>
                          <a:custGeom>
                            <a:avLst/>
                            <a:gdLst/>
                            <a:ahLst/>
                            <a:cxnLst/>
                            <a:rect l="l" t="t" r="r" b="b"/>
                            <a:pathLst>
                              <a:path w="2828925" h="1775460">
                                <a:moveTo>
                                  <a:pt x="90424" y="603504"/>
                                </a:moveTo>
                                <a:lnTo>
                                  <a:pt x="0" y="603504"/>
                                </a:lnTo>
                                <a:lnTo>
                                  <a:pt x="0" y="1775206"/>
                                </a:lnTo>
                                <a:lnTo>
                                  <a:pt x="90424" y="1775206"/>
                                </a:lnTo>
                                <a:lnTo>
                                  <a:pt x="90424" y="603504"/>
                                </a:lnTo>
                                <a:close/>
                              </a:path>
                              <a:path w="2828925" h="1775460">
                                <a:moveTo>
                                  <a:pt x="1002792" y="774192"/>
                                </a:moveTo>
                                <a:lnTo>
                                  <a:pt x="911352" y="774192"/>
                                </a:lnTo>
                                <a:lnTo>
                                  <a:pt x="911352" y="1775206"/>
                                </a:lnTo>
                                <a:lnTo>
                                  <a:pt x="1002792" y="1775206"/>
                                </a:lnTo>
                                <a:lnTo>
                                  <a:pt x="1002792" y="774192"/>
                                </a:lnTo>
                                <a:close/>
                              </a:path>
                              <a:path w="2828925" h="1775460">
                                <a:moveTo>
                                  <a:pt x="1917192" y="539496"/>
                                </a:moveTo>
                                <a:lnTo>
                                  <a:pt x="1825752" y="539496"/>
                                </a:lnTo>
                                <a:lnTo>
                                  <a:pt x="1825752" y="1775206"/>
                                </a:lnTo>
                                <a:lnTo>
                                  <a:pt x="1917192" y="1775206"/>
                                </a:lnTo>
                                <a:lnTo>
                                  <a:pt x="1917192" y="539496"/>
                                </a:lnTo>
                                <a:close/>
                              </a:path>
                              <a:path w="2828925" h="1775460">
                                <a:moveTo>
                                  <a:pt x="2828544" y="0"/>
                                </a:moveTo>
                                <a:lnTo>
                                  <a:pt x="2737104" y="0"/>
                                </a:lnTo>
                                <a:lnTo>
                                  <a:pt x="2737104" y="1775206"/>
                                </a:lnTo>
                                <a:lnTo>
                                  <a:pt x="2828544" y="1775206"/>
                                </a:lnTo>
                                <a:lnTo>
                                  <a:pt x="2828544" y="0"/>
                                </a:lnTo>
                                <a:close/>
                              </a:path>
                            </a:pathLst>
                          </a:custGeom>
                          <a:solidFill>
                            <a:srgbClr val="18FF81"/>
                          </a:solidFill>
                        </wps:spPr>
                        <wps:bodyPr wrap="square" lIns="0" tIns="0" rIns="0" bIns="0" rtlCol="0">
                          <a:prstTxWarp prst="textNoShape">
                            <a:avLst/>
                          </a:prstTxWarp>
                          <a:noAutofit/>
                        </wps:bodyPr>
                      </wps:wsp>
                      <pic:pic>
                        <pic:nvPicPr>
                          <pic:cNvPr id="186" name="Image 186"/>
                          <pic:cNvPicPr/>
                        </pic:nvPicPr>
                        <pic:blipFill>
                          <a:blip r:embed="rId88" cstate="print"/>
                          <a:stretch>
                            <a:fillRect/>
                          </a:stretch>
                        </pic:blipFill>
                        <pic:spPr>
                          <a:xfrm>
                            <a:off x="635888" y="1296035"/>
                            <a:ext cx="91301" cy="1365250"/>
                          </a:xfrm>
                          <a:prstGeom prst="rect">
                            <a:avLst/>
                          </a:prstGeom>
                        </pic:spPr>
                      </pic:pic>
                      <pic:pic>
                        <pic:nvPicPr>
                          <pic:cNvPr id="187" name="Image 187"/>
                          <pic:cNvPicPr/>
                        </pic:nvPicPr>
                        <pic:blipFill>
                          <a:blip r:embed="rId89" cstate="print"/>
                          <a:stretch>
                            <a:fillRect/>
                          </a:stretch>
                        </pic:blipFill>
                        <pic:spPr>
                          <a:xfrm>
                            <a:off x="1548891" y="1176527"/>
                            <a:ext cx="91300" cy="1484757"/>
                          </a:xfrm>
                          <a:prstGeom prst="rect">
                            <a:avLst/>
                          </a:prstGeom>
                        </pic:spPr>
                      </pic:pic>
                      <pic:pic>
                        <pic:nvPicPr>
                          <pic:cNvPr id="188" name="Image 188"/>
                          <pic:cNvPicPr/>
                        </pic:nvPicPr>
                        <pic:blipFill>
                          <a:blip r:embed="rId90" cstate="print"/>
                          <a:stretch>
                            <a:fillRect/>
                          </a:stretch>
                        </pic:blipFill>
                        <pic:spPr>
                          <a:xfrm>
                            <a:off x="2461895" y="595122"/>
                            <a:ext cx="91300" cy="2066162"/>
                          </a:xfrm>
                          <a:prstGeom prst="rect">
                            <a:avLst/>
                          </a:prstGeom>
                        </pic:spPr>
                      </pic:pic>
                      <pic:pic>
                        <pic:nvPicPr>
                          <pic:cNvPr id="189" name="Image 189"/>
                          <pic:cNvPicPr/>
                        </pic:nvPicPr>
                        <pic:blipFill>
                          <a:blip r:embed="rId91" cstate="print"/>
                          <a:stretch>
                            <a:fillRect/>
                          </a:stretch>
                        </pic:blipFill>
                        <pic:spPr>
                          <a:xfrm>
                            <a:off x="3374897" y="525398"/>
                            <a:ext cx="91301" cy="2135885"/>
                          </a:xfrm>
                          <a:prstGeom prst="rect">
                            <a:avLst/>
                          </a:prstGeom>
                        </pic:spPr>
                      </pic:pic>
                      <wps:wsp>
                        <wps:cNvPr id="190" name="Graphic 190"/>
                        <wps:cNvSpPr/>
                        <wps:spPr>
                          <a:xfrm>
                            <a:off x="728345" y="212470"/>
                            <a:ext cx="2828925" cy="2449195"/>
                          </a:xfrm>
                          <a:custGeom>
                            <a:avLst/>
                            <a:gdLst/>
                            <a:ahLst/>
                            <a:cxnLst/>
                            <a:rect l="l" t="t" r="r" b="b"/>
                            <a:pathLst>
                              <a:path w="2828925" h="2449195">
                                <a:moveTo>
                                  <a:pt x="91440" y="673608"/>
                                </a:moveTo>
                                <a:lnTo>
                                  <a:pt x="0" y="673608"/>
                                </a:lnTo>
                                <a:lnTo>
                                  <a:pt x="0" y="2448814"/>
                                </a:lnTo>
                                <a:lnTo>
                                  <a:pt x="91440" y="2448814"/>
                                </a:lnTo>
                                <a:lnTo>
                                  <a:pt x="91440" y="673608"/>
                                </a:lnTo>
                                <a:close/>
                              </a:path>
                              <a:path w="2828925" h="2449195">
                                <a:moveTo>
                                  <a:pt x="1002792" y="0"/>
                                </a:moveTo>
                                <a:lnTo>
                                  <a:pt x="911352" y="0"/>
                                </a:lnTo>
                                <a:lnTo>
                                  <a:pt x="911352" y="2448814"/>
                                </a:lnTo>
                                <a:lnTo>
                                  <a:pt x="1002792" y="2448814"/>
                                </a:lnTo>
                                <a:lnTo>
                                  <a:pt x="1002792" y="0"/>
                                </a:lnTo>
                                <a:close/>
                              </a:path>
                              <a:path w="2828925" h="2449195">
                                <a:moveTo>
                                  <a:pt x="1917192" y="298704"/>
                                </a:moveTo>
                                <a:lnTo>
                                  <a:pt x="1825752" y="298704"/>
                                </a:lnTo>
                                <a:lnTo>
                                  <a:pt x="1825752" y="2448814"/>
                                </a:lnTo>
                                <a:lnTo>
                                  <a:pt x="1917192" y="2448814"/>
                                </a:lnTo>
                                <a:lnTo>
                                  <a:pt x="1917192" y="298704"/>
                                </a:lnTo>
                                <a:close/>
                              </a:path>
                              <a:path w="2828925" h="2449195">
                                <a:moveTo>
                                  <a:pt x="2828544" y="21336"/>
                                </a:moveTo>
                                <a:lnTo>
                                  <a:pt x="2737104" y="21336"/>
                                </a:lnTo>
                                <a:lnTo>
                                  <a:pt x="2737104" y="2448814"/>
                                </a:lnTo>
                                <a:lnTo>
                                  <a:pt x="2828544" y="2448814"/>
                                </a:lnTo>
                                <a:lnTo>
                                  <a:pt x="2828544" y="21336"/>
                                </a:lnTo>
                                <a:close/>
                              </a:path>
                            </a:pathLst>
                          </a:custGeom>
                          <a:solidFill>
                            <a:srgbClr val="9BBA58"/>
                          </a:solidFill>
                        </wps:spPr>
                        <wps:bodyPr wrap="square" lIns="0" tIns="0" rIns="0" bIns="0" rtlCol="0">
                          <a:prstTxWarp prst="textNoShape">
                            <a:avLst/>
                          </a:prstTxWarp>
                          <a:noAutofit/>
                        </wps:bodyPr>
                      </wps:wsp>
                      <wps:wsp>
                        <wps:cNvPr id="191" name="Graphic 191"/>
                        <wps:cNvSpPr/>
                        <wps:spPr>
                          <a:xfrm>
                            <a:off x="196469" y="205613"/>
                            <a:ext cx="3343910" cy="1841500"/>
                          </a:xfrm>
                          <a:custGeom>
                            <a:avLst/>
                            <a:gdLst/>
                            <a:ahLst/>
                            <a:cxnLst/>
                            <a:rect l="l" t="t" r="r" b="b"/>
                            <a:pathLst>
                              <a:path w="3343910" h="1841500">
                                <a:moveTo>
                                  <a:pt x="28575" y="1595373"/>
                                </a:moveTo>
                                <a:lnTo>
                                  <a:pt x="28575" y="1595373"/>
                                </a:lnTo>
                                <a:lnTo>
                                  <a:pt x="28575" y="1589913"/>
                                </a:lnTo>
                              </a:path>
                              <a:path w="3343910" h="1841500">
                                <a:moveTo>
                                  <a:pt x="0" y="1589913"/>
                                </a:moveTo>
                                <a:lnTo>
                                  <a:pt x="57150" y="1589913"/>
                                </a:lnTo>
                              </a:path>
                              <a:path w="3343910" h="1841500">
                                <a:moveTo>
                                  <a:pt x="941578" y="1841245"/>
                                </a:moveTo>
                                <a:lnTo>
                                  <a:pt x="941578" y="1841245"/>
                                </a:lnTo>
                                <a:lnTo>
                                  <a:pt x="941578" y="1829307"/>
                                </a:lnTo>
                              </a:path>
                              <a:path w="3343910" h="1841500">
                                <a:moveTo>
                                  <a:pt x="913003" y="1829307"/>
                                </a:moveTo>
                                <a:lnTo>
                                  <a:pt x="970153" y="1829307"/>
                                </a:lnTo>
                              </a:path>
                              <a:path w="3343910" h="1841500">
                                <a:moveTo>
                                  <a:pt x="1854581" y="1625345"/>
                                </a:moveTo>
                                <a:lnTo>
                                  <a:pt x="1854581" y="1625345"/>
                                </a:lnTo>
                                <a:lnTo>
                                  <a:pt x="1854581" y="1614423"/>
                                </a:lnTo>
                              </a:path>
                              <a:path w="3343910" h="1841500">
                                <a:moveTo>
                                  <a:pt x="1826006" y="1614423"/>
                                </a:moveTo>
                                <a:lnTo>
                                  <a:pt x="1883156" y="1614423"/>
                                </a:lnTo>
                              </a:path>
                              <a:path w="3343910" h="1841500">
                                <a:moveTo>
                                  <a:pt x="2767584" y="1123695"/>
                                </a:moveTo>
                                <a:lnTo>
                                  <a:pt x="2767584" y="1123695"/>
                                </a:lnTo>
                                <a:lnTo>
                                  <a:pt x="2767584" y="1119123"/>
                                </a:lnTo>
                              </a:path>
                              <a:path w="3343910" h="1841500">
                                <a:moveTo>
                                  <a:pt x="2739009" y="1119123"/>
                                </a:moveTo>
                                <a:lnTo>
                                  <a:pt x="2796159" y="1119123"/>
                                </a:lnTo>
                              </a:path>
                              <a:path w="3343910" h="1841500">
                                <a:moveTo>
                                  <a:pt x="119887" y="934338"/>
                                </a:moveTo>
                                <a:lnTo>
                                  <a:pt x="119887" y="934338"/>
                                </a:lnTo>
                                <a:lnTo>
                                  <a:pt x="119887" y="927353"/>
                                </a:lnTo>
                              </a:path>
                              <a:path w="3343910" h="1841500">
                                <a:moveTo>
                                  <a:pt x="91312" y="927353"/>
                                </a:moveTo>
                                <a:lnTo>
                                  <a:pt x="148462" y="927353"/>
                                </a:lnTo>
                              </a:path>
                              <a:path w="3343910" h="1841500">
                                <a:moveTo>
                                  <a:pt x="1032891" y="1612010"/>
                                </a:moveTo>
                                <a:lnTo>
                                  <a:pt x="1032891" y="1612010"/>
                                </a:lnTo>
                                <a:lnTo>
                                  <a:pt x="1032891" y="1593595"/>
                                </a:lnTo>
                              </a:path>
                              <a:path w="3343910" h="1841500">
                                <a:moveTo>
                                  <a:pt x="1004316" y="1593595"/>
                                </a:moveTo>
                                <a:lnTo>
                                  <a:pt x="1061466" y="1593595"/>
                                </a:lnTo>
                              </a:path>
                              <a:path w="3343910" h="1841500">
                                <a:moveTo>
                                  <a:pt x="1945894" y="1422653"/>
                                </a:moveTo>
                                <a:lnTo>
                                  <a:pt x="1945894" y="1422653"/>
                                </a:lnTo>
                                <a:lnTo>
                                  <a:pt x="1945894" y="1411604"/>
                                </a:lnTo>
                              </a:path>
                              <a:path w="3343910" h="1841500">
                                <a:moveTo>
                                  <a:pt x="1917319" y="1411604"/>
                                </a:moveTo>
                                <a:lnTo>
                                  <a:pt x="1974469" y="1411604"/>
                                </a:lnTo>
                              </a:path>
                              <a:path w="3343910" h="1841500">
                                <a:moveTo>
                                  <a:pt x="2858897" y="844676"/>
                                </a:moveTo>
                                <a:lnTo>
                                  <a:pt x="2858897" y="844676"/>
                                </a:lnTo>
                                <a:lnTo>
                                  <a:pt x="2858897" y="840104"/>
                                </a:lnTo>
                              </a:path>
                              <a:path w="3343910" h="1841500">
                                <a:moveTo>
                                  <a:pt x="2830322" y="840104"/>
                                </a:moveTo>
                                <a:lnTo>
                                  <a:pt x="2887472" y="840104"/>
                                </a:lnTo>
                              </a:path>
                              <a:path w="3343910" h="1841500">
                                <a:moveTo>
                                  <a:pt x="211200" y="990853"/>
                                </a:moveTo>
                                <a:lnTo>
                                  <a:pt x="211200" y="990853"/>
                                </a:lnTo>
                                <a:lnTo>
                                  <a:pt x="211200" y="986789"/>
                                </a:lnTo>
                              </a:path>
                              <a:path w="3343910" h="1841500">
                                <a:moveTo>
                                  <a:pt x="182625" y="986789"/>
                                </a:moveTo>
                                <a:lnTo>
                                  <a:pt x="239775" y="986789"/>
                                </a:lnTo>
                              </a:path>
                              <a:path w="3343910" h="1841500">
                                <a:moveTo>
                                  <a:pt x="1124204" y="1196720"/>
                                </a:moveTo>
                                <a:lnTo>
                                  <a:pt x="1124204" y="1196720"/>
                                </a:lnTo>
                                <a:lnTo>
                                  <a:pt x="1124204" y="1190752"/>
                                </a:lnTo>
                              </a:path>
                              <a:path w="3343910" h="1841500">
                                <a:moveTo>
                                  <a:pt x="1095629" y="1190752"/>
                                </a:moveTo>
                                <a:lnTo>
                                  <a:pt x="1152779" y="1190752"/>
                                </a:lnTo>
                              </a:path>
                              <a:path w="3343910" h="1841500">
                                <a:moveTo>
                                  <a:pt x="2037207" y="794892"/>
                                </a:moveTo>
                                <a:lnTo>
                                  <a:pt x="2037207" y="794892"/>
                                </a:lnTo>
                                <a:lnTo>
                                  <a:pt x="2037207" y="790701"/>
                                </a:lnTo>
                              </a:path>
                              <a:path w="3343910" h="1841500">
                                <a:moveTo>
                                  <a:pt x="2008632" y="790701"/>
                                </a:moveTo>
                                <a:lnTo>
                                  <a:pt x="2065782" y="790701"/>
                                </a:lnTo>
                              </a:path>
                              <a:path w="3343910" h="1841500">
                                <a:moveTo>
                                  <a:pt x="2950210" y="382904"/>
                                </a:moveTo>
                                <a:lnTo>
                                  <a:pt x="2950210" y="382904"/>
                                </a:lnTo>
                                <a:lnTo>
                                  <a:pt x="2950210" y="370585"/>
                                </a:lnTo>
                              </a:path>
                              <a:path w="3343910" h="1841500">
                                <a:moveTo>
                                  <a:pt x="2921635" y="370585"/>
                                </a:moveTo>
                                <a:lnTo>
                                  <a:pt x="2978785" y="370585"/>
                                </a:lnTo>
                              </a:path>
                              <a:path w="3343910" h="1841500">
                                <a:moveTo>
                                  <a:pt x="302513" y="877951"/>
                                </a:moveTo>
                                <a:lnTo>
                                  <a:pt x="302513" y="877951"/>
                                </a:lnTo>
                                <a:lnTo>
                                  <a:pt x="302513" y="856868"/>
                                </a:lnTo>
                              </a:path>
                              <a:path w="3343910" h="1841500">
                                <a:moveTo>
                                  <a:pt x="273938" y="856868"/>
                                </a:moveTo>
                                <a:lnTo>
                                  <a:pt x="331088" y="856868"/>
                                </a:lnTo>
                              </a:path>
                              <a:path w="3343910" h="1841500">
                                <a:moveTo>
                                  <a:pt x="1215517" y="1213357"/>
                                </a:moveTo>
                                <a:lnTo>
                                  <a:pt x="1215517" y="1213357"/>
                                </a:lnTo>
                                <a:lnTo>
                                  <a:pt x="1215517" y="1198117"/>
                                </a:lnTo>
                              </a:path>
                              <a:path w="3343910" h="1841500">
                                <a:moveTo>
                                  <a:pt x="1186942" y="1198117"/>
                                </a:moveTo>
                                <a:lnTo>
                                  <a:pt x="1244092" y="1198117"/>
                                </a:lnTo>
                              </a:path>
                              <a:path w="3343910" h="1841500">
                                <a:moveTo>
                                  <a:pt x="2128520" y="1176908"/>
                                </a:moveTo>
                                <a:lnTo>
                                  <a:pt x="2128520" y="1176908"/>
                                </a:lnTo>
                                <a:lnTo>
                                  <a:pt x="2128520" y="1173226"/>
                                </a:lnTo>
                              </a:path>
                              <a:path w="3343910" h="1841500">
                                <a:moveTo>
                                  <a:pt x="2099945" y="1173226"/>
                                </a:moveTo>
                                <a:lnTo>
                                  <a:pt x="2157095" y="1173226"/>
                                </a:lnTo>
                              </a:path>
                              <a:path w="3343910" h="1841500">
                                <a:moveTo>
                                  <a:pt x="3041522" y="758316"/>
                                </a:moveTo>
                                <a:lnTo>
                                  <a:pt x="3041522" y="758316"/>
                                </a:lnTo>
                                <a:lnTo>
                                  <a:pt x="3041522" y="757681"/>
                                </a:lnTo>
                              </a:path>
                              <a:path w="3343910" h="1841500">
                                <a:moveTo>
                                  <a:pt x="3012947" y="757681"/>
                                </a:moveTo>
                                <a:lnTo>
                                  <a:pt x="3070097" y="757681"/>
                                </a:lnTo>
                              </a:path>
                              <a:path w="3343910" h="1841500">
                                <a:moveTo>
                                  <a:pt x="393827" y="1283207"/>
                                </a:moveTo>
                                <a:lnTo>
                                  <a:pt x="393827" y="1283207"/>
                                </a:lnTo>
                                <a:lnTo>
                                  <a:pt x="393827" y="1283080"/>
                                </a:lnTo>
                              </a:path>
                              <a:path w="3343910" h="1841500">
                                <a:moveTo>
                                  <a:pt x="365252" y="1283080"/>
                                </a:moveTo>
                                <a:lnTo>
                                  <a:pt x="422402" y="1283080"/>
                                </a:lnTo>
                              </a:path>
                              <a:path w="3343910" h="1841500">
                                <a:moveTo>
                                  <a:pt x="1306830" y="1455927"/>
                                </a:moveTo>
                                <a:lnTo>
                                  <a:pt x="1306830" y="1455927"/>
                                </a:lnTo>
                                <a:lnTo>
                                  <a:pt x="1306830" y="1445005"/>
                                </a:lnTo>
                              </a:path>
                              <a:path w="3343910" h="1841500">
                                <a:moveTo>
                                  <a:pt x="1278255" y="1445005"/>
                                </a:moveTo>
                                <a:lnTo>
                                  <a:pt x="1335405" y="1445005"/>
                                </a:lnTo>
                              </a:path>
                              <a:path w="3343910" h="1841500">
                                <a:moveTo>
                                  <a:pt x="2219833" y="1220089"/>
                                </a:moveTo>
                                <a:lnTo>
                                  <a:pt x="2219833" y="1220089"/>
                                </a:lnTo>
                                <a:lnTo>
                                  <a:pt x="2219833" y="1219200"/>
                                </a:lnTo>
                              </a:path>
                              <a:path w="3343910" h="1841500">
                                <a:moveTo>
                                  <a:pt x="2191258" y="1219200"/>
                                </a:moveTo>
                                <a:lnTo>
                                  <a:pt x="2248408" y="1219200"/>
                                </a:lnTo>
                              </a:path>
                              <a:path w="3343910" h="1841500">
                                <a:moveTo>
                                  <a:pt x="3132835" y="681863"/>
                                </a:moveTo>
                                <a:lnTo>
                                  <a:pt x="3132835" y="681863"/>
                                </a:lnTo>
                                <a:lnTo>
                                  <a:pt x="3132835" y="678941"/>
                                </a:lnTo>
                              </a:path>
                              <a:path w="3343910" h="1841500">
                                <a:moveTo>
                                  <a:pt x="3104260" y="678941"/>
                                </a:moveTo>
                                <a:lnTo>
                                  <a:pt x="3161410" y="678941"/>
                                </a:lnTo>
                              </a:path>
                              <a:path w="3343910" h="1841500">
                                <a:moveTo>
                                  <a:pt x="485013" y="1090548"/>
                                </a:moveTo>
                                <a:lnTo>
                                  <a:pt x="485013" y="1090548"/>
                                </a:lnTo>
                                <a:lnTo>
                                  <a:pt x="485013" y="1077594"/>
                                </a:lnTo>
                              </a:path>
                              <a:path w="3343910" h="1841500">
                                <a:moveTo>
                                  <a:pt x="456438" y="1077594"/>
                                </a:moveTo>
                                <a:lnTo>
                                  <a:pt x="513588" y="1077594"/>
                                </a:lnTo>
                              </a:path>
                              <a:path w="3343910" h="1841500">
                                <a:moveTo>
                                  <a:pt x="1398016" y="970914"/>
                                </a:moveTo>
                                <a:lnTo>
                                  <a:pt x="1398016" y="970914"/>
                                </a:lnTo>
                                <a:lnTo>
                                  <a:pt x="1398016" y="962787"/>
                                </a:lnTo>
                              </a:path>
                              <a:path w="3343910" h="1841500">
                                <a:moveTo>
                                  <a:pt x="1369441" y="962787"/>
                                </a:moveTo>
                                <a:lnTo>
                                  <a:pt x="1426591" y="962787"/>
                                </a:lnTo>
                              </a:path>
                              <a:path w="3343910" h="1841500">
                                <a:moveTo>
                                  <a:pt x="2311019" y="389635"/>
                                </a:moveTo>
                                <a:lnTo>
                                  <a:pt x="2311019" y="389635"/>
                                </a:lnTo>
                                <a:lnTo>
                                  <a:pt x="2311019" y="372871"/>
                                </a:lnTo>
                              </a:path>
                              <a:path w="3343910" h="1841500">
                                <a:moveTo>
                                  <a:pt x="2282444" y="372871"/>
                                </a:moveTo>
                                <a:lnTo>
                                  <a:pt x="2339594" y="372871"/>
                                </a:lnTo>
                              </a:path>
                              <a:path w="3343910" h="1841500">
                                <a:moveTo>
                                  <a:pt x="3224022" y="319785"/>
                                </a:moveTo>
                                <a:lnTo>
                                  <a:pt x="3224022" y="319785"/>
                                </a:lnTo>
                                <a:lnTo>
                                  <a:pt x="3224022" y="307466"/>
                                </a:lnTo>
                              </a:path>
                              <a:path w="3343910" h="1841500">
                                <a:moveTo>
                                  <a:pt x="3195447" y="307466"/>
                                </a:moveTo>
                                <a:lnTo>
                                  <a:pt x="3252597" y="307466"/>
                                </a:lnTo>
                              </a:path>
                              <a:path w="3343910" h="1841500">
                                <a:moveTo>
                                  <a:pt x="576326" y="681863"/>
                                </a:moveTo>
                                <a:lnTo>
                                  <a:pt x="576326" y="681863"/>
                                </a:lnTo>
                                <a:lnTo>
                                  <a:pt x="576326" y="664082"/>
                                </a:lnTo>
                              </a:path>
                              <a:path w="3343910" h="1841500">
                                <a:moveTo>
                                  <a:pt x="547751" y="664082"/>
                                </a:moveTo>
                                <a:lnTo>
                                  <a:pt x="604901" y="664082"/>
                                </a:lnTo>
                              </a:path>
                              <a:path w="3343910" h="1841500">
                                <a:moveTo>
                                  <a:pt x="1489329" y="7619"/>
                                </a:moveTo>
                                <a:lnTo>
                                  <a:pt x="1489329" y="7619"/>
                                </a:lnTo>
                                <a:lnTo>
                                  <a:pt x="1489329" y="0"/>
                                </a:lnTo>
                              </a:path>
                              <a:path w="3343910" h="1841500">
                                <a:moveTo>
                                  <a:pt x="1460754" y="0"/>
                                </a:moveTo>
                                <a:lnTo>
                                  <a:pt x="1517904" y="0"/>
                                </a:lnTo>
                              </a:path>
                              <a:path w="3343910" h="1841500">
                                <a:moveTo>
                                  <a:pt x="2402332" y="306577"/>
                                </a:moveTo>
                                <a:lnTo>
                                  <a:pt x="2402332" y="306577"/>
                                </a:lnTo>
                                <a:lnTo>
                                  <a:pt x="2402332" y="285368"/>
                                </a:lnTo>
                              </a:path>
                              <a:path w="3343910" h="1841500">
                                <a:moveTo>
                                  <a:pt x="2373757" y="285368"/>
                                </a:moveTo>
                                <a:lnTo>
                                  <a:pt x="2430907" y="285368"/>
                                </a:lnTo>
                              </a:path>
                              <a:path w="3343910" h="1841500">
                                <a:moveTo>
                                  <a:pt x="3315334" y="27558"/>
                                </a:moveTo>
                                <a:lnTo>
                                  <a:pt x="3315334" y="27558"/>
                                </a:lnTo>
                                <a:lnTo>
                                  <a:pt x="3315334" y="22605"/>
                                </a:lnTo>
                              </a:path>
                              <a:path w="3343910" h="1841500">
                                <a:moveTo>
                                  <a:pt x="3286759" y="22605"/>
                                </a:moveTo>
                                <a:lnTo>
                                  <a:pt x="3343909" y="22605"/>
                                </a:lnTo>
                              </a:path>
                            </a:pathLst>
                          </a:custGeom>
                          <a:ln w="12700">
                            <a:solidFill>
                              <a:srgbClr val="000000"/>
                            </a:solidFill>
                            <a:prstDash val="solid"/>
                          </a:ln>
                        </wps:spPr>
                        <wps:bodyPr wrap="square" lIns="0" tIns="0" rIns="0" bIns="0" rtlCol="0">
                          <a:prstTxWarp prst="textNoShape">
                            <a:avLst/>
                          </a:prstTxWarp>
                          <a:noAutofit/>
                        </wps:bodyPr>
                      </wps:wsp>
                      <wps:wsp>
                        <wps:cNvPr id="192" name="Graphic 192"/>
                        <wps:cNvSpPr/>
                        <wps:spPr>
                          <a:xfrm>
                            <a:off x="0" y="4572"/>
                            <a:ext cx="3694429" cy="2658110"/>
                          </a:xfrm>
                          <a:custGeom>
                            <a:avLst/>
                            <a:gdLst/>
                            <a:ahLst/>
                            <a:cxnLst/>
                            <a:rect l="l" t="t" r="r" b="b"/>
                            <a:pathLst>
                              <a:path w="3694429" h="2658110">
                                <a:moveTo>
                                  <a:pt x="39624" y="2657856"/>
                                </a:moveTo>
                                <a:lnTo>
                                  <a:pt x="39624" y="0"/>
                                </a:lnTo>
                              </a:path>
                              <a:path w="3694429" h="2658110">
                                <a:moveTo>
                                  <a:pt x="0" y="2657856"/>
                                </a:moveTo>
                                <a:lnTo>
                                  <a:pt x="39624" y="2657856"/>
                                </a:lnTo>
                              </a:path>
                              <a:path w="3694429" h="2658110">
                                <a:moveTo>
                                  <a:pt x="0" y="2325624"/>
                                </a:moveTo>
                                <a:lnTo>
                                  <a:pt x="39624" y="2325624"/>
                                </a:lnTo>
                              </a:path>
                              <a:path w="3694429" h="2658110">
                                <a:moveTo>
                                  <a:pt x="0" y="1993392"/>
                                </a:moveTo>
                                <a:lnTo>
                                  <a:pt x="39624" y="1993392"/>
                                </a:lnTo>
                              </a:path>
                              <a:path w="3694429" h="2658110">
                                <a:moveTo>
                                  <a:pt x="0" y="1661160"/>
                                </a:moveTo>
                                <a:lnTo>
                                  <a:pt x="39624" y="1661160"/>
                                </a:lnTo>
                              </a:path>
                              <a:path w="3694429" h="2658110">
                                <a:moveTo>
                                  <a:pt x="0" y="1328928"/>
                                </a:moveTo>
                                <a:lnTo>
                                  <a:pt x="39624" y="1328928"/>
                                </a:lnTo>
                              </a:path>
                              <a:path w="3694429" h="2658110">
                                <a:moveTo>
                                  <a:pt x="0" y="996696"/>
                                </a:moveTo>
                                <a:lnTo>
                                  <a:pt x="39624" y="996696"/>
                                </a:lnTo>
                              </a:path>
                              <a:path w="3694429" h="2658110">
                                <a:moveTo>
                                  <a:pt x="0" y="664463"/>
                                </a:moveTo>
                                <a:lnTo>
                                  <a:pt x="39624" y="664463"/>
                                </a:lnTo>
                              </a:path>
                              <a:path w="3694429" h="2658110">
                                <a:moveTo>
                                  <a:pt x="0" y="332232"/>
                                </a:moveTo>
                                <a:lnTo>
                                  <a:pt x="39624" y="332232"/>
                                </a:lnTo>
                              </a:path>
                              <a:path w="3694429" h="2658110">
                                <a:moveTo>
                                  <a:pt x="0" y="0"/>
                                </a:moveTo>
                                <a:lnTo>
                                  <a:pt x="39624" y="0"/>
                                </a:lnTo>
                              </a:path>
                              <a:path w="3694429" h="2658110">
                                <a:moveTo>
                                  <a:pt x="39624" y="2657856"/>
                                </a:moveTo>
                                <a:lnTo>
                                  <a:pt x="3694176" y="2657856"/>
                                </a:lnTo>
                              </a:path>
                            </a:pathLst>
                          </a:custGeom>
                          <a:ln w="914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880005pt;margin-top:7.598125pt;width:290.9pt;height:210pt;mso-position-horizontal-relative:page;mso-position-vertical-relative:paragraph;z-index:15766528" id="docshapegroup82" coordorigin="2638,152" coordsize="5818,4200">
                <v:shape style="position:absolute;left:2868;top:2971;width:245;height:1372" type="#_x0000_t75" id="docshape83" stroked="false">
                  <v:imagedata r:id="rId64" o:title=""/>
                </v:shape>
                <v:shape style="position:absolute;left:4308;top:3360;width:245;height:983" type="#_x0000_t75" id="docshape84" stroked="false">
                  <v:imagedata r:id="rId65" o:title=""/>
                </v:shape>
                <v:shape style="position:absolute;left:5743;top:3019;width:252;height:1324" type="#_x0000_t75" id="docshape85" stroked="false">
                  <v:imagedata r:id="rId66" o:title=""/>
                </v:shape>
                <v:shape style="position:absolute;left:7183;top:2232;width:245;height:2111" type="#_x0000_t75" id="docshape86" stroked="false">
                  <v:imagedata r:id="rId67" o:title=""/>
                </v:shape>
                <v:shape style="position:absolute;left:2990;top:1769;width:4604;height:2574" type="#_x0000_t75" id="docshape87" stroked="false">
                  <v:imagedata r:id="rId68" o:title=""/>
                </v:shape>
                <v:shape style="position:absolute;left:3134;top:1044;width:4604;height:3299" type="#_x0000_t75" id="docshape88" stroked="false">
                  <v:imagedata r:id="rId69" o:title=""/>
                </v:shape>
                <v:shape style="position:absolute;left:3278;top:1822;width:288;height:2521" type="#_x0000_t75" id="docshape89" stroked="false">
                  <v:imagedata r:id="rId70" o:title=""/>
                </v:shape>
                <v:shape style="position:absolute;left:4718;top:2350;width:288;height:1993" type="#_x0000_t75" id="docshape90" stroked="false">
                  <v:imagedata r:id="rId71" o:title=""/>
                </v:shape>
                <v:shape style="position:absolute;left:6153;top:2292;width:288;height:2051" type="#_x0000_t75" id="docshape91" stroked="false">
                  <v:imagedata r:id="rId72" o:title=""/>
                </v:shape>
                <v:shape style="position:absolute;left:7593;top:1635;width:288;height:2708" type="#_x0000_t75" id="docshape92" stroked="false">
                  <v:imagedata r:id="rId73" o:title=""/>
                </v:shape>
                <v:shape style="position:absolute;left:3422;top:1515;width:4604;height:2828" type="#_x0000_t75" id="docshape93" stroked="false">
                  <v:imagedata r:id="rId74" o:title=""/>
                </v:shape>
                <v:shape style="position:absolute;left:3566;top:2158;width:288;height:2185" type="#_x0000_t75" id="docshape94" stroked="false">
                  <v:imagedata r:id="rId75" o:title=""/>
                </v:shape>
                <v:shape style="position:absolute;left:5006;top:1971;width:288;height:2372" type="#_x0000_t75" id="docshape95" stroked="false">
                  <v:imagedata r:id="rId76" o:title=""/>
                </v:shape>
                <v:shape style="position:absolute;left:6441;top:1054;width:288;height:3289" type="#_x0000_t75" id="docshape96" stroked="false">
                  <v:imagedata r:id="rId77" o:title=""/>
                </v:shape>
                <v:shape style="position:absolute;left:7881;top:943;width:288;height:3399" type="#_x0000_t75" id="docshape97" stroked="false">
                  <v:imagedata r:id="rId78" o:title=""/>
                </v:shape>
                <v:shape style="position:absolute;left:3710;top:449;width:4604;height:3894" type="#_x0000_t75" id="docshape98" stroked="false">
                  <v:imagedata r:id="rId79" o:title=""/>
                </v:shape>
                <v:shape style="position:absolute;left:2920;top:2988;width:144;height:1355" type="#_x0000_t75" id="docshape99" stroked="false">
                  <v:imagedata r:id="rId80" o:title=""/>
                </v:shape>
                <v:shape style="position:absolute;left:4357;top:3375;width:144;height:968" type="#_x0000_t75" id="docshape100" stroked="false">
                  <v:imagedata r:id="rId81" o:title=""/>
                </v:shape>
                <v:shape style="position:absolute;left:7233;top:2245;width:144;height:2098" type="#_x0000_t75" id="docshape101" stroked="false">
                  <v:imagedata r:id="rId82" o:title=""/>
                </v:shape>
                <v:shape style="position:absolute;left:5795;top:3035;width:144;height:1308" type="#_x0000_t75" id="docshape102" stroked="false">
                  <v:imagedata r:id="rId83" o:title=""/>
                </v:shape>
                <v:shape style="position:absolute;left:3064;top:1806;width:4455;height:2537" id="docshape103" coordorigin="3065,1807" coordsize="4455,2537" path="m3209,1946l3065,1946,3065,4343,3209,4343,3209,1946xm4644,3016l4500,3016,4500,4343,4644,4343,4644,3016xm6084,2714l5940,2714,5940,4343,6084,4343,6084,2714xm7519,1807l7375,1807,7375,4343,7519,4343,7519,1807xe" filled="true" fillcolor="#c00000" stroked="false">
                  <v:path arrowok="t"/>
                  <v:fill type="solid"/>
                </v:shape>
                <v:shape style="position:absolute;left:3208;top:1076;width:4455;height:3266" id="docshape104" coordorigin="3209,1077" coordsize="4455,3266" path="m3353,2037l3209,2037,3209,4343,3353,4343,3353,2037xm4788,2359l4644,2359,4644,4343,4788,4343,4788,2359xm6228,1730l6084,1730,6084,4343,6228,4343,6228,1730xm7663,1077l7519,1077,7519,4343,7663,4343,7663,1077xe" filled="true" fillcolor="#ffc000" stroked="false">
                  <v:path arrowok="t"/>
                  <v:fill type="solid"/>
                </v:shape>
                <v:shape style="position:absolute;left:3351;top:1858;width:144;height:2485" type="#_x0000_t75" id="docshape105" stroked="false">
                  <v:imagedata r:id="rId84" o:title=""/>
                </v:shape>
                <v:shape style="position:absolute;left:4789;top:2386;width:144;height:1957" type="#_x0000_t75" id="docshape106" stroked="false">
                  <v:imagedata r:id="rId85" o:title=""/>
                </v:shape>
                <v:shape style="position:absolute;left:6227;top:2328;width:144;height:2014" type="#_x0000_t75" id="docshape107" stroked="false">
                  <v:imagedata r:id="rId86" o:title=""/>
                </v:shape>
                <v:shape style="position:absolute;left:7664;top:1669;width:144;height:2673" type="#_x0000_t75" id="docshape108" stroked="false">
                  <v:imagedata r:id="rId87" o:title=""/>
                </v:shape>
                <v:shape style="position:absolute;left:3496;top:1547;width:4455;height:2796" id="docshape109" coordorigin="3497,1547" coordsize="4455,2796" path="m3639,2498l3497,2498,3497,4343,3639,4343,3639,2498xm5076,2767l4932,2767,4932,4343,5076,4343,5076,2767xm6516,2397l6372,2397,6372,4343,6516,4343,6516,2397xm7951,1547l7807,1547,7807,4343,7951,4343,7951,1547xe" filled="true" fillcolor="#18ff81" stroked="false">
                  <v:path arrowok="t"/>
                  <v:fill type="solid"/>
                </v:shape>
                <v:shape style="position:absolute;left:3639;top:2192;width:144;height:2150" type="#_x0000_t75" id="docshape110" stroked="false">
                  <v:imagedata r:id="rId88" o:title=""/>
                </v:shape>
                <v:shape style="position:absolute;left:5076;top:2004;width:144;height:2339" type="#_x0000_t75" id="docshape111" stroked="false">
                  <v:imagedata r:id="rId89" o:title=""/>
                </v:shape>
                <v:shape style="position:absolute;left:6514;top:1089;width:144;height:3254" type="#_x0000_t75" id="docshape112" stroked="false">
                  <v:imagedata r:id="rId90" o:title=""/>
                </v:shape>
                <v:shape style="position:absolute;left:7952;top:979;width:144;height:3364" type="#_x0000_t75" id="docshape113" stroked="false">
                  <v:imagedata r:id="rId91" o:title=""/>
                </v:shape>
                <v:shape style="position:absolute;left:3784;top:486;width:4455;height:3857" id="docshape114" coordorigin="3785,487" coordsize="4455,3857" path="m3929,1547l3785,1547,3785,4343,3929,4343,3929,1547xm5364,487l5220,487,5220,4343,5364,4343,5364,487xm6804,957l6660,957,6660,4343,6804,4343,6804,957xm8239,520l8095,520,8095,4343,8239,4343,8239,520xe" filled="true" fillcolor="#9bba58" stroked="false">
                  <v:path arrowok="t"/>
                  <v:fill type="solid"/>
                </v:shape>
                <v:shape style="position:absolute;left:2947;top:475;width:5266;height:2900" id="docshape115" coordorigin="2947,476" coordsize="5266,2900" path="m2992,2988l2992,2988,2992,2980m2947,2980l3037,2980m4430,3375l4430,3375,4430,3357m4385,3357l4475,3357m5868,3035l5868,3035,5868,3018m5823,3018l5913,3018m7305,2245l7305,2245,7305,2238m7260,2238l7350,2238m3136,1947l3136,1947,3136,1936m3091,1936l3181,1936m4574,3014l4574,3014,4574,2985m4529,2985l4619,2985m6011,2716l6011,2716,6011,2699m5966,2699l6056,2699m7449,1806l7449,1806,7449,1799m7404,1799l7494,1799m3280,2036l3280,2036,3280,2030m3235,2030l3325,2030m4717,2360l4717,2360,4717,2351m4672,2351l4762,2351m6155,1728l6155,1728,6155,1721m6110,1721l6200,1721m7593,1079l7593,1079,7593,1059m7548,1059l7638,1059m3423,1858l3423,1858,3423,1825m3378,1825l3468,1825m4861,2387l4861,2387,4861,2363m4816,2363l4906,2363m6299,2329l6299,2329,6299,2323m6254,2323l6344,2323m7737,1670l7737,1670,7737,1669m7692,1669l7782,1669m3567,2497l3567,2497,3567,2496m3522,2496l3612,2496m5005,2769l5005,2769,5005,2751m4960,2751l5050,2751m6443,2397l6443,2397,6443,2396m6398,2396l6488,2396m7881,1550l7881,1550,7881,1545m7836,1545l7926,1545m3711,2193l3711,2193,3711,2173m3666,2173l3756,2173m5149,2005l5149,2005,5149,1992m5104,1992l5194,1992m6586,1089l6586,1089,6586,1063m6541,1063l6631,1063m8024,979l8024,979,8024,960m7979,960l8069,960m3855,1550l3855,1550,3855,1522m3810,1522l3900,1522m5292,488l5292,488,5292,476m5247,476l5337,476m6730,959l6730,959,6730,925m6685,925l6775,925m8168,519l8168,519,8168,511m8123,511l8213,511e" filled="false" stroked="true" strokeweight="1pt" strokecolor="#000000">
                  <v:path arrowok="t"/>
                  <v:stroke dashstyle="solid"/>
                </v:shape>
                <v:shape style="position:absolute;left:2637;top:159;width:5818;height:4186" id="docshape116" coordorigin="2638,159" coordsize="5818,4186" path="m2700,4345l2700,159m2638,4345l2700,4345m2638,3822l2700,3822m2638,3298l2700,3298m2638,2775l2700,2775m2638,2252l2700,2252m2638,1729l2700,1729m2638,1206l2700,1206m2638,682l2700,682m2638,159l2700,159m2700,4345l8455,4345e" filled="false" stroked="true" strokeweight=".72pt" strokecolor="#858585">
                  <v:path arrowok="t"/>
                  <v:stroke dashstyle="solid"/>
                </v:shape>
                <w10:wrap type="none"/>
              </v:group>
            </w:pict>
          </mc:Fallback>
        </mc:AlternateContent>
      </w:r>
      <w:r>
        <w:rPr>
          <w:rFonts w:ascii="Calibri"/>
          <w:spacing w:val="-5"/>
          <w:sz w:val="20"/>
        </w:rPr>
        <w:t>80</w:t>
      </w:r>
    </w:p>
    <w:p>
      <w:pPr>
        <w:pStyle w:val="BodyText"/>
        <w:spacing w:before="35"/>
        <w:rPr>
          <w:rFonts w:ascii="Calibri"/>
          <w:sz w:val="20"/>
        </w:rPr>
      </w:pPr>
    </w:p>
    <w:p>
      <w:pPr>
        <w:spacing w:before="0"/>
        <w:ind w:left="1355" w:right="0" w:firstLine="0"/>
        <w:jc w:val="left"/>
        <w:rPr>
          <w:rFonts w:ascii="Calibri"/>
          <w:sz w:val="20"/>
        </w:rPr>
      </w:pPr>
      <w:r>
        <w:rPr>
          <w:rFonts w:ascii="Calibri"/>
          <w:spacing w:val="-5"/>
          <w:sz w:val="20"/>
        </w:rPr>
        <w:t>70</w:t>
      </w:r>
    </w:p>
    <w:p>
      <w:pPr>
        <w:pStyle w:val="BodyText"/>
        <w:spacing w:before="34"/>
        <w:rPr>
          <w:rFonts w:ascii="Calibri"/>
          <w:sz w:val="20"/>
        </w:rPr>
      </w:pPr>
    </w:p>
    <w:p>
      <w:pPr>
        <w:spacing w:before="1"/>
        <w:ind w:left="1355" w:right="0" w:firstLine="0"/>
        <w:jc w:val="left"/>
        <w:rPr>
          <w:rFonts w:ascii="Calibri"/>
          <w:sz w:val="20"/>
        </w:rPr>
      </w:pPr>
      <w:r>
        <w:rPr>
          <w:rFonts w:ascii="Calibri"/>
          <w:spacing w:val="-5"/>
          <w:sz w:val="20"/>
        </w:rPr>
        <w:t>60</w:t>
      </w:r>
    </w:p>
    <w:p>
      <w:pPr>
        <w:pStyle w:val="BodyText"/>
        <w:spacing w:before="10"/>
        <w:rPr>
          <w:rFonts w:ascii="Calibri"/>
          <w:sz w:val="17"/>
        </w:rPr>
      </w:pPr>
    </w:p>
    <w:p>
      <w:pPr>
        <w:spacing w:after="0"/>
        <w:rPr>
          <w:rFonts w:ascii="Calibri"/>
          <w:sz w:val="17"/>
        </w:rPr>
        <w:sectPr>
          <w:pgSz w:w="11910" w:h="16840"/>
          <w:pgMar w:header="0" w:footer="1012" w:top="1340" w:bottom="1200" w:left="960" w:right="620"/>
        </w:sectPr>
      </w:pPr>
    </w:p>
    <w:p>
      <w:pPr>
        <w:spacing w:before="61"/>
        <w:ind w:left="1355" w:right="0" w:firstLine="0"/>
        <w:jc w:val="left"/>
        <w:rPr>
          <w:rFonts w:ascii="Calibri"/>
          <w:sz w:val="20"/>
        </w:rPr>
      </w:pPr>
      <w:r>
        <w:rPr/>
        <mc:AlternateContent>
          <mc:Choice Requires="wps">
            <w:drawing>
              <wp:anchor distT="0" distB="0" distL="0" distR="0" allowOverlap="1" layoutInCell="1" locked="0" behindDoc="0" simplePos="0" relativeHeight="15767040">
                <wp:simplePos x="0" y="0"/>
                <wp:positionH relativeFrom="page">
                  <wp:posOffset>1256538</wp:posOffset>
                </wp:positionH>
                <wp:positionV relativeFrom="paragraph">
                  <wp:posOffset>87136</wp:posOffset>
                </wp:positionV>
                <wp:extent cx="153670" cy="73850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53670" cy="738505"/>
                        </a:xfrm>
                        <a:prstGeom prst="rect">
                          <a:avLst/>
                        </a:prstGeom>
                      </wps:spPr>
                      <wps:txbx>
                        <w:txbxContent>
                          <w:p>
                            <w:pPr>
                              <w:spacing w:line="225" w:lineRule="exact" w:before="0"/>
                              <w:ind w:left="20" w:right="0" w:firstLine="0"/>
                              <w:jc w:val="left"/>
                              <w:rPr>
                                <w:rFonts w:ascii="Calibri"/>
                                <w:b/>
                                <w:sz w:val="20"/>
                              </w:rPr>
                            </w:pPr>
                            <w:r>
                              <w:rPr>
                                <w:rFonts w:ascii="Calibri"/>
                                <w:b/>
                                <w:sz w:val="20"/>
                              </w:rPr>
                              <w:t>Inhibition</w:t>
                            </w:r>
                            <w:r>
                              <w:rPr>
                                <w:rFonts w:ascii="Calibri"/>
                                <w:b/>
                                <w:spacing w:val="-14"/>
                                <w:sz w:val="20"/>
                              </w:rPr>
                              <w:t> </w:t>
                            </w:r>
                            <w:r>
                              <w:rPr>
                                <w:rFonts w:ascii="Calibri"/>
                                <w:b/>
                                <w:spacing w:val="-5"/>
                                <w:sz w:val="20"/>
                              </w:rPr>
                              <w:t>(%)</w:t>
                            </w:r>
                          </w:p>
                        </w:txbxContent>
                      </wps:txbx>
                      <wps:bodyPr wrap="square" lIns="0" tIns="0" rIns="0" bIns="0" rtlCol="0" vert="vert270">
                        <a:noAutofit/>
                      </wps:bodyPr>
                    </wps:wsp>
                  </a:graphicData>
                </a:graphic>
              </wp:anchor>
            </w:drawing>
          </mc:Choice>
          <mc:Fallback>
            <w:pict>
              <v:shape style="position:absolute;margin-left:98.940002pt;margin-top:6.861116pt;width:12.1pt;height:58.15pt;mso-position-horizontal-relative:page;mso-position-vertical-relative:paragraph;z-index:15767040" type="#_x0000_t202" id="docshape117"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z w:val="20"/>
                        </w:rPr>
                        <w:t>Inhibition</w:t>
                      </w:r>
                      <w:r>
                        <w:rPr>
                          <w:rFonts w:ascii="Calibri"/>
                          <w:b/>
                          <w:spacing w:val="-14"/>
                          <w:sz w:val="20"/>
                        </w:rPr>
                        <w:t> </w:t>
                      </w:r>
                      <w:r>
                        <w:rPr>
                          <w:rFonts w:ascii="Calibri"/>
                          <w:b/>
                          <w:spacing w:val="-5"/>
                          <w:sz w:val="20"/>
                        </w:rPr>
                        <w:t>(%)</w:t>
                      </w:r>
                    </w:p>
                  </w:txbxContent>
                </v:textbox>
                <w10:wrap type="none"/>
              </v:shape>
            </w:pict>
          </mc:Fallback>
        </mc:AlternateContent>
      </w:r>
      <w:r>
        <w:rPr>
          <w:rFonts w:ascii="Calibri"/>
          <w:spacing w:val="-5"/>
          <w:sz w:val="20"/>
        </w:rPr>
        <w:t>50</w:t>
      </w:r>
    </w:p>
    <w:p>
      <w:pPr>
        <w:pStyle w:val="BodyText"/>
        <w:spacing w:before="35"/>
        <w:rPr>
          <w:rFonts w:ascii="Calibri"/>
          <w:sz w:val="20"/>
        </w:rPr>
      </w:pPr>
    </w:p>
    <w:p>
      <w:pPr>
        <w:spacing w:before="0"/>
        <w:ind w:left="1355" w:right="0" w:firstLine="0"/>
        <w:jc w:val="left"/>
        <w:rPr>
          <w:rFonts w:ascii="Calibri"/>
          <w:sz w:val="20"/>
        </w:rPr>
      </w:pPr>
      <w:r>
        <w:rPr>
          <w:rFonts w:ascii="Calibri"/>
          <w:spacing w:val="-5"/>
          <w:sz w:val="20"/>
        </w:rPr>
        <w:t>40</w:t>
      </w:r>
    </w:p>
    <w:p>
      <w:pPr>
        <w:pStyle w:val="BodyText"/>
        <w:spacing w:before="35"/>
        <w:rPr>
          <w:rFonts w:ascii="Calibri"/>
          <w:sz w:val="20"/>
        </w:rPr>
      </w:pPr>
    </w:p>
    <w:p>
      <w:pPr>
        <w:spacing w:before="0"/>
        <w:ind w:left="1355" w:right="0" w:firstLine="0"/>
        <w:jc w:val="left"/>
        <w:rPr>
          <w:rFonts w:ascii="Calibri"/>
          <w:sz w:val="20"/>
        </w:rPr>
      </w:pPr>
      <w:r>
        <w:rPr>
          <w:rFonts w:ascii="Calibri"/>
          <w:spacing w:val="-5"/>
          <w:sz w:val="20"/>
        </w:rPr>
        <w:t>30</w:t>
      </w:r>
    </w:p>
    <w:p>
      <w:pPr>
        <w:pStyle w:val="BodyText"/>
        <w:spacing w:before="35"/>
        <w:rPr>
          <w:rFonts w:ascii="Calibri"/>
          <w:sz w:val="20"/>
        </w:rPr>
      </w:pPr>
    </w:p>
    <w:p>
      <w:pPr>
        <w:spacing w:before="0"/>
        <w:ind w:left="1355" w:right="0" w:firstLine="0"/>
        <w:jc w:val="left"/>
        <w:rPr>
          <w:rFonts w:ascii="Calibri"/>
          <w:sz w:val="20"/>
        </w:rPr>
      </w:pPr>
      <w:r>
        <w:rPr>
          <w:rFonts w:ascii="Calibri"/>
          <w:spacing w:val="-5"/>
          <w:sz w:val="20"/>
        </w:rPr>
        <w:t>20</w:t>
      </w:r>
    </w:p>
    <w:p>
      <w:pPr>
        <w:pStyle w:val="BodyText"/>
        <w:spacing w:before="35"/>
        <w:rPr>
          <w:rFonts w:ascii="Calibri"/>
          <w:sz w:val="20"/>
        </w:rPr>
      </w:pPr>
    </w:p>
    <w:p>
      <w:pPr>
        <w:spacing w:before="0"/>
        <w:ind w:left="1355" w:right="0" w:firstLine="0"/>
        <w:jc w:val="left"/>
        <w:rPr>
          <w:rFonts w:ascii="Calibri"/>
          <w:sz w:val="20"/>
        </w:rPr>
      </w:pPr>
      <w:r>
        <w:rPr>
          <w:rFonts w:ascii="Calibri"/>
          <w:spacing w:val="-5"/>
          <w:sz w:val="20"/>
        </w:rPr>
        <w:t>10</w:t>
      </w:r>
    </w:p>
    <w:p>
      <w:pPr>
        <w:pStyle w:val="BodyText"/>
        <w:spacing w:before="35"/>
        <w:rPr>
          <w:rFonts w:ascii="Calibri"/>
          <w:sz w:val="20"/>
        </w:rPr>
      </w:pPr>
    </w:p>
    <w:p>
      <w:pPr>
        <w:spacing w:before="0"/>
        <w:ind w:left="1459" w:right="0" w:firstLine="0"/>
        <w:jc w:val="left"/>
        <w:rPr>
          <w:rFonts w:ascii="Calibri"/>
          <w:sz w:val="20"/>
        </w:rPr>
      </w:pPr>
      <w:r>
        <w:rPr>
          <w:rFonts w:ascii="Calibri"/>
          <w:spacing w:val="-10"/>
          <w:sz w:val="20"/>
        </w:rPr>
        <w:t>0</w:t>
      </w:r>
    </w:p>
    <w:p>
      <w:pPr>
        <w:tabs>
          <w:tab w:pos="3799" w:val="left" w:leader="none"/>
          <w:tab w:pos="5237" w:val="left" w:leader="none"/>
          <w:tab w:pos="6627" w:val="left" w:leader="none"/>
        </w:tabs>
        <w:spacing w:before="75"/>
        <w:ind w:left="2360" w:right="0" w:firstLine="0"/>
        <w:jc w:val="left"/>
        <w:rPr>
          <w:rFonts w:ascii="Calibri"/>
          <w:sz w:val="20"/>
        </w:rPr>
      </w:pPr>
      <w:r>
        <w:rPr>
          <w:rFonts w:ascii="Calibri"/>
          <w:spacing w:val="-5"/>
          <w:sz w:val="20"/>
        </w:rPr>
        <w:t>30</w:t>
      </w:r>
      <w:r>
        <w:rPr>
          <w:rFonts w:ascii="Calibri"/>
          <w:sz w:val="20"/>
        </w:rPr>
        <w:tab/>
      </w:r>
      <w:r>
        <w:rPr>
          <w:rFonts w:ascii="Calibri"/>
          <w:spacing w:val="-5"/>
          <w:sz w:val="20"/>
        </w:rPr>
        <w:t>60</w:t>
      </w:r>
      <w:r>
        <w:rPr>
          <w:rFonts w:ascii="Calibri"/>
          <w:sz w:val="20"/>
        </w:rPr>
        <w:tab/>
      </w:r>
      <w:r>
        <w:rPr>
          <w:rFonts w:ascii="Calibri"/>
          <w:spacing w:val="-5"/>
          <w:sz w:val="20"/>
        </w:rPr>
        <w:t>90</w:t>
      </w:r>
      <w:r>
        <w:rPr>
          <w:rFonts w:ascii="Calibri"/>
          <w:sz w:val="20"/>
        </w:rPr>
        <w:tab/>
      </w:r>
      <w:r>
        <w:rPr>
          <w:rFonts w:ascii="Calibri"/>
          <w:spacing w:val="-5"/>
          <w:sz w:val="20"/>
        </w:rPr>
        <w:t>120</w:t>
      </w:r>
    </w:p>
    <w:p>
      <w:pPr>
        <w:spacing w:before="150"/>
        <w:ind w:left="4008" w:right="0" w:firstLine="0"/>
        <w:jc w:val="left"/>
        <w:rPr>
          <w:rFonts w:ascii="Calibri"/>
          <w:b/>
          <w:sz w:val="20"/>
        </w:rPr>
      </w:pPr>
      <w:r>
        <w:rPr>
          <w:rFonts w:ascii="Calibri"/>
          <w:b/>
          <w:sz w:val="20"/>
        </w:rPr>
        <w:t>Latency</w:t>
      </w:r>
      <w:r>
        <w:rPr>
          <w:rFonts w:ascii="Calibri"/>
          <w:b/>
          <w:spacing w:val="-13"/>
          <w:sz w:val="20"/>
        </w:rPr>
        <w:t> </w:t>
      </w:r>
      <w:r>
        <w:rPr>
          <w:rFonts w:ascii="Calibri"/>
          <w:b/>
          <w:spacing w:val="-2"/>
          <w:sz w:val="20"/>
        </w:rPr>
        <w:t>(Mins)</w:t>
      </w:r>
    </w:p>
    <w:p>
      <w:pPr>
        <w:spacing w:line="355" w:lineRule="auto" w:before="152"/>
        <w:ind w:left="599" w:right="1124" w:firstLine="1"/>
        <w:jc w:val="left"/>
        <w:rPr>
          <w:rFonts w:ascii="Calibri"/>
          <w:sz w:val="20"/>
        </w:rPr>
      </w:pPr>
      <w:r>
        <w:rPr/>
        <w:br w:type="column"/>
      </w:r>
      <w:r>
        <w:rPr>
          <w:position w:val="1"/>
        </w:rPr>
        <w:drawing>
          <wp:inline distT="0" distB="0" distL="0" distR="0">
            <wp:extent cx="69752" cy="69752"/>
            <wp:effectExtent l="0" t="0" r="0" b="0"/>
            <wp:docPr id="194" name="Image 194"/>
            <wp:cNvGraphicFramePr>
              <a:graphicFrameLocks/>
            </wp:cNvGraphicFramePr>
            <a:graphic>
              <a:graphicData uri="http://schemas.openxmlformats.org/drawingml/2006/picture">
                <pic:pic>
                  <pic:nvPicPr>
                    <pic:cNvPr id="194" name="Image 194"/>
                    <pic:cNvPicPr/>
                  </pic:nvPicPr>
                  <pic:blipFill>
                    <a:blip r:embed="rId92" cstate="print"/>
                    <a:stretch>
                      <a:fillRect/>
                    </a:stretch>
                  </pic:blipFill>
                  <pic:spPr>
                    <a:xfrm>
                      <a:off x="0" y="0"/>
                      <a:ext cx="69752" cy="69752"/>
                    </a:xfrm>
                    <a:prstGeom prst="rect">
                      <a:avLst/>
                    </a:prstGeom>
                  </pic:spPr>
                </pic:pic>
              </a:graphicData>
            </a:graphic>
          </wp:inline>
        </w:drawing>
      </w:r>
      <w:r>
        <w:rPr>
          <w:position w:val="1"/>
        </w:rPr>
      </w:r>
      <w:r>
        <w:rPr>
          <w:spacing w:val="-13"/>
          <w:sz w:val="20"/>
        </w:rPr>
        <w:t> </w:t>
      </w:r>
      <w:r>
        <w:rPr>
          <w:rFonts w:ascii="Calibri"/>
          <w:sz w:val="20"/>
        </w:rPr>
        <w:t>SDME(125</w:t>
      </w:r>
      <w:r>
        <w:rPr>
          <w:rFonts w:ascii="Calibri"/>
          <w:spacing w:val="-13"/>
          <w:sz w:val="20"/>
        </w:rPr>
        <w:t> </w:t>
      </w:r>
      <w:r>
        <w:rPr>
          <w:rFonts w:ascii="Calibri"/>
          <w:sz w:val="20"/>
        </w:rPr>
        <w:t>mg/kg) </w:t>
      </w:r>
      <w:r>
        <w:rPr>
          <w:rFonts w:ascii="Calibri"/>
          <w:spacing w:val="-1"/>
          <w:position w:val="1"/>
          <w:sz w:val="20"/>
        </w:rPr>
        <w:drawing>
          <wp:inline distT="0" distB="0" distL="0" distR="0">
            <wp:extent cx="70103" cy="70103"/>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93" cstate="print"/>
                    <a:stretch>
                      <a:fillRect/>
                    </a:stretch>
                  </pic:blipFill>
                  <pic:spPr>
                    <a:xfrm>
                      <a:off x="0" y="0"/>
                      <a:ext cx="70103" cy="70103"/>
                    </a:xfrm>
                    <a:prstGeom prst="rect">
                      <a:avLst/>
                    </a:prstGeom>
                  </pic:spPr>
                </pic:pic>
              </a:graphicData>
            </a:graphic>
          </wp:inline>
        </w:drawing>
      </w:r>
      <w:r>
        <w:rPr>
          <w:rFonts w:ascii="Calibri"/>
          <w:spacing w:val="-1"/>
          <w:position w:val="1"/>
          <w:sz w:val="20"/>
        </w:rPr>
      </w:r>
      <w:r>
        <w:rPr>
          <w:spacing w:val="-1"/>
          <w:sz w:val="20"/>
        </w:rPr>
        <w:t> </w:t>
      </w:r>
      <w:r>
        <w:rPr>
          <w:rFonts w:ascii="Calibri"/>
          <w:sz w:val="20"/>
        </w:rPr>
        <w:t>UME(125 mg/kg) </w:t>
      </w:r>
      <w:r>
        <w:rPr>
          <w:rFonts w:ascii="Calibri"/>
          <w:spacing w:val="-1"/>
          <w:sz w:val="20"/>
        </w:rPr>
        <w:drawing>
          <wp:inline distT="0" distB="0" distL="0" distR="0">
            <wp:extent cx="70103" cy="70103"/>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94" cstate="print"/>
                    <a:stretch>
                      <a:fillRect/>
                    </a:stretch>
                  </pic:blipFill>
                  <pic:spPr>
                    <a:xfrm>
                      <a:off x="0" y="0"/>
                      <a:ext cx="70103" cy="70103"/>
                    </a:xfrm>
                    <a:prstGeom prst="rect">
                      <a:avLst/>
                    </a:prstGeom>
                  </pic:spPr>
                </pic:pic>
              </a:graphicData>
            </a:graphic>
          </wp:inline>
        </w:drawing>
      </w:r>
      <w:r>
        <w:rPr>
          <w:rFonts w:ascii="Calibri"/>
          <w:spacing w:val="-1"/>
          <w:sz w:val="20"/>
        </w:rPr>
      </w:r>
      <w:r>
        <w:rPr>
          <w:spacing w:val="-12"/>
          <w:sz w:val="20"/>
        </w:rPr>
        <w:t> </w:t>
      </w:r>
      <w:r>
        <w:rPr>
          <w:rFonts w:ascii="Calibri"/>
          <w:sz w:val="20"/>
        </w:rPr>
        <w:t>SDME(250</w:t>
      </w:r>
      <w:r>
        <w:rPr>
          <w:rFonts w:ascii="Calibri"/>
          <w:spacing w:val="-13"/>
          <w:sz w:val="20"/>
        </w:rPr>
        <w:t> </w:t>
      </w:r>
      <w:r>
        <w:rPr>
          <w:rFonts w:ascii="Calibri"/>
          <w:sz w:val="20"/>
        </w:rPr>
        <w:t>mg/kg) </w:t>
      </w:r>
      <w:r>
        <w:rPr>
          <w:rFonts w:ascii="Calibri"/>
          <w:spacing w:val="-1"/>
          <w:position w:val="1"/>
          <w:sz w:val="20"/>
        </w:rPr>
        <w:drawing>
          <wp:inline distT="0" distB="0" distL="0" distR="0">
            <wp:extent cx="69752" cy="69752"/>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95" cstate="print"/>
                    <a:stretch>
                      <a:fillRect/>
                    </a:stretch>
                  </pic:blipFill>
                  <pic:spPr>
                    <a:xfrm>
                      <a:off x="0" y="0"/>
                      <a:ext cx="69752" cy="69752"/>
                    </a:xfrm>
                    <a:prstGeom prst="rect">
                      <a:avLst/>
                    </a:prstGeom>
                  </pic:spPr>
                </pic:pic>
              </a:graphicData>
            </a:graphic>
          </wp:inline>
        </w:drawing>
      </w:r>
      <w:r>
        <w:rPr>
          <w:rFonts w:ascii="Calibri"/>
          <w:spacing w:val="-1"/>
          <w:position w:val="1"/>
          <w:sz w:val="20"/>
        </w:rPr>
      </w:r>
      <w:r>
        <w:rPr>
          <w:spacing w:val="-1"/>
          <w:sz w:val="20"/>
        </w:rPr>
        <w:t> </w:t>
      </w:r>
      <w:r>
        <w:rPr>
          <w:rFonts w:ascii="Calibri"/>
          <w:sz w:val="20"/>
        </w:rPr>
        <w:t>UME(250 mg/kg) </w:t>
      </w:r>
      <w:r>
        <w:rPr>
          <w:rFonts w:ascii="Calibri"/>
          <w:spacing w:val="-1"/>
          <w:position w:val="1"/>
          <w:sz w:val="20"/>
        </w:rPr>
        <w:drawing>
          <wp:inline distT="0" distB="0" distL="0" distR="0">
            <wp:extent cx="70103" cy="70103"/>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96" cstate="print"/>
                    <a:stretch>
                      <a:fillRect/>
                    </a:stretch>
                  </pic:blipFill>
                  <pic:spPr>
                    <a:xfrm>
                      <a:off x="0" y="0"/>
                      <a:ext cx="70103" cy="70103"/>
                    </a:xfrm>
                    <a:prstGeom prst="rect">
                      <a:avLst/>
                    </a:prstGeom>
                  </pic:spPr>
                </pic:pic>
              </a:graphicData>
            </a:graphic>
          </wp:inline>
        </w:drawing>
      </w:r>
      <w:r>
        <w:rPr>
          <w:rFonts w:ascii="Calibri"/>
          <w:spacing w:val="-1"/>
          <w:position w:val="1"/>
          <w:sz w:val="20"/>
        </w:rPr>
      </w:r>
      <w:r>
        <w:rPr>
          <w:spacing w:val="-12"/>
          <w:sz w:val="20"/>
        </w:rPr>
        <w:t> </w:t>
      </w:r>
      <w:r>
        <w:rPr>
          <w:rFonts w:ascii="Calibri"/>
          <w:sz w:val="20"/>
        </w:rPr>
        <w:t>SDME(500</w:t>
      </w:r>
      <w:r>
        <w:rPr>
          <w:rFonts w:ascii="Calibri"/>
          <w:spacing w:val="-13"/>
          <w:sz w:val="20"/>
        </w:rPr>
        <w:t> </w:t>
      </w:r>
      <w:r>
        <w:rPr>
          <w:rFonts w:ascii="Calibri"/>
          <w:sz w:val="20"/>
        </w:rPr>
        <w:t>mg/kg) </w:t>
      </w:r>
      <w:r>
        <w:rPr>
          <w:rFonts w:ascii="Calibri"/>
          <w:spacing w:val="-1"/>
          <w:position w:val="1"/>
          <w:sz w:val="20"/>
        </w:rPr>
        <w:drawing>
          <wp:inline distT="0" distB="0" distL="0" distR="0">
            <wp:extent cx="69752" cy="69750"/>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97" cstate="print"/>
                    <a:stretch>
                      <a:fillRect/>
                    </a:stretch>
                  </pic:blipFill>
                  <pic:spPr>
                    <a:xfrm>
                      <a:off x="0" y="0"/>
                      <a:ext cx="69752" cy="69750"/>
                    </a:xfrm>
                    <a:prstGeom prst="rect">
                      <a:avLst/>
                    </a:prstGeom>
                  </pic:spPr>
                </pic:pic>
              </a:graphicData>
            </a:graphic>
          </wp:inline>
        </w:drawing>
      </w:r>
      <w:r>
        <w:rPr>
          <w:rFonts w:ascii="Calibri"/>
          <w:spacing w:val="-1"/>
          <w:position w:val="1"/>
          <w:sz w:val="20"/>
        </w:rPr>
      </w:r>
      <w:r>
        <w:rPr>
          <w:spacing w:val="-1"/>
          <w:sz w:val="20"/>
        </w:rPr>
        <w:t> </w:t>
      </w:r>
      <w:r>
        <w:rPr>
          <w:rFonts w:ascii="Calibri"/>
          <w:sz w:val="20"/>
        </w:rPr>
        <w:t>UME(500 mg/kg)</w:t>
      </w:r>
    </w:p>
    <w:p>
      <w:pPr>
        <w:spacing w:before="3"/>
        <w:ind w:left="599" w:right="0" w:firstLine="0"/>
        <w:jc w:val="left"/>
        <w:rPr>
          <w:rFonts w:ascii="Calibri"/>
          <w:sz w:val="20"/>
        </w:rPr>
      </w:pPr>
      <w:r>
        <w:rPr>
          <w:position w:val="1"/>
        </w:rPr>
        <w:drawing>
          <wp:inline distT="0" distB="0" distL="0" distR="0">
            <wp:extent cx="70103" cy="70104"/>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98" cstate="print"/>
                    <a:stretch>
                      <a:fillRect/>
                    </a:stretch>
                  </pic:blipFill>
                  <pic:spPr>
                    <a:xfrm>
                      <a:off x="0" y="0"/>
                      <a:ext cx="70103" cy="70104"/>
                    </a:xfrm>
                    <a:prstGeom prst="rect">
                      <a:avLst/>
                    </a:prstGeom>
                  </pic:spPr>
                </pic:pic>
              </a:graphicData>
            </a:graphic>
          </wp:inline>
        </w:drawing>
      </w:r>
      <w:r>
        <w:rPr>
          <w:position w:val="1"/>
        </w:rPr>
      </w:r>
      <w:r>
        <w:rPr>
          <w:sz w:val="20"/>
        </w:rPr>
        <w:t> </w:t>
      </w:r>
      <w:r>
        <w:rPr>
          <w:rFonts w:ascii="Calibri"/>
          <w:sz w:val="20"/>
        </w:rPr>
        <w:t>Pentazocine</w:t>
      </w:r>
      <w:r>
        <w:rPr>
          <w:rFonts w:ascii="Calibri"/>
          <w:spacing w:val="-15"/>
          <w:sz w:val="20"/>
        </w:rPr>
        <w:t> </w:t>
      </w:r>
      <w:r>
        <w:rPr>
          <w:rFonts w:ascii="Calibri"/>
          <w:sz w:val="20"/>
        </w:rPr>
        <w:t>(10 mg/kg)</w:t>
      </w:r>
    </w:p>
    <w:p>
      <w:pPr>
        <w:spacing w:after="0"/>
        <w:jc w:val="left"/>
        <w:rPr>
          <w:rFonts w:ascii="Calibri"/>
          <w:sz w:val="20"/>
        </w:rPr>
        <w:sectPr>
          <w:type w:val="continuous"/>
          <w:pgSz w:w="11910" w:h="16840"/>
          <w:pgMar w:header="0" w:footer="1012" w:top="1340" w:bottom="280" w:left="960" w:right="620"/>
          <w:cols w:num="2" w:equalWidth="0">
            <w:col w:w="6931" w:space="40"/>
            <w:col w:w="3359"/>
          </w:cols>
        </w:sectPr>
      </w:pPr>
    </w:p>
    <w:p>
      <w:pPr>
        <w:pStyle w:val="BodyText"/>
        <w:rPr>
          <w:rFonts w:ascii="Calibri"/>
        </w:rPr>
      </w:pPr>
    </w:p>
    <w:p>
      <w:pPr>
        <w:pStyle w:val="BodyText"/>
        <w:spacing w:before="44"/>
        <w:rPr>
          <w:rFonts w:ascii="Calibri"/>
        </w:rPr>
      </w:pPr>
    </w:p>
    <w:p>
      <w:pPr>
        <w:pStyle w:val="Heading2"/>
        <w:spacing w:line="360" w:lineRule="auto"/>
        <w:ind w:left="936" w:firstLine="0"/>
        <w:jc w:val="left"/>
      </w:pPr>
      <w:r>
        <w:rPr/>
        <w:t>Figure</w:t>
      </w:r>
      <w:r>
        <w:rPr>
          <w:spacing w:val="28"/>
        </w:rPr>
        <w:t> </w:t>
      </w:r>
      <w:r>
        <w:rPr/>
        <w:t>4.5.</w:t>
      </w:r>
      <w:r>
        <w:rPr>
          <w:spacing w:val="32"/>
        </w:rPr>
        <w:t> </w:t>
      </w:r>
      <w:r>
        <w:rPr/>
        <w:t>Effects</w:t>
      </w:r>
      <w:r>
        <w:rPr>
          <w:spacing w:val="27"/>
        </w:rPr>
        <w:t> </w:t>
      </w:r>
      <w:r>
        <w:rPr/>
        <w:t>of</w:t>
      </w:r>
      <w:r>
        <w:rPr>
          <w:spacing w:val="26"/>
        </w:rPr>
        <w:t> </w:t>
      </w:r>
      <w:r>
        <w:rPr/>
        <w:t>Undetoxified</w:t>
      </w:r>
      <w:r>
        <w:rPr>
          <w:spacing w:val="30"/>
        </w:rPr>
        <w:t> </w:t>
      </w:r>
      <w:r>
        <w:rPr/>
        <w:t>and</w:t>
      </w:r>
      <w:r>
        <w:rPr>
          <w:spacing w:val="30"/>
        </w:rPr>
        <w:t> </w:t>
      </w:r>
      <w:r>
        <w:rPr/>
        <w:t>Detoxified</w:t>
      </w:r>
      <w:r>
        <w:rPr>
          <w:spacing w:val="30"/>
        </w:rPr>
        <w:t> </w:t>
      </w:r>
      <w:r>
        <w:rPr>
          <w:i/>
        </w:rPr>
        <w:t>Jatropha</w:t>
      </w:r>
      <w:r>
        <w:rPr>
          <w:i/>
          <w:spacing w:val="34"/>
        </w:rPr>
        <w:t> </w:t>
      </w:r>
      <w:r>
        <w:rPr>
          <w:i/>
        </w:rPr>
        <w:t>curcas</w:t>
      </w:r>
      <w:r>
        <w:rPr>
          <w:i/>
          <w:spacing w:val="27"/>
        </w:rPr>
        <w:t> </w:t>
      </w:r>
      <w:r>
        <w:rPr/>
        <w:t>Oils</w:t>
      </w:r>
      <w:r>
        <w:rPr>
          <w:spacing w:val="27"/>
        </w:rPr>
        <w:t> </w:t>
      </w:r>
      <w:r>
        <w:rPr/>
        <w:t>on</w:t>
      </w:r>
      <w:r>
        <w:rPr>
          <w:spacing w:val="34"/>
        </w:rPr>
        <w:t> </w:t>
      </w:r>
      <w:r>
        <w:rPr/>
        <w:t>Hot</w:t>
      </w:r>
      <w:r>
        <w:rPr>
          <w:spacing w:val="30"/>
        </w:rPr>
        <w:t> </w:t>
      </w:r>
      <w:r>
        <w:rPr/>
        <w:t>Plate Induced Pain Inhibition</w:t>
      </w:r>
    </w:p>
    <w:p>
      <w:pPr>
        <w:spacing w:after="0" w:line="360" w:lineRule="auto"/>
        <w:jc w:val="left"/>
        <w:sectPr>
          <w:type w:val="continuous"/>
          <w:pgSz w:w="11910" w:h="16840"/>
          <w:pgMar w:header="0" w:footer="1012" w:top="1340" w:bottom="280" w:left="960" w:right="620"/>
        </w:sectPr>
      </w:pPr>
    </w:p>
    <w:p>
      <w:pPr>
        <w:spacing w:before="64"/>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line="360" w:lineRule="auto" w:before="126"/>
        <w:ind w:left="1028" w:right="4105" w:firstLine="0"/>
        <w:jc w:val="left"/>
        <w:rPr>
          <w:sz w:val="22"/>
        </w:rPr>
      </w:pPr>
      <w:r>
        <w:rPr>
          <w:sz w:val="22"/>
        </w:rPr>
        <w:t>SDME</w:t>
      </w:r>
      <w:r>
        <w:rPr>
          <w:spacing w:val="-6"/>
          <w:sz w:val="22"/>
        </w:rPr>
        <w:t> </w:t>
      </w:r>
      <w:r>
        <w:rPr>
          <w:sz w:val="22"/>
        </w:rPr>
        <w:t>=</w:t>
      </w:r>
      <w:r>
        <w:rPr>
          <w:spacing w:val="-10"/>
          <w:sz w:val="22"/>
        </w:rPr>
        <w:t> </w:t>
      </w:r>
      <w:r>
        <w:rPr>
          <w:sz w:val="22"/>
        </w:rPr>
        <w:t>Synthetically</w:t>
      </w:r>
      <w:r>
        <w:rPr>
          <w:spacing w:val="-10"/>
          <w:sz w:val="22"/>
        </w:rPr>
        <w:t> </w:t>
      </w:r>
      <w:r>
        <w:rPr>
          <w:sz w:val="22"/>
        </w:rPr>
        <w:t>Detoxified</w:t>
      </w:r>
      <w:r>
        <w:rPr>
          <w:spacing w:val="-10"/>
          <w:sz w:val="22"/>
        </w:rPr>
        <w:t> </w:t>
      </w:r>
      <w:r>
        <w:rPr>
          <w:sz w:val="22"/>
        </w:rPr>
        <w:t>Mechanically</w:t>
      </w:r>
      <w:r>
        <w:rPr>
          <w:spacing w:val="-10"/>
          <w:sz w:val="22"/>
        </w:rPr>
        <w:t> </w:t>
      </w:r>
      <w:r>
        <w:rPr>
          <w:sz w:val="22"/>
        </w:rPr>
        <w:t>Extracted n = 5 (number of mice); Drug administration p.o.</w:t>
      </w:r>
    </w:p>
    <w:p>
      <w:pPr>
        <w:spacing w:before="0"/>
        <w:ind w:left="1028" w:right="0" w:firstLine="0"/>
        <w:jc w:val="left"/>
        <w:rPr>
          <w:sz w:val="22"/>
        </w:rPr>
      </w:pPr>
      <w:r>
        <w:rPr>
          <w:sz w:val="22"/>
        </w:rPr>
        <w:t>Values</w:t>
      </w:r>
      <w:r>
        <w:rPr>
          <w:spacing w:val="-1"/>
          <w:sz w:val="22"/>
        </w:rPr>
        <w:t> </w:t>
      </w:r>
      <w:r>
        <w:rPr>
          <w:sz w:val="22"/>
        </w:rPr>
        <w:t>are</w:t>
      </w:r>
      <w:r>
        <w:rPr>
          <w:spacing w:val="-3"/>
          <w:sz w:val="22"/>
        </w:rPr>
        <w:t> </w:t>
      </w:r>
      <w:r>
        <w:rPr>
          <w:sz w:val="22"/>
        </w:rPr>
        <w:t>mean</w:t>
      </w:r>
      <w:r>
        <w:rPr>
          <w:spacing w:val="-6"/>
          <w:sz w:val="22"/>
        </w:rPr>
        <w:t> </w:t>
      </w:r>
      <w:r>
        <w:rPr>
          <w:sz w:val="22"/>
        </w:rPr>
        <w:t>±</w:t>
      </w:r>
      <w:r>
        <w:rPr>
          <w:spacing w:val="-1"/>
          <w:sz w:val="22"/>
        </w:rPr>
        <w:t> </w:t>
      </w:r>
      <w:r>
        <w:rPr>
          <w:sz w:val="22"/>
        </w:rPr>
        <w:t>S.E.M.</w:t>
      </w:r>
      <w:r>
        <w:rPr>
          <w:spacing w:val="-3"/>
          <w:sz w:val="22"/>
        </w:rPr>
        <w:t> </w:t>
      </w:r>
      <w:r>
        <w:rPr>
          <w:sz w:val="22"/>
        </w:rPr>
        <w:t>and</w:t>
      </w:r>
      <w:r>
        <w:rPr>
          <w:spacing w:val="-5"/>
          <w:sz w:val="22"/>
        </w:rPr>
        <w:t> </w:t>
      </w:r>
      <w:r>
        <w:rPr>
          <w:spacing w:val="-2"/>
          <w:sz w:val="22"/>
        </w:rPr>
        <w:t>percentages</w:t>
      </w:r>
    </w:p>
    <w:p>
      <w:pPr>
        <w:pStyle w:val="Heading2"/>
        <w:numPr>
          <w:ilvl w:val="1"/>
          <w:numId w:val="20"/>
        </w:numPr>
        <w:tabs>
          <w:tab w:pos="1748" w:val="left" w:leader="none"/>
        </w:tabs>
        <w:spacing w:line="240" w:lineRule="auto" w:before="127" w:after="0"/>
        <w:ind w:left="1748" w:right="0" w:hanging="720"/>
        <w:jc w:val="left"/>
      </w:pPr>
      <w:bookmarkStart w:name="_TOC_250001" w:id="55"/>
      <w:r>
        <w:rPr/>
        <w:t>Laxative</w:t>
      </w:r>
      <w:r>
        <w:rPr>
          <w:spacing w:val="-2"/>
        </w:rPr>
        <w:t> </w:t>
      </w:r>
      <w:r>
        <w:rPr/>
        <w:t>Effects</w:t>
      </w:r>
      <w:r>
        <w:rPr>
          <w:spacing w:val="-3"/>
        </w:rPr>
        <w:t> </w:t>
      </w:r>
      <w:r>
        <w:rPr/>
        <w:t>of</w:t>
      </w:r>
      <w:r>
        <w:rPr>
          <w:spacing w:val="-4"/>
        </w:rPr>
        <w:t> </w:t>
      </w:r>
      <w:r>
        <w:rPr/>
        <w:t>Undetoxified</w:t>
      </w:r>
      <w:r>
        <w:rPr>
          <w:spacing w:val="-1"/>
        </w:rPr>
        <w:t> </w:t>
      </w:r>
      <w:r>
        <w:rPr/>
        <w:t>and</w:t>
      </w:r>
      <w:r>
        <w:rPr>
          <w:spacing w:val="-1"/>
        </w:rPr>
        <w:t> </w:t>
      </w:r>
      <w:r>
        <w:rPr/>
        <w:t>Detoxified</w:t>
      </w:r>
      <w:r>
        <w:rPr>
          <w:spacing w:val="4"/>
        </w:rPr>
        <w:t> </w:t>
      </w:r>
      <w:r>
        <w:rPr>
          <w:i/>
        </w:rPr>
        <w:t>J</w:t>
      </w:r>
      <w:r>
        <w:rPr/>
        <w:t>.</w:t>
      </w:r>
      <w:r>
        <w:rPr>
          <w:spacing w:val="-4"/>
        </w:rPr>
        <w:t> </w:t>
      </w:r>
      <w:r>
        <w:rPr>
          <w:i/>
        </w:rPr>
        <w:t>curcas</w:t>
      </w:r>
      <w:r>
        <w:rPr>
          <w:i/>
          <w:spacing w:val="-3"/>
        </w:rPr>
        <w:t> </w:t>
      </w:r>
      <w:bookmarkEnd w:id="55"/>
      <w:r>
        <w:rPr>
          <w:spacing w:val="-4"/>
        </w:rPr>
        <w:t>Oils</w:t>
      </w:r>
    </w:p>
    <w:p>
      <w:pPr>
        <w:pStyle w:val="BodyText"/>
        <w:spacing w:before="273"/>
        <w:rPr>
          <w:b/>
        </w:rPr>
      </w:pPr>
    </w:p>
    <w:p>
      <w:pPr>
        <w:pStyle w:val="BodyText"/>
        <w:spacing w:line="480" w:lineRule="auto"/>
        <w:ind w:left="1028" w:right="801"/>
        <w:jc w:val="both"/>
      </w:pPr>
      <w:r>
        <w:rPr/>
        <w:t>Castor oil showed significant (p&lt;0.05) laxative activity in albino mice when compared with normal saline. Both undetoxified and detoxified </w:t>
      </w:r>
      <w:r>
        <w:rPr>
          <w:i/>
        </w:rPr>
        <w:t>J</w:t>
      </w:r>
      <w:r>
        <w:rPr/>
        <w:t>. </w:t>
      </w:r>
      <w:r>
        <w:rPr>
          <w:i/>
        </w:rPr>
        <w:t>curcas </w:t>
      </w:r>
      <w:r>
        <w:rPr/>
        <w:t>oils at 1 ml administration did not show any laxative activity. However, both undetoxified and detoxified </w:t>
      </w:r>
      <w:r>
        <w:rPr>
          <w:i/>
        </w:rPr>
        <w:t>J</w:t>
      </w:r>
      <w:r>
        <w:rPr/>
        <w:t>. </w:t>
      </w:r>
      <w:r>
        <w:rPr>
          <w:i/>
        </w:rPr>
        <w:t>curcas </w:t>
      </w:r>
      <w:r>
        <w:rPr/>
        <w:t>oils at 0.5 ml</w:t>
      </w:r>
      <w:r>
        <w:rPr>
          <w:spacing w:val="-1"/>
        </w:rPr>
        <w:t> </w:t>
      </w:r>
      <w:r>
        <w:rPr/>
        <w:t>administration showed some laxative activity, though not significant (p&gt;0.05) (Table 4.13).</w:t>
      </w:r>
    </w:p>
    <w:p>
      <w:pPr>
        <w:pStyle w:val="BodyText"/>
      </w:pPr>
    </w:p>
    <w:p>
      <w:pPr>
        <w:pStyle w:val="BodyText"/>
        <w:spacing w:before="6"/>
      </w:pPr>
    </w:p>
    <w:p>
      <w:pPr>
        <w:pStyle w:val="Heading2"/>
        <w:ind w:left="1028" w:firstLine="0"/>
        <w:jc w:val="left"/>
      </w:pPr>
      <w:r>
        <w:rPr/>
        <w:t>Table</w:t>
      </w:r>
      <w:r>
        <w:rPr>
          <w:spacing w:val="-5"/>
        </w:rPr>
        <w:t> </w:t>
      </w:r>
      <w:r>
        <w:rPr/>
        <w:t>4.13:</w:t>
      </w:r>
      <w:r>
        <w:rPr>
          <w:spacing w:val="-1"/>
        </w:rPr>
        <w:t> </w:t>
      </w:r>
      <w:r>
        <w:rPr/>
        <w:t>Laxative Effects</w:t>
      </w:r>
      <w:r>
        <w:rPr>
          <w:spacing w:val="-4"/>
        </w:rPr>
        <w:t> </w:t>
      </w:r>
      <w:r>
        <w:rPr/>
        <w:t>of</w:t>
      </w:r>
      <w:r>
        <w:rPr>
          <w:spacing w:val="-4"/>
        </w:rPr>
        <w:t> </w:t>
      </w:r>
      <w:r>
        <w:rPr/>
        <w:t>Undetoxified and</w:t>
      </w:r>
      <w:r>
        <w:rPr>
          <w:spacing w:val="-1"/>
        </w:rPr>
        <w:t> </w:t>
      </w:r>
      <w:r>
        <w:rPr/>
        <w:t>Detoxified </w:t>
      </w:r>
      <w:r>
        <w:rPr>
          <w:i/>
        </w:rPr>
        <w:t>Jatropha</w:t>
      </w:r>
      <w:r>
        <w:rPr>
          <w:i/>
          <w:spacing w:val="-1"/>
        </w:rPr>
        <w:t> </w:t>
      </w:r>
      <w:r>
        <w:rPr>
          <w:i/>
        </w:rPr>
        <w:t>curcas</w:t>
      </w:r>
      <w:r>
        <w:rPr>
          <w:i/>
          <w:spacing w:val="-3"/>
        </w:rPr>
        <w:t> </w:t>
      </w:r>
      <w:r>
        <w:rPr>
          <w:spacing w:val="-4"/>
        </w:rPr>
        <w:t>Oils</w:t>
      </w:r>
    </w:p>
    <w:p>
      <w:pPr>
        <w:pStyle w:val="BodyText"/>
        <w:spacing w:before="50"/>
        <w:rPr>
          <w:b/>
          <w:sz w:val="20"/>
        </w:rPr>
      </w:pPr>
    </w:p>
    <w:tbl>
      <w:tblPr>
        <w:tblW w:w="0" w:type="auto"/>
        <w:jc w:val="left"/>
        <w:tblInd w:w="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8"/>
        <w:gridCol w:w="2630"/>
        <w:gridCol w:w="3756"/>
      </w:tblGrid>
      <w:tr>
        <w:trPr>
          <w:trHeight w:val="417" w:hRule="atLeast"/>
        </w:trPr>
        <w:tc>
          <w:tcPr>
            <w:tcW w:w="2338" w:type="dxa"/>
            <w:tcBorders>
              <w:top w:val="single" w:sz="4" w:space="0" w:color="000000"/>
              <w:bottom w:val="single" w:sz="4" w:space="0" w:color="000000"/>
            </w:tcBorders>
          </w:tcPr>
          <w:p>
            <w:pPr>
              <w:pStyle w:val="TableParagraph"/>
              <w:spacing w:line="268" w:lineRule="exact"/>
              <w:ind w:left="124"/>
              <w:rPr>
                <w:sz w:val="24"/>
              </w:rPr>
            </w:pPr>
            <w:r>
              <w:rPr>
                <w:spacing w:val="-2"/>
                <w:sz w:val="24"/>
              </w:rPr>
              <w:t>Treatment</w:t>
            </w:r>
          </w:p>
        </w:tc>
        <w:tc>
          <w:tcPr>
            <w:tcW w:w="2630" w:type="dxa"/>
            <w:tcBorders>
              <w:top w:val="single" w:sz="4" w:space="0" w:color="000000"/>
              <w:bottom w:val="single" w:sz="4" w:space="0" w:color="000000"/>
            </w:tcBorders>
          </w:tcPr>
          <w:p>
            <w:pPr>
              <w:pStyle w:val="TableParagraph"/>
              <w:spacing w:line="268" w:lineRule="exact"/>
              <w:ind w:left="864"/>
              <w:rPr>
                <w:sz w:val="24"/>
              </w:rPr>
            </w:pPr>
            <w:r>
              <w:rPr>
                <w:sz w:val="24"/>
              </w:rPr>
              <w:t>Dose </w:t>
            </w:r>
            <w:r>
              <w:rPr>
                <w:spacing w:val="-4"/>
                <w:sz w:val="24"/>
              </w:rPr>
              <w:t>(ml)</w:t>
            </w:r>
          </w:p>
        </w:tc>
        <w:tc>
          <w:tcPr>
            <w:tcW w:w="3756" w:type="dxa"/>
            <w:tcBorders>
              <w:top w:val="single" w:sz="4" w:space="0" w:color="000000"/>
              <w:bottom w:val="single" w:sz="4" w:space="0" w:color="000000"/>
            </w:tcBorders>
          </w:tcPr>
          <w:p>
            <w:pPr>
              <w:pStyle w:val="TableParagraph"/>
              <w:spacing w:line="268" w:lineRule="exact"/>
              <w:ind w:left="808"/>
              <w:rPr>
                <w:sz w:val="24"/>
              </w:rPr>
            </w:pPr>
            <w:r>
              <w:rPr>
                <w:sz w:val="24"/>
              </w:rPr>
              <w:t>Number</w:t>
            </w:r>
            <w:r>
              <w:rPr>
                <w:spacing w:val="1"/>
                <w:sz w:val="24"/>
              </w:rPr>
              <w:t> </w:t>
            </w:r>
            <w:r>
              <w:rPr>
                <w:sz w:val="24"/>
              </w:rPr>
              <w:t>of</w:t>
            </w:r>
            <w:r>
              <w:rPr>
                <w:spacing w:val="-8"/>
                <w:sz w:val="24"/>
              </w:rPr>
              <w:t> </w:t>
            </w:r>
            <w:r>
              <w:rPr>
                <w:sz w:val="24"/>
              </w:rPr>
              <w:t>diarrhoea </w:t>
            </w:r>
            <w:r>
              <w:rPr>
                <w:spacing w:val="-2"/>
                <w:sz w:val="24"/>
              </w:rPr>
              <w:t>faeces</w:t>
            </w:r>
          </w:p>
        </w:tc>
      </w:tr>
      <w:tr>
        <w:trPr>
          <w:trHeight w:val="348" w:hRule="atLeast"/>
        </w:trPr>
        <w:tc>
          <w:tcPr>
            <w:tcW w:w="2338" w:type="dxa"/>
            <w:tcBorders>
              <w:top w:val="single" w:sz="4" w:space="0" w:color="000000"/>
            </w:tcBorders>
          </w:tcPr>
          <w:p>
            <w:pPr>
              <w:pStyle w:val="TableParagraph"/>
              <w:spacing w:line="268" w:lineRule="exact"/>
              <w:ind w:left="124"/>
              <w:rPr>
                <w:sz w:val="24"/>
              </w:rPr>
            </w:pPr>
            <w:r>
              <w:rPr>
                <w:sz w:val="24"/>
              </w:rPr>
              <w:t>Normal</w:t>
            </w:r>
            <w:r>
              <w:rPr>
                <w:spacing w:val="-7"/>
                <w:sz w:val="24"/>
              </w:rPr>
              <w:t> </w:t>
            </w:r>
            <w:r>
              <w:rPr>
                <w:spacing w:val="-2"/>
                <w:sz w:val="24"/>
              </w:rPr>
              <w:t>saline</w:t>
            </w:r>
          </w:p>
        </w:tc>
        <w:tc>
          <w:tcPr>
            <w:tcW w:w="2630" w:type="dxa"/>
            <w:tcBorders>
              <w:top w:val="single" w:sz="4" w:space="0" w:color="000000"/>
            </w:tcBorders>
          </w:tcPr>
          <w:p>
            <w:pPr>
              <w:pStyle w:val="TableParagraph"/>
              <w:spacing w:line="249" w:lineRule="exact"/>
              <w:ind w:left="864"/>
              <w:rPr>
                <w:sz w:val="22"/>
              </w:rPr>
            </w:pPr>
            <w:r>
              <w:rPr>
                <w:spacing w:val="-5"/>
                <w:sz w:val="22"/>
              </w:rPr>
              <w:t>10</w:t>
            </w:r>
            <w:r>
              <w:rPr>
                <w:spacing w:val="-5"/>
                <w:sz w:val="22"/>
                <w:vertAlign w:val="superscript"/>
              </w:rPr>
              <w:t>*</w:t>
            </w:r>
          </w:p>
        </w:tc>
        <w:tc>
          <w:tcPr>
            <w:tcW w:w="3756" w:type="dxa"/>
            <w:tcBorders>
              <w:top w:val="single" w:sz="4" w:space="0" w:color="000000"/>
            </w:tcBorders>
          </w:tcPr>
          <w:p>
            <w:pPr>
              <w:pStyle w:val="TableParagraph"/>
              <w:spacing w:line="268" w:lineRule="exact"/>
              <w:ind w:left="808"/>
              <w:rPr>
                <w:sz w:val="24"/>
              </w:rPr>
            </w:pPr>
            <w:r>
              <w:rPr>
                <w:spacing w:val="-10"/>
                <w:sz w:val="24"/>
              </w:rPr>
              <w:t>0</w:t>
            </w:r>
          </w:p>
        </w:tc>
      </w:tr>
      <w:tr>
        <w:trPr>
          <w:trHeight w:val="501" w:hRule="atLeast"/>
        </w:trPr>
        <w:tc>
          <w:tcPr>
            <w:tcW w:w="2338" w:type="dxa"/>
          </w:tcPr>
          <w:p>
            <w:pPr>
              <w:pStyle w:val="TableParagraph"/>
              <w:spacing w:before="89"/>
              <w:ind w:left="124"/>
              <w:rPr>
                <w:sz w:val="24"/>
              </w:rPr>
            </w:pPr>
            <w:r>
              <w:rPr>
                <w:sz w:val="24"/>
              </w:rPr>
              <w:t>Castor</w:t>
            </w:r>
            <w:r>
              <w:rPr>
                <w:spacing w:val="-3"/>
                <w:sz w:val="24"/>
              </w:rPr>
              <w:t> </w:t>
            </w:r>
            <w:r>
              <w:rPr>
                <w:spacing w:val="-5"/>
                <w:sz w:val="24"/>
              </w:rPr>
              <w:t>oil</w:t>
            </w:r>
          </w:p>
        </w:tc>
        <w:tc>
          <w:tcPr>
            <w:tcW w:w="2630" w:type="dxa"/>
          </w:tcPr>
          <w:p>
            <w:pPr>
              <w:pStyle w:val="TableParagraph"/>
              <w:spacing w:before="89"/>
              <w:ind w:left="864"/>
              <w:rPr>
                <w:sz w:val="24"/>
              </w:rPr>
            </w:pPr>
            <w:r>
              <w:rPr>
                <w:spacing w:val="-5"/>
                <w:sz w:val="24"/>
              </w:rPr>
              <w:t>0.5</w:t>
            </w:r>
          </w:p>
        </w:tc>
        <w:tc>
          <w:tcPr>
            <w:tcW w:w="3756" w:type="dxa"/>
          </w:tcPr>
          <w:p>
            <w:pPr>
              <w:pStyle w:val="TableParagraph"/>
              <w:spacing w:before="89"/>
              <w:ind w:left="808"/>
              <w:rPr>
                <w:sz w:val="24"/>
              </w:rPr>
            </w:pPr>
            <w:r>
              <w:rPr>
                <w:spacing w:val="-2"/>
                <w:sz w:val="24"/>
              </w:rPr>
              <w:t>1.83±0.47</w:t>
            </w:r>
            <w:r>
              <w:rPr>
                <w:spacing w:val="-2"/>
                <w:sz w:val="24"/>
                <w:vertAlign w:val="superscript"/>
              </w:rPr>
              <w:t>a</w:t>
            </w:r>
          </w:p>
        </w:tc>
      </w:tr>
      <w:tr>
        <w:trPr>
          <w:trHeight w:val="535" w:hRule="atLeast"/>
        </w:trPr>
        <w:tc>
          <w:tcPr>
            <w:tcW w:w="2338" w:type="dxa"/>
          </w:tcPr>
          <w:p>
            <w:pPr>
              <w:pStyle w:val="TableParagraph"/>
              <w:spacing w:before="126"/>
              <w:ind w:left="124"/>
              <w:rPr>
                <w:sz w:val="24"/>
              </w:rPr>
            </w:pPr>
            <w:r>
              <w:rPr>
                <w:spacing w:val="-5"/>
                <w:sz w:val="24"/>
              </w:rPr>
              <w:t>UME</w:t>
            </w:r>
          </w:p>
        </w:tc>
        <w:tc>
          <w:tcPr>
            <w:tcW w:w="2630" w:type="dxa"/>
          </w:tcPr>
          <w:p>
            <w:pPr>
              <w:pStyle w:val="TableParagraph"/>
              <w:spacing w:before="126"/>
              <w:ind w:left="864"/>
              <w:rPr>
                <w:sz w:val="24"/>
              </w:rPr>
            </w:pPr>
            <w:r>
              <w:rPr>
                <w:spacing w:val="-5"/>
                <w:sz w:val="24"/>
              </w:rPr>
              <w:t>0.5</w:t>
            </w:r>
          </w:p>
        </w:tc>
        <w:tc>
          <w:tcPr>
            <w:tcW w:w="3756" w:type="dxa"/>
          </w:tcPr>
          <w:p>
            <w:pPr>
              <w:pStyle w:val="TableParagraph"/>
              <w:spacing w:before="126"/>
              <w:ind w:left="808"/>
              <w:rPr>
                <w:sz w:val="24"/>
              </w:rPr>
            </w:pPr>
            <w:r>
              <w:rPr>
                <w:spacing w:val="-2"/>
                <w:sz w:val="24"/>
              </w:rPr>
              <w:t>0.60±0.60</w:t>
            </w:r>
          </w:p>
        </w:tc>
      </w:tr>
      <w:tr>
        <w:trPr>
          <w:trHeight w:val="535" w:hRule="atLeast"/>
        </w:trPr>
        <w:tc>
          <w:tcPr>
            <w:tcW w:w="2338" w:type="dxa"/>
          </w:tcPr>
          <w:p>
            <w:pPr>
              <w:pStyle w:val="TableParagraph"/>
              <w:rPr>
                <w:sz w:val="22"/>
              </w:rPr>
            </w:pPr>
          </w:p>
        </w:tc>
        <w:tc>
          <w:tcPr>
            <w:tcW w:w="2630" w:type="dxa"/>
          </w:tcPr>
          <w:p>
            <w:pPr>
              <w:pStyle w:val="TableParagraph"/>
              <w:spacing w:before="123"/>
              <w:ind w:left="864"/>
              <w:rPr>
                <w:sz w:val="24"/>
              </w:rPr>
            </w:pPr>
            <w:r>
              <w:rPr>
                <w:spacing w:val="-10"/>
                <w:sz w:val="24"/>
              </w:rPr>
              <w:t>1</w:t>
            </w:r>
          </w:p>
        </w:tc>
        <w:tc>
          <w:tcPr>
            <w:tcW w:w="3756" w:type="dxa"/>
          </w:tcPr>
          <w:p>
            <w:pPr>
              <w:pStyle w:val="TableParagraph"/>
              <w:spacing w:before="123"/>
              <w:ind w:left="808"/>
              <w:rPr>
                <w:sz w:val="24"/>
              </w:rPr>
            </w:pPr>
            <w:r>
              <w:rPr>
                <w:spacing w:val="-10"/>
                <w:sz w:val="24"/>
              </w:rPr>
              <w:t>0</w:t>
            </w:r>
          </w:p>
        </w:tc>
      </w:tr>
      <w:tr>
        <w:trPr>
          <w:trHeight w:val="537" w:hRule="atLeast"/>
        </w:trPr>
        <w:tc>
          <w:tcPr>
            <w:tcW w:w="2338" w:type="dxa"/>
          </w:tcPr>
          <w:p>
            <w:pPr>
              <w:pStyle w:val="TableParagraph"/>
              <w:spacing w:before="125"/>
              <w:ind w:left="124"/>
              <w:rPr>
                <w:sz w:val="24"/>
              </w:rPr>
            </w:pPr>
            <w:r>
              <w:rPr>
                <w:spacing w:val="-4"/>
                <w:sz w:val="24"/>
              </w:rPr>
              <w:t>SDME</w:t>
            </w:r>
          </w:p>
        </w:tc>
        <w:tc>
          <w:tcPr>
            <w:tcW w:w="2630" w:type="dxa"/>
          </w:tcPr>
          <w:p>
            <w:pPr>
              <w:pStyle w:val="TableParagraph"/>
              <w:spacing w:before="125"/>
              <w:ind w:left="864"/>
              <w:rPr>
                <w:sz w:val="24"/>
              </w:rPr>
            </w:pPr>
            <w:r>
              <w:rPr>
                <w:spacing w:val="-5"/>
                <w:sz w:val="24"/>
              </w:rPr>
              <w:t>0.5</w:t>
            </w:r>
          </w:p>
        </w:tc>
        <w:tc>
          <w:tcPr>
            <w:tcW w:w="3756" w:type="dxa"/>
          </w:tcPr>
          <w:p>
            <w:pPr>
              <w:pStyle w:val="TableParagraph"/>
              <w:spacing w:before="125"/>
              <w:ind w:left="808"/>
              <w:rPr>
                <w:sz w:val="24"/>
              </w:rPr>
            </w:pPr>
            <w:r>
              <w:rPr>
                <w:spacing w:val="-2"/>
                <w:sz w:val="24"/>
              </w:rPr>
              <w:t>0.40±0.40</w:t>
            </w:r>
          </w:p>
        </w:tc>
      </w:tr>
      <w:tr>
        <w:trPr>
          <w:trHeight w:val="551" w:hRule="atLeast"/>
        </w:trPr>
        <w:tc>
          <w:tcPr>
            <w:tcW w:w="2338" w:type="dxa"/>
            <w:tcBorders>
              <w:bottom w:val="single" w:sz="4" w:space="0" w:color="000000"/>
            </w:tcBorders>
          </w:tcPr>
          <w:p>
            <w:pPr>
              <w:pStyle w:val="TableParagraph"/>
              <w:rPr>
                <w:sz w:val="22"/>
              </w:rPr>
            </w:pPr>
          </w:p>
        </w:tc>
        <w:tc>
          <w:tcPr>
            <w:tcW w:w="2630" w:type="dxa"/>
            <w:tcBorders>
              <w:bottom w:val="single" w:sz="4" w:space="0" w:color="000000"/>
            </w:tcBorders>
          </w:tcPr>
          <w:p>
            <w:pPr>
              <w:pStyle w:val="TableParagraph"/>
              <w:spacing w:before="126"/>
              <w:ind w:left="864"/>
              <w:rPr>
                <w:sz w:val="24"/>
              </w:rPr>
            </w:pPr>
            <w:r>
              <w:rPr>
                <w:spacing w:val="-10"/>
                <w:sz w:val="24"/>
              </w:rPr>
              <w:t>1</w:t>
            </w:r>
          </w:p>
        </w:tc>
        <w:tc>
          <w:tcPr>
            <w:tcW w:w="3756" w:type="dxa"/>
            <w:tcBorders>
              <w:bottom w:val="single" w:sz="4" w:space="0" w:color="000000"/>
            </w:tcBorders>
          </w:tcPr>
          <w:p>
            <w:pPr>
              <w:pStyle w:val="TableParagraph"/>
              <w:spacing w:before="126"/>
              <w:ind w:left="808"/>
              <w:rPr>
                <w:sz w:val="24"/>
              </w:rPr>
            </w:pPr>
            <w:r>
              <w:rPr>
                <w:spacing w:val="-10"/>
                <w:sz w:val="24"/>
              </w:rPr>
              <w:t>0</w:t>
            </w:r>
          </w:p>
        </w:tc>
      </w:tr>
    </w:tbl>
    <w:p>
      <w:pPr>
        <w:spacing w:before="0"/>
        <w:ind w:left="1028" w:right="0" w:firstLine="0"/>
        <w:jc w:val="left"/>
        <w:rPr>
          <w:sz w:val="22"/>
        </w:rPr>
      </w:pPr>
      <w:r>
        <w:rPr>
          <w:sz w:val="22"/>
        </w:rPr>
        <w:t>UME</w:t>
      </w:r>
      <w:r>
        <w:rPr>
          <w:spacing w:val="-5"/>
          <w:sz w:val="22"/>
        </w:rPr>
        <w:t> </w:t>
      </w:r>
      <w:r>
        <w:rPr>
          <w:sz w:val="22"/>
        </w:rPr>
        <w:t>=</w:t>
      </w:r>
      <w:r>
        <w:rPr>
          <w:spacing w:val="-5"/>
          <w:sz w:val="22"/>
        </w:rPr>
        <w:t> </w:t>
      </w:r>
      <w:r>
        <w:rPr>
          <w:sz w:val="22"/>
        </w:rPr>
        <w:t>Undetoxified</w:t>
      </w:r>
      <w:r>
        <w:rPr>
          <w:spacing w:val="-7"/>
          <w:sz w:val="22"/>
        </w:rPr>
        <w:t> </w:t>
      </w:r>
      <w:r>
        <w:rPr>
          <w:sz w:val="22"/>
        </w:rPr>
        <w:t>Mechanically</w:t>
      </w:r>
      <w:r>
        <w:rPr>
          <w:spacing w:val="-9"/>
          <w:sz w:val="22"/>
        </w:rPr>
        <w:t> </w:t>
      </w:r>
      <w:r>
        <w:rPr>
          <w:spacing w:val="-2"/>
          <w:sz w:val="22"/>
        </w:rPr>
        <w:t>Extracted</w:t>
      </w:r>
    </w:p>
    <w:p>
      <w:pPr>
        <w:spacing w:before="125"/>
        <w:ind w:left="1028" w:right="0" w:firstLine="0"/>
        <w:jc w:val="left"/>
        <w:rPr>
          <w:sz w:val="22"/>
        </w:rPr>
      </w:pPr>
      <w:r>
        <w:rPr>
          <w:sz w:val="22"/>
        </w:rPr>
        <w:t>SDME</w:t>
      </w:r>
      <w:r>
        <w:rPr>
          <w:spacing w:val="-5"/>
          <w:sz w:val="22"/>
        </w:rPr>
        <w:t> </w:t>
      </w:r>
      <w:r>
        <w:rPr>
          <w:sz w:val="22"/>
        </w:rPr>
        <w:t>=</w:t>
      </w:r>
      <w:r>
        <w:rPr>
          <w:spacing w:val="-9"/>
          <w:sz w:val="22"/>
        </w:rPr>
        <w:t> </w:t>
      </w:r>
      <w:r>
        <w:rPr>
          <w:sz w:val="22"/>
        </w:rPr>
        <w:t>Synthetically</w:t>
      </w:r>
      <w:r>
        <w:rPr>
          <w:spacing w:val="-9"/>
          <w:sz w:val="22"/>
        </w:rPr>
        <w:t> </w:t>
      </w:r>
      <w:r>
        <w:rPr>
          <w:sz w:val="22"/>
        </w:rPr>
        <w:t>Detoxified</w:t>
      </w:r>
      <w:r>
        <w:rPr>
          <w:spacing w:val="-9"/>
          <w:sz w:val="22"/>
        </w:rPr>
        <w:t> </w:t>
      </w:r>
      <w:r>
        <w:rPr>
          <w:sz w:val="22"/>
        </w:rPr>
        <w:t>Mechanically</w:t>
      </w:r>
      <w:r>
        <w:rPr>
          <w:spacing w:val="-8"/>
          <w:sz w:val="22"/>
        </w:rPr>
        <w:t> </w:t>
      </w:r>
      <w:r>
        <w:rPr>
          <w:spacing w:val="-2"/>
          <w:sz w:val="22"/>
        </w:rPr>
        <w:t>Extracted</w:t>
      </w:r>
    </w:p>
    <w:p>
      <w:pPr>
        <w:spacing w:before="121"/>
        <w:ind w:left="1085" w:right="0" w:firstLine="0"/>
        <w:jc w:val="left"/>
        <w:rPr>
          <w:sz w:val="20"/>
        </w:rPr>
      </w:pPr>
      <w:r>
        <w:rPr>
          <w:sz w:val="20"/>
          <w:vertAlign w:val="superscript"/>
        </w:rPr>
        <w:t>*</w:t>
      </w:r>
      <w:r>
        <w:rPr>
          <w:spacing w:val="-5"/>
          <w:sz w:val="20"/>
          <w:vertAlign w:val="baseline"/>
        </w:rPr>
        <w:t> </w:t>
      </w:r>
      <w:r>
        <w:rPr>
          <w:sz w:val="20"/>
          <w:vertAlign w:val="baseline"/>
        </w:rPr>
        <w:t>=</w:t>
      </w:r>
      <w:r>
        <w:rPr>
          <w:spacing w:val="-4"/>
          <w:sz w:val="20"/>
          <w:vertAlign w:val="baseline"/>
        </w:rPr>
        <w:t> </w:t>
      </w:r>
      <w:r>
        <w:rPr>
          <w:sz w:val="20"/>
          <w:vertAlign w:val="baseline"/>
        </w:rPr>
        <w:t>ml/kg;</w:t>
      </w:r>
      <w:r>
        <w:rPr>
          <w:spacing w:val="-5"/>
          <w:sz w:val="20"/>
          <w:vertAlign w:val="baseline"/>
        </w:rPr>
        <w:t> </w:t>
      </w:r>
      <w:r>
        <w:rPr>
          <w:sz w:val="20"/>
          <w:vertAlign w:val="baseline"/>
        </w:rPr>
        <w:t>n</w:t>
      </w:r>
      <w:r>
        <w:rPr>
          <w:spacing w:val="-7"/>
          <w:sz w:val="20"/>
          <w:vertAlign w:val="baseline"/>
        </w:rPr>
        <w:t> </w:t>
      </w:r>
      <w:r>
        <w:rPr>
          <w:sz w:val="20"/>
          <w:vertAlign w:val="baseline"/>
        </w:rPr>
        <w:t>=</w:t>
      </w:r>
      <w:r>
        <w:rPr>
          <w:spacing w:val="-1"/>
          <w:sz w:val="20"/>
          <w:vertAlign w:val="baseline"/>
        </w:rPr>
        <w:t> </w:t>
      </w:r>
      <w:r>
        <w:rPr>
          <w:sz w:val="20"/>
          <w:vertAlign w:val="baseline"/>
        </w:rPr>
        <w:t>5</w:t>
      </w:r>
      <w:r>
        <w:rPr>
          <w:spacing w:val="-7"/>
          <w:sz w:val="20"/>
          <w:vertAlign w:val="baseline"/>
        </w:rPr>
        <w:t> </w:t>
      </w:r>
      <w:r>
        <w:rPr>
          <w:sz w:val="20"/>
          <w:vertAlign w:val="baseline"/>
        </w:rPr>
        <w:t>(number</w:t>
      </w:r>
      <w:r>
        <w:rPr>
          <w:spacing w:val="-2"/>
          <w:sz w:val="20"/>
          <w:vertAlign w:val="baseline"/>
        </w:rPr>
        <w:t> </w:t>
      </w:r>
      <w:r>
        <w:rPr>
          <w:sz w:val="20"/>
          <w:vertAlign w:val="baseline"/>
        </w:rPr>
        <w:t>of</w:t>
      </w:r>
      <w:r>
        <w:rPr>
          <w:spacing w:val="-7"/>
          <w:sz w:val="20"/>
          <w:vertAlign w:val="baseline"/>
        </w:rPr>
        <w:t> </w:t>
      </w:r>
      <w:r>
        <w:rPr>
          <w:sz w:val="20"/>
          <w:vertAlign w:val="baseline"/>
        </w:rPr>
        <w:t>mice); Drug</w:t>
      </w:r>
      <w:r>
        <w:rPr>
          <w:spacing w:val="-7"/>
          <w:sz w:val="20"/>
          <w:vertAlign w:val="baseline"/>
        </w:rPr>
        <w:t> </w:t>
      </w:r>
      <w:r>
        <w:rPr>
          <w:sz w:val="20"/>
          <w:vertAlign w:val="baseline"/>
        </w:rPr>
        <w:t>administration;</w:t>
      </w:r>
      <w:r>
        <w:rPr>
          <w:spacing w:val="-5"/>
          <w:sz w:val="20"/>
          <w:vertAlign w:val="baseline"/>
        </w:rPr>
        <w:t> </w:t>
      </w:r>
      <w:r>
        <w:rPr>
          <w:spacing w:val="-4"/>
          <w:sz w:val="20"/>
          <w:vertAlign w:val="baseline"/>
        </w:rPr>
        <w:t>p.o.</w:t>
      </w:r>
    </w:p>
    <w:p>
      <w:pPr>
        <w:spacing w:before="111"/>
        <w:ind w:left="1028" w:right="0" w:firstLine="0"/>
        <w:jc w:val="left"/>
        <w:rPr>
          <w:sz w:val="20"/>
        </w:rPr>
      </w:pPr>
      <w:r>
        <w:rPr>
          <w:sz w:val="20"/>
        </w:rPr>
        <w:t>Values</w:t>
      </w:r>
      <w:r>
        <w:rPr>
          <w:spacing w:val="-6"/>
          <w:sz w:val="20"/>
        </w:rPr>
        <w:t> </w:t>
      </w:r>
      <w:r>
        <w:rPr>
          <w:sz w:val="20"/>
        </w:rPr>
        <w:t>are</w:t>
      </w:r>
      <w:r>
        <w:rPr>
          <w:spacing w:val="-11"/>
          <w:sz w:val="20"/>
        </w:rPr>
        <w:t> </w:t>
      </w:r>
      <w:r>
        <w:rPr>
          <w:sz w:val="20"/>
        </w:rPr>
        <w:t>mean</w:t>
      </w:r>
      <w:r>
        <w:rPr>
          <w:spacing w:val="-5"/>
          <w:sz w:val="20"/>
        </w:rPr>
        <w:t> </w:t>
      </w:r>
      <w:r>
        <w:rPr>
          <w:sz w:val="20"/>
        </w:rPr>
        <w:t>±</w:t>
      </w:r>
      <w:r>
        <w:rPr>
          <w:spacing w:val="-9"/>
          <w:sz w:val="20"/>
        </w:rPr>
        <w:t> </w:t>
      </w:r>
      <w:r>
        <w:rPr>
          <w:sz w:val="20"/>
        </w:rPr>
        <w:t>S.E.M.;</w:t>
      </w:r>
      <w:r>
        <w:rPr>
          <w:spacing w:val="-7"/>
          <w:sz w:val="20"/>
        </w:rPr>
        <w:t> </w:t>
      </w:r>
      <w:r>
        <w:rPr>
          <w:sz w:val="20"/>
        </w:rPr>
        <w:t>Data</w:t>
      </w:r>
      <w:r>
        <w:rPr>
          <w:spacing w:val="-7"/>
          <w:sz w:val="20"/>
        </w:rPr>
        <w:t> </w:t>
      </w:r>
      <w:r>
        <w:rPr>
          <w:sz w:val="20"/>
        </w:rPr>
        <w:t>analyzed</w:t>
      </w:r>
      <w:r>
        <w:rPr>
          <w:spacing w:val="-5"/>
          <w:sz w:val="20"/>
        </w:rPr>
        <w:t> </w:t>
      </w:r>
      <w:r>
        <w:rPr>
          <w:sz w:val="20"/>
        </w:rPr>
        <w:t>using</w:t>
      </w:r>
      <w:r>
        <w:rPr>
          <w:spacing w:val="-8"/>
          <w:sz w:val="20"/>
        </w:rPr>
        <w:t> </w:t>
      </w:r>
      <w:r>
        <w:rPr>
          <w:sz w:val="20"/>
        </w:rPr>
        <w:t>one</w:t>
      </w:r>
      <w:r>
        <w:rPr>
          <w:spacing w:val="-8"/>
          <w:sz w:val="20"/>
        </w:rPr>
        <w:t> </w:t>
      </w:r>
      <w:r>
        <w:rPr>
          <w:sz w:val="20"/>
        </w:rPr>
        <w:t>way</w:t>
      </w:r>
      <w:r>
        <w:rPr>
          <w:spacing w:val="-8"/>
          <w:sz w:val="20"/>
        </w:rPr>
        <w:t> </w:t>
      </w:r>
      <w:r>
        <w:rPr>
          <w:sz w:val="20"/>
        </w:rPr>
        <w:t>ANOVA</w:t>
      </w:r>
      <w:r>
        <w:rPr>
          <w:spacing w:val="-6"/>
          <w:sz w:val="20"/>
        </w:rPr>
        <w:t> </w:t>
      </w:r>
      <w:r>
        <w:rPr>
          <w:sz w:val="20"/>
        </w:rPr>
        <w:t>and</w:t>
      </w:r>
      <w:r>
        <w:rPr>
          <w:spacing w:val="-9"/>
          <w:sz w:val="20"/>
        </w:rPr>
        <w:t> </w:t>
      </w:r>
      <w:r>
        <w:rPr>
          <w:sz w:val="20"/>
        </w:rPr>
        <w:t>Dunnett‟s</w:t>
      </w:r>
      <w:r>
        <w:rPr>
          <w:spacing w:val="-6"/>
          <w:sz w:val="20"/>
        </w:rPr>
        <w:t> </w:t>
      </w:r>
      <w:r>
        <w:rPr>
          <w:sz w:val="20"/>
        </w:rPr>
        <w:t>post</w:t>
      </w:r>
      <w:r>
        <w:rPr>
          <w:spacing w:val="-7"/>
          <w:sz w:val="20"/>
        </w:rPr>
        <w:t> </w:t>
      </w:r>
      <w:r>
        <w:rPr>
          <w:spacing w:val="-5"/>
          <w:sz w:val="20"/>
        </w:rPr>
        <w:t>hoc</w:t>
      </w:r>
    </w:p>
    <w:p>
      <w:pPr>
        <w:spacing w:before="116"/>
        <w:ind w:left="1028" w:right="0" w:firstLine="0"/>
        <w:jc w:val="left"/>
        <w:rPr>
          <w:sz w:val="20"/>
        </w:rPr>
      </w:pPr>
      <w:r>
        <w:rPr>
          <w:sz w:val="20"/>
          <w:vertAlign w:val="superscript"/>
        </w:rPr>
        <w:t>a</w:t>
      </w:r>
      <w:r>
        <w:rPr>
          <w:spacing w:val="-17"/>
          <w:sz w:val="20"/>
          <w:vertAlign w:val="baseline"/>
        </w:rPr>
        <w:t> </w:t>
      </w:r>
      <w:r>
        <w:rPr>
          <w:sz w:val="20"/>
          <w:vertAlign w:val="baseline"/>
        </w:rPr>
        <w:t>significantly</w:t>
      </w:r>
      <w:r>
        <w:rPr>
          <w:spacing w:val="-13"/>
          <w:sz w:val="20"/>
          <w:vertAlign w:val="baseline"/>
        </w:rPr>
        <w:t> </w:t>
      </w:r>
      <w:r>
        <w:rPr>
          <w:sz w:val="20"/>
          <w:vertAlign w:val="baseline"/>
        </w:rPr>
        <w:t>different</w:t>
      </w:r>
      <w:r>
        <w:rPr>
          <w:spacing w:val="-10"/>
          <w:sz w:val="20"/>
          <w:vertAlign w:val="baseline"/>
        </w:rPr>
        <w:t> </w:t>
      </w:r>
      <w:r>
        <w:rPr>
          <w:sz w:val="20"/>
          <w:vertAlign w:val="baseline"/>
        </w:rPr>
        <w:t>from</w:t>
      </w:r>
      <w:r>
        <w:rPr>
          <w:spacing w:val="-6"/>
          <w:sz w:val="20"/>
          <w:vertAlign w:val="baseline"/>
        </w:rPr>
        <w:t> </w:t>
      </w:r>
      <w:r>
        <w:rPr>
          <w:sz w:val="20"/>
          <w:vertAlign w:val="baseline"/>
        </w:rPr>
        <w:t>the</w:t>
      </w:r>
      <w:r>
        <w:rPr>
          <w:spacing w:val="-7"/>
          <w:sz w:val="20"/>
          <w:vertAlign w:val="baseline"/>
        </w:rPr>
        <w:t> </w:t>
      </w:r>
      <w:r>
        <w:rPr>
          <w:sz w:val="20"/>
          <w:vertAlign w:val="baseline"/>
        </w:rPr>
        <w:t>control</w:t>
      </w:r>
      <w:r>
        <w:rPr>
          <w:spacing w:val="-4"/>
          <w:sz w:val="20"/>
          <w:vertAlign w:val="baseline"/>
        </w:rPr>
        <w:t> </w:t>
      </w:r>
      <w:r>
        <w:rPr>
          <w:sz w:val="20"/>
          <w:vertAlign w:val="baseline"/>
        </w:rPr>
        <w:t>group</w:t>
      </w:r>
      <w:r>
        <w:rPr>
          <w:spacing w:val="-4"/>
          <w:sz w:val="20"/>
          <w:vertAlign w:val="baseline"/>
        </w:rPr>
        <w:t> </w:t>
      </w:r>
      <w:r>
        <w:rPr>
          <w:sz w:val="20"/>
          <w:vertAlign w:val="baseline"/>
        </w:rPr>
        <w:t>at</w:t>
      </w:r>
      <w:r>
        <w:rPr>
          <w:spacing w:val="-6"/>
          <w:sz w:val="20"/>
          <w:vertAlign w:val="baseline"/>
        </w:rPr>
        <w:t> </w:t>
      </w:r>
      <w:r>
        <w:rPr>
          <w:spacing w:val="-2"/>
          <w:sz w:val="20"/>
          <w:vertAlign w:val="baseline"/>
        </w:rPr>
        <w:t>p&lt;0.05</w:t>
      </w:r>
    </w:p>
    <w:p>
      <w:pPr>
        <w:spacing w:after="0"/>
        <w:jc w:val="left"/>
        <w:rPr>
          <w:sz w:val="20"/>
        </w:rPr>
        <w:sectPr>
          <w:pgSz w:w="11910" w:h="16840"/>
          <w:pgMar w:header="0" w:footer="1012" w:top="1340" w:bottom="1200" w:left="960" w:right="620"/>
        </w:sectPr>
      </w:pPr>
    </w:p>
    <w:p>
      <w:pPr>
        <w:tabs>
          <w:tab w:pos="5737" w:val="left" w:leader="none"/>
        </w:tabs>
        <w:spacing w:line="240" w:lineRule="auto"/>
        <w:ind w:left="1057" w:right="0" w:firstLine="0"/>
        <w:rPr>
          <w:sz w:val="20"/>
        </w:rPr>
      </w:pPr>
      <w:r>
        <w:rPr>
          <w:sz w:val="20"/>
        </w:rPr>
        <w:drawing>
          <wp:inline distT="0" distB="0" distL="0" distR="0">
            <wp:extent cx="2597278" cy="2847975"/>
            <wp:effectExtent l="0" t="0" r="0" b="0"/>
            <wp:docPr id="201" name="Image 201" descr="C:\Users\TRY\Documents\TISSUES\Control\1 LIVA 2.bmp"/>
            <wp:cNvGraphicFramePr>
              <a:graphicFrameLocks/>
            </wp:cNvGraphicFramePr>
            <a:graphic>
              <a:graphicData uri="http://schemas.openxmlformats.org/drawingml/2006/picture">
                <pic:pic>
                  <pic:nvPicPr>
                    <pic:cNvPr id="201" name="Image 201" descr="C:\Users\TRY\Documents\TISSUES\Control\1 LIVA 2.bmp"/>
                    <pic:cNvPicPr/>
                  </pic:nvPicPr>
                  <pic:blipFill>
                    <a:blip r:embed="rId99" cstate="print"/>
                    <a:stretch>
                      <a:fillRect/>
                    </a:stretch>
                  </pic:blipFill>
                  <pic:spPr>
                    <a:xfrm>
                      <a:off x="0" y="0"/>
                      <a:ext cx="2597278" cy="2847975"/>
                    </a:xfrm>
                    <a:prstGeom prst="rect">
                      <a:avLst/>
                    </a:prstGeom>
                  </pic:spPr>
                </pic:pic>
              </a:graphicData>
            </a:graphic>
          </wp:inline>
        </w:drawing>
      </w:r>
      <w:r>
        <w:rPr>
          <w:sz w:val="20"/>
        </w:rPr>
      </w:r>
      <w:r>
        <w:rPr>
          <w:sz w:val="20"/>
        </w:rPr>
        <w:tab/>
      </w:r>
      <w:r>
        <w:rPr>
          <w:position w:val="9"/>
          <w:sz w:val="20"/>
        </w:rPr>
        <w:drawing>
          <wp:inline distT="0" distB="0" distL="0" distR="0">
            <wp:extent cx="2493367" cy="2748914"/>
            <wp:effectExtent l="0" t="0" r="0" b="0"/>
            <wp:docPr id="202" name="Image 202" descr="C:\Users\TRY\Documents\TISSUES\Group 3-125mg untreated\12LIVB.bmp"/>
            <wp:cNvGraphicFramePr>
              <a:graphicFrameLocks/>
            </wp:cNvGraphicFramePr>
            <a:graphic>
              <a:graphicData uri="http://schemas.openxmlformats.org/drawingml/2006/picture">
                <pic:pic>
                  <pic:nvPicPr>
                    <pic:cNvPr id="202" name="Image 202" descr="C:\Users\TRY\Documents\TISSUES\Group 3-125mg untreated\12LIVB.bmp"/>
                    <pic:cNvPicPr/>
                  </pic:nvPicPr>
                  <pic:blipFill>
                    <a:blip r:embed="rId100" cstate="print"/>
                    <a:stretch>
                      <a:fillRect/>
                    </a:stretch>
                  </pic:blipFill>
                  <pic:spPr>
                    <a:xfrm>
                      <a:off x="0" y="0"/>
                      <a:ext cx="2493367" cy="2748914"/>
                    </a:xfrm>
                    <a:prstGeom prst="rect">
                      <a:avLst/>
                    </a:prstGeom>
                  </pic:spPr>
                </pic:pic>
              </a:graphicData>
            </a:graphic>
          </wp:inline>
        </w:drawing>
      </w:r>
      <w:r>
        <w:rPr>
          <w:position w:val="9"/>
          <w:sz w:val="20"/>
        </w:rPr>
      </w:r>
    </w:p>
    <w:p>
      <w:pPr>
        <w:tabs>
          <w:tab w:pos="5685" w:val="left" w:leader="none"/>
        </w:tabs>
        <w:spacing w:before="47"/>
        <w:ind w:left="1028" w:right="0" w:firstLine="0"/>
        <w:jc w:val="left"/>
        <w:rPr>
          <w:b/>
          <w:sz w:val="22"/>
        </w:rPr>
      </w:pPr>
      <w:r>
        <w:rPr>
          <w:b/>
          <w:sz w:val="22"/>
        </w:rPr>
        <w:t>Plate</w:t>
      </w:r>
      <w:r>
        <w:rPr>
          <w:b/>
          <w:spacing w:val="-4"/>
          <w:sz w:val="22"/>
        </w:rPr>
        <w:t> </w:t>
      </w:r>
      <w:r>
        <w:rPr>
          <w:b/>
          <w:sz w:val="22"/>
        </w:rPr>
        <w:t>I:</w:t>
      </w:r>
      <w:r>
        <w:rPr>
          <w:b/>
          <w:spacing w:val="-2"/>
          <w:sz w:val="22"/>
        </w:rPr>
        <w:t> </w:t>
      </w:r>
      <w:r>
        <w:rPr>
          <w:b/>
          <w:sz w:val="22"/>
        </w:rPr>
        <w:t>Liver</w:t>
      </w:r>
      <w:r>
        <w:rPr>
          <w:b/>
          <w:spacing w:val="-3"/>
          <w:sz w:val="22"/>
        </w:rPr>
        <w:t> </w:t>
      </w:r>
      <w:r>
        <w:rPr>
          <w:b/>
          <w:sz w:val="22"/>
        </w:rPr>
        <w:t>Control x</w:t>
      </w:r>
      <w:r>
        <w:rPr>
          <w:b/>
          <w:spacing w:val="-6"/>
          <w:sz w:val="22"/>
        </w:rPr>
        <w:t> </w:t>
      </w:r>
      <w:r>
        <w:rPr>
          <w:b/>
          <w:spacing w:val="-5"/>
          <w:sz w:val="22"/>
        </w:rPr>
        <w:t>250</w:t>
      </w:r>
      <w:r>
        <w:rPr>
          <w:b/>
          <w:sz w:val="22"/>
        </w:rPr>
        <w:tab/>
        <w:t>Plate</w:t>
      </w:r>
      <w:r>
        <w:rPr>
          <w:b/>
          <w:spacing w:val="-6"/>
          <w:sz w:val="22"/>
        </w:rPr>
        <w:t> </w:t>
      </w:r>
      <w:r>
        <w:rPr>
          <w:b/>
          <w:sz w:val="22"/>
        </w:rPr>
        <w:t>II:</w:t>
      </w:r>
      <w:r>
        <w:rPr>
          <w:b/>
          <w:spacing w:val="-6"/>
          <w:sz w:val="22"/>
        </w:rPr>
        <w:t> </w:t>
      </w:r>
      <w:r>
        <w:rPr>
          <w:b/>
          <w:sz w:val="22"/>
        </w:rPr>
        <w:t>Liver</w:t>
      </w:r>
      <w:r>
        <w:rPr>
          <w:b/>
          <w:spacing w:val="-6"/>
          <w:sz w:val="22"/>
        </w:rPr>
        <w:t> </w:t>
      </w:r>
      <w:r>
        <w:rPr>
          <w:b/>
          <w:sz w:val="22"/>
        </w:rPr>
        <w:t>(125 mg/kg</w:t>
      </w:r>
      <w:r>
        <w:rPr>
          <w:b/>
          <w:spacing w:val="-4"/>
          <w:sz w:val="22"/>
        </w:rPr>
        <w:t> </w:t>
      </w:r>
      <w:r>
        <w:rPr>
          <w:b/>
          <w:sz w:val="22"/>
        </w:rPr>
        <w:t>UME)</w:t>
      </w:r>
      <w:r>
        <w:rPr>
          <w:b/>
          <w:spacing w:val="-5"/>
          <w:sz w:val="22"/>
        </w:rPr>
        <w:t> </w:t>
      </w:r>
      <w:r>
        <w:rPr>
          <w:b/>
          <w:spacing w:val="-4"/>
          <w:sz w:val="22"/>
        </w:rPr>
        <w:t>x250</w:t>
      </w:r>
    </w:p>
    <w:p>
      <w:pPr>
        <w:pStyle w:val="BodyText"/>
        <w:rPr>
          <w:b/>
          <w:sz w:val="20"/>
        </w:rPr>
      </w:pPr>
    </w:p>
    <w:p>
      <w:pPr>
        <w:pStyle w:val="BodyText"/>
        <w:spacing w:before="56"/>
        <w:rPr>
          <w:b/>
          <w:sz w:val="20"/>
        </w:rPr>
      </w:pPr>
      <w:r>
        <w:rPr/>
        <w:drawing>
          <wp:anchor distT="0" distB="0" distL="0" distR="0" allowOverlap="1" layoutInCell="1" locked="0" behindDoc="1" simplePos="0" relativeHeight="487626752">
            <wp:simplePos x="0" y="0"/>
            <wp:positionH relativeFrom="page">
              <wp:posOffset>4252595</wp:posOffset>
            </wp:positionH>
            <wp:positionV relativeFrom="paragraph">
              <wp:posOffset>197257</wp:posOffset>
            </wp:positionV>
            <wp:extent cx="2504858" cy="2677096"/>
            <wp:effectExtent l="0" t="0" r="0" b="0"/>
            <wp:wrapTopAndBottom/>
            <wp:docPr id="203" name="Image 203" descr="C:\Users\TRY\Documents\TISSUES\Group 2-125mg treated\8LIVB.bmp"/>
            <wp:cNvGraphicFramePr>
              <a:graphicFrameLocks/>
            </wp:cNvGraphicFramePr>
            <a:graphic>
              <a:graphicData uri="http://schemas.openxmlformats.org/drawingml/2006/picture">
                <pic:pic>
                  <pic:nvPicPr>
                    <pic:cNvPr id="203" name="Image 203" descr="C:\Users\TRY\Documents\TISSUES\Group 2-125mg treated\8LIVB.bmp"/>
                    <pic:cNvPicPr/>
                  </pic:nvPicPr>
                  <pic:blipFill>
                    <a:blip r:embed="rId101" cstate="print"/>
                    <a:stretch>
                      <a:fillRect/>
                    </a:stretch>
                  </pic:blipFill>
                  <pic:spPr>
                    <a:xfrm>
                      <a:off x="0" y="0"/>
                      <a:ext cx="2504858" cy="2677096"/>
                    </a:xfrm>
                    <a:prstGeom prst="rect">
                      <a:avLst/>
                    </a:prstGeom>
                  </pic:spPr>
                </pic:pic>
              </a:graphicData>
            </a:graphic>
          </wp:anchor>
        </w:drawing>
      </w:r>
    </w:p>
    <w:p>
      <w:pPr>
        <w:spacing w:before="109"/>
        <w:ind w:left="5652" w:right="0" w:firstLine="0"/>
        <w:jc w:val="left"/>
        <w:rPr>
          <w:b/>
          <w:sz w:val="24"/>
        </w:rPr>
      </w:pPr>
      <w:r>
        <w:rPr>
          <w:b/>
          <w:sz w:val="22"/>
        </w:rPr>
        <w:t>Plate</w:t>
      </w:r>
      <w:r>
        <w:rPr>
          <w:b/>
          <w:spacing w:val="-6"/>
          <w:sz w:val="22"/>
        </w:rPr>
        <w:t> </w:t>
      </w:r>
      <w:r>
        <w:rPr>
          <w:b/>
          <w:sz w:val="22"/>
        </w:rPr>
        <w:t>III:</w:t>
      </w:r>
      <w:r>
        <w:rPr>
          <w:b/>
          <w:spacing w:val="-4"/>
          <w:sz w:val="22"/>
        </w:rPr>
        <w:t> </w:t>
      </w:r>
      <w:r>
        <w:rPr>
          <w:b/>
          <w:sz w:val="22"/>
        </w:rPr>
        <w:t>Liver</w:t>
      </w:r>
      <w:r>
        <w:rPr>
          <w:b/>
          <w:spacing w:val="-5"/>
          <w:sz w:val="22"/>
        </w:rPr>
        <w:t> </w:t>
      </w:r>
      <w:r>
        <w:rPr>
          <w:b/>
          <w:sz w:val="22"/>
        </w:rPr>
        <w:t>(125</w:t>
      </w:r>
      <w:r>
        <w:rPr>
          <w:b/>
          <w:spacing w:val="-4"/>
          <w:sz w:val="22"/>
        </w:rPr>
        <w:t> </w:t>
      </w:r>
      <w:r>
        <w:rPr>
          <w:b/>
          <w:sz w:val="22"/>
        </w:rPr>
        <w:t>mg/kg</w:t>
      </w:r>
      <w:r>
        <w:rPr>
          <w:b/>
          <w:spacing w:val="-3"/>
          <w:sz w:val="22"/>
        </w:rPr>
        <w:t> </w:t>
      </w:r>
      <w:r>
        <w:rPr>
          <w:b/>
          <w:sz w:val="22"/>
        </w:rPr>
        <w:t>SDME)</w:t>
      </w:r>
      <w:r>
        <w:rPr>
          <w:b/>
          <w:spacing w:val="-1"/>
          <w:sz w:val="22"/>
        </w:rPr>
        <w:t> </w:t>
      </w:r>
      <w:r>
        <w:rPr>
          <w:b/>
          <w:spacing w:val="-4"/>
          <w:sz w:val="24"/>
        </w:rPr>
        <w:t>x250</w:t>
      </w:r>
    </w:p>
    <w:p>
      <w:pPr>
        <w:pStyle w:val="BodyText"/>
        <w:rPr>
          <w:b/>
          <w:sz w:val="22"/>
        </w:rPr>
      </w:pPr>
    </w:p>
    <w:p>
      <w:pPr>
        <w:pStyle w:val="BodyText"/>
        <w:rPr>
          <w:b/>
          <w:sz w:val="22"/>
        </w:rPr>
      </w:pPr>
    </w:p>
    <w:p>
      <w:pPr>
        <w:pStyle w:val="BodyText"/>
        <w:spacing w:before="208"/>
        <w:rPr>
          <w:b/>
          <w:sz w:val="22"/>
        </w:rPr>
      </w:pPr>
    </w:p>
    <w:p>
      <w:pPr>
        <w:pStyle w:val="Heading2"/>
        <w:numPr>
          <w:ilvl w:val="2"/>
          <w:numId w:val="21"/>
        </w:numPr>
        <w:tabs>
          <w:tab w:pos="1694" w:val="left" w:leader="none"/>
        </w:tabs>
        <w:spacing w:line="360" w:lineRule="auto" w:before="0" w:after="0"/>
        <w:ind w:left="1028" w:right="804" w:firstLine="0"/>
        <w:jc w:val="left"/>
      </w:pPr>
      <w:r>
        <w:rPr/>
        <w:t>Effects of</w:t>
      </w:r>
      <w:r>
        <w:rPr>
          <w:spacing w:val="-4"/>
        </w:rPr>
        <w:t> </w:t>
      </w:r>
      <w:r>
        <w:rPr/>
        <w:t>undetoxified and</w:t>
      </w:r>
      <w:r>
        <w:rPr>
          <w:spacing w:val="-1"/>
        </w:rPr>
        <w:t> </w:t>
      </w:r>
      <w:r>
        <w:rPr/>
        <w:t>detoxified </w:t>
      </w:r>
      <w:r>
        <w:rPr>
          <w:i/>
        </w:rPr>
        <w:t>Jatropha</w:t>
      </w:r>
      <w:r>
        <w:rPr>
          <w:i/>
          <w:spacing w:val="-2"/>
        </w:rPr>
        <w:t> </w:t>
      </w:r>
      <w:r>
        <w:rPr>
          <w:i/>
        </w:rPr>
        <w:t>curcas</w:t>
      </w:r>
      <w:r>
        <w:rPr>
          <w:i/>
          <w:spacing w:val="-3"/>
        </w:rPr>
        <w:t> </w:t>
      </w:r>
      <w:r>
        <w:rPr/>
        <w:t>oils</w:t>
      </w:r>
      <w:r>
        <w:rPr>
          <w:spacing w:val="-3"/>
        </w:rPr>
        <w:t> </w:t>
      </w:r>
      <w:r>
        <w:rPr/>
        <w:t>on liver</w:t>
      </w:r>
      <w:r>
        <w:rPr>
          <w:spacing w:val="-3"/>
        </w:rPr>
        <w:t> </w:t>
      </w:r>
      <w:r>
        <w:rPr/>
        <w:t>tissues (H and E stain)</w:t>
      </w:r>
    </w:p>
    <w:p>
      <w:pPr>
        <w:pStyle w:val="BodyText"/>
        <w:spacing w:before="139"/>
        <w:rPr>
          <w:b/>
        </w:rPr>
      </w:pPr>
    </w:p>
    <w:p>
      <w:pPr>
        <w:spacing w:line="360" w:lineRule="auto" w:before="0"/>
        <w:ind w:left="1028" w:right="0" w:firstLine="0"/>
        <w:jc w:val="left"/>
        <w:rPr>
          <w:sz w:val="22"/>
        </w:rPr>
      </w:pPr>
      <w:r>
        <w:rPr>
          <w:sz w:val="22"/>
        </w:rPr>
        <w:t>Plate</w:t>
      </w:r>
      <w:r>
        <w:rPr>
          <w:spacing w:val="32"/>
          <w:sz w:val="22"/>
        </w:rPr>
        <w:t> </w:t>
      </w:r>
      <w:r>
        <w:rPr>
          <w:sz w:val="22"/>
        </w:rPr>
        <w:t>I:</w:t>
      </w:r>
      <w:r>
        <w:rPr>
          <w:spacing w:val="36"/>
          <w:sz w:val="22"/>
        </w:rPr>
        <w:t> </w:t>
      </w:r>
      <w:r>
        <w:rPr>
          <w:sz w:val="22"/>
        </w:rPr>
        <w:t>Section</w:t>
      </w:r>
      <w:r>
        <w:rPr>
          <w:spacing w:val="39"/>
          <w:sz w:val="22"/>
        </w:rPr>
        <w:t> </w:t>
      </w:r>
      <w:r>
        <w:rPr>
          <w:sz w:val="22"/>
        </w:rPr>
        <w:t>of</w:t>
      </w:r>
      <w:r>
        <w:rPr>
          <w:spacing w:val="38"/>
          <w:sz w:val="22"/>
        </w:rPr>
        <w:t> </w:t>
      </w:r>
      <w:r>
        <w:rPr>
          <w:sz w:val="22"/>
        </w:rPr>
        <w:t>the</w:t>
      </w:r>
      <w:r>
        <w:rPr>
          <w:spacing w:val="37"/>
          <w:sz w:val="22"/>
        </w:rPr>
        <w:t> </w:t>
      </w:r>
      <w:r>
        <w:rPr>
          <w:sz w:val="22"/>
        </w:rPr>
        <w:t>liver</w:t>
      </w:r>
      <w:r>
        <w:rPr>
          <w:spacing w:val="40"/>
          <w:sz w:val="22"/>
        </w:rPr>
        <w:t> </w:t>
      </w:r>
      <w:r>
        <w:rPr>
          <w:sz w:val="22"/>
        </w:rPr>
        <w:t>tissue</w:t>
      </w:r>
      <w:r>
        <w:rPr>
          <w:spacing w:val="32"/>
          <w:sz w:val="22"/>
        </w:rPr>
        <w:t> </w:t>
      </w:r>
      <w:r>
        <w:rPr>
          <w:sz w:val="22"/>
        </w:rPr>
        <w:t>from</w:t>
      </w:r>
      <w:r>
        <w:rPr>
          <w:spacing w:val="31"/>
          <w:sz w:val="22"/>
        </w:rPr>
        <w:t> </w:t>
      </w:r>
      <w:r>
        <w:rPr>
          <w:sz w:val="22"/>
        </w:rPr>
        <w:t>the</w:t>
      </w:r>
      <w:r>
        <w:rPr>
          <w:spacing w:val="32"/>
          <w:sz w:val="22"/>
        </w:rPr>
        <w:t> </w:t>
      </w:r>
      <w:r>
        <w:rPr>
          <w:sz w:val="22"/>
        </w:rPr>
        <w:t>control</w:t>
      </w:r>
      <w:r>
        <w:rPr>
          <w:spacing w:val="40"/>
          <w:sz w:val="22"/>
        </w:rPr>
        <w:t> </w:t>
      </w:r>
      <w:r>
        <w:rPr>
          <w:sz w:val="22"/>
        </w:rPr>
        <w:t>(olive</w:t>
      </w:r>
      <w:r>
        <w:rPr>
          <w:spacing w:val="32"/>
          <w:sz w:val="22"/>
        </w:rPr>
        <w:t> </w:t>
      </w:r>
      <w:r>
        <w:rPr>
          <w:sz w:val="22"/>
        </w:rPr>
        <w:t>oil</w:t>
      </w:r>
      <w:r>
        <w:rPr>
          <w:spacing w:val="37"/>
          <w:sz w:val="22"/>
        </w:rPr>
        <w:t> </w:t>
      </w:r>
      <w:r>
        <w:rPr>
          <w:sz w:val="22"/>
        </w:rPr>
        <w:t>10</w:t>
      </w:r>
      <w:r>
        <w:rPr>
          <w:spacing w:val="39"/>
          <w:sz w:val="22"/>
        </w:rPr>
        <w:t> </w:t>
      </w:r>
      <w:r>
        <w:rPr>
          <w:sz w:val="22"/>
        </w:rPr>
        <w:t>ml/kg)</w:t>
      </w:r>
      <w:r>
        <w:rPr>
          <w:spacing w:val="40"/>
          <w:sz w:val="22"/>
        </w:rPr>
        <w:t> </w:t>
      </w:r>
      <w:r>
        <w:rPr>
          <w:sz w:val="22"/>
        </w:rPr>
        <w:t>group</w:t>
      </w:r>
      <w:r>
        <w:rPr>
          <w:spacing w:val="39"/>
          <w:sz w:val="22"/>
        </w:rPr>
        <w:t> </w:t>
      </w:r>
      <w:r>
        <w:rPr>
          <w:sz w:val="22"/>
        </w:rPr>
        <w:t>with</w:t>
      </w:r>
      <w:r>
        <w:rPr>
          <w:spacing w:val="34"/>
          <w:sz w:val="22"/>
        </w:rPr>
        <w:t> </w:t>
      </w:r>
      <w:r>
        <w:rPr>
          <w:sz w:val="22"/>
        </w:rPr>
        <w:t>normal hepatocytes (H), sinusoids (S), central vein (CV) and kupffer cells (K).</w:t>
      </w:r>
    </w:p>
    <w:p>
      <w:pPr>
        <w:spacing w:after="0" w:line="360" w:lineRule="auto"/>
        <w:jc w:val="left"/>
        <w:rPr>
          <w:sz w:val="22"/>
        </w:rPr>
        <w:sectPr>
          <w:pgSz w:w="11910" w:h="16840"/>
          <w:pgMar w:header="0" w:footer="1012" w:top="1400" w:bottom="1200" w:left="960" w:right="620"/>
        </w:sectPr>
      </w:pPr>
    </w:p>
    <w:p>
      <w:pPr>
        <w:spacing w:line="360" w:lineRule="auto" w:before="64"/>
        <w:ind w:left="1028" w:right="800" w:firstLine="0"/>
        <w:jc w:val="both"/>
        <w:rPr>
          <w:sz w:val="22"/>
        </w:rPr>
      </w:pPr>
      <w:r>
        <w:rPr>
          <w:sz w:val="22"/>
        </w:rPr>
        <w:t>Plate II: Section of the liver treated with 125 mg/kg of undetoxified (UME) </w:t>
      </w:r>
      <w:r>
        <w:rPr>
          <w:i/>
          <w:sz w:val="22"/>
        </w:rPr>
        <w:t>J. curcas </w:t>
      </w:r>
      <w:r>
        <w:rPr>
          <w:sz w:val="22"/>
        </w:rPr>
        <w:t>oil showing normal cytoarchitecture of the liver with cellular debris and slight infiltration of atypical lymphocyte in the central vein (CV) and the sinusoid slightly degenetrated.</w:t>
      </w:r>
    </w:p>
    <w:p>
      <w:pPr>
        <w:pStyle w:val="BodyText"/>
        <w:spacing w:before="125"/>
        <w:rPr>
          <w:sz w:val="22"/>
        </w:rPr>
      </w:pPr>
    </w:p>
    <w:p>
      <w:pPr>
        <w:spacing w:line="360" w:lineRule="auto" w:before="1" w:after="4"/>
        <w:ind w:left="1028" w:right="800" w:firstLine="0"/>
        <w:jc w:val="both"/>
        <w:rPr>
          <w:sz w:val="22"/>
        </w:rPr>
      </w:pPr>
      <w:r>
        <w:rPr>
          <w:sz w:val="22"/>
        </w:rPr>
        <w:t>Plate III: Section of the liver treated with 125 mg/kg detoxified (SDME) </w:t>
      </w:r>
      <w:r>
        <w:rPr>
          <w:i/>
          <w:sz w:val="22"/>
        </w:rPr>
        <w:t>J. curcas </w:t>
      </w:r>
      <w:r>
        <w:rPr>
          <w:sz w:val="22"/>
        </w:rPr>
        <w:t>oil showing apparently normal histological cytoarchitecture of the hepatocyte (H), kupffer cells (K), sinusoids (S) and central vein (CV).</w:t>
      </w:r>
    </w:p>
    <w:p>
      <w:pPr>
        <w:tabs>
          <w:tab w:pos="5805" w:val="left" w:leader="none"/>
        </w:tabs>
        <w:spacing w:line="240" w:lineRule="auto"/>
        <w:ind w:left="1057" w:right="0" w:firstLine="0"/>
        <w:rPr>
          <w:sz w:val="20"/>
        </w:rPr>
      </w:pPr>
      <w:r>
        <w:rPr>
          <w:sz w:val="20"/>
        </w:rPr>
        <w:drawing>
          <wp:inline distT="0" distB="0" distL="0" distR="0">
            <wp:extent cx="2544480" cy="2734055"/>
            <wp:effectExtent l="0" t="0" r="0" b="0"/>
            <wp:docPr id="204" name="Image 204" descr="C:\Users\TRY\Documents\TISSUES\Control\1 LIVA 2.bmp"/>
            <wp:cNvGraphicFramePr>
              <a:graphicFrameLocks/>
            </wp:cNvGraphicFramePr>
            <a:graphic>
              <a:graphicData uri="http://schemas.openxmlformats.org/drawingml/2006/picture">
                <pic:pic>
                  <pic:nvPicPr>
                    <pic:cNvPr id="204" name="Image 204" descr="C:\Users\TRY\Documents\TISSUES\Control\1 LIVA 2.bmp"/>
                    <pic:cNvPicPr/>
                  </pic:nvPicPr>
                  <pic:blipFill>
                    <a:blip r:embed="rId99" cstate="print"/>
                    <a:stretch>
                      <a:fillRect/>
                    </a:stretch>
                  </pic:blipFill>
                  <pic:spPr>
                    <a:xfrm>
                      <a:off x="0" y="0"/>
                      <a:ext cx="2544480" cy="2734055"/>
                    </a:xfrm>
                    <a:prstGeom prst="rect">
                      <a:avLst/>
                    </a:prstGeom>
                  </pic:spPr>
                </pic:pic>
              </a:graphicData>
            </a:graphic>
          </wp:inline>
        </w:drawing>
      </w:r>
      <w:r>
        <w:rPr>
          <w:sz w:val="20"/>
        </w:rPr>
      </w:r>
      <w:r>
        <w:rPr>
          <w:sz w:val="20"/>
        </w:rPr>
        <w:tab/>
      </w:r>
      <w:r>
        <w:rPr>
          <w:sz w:val="20"/>
        </w:rPr>
        <w:drawing>
          <wp:inline distT="0" distB="0" distL="0" distR="0">
            <wp:extent cx="2538407" cy="2748915"/>
            <wp:effectExtent l="0" t="0" r="0" b="0"/>
            <wp:docPr id="205" name="Image 205" descr="C:\Users\TRY\Documents\TISSUES\Group 4- 250mg untreated\4 liver 400.jpg"/>
            <wp:cNvGraphicFramePr>
              <a:graphicFrameLocks/>
            </wp:cNvGraphicFramePr>
            <a:graphic>
              <a:graphicData uri="http://schemas.openxmlformats.org/drawingml/2006/picture">
                <pic:pic>
                  <pic:nvPicPr>
                    <pic:cNvPr id="205" name="Image 205" descr="C:\Users\TRY\Documents\TISSUES\Group 4- 250mg untreated\4 liver 400.jpg"/>
                    <pic:cNvPicPr/>
                  </pic:nvPicPr>
                  <pic:blipFill>
                    <a:blip r:embed="rId102" cstate="print"/>
                    <a:stretch>
                      <a:fillRect/>
                    </a:stretch>
                  </pic:blipFill>
                  <pic:spPr>
                    <a:xfrm>
                      <a:off x="0" y="0"/>
                      <a:ext cx="2538407" cy="2748915"/>
                    </a:xfrm>
                    <a:prstGeom prst="rect">
                      <a:avLst/>
                    </a:prstGeom>
                  </pic:spPr>
                </pic:pic>
              </a:graphicData>
            </a:graphic>
          </wp:inline>
        </w:drawing>
      </w:r>
      <w:r>
        <w:rPr>
          <w:sz w:val="20"/>
        </w:rPr>
      </w:r>
    </w:p>
    <w:p>
      <w:pPr>
        <w:tabs>
          <w:tab w:pos="5772" w:val="left" w:leader="none"/>
        </w:tabs>
        <w:spacing w:before="127"/>
        <w:ind w:left="1028" w:right="0" w:firstLine="0"/>
        <w:jc w:val="left"/>
        <w:rPr>
          <w:b/>
          <w:sz w:val="24"/>
        </w:rPr>
      </w:pPr>
      <w:r>
        <w:rPr>
          <w:b/>
          <w:sz w:val="24"/>
        </w:rPr>
        <w:t>Plate</w:t>
      </w:r>
      <w:r>
        <w:rPr>
          <w:b/>
          <w:spacing w:val="-3"/>
          <w:sz w:val="24"/>
        </w:rPr>
        <w:t> </w:t>
      </w:r>
      <w:r>
        <w:rPr>
          <w:b/>
          <w:sz w:val="24"/>
        </w:rPr>
        <w:t>IV: Liver</w:t>
      </w:r>
      <w:r>
        <w:rPr>
          <w:b/>
          <w:spacing w:val="-7"/>
          <w:sz w:val="24"/>
        </w:rPr>
        <w:t> </w:t>
      </w:r>
      <w:r>
        <w:rPr>
          <w:b/>
          <w:sz w:val="24"/>
        </w:rPr>
        <w:t>(Control) </w:t>
      </w:r>
      <w:r>
        <w:rPr>
          <w:b/>
          <w:spacing w:val="-4"/>
          <w:sz w:val="24"/>
        </w:rPr>
        <w:t>x250</w:t>
      </w:r>
      <w:r>
        <w:rPr>
          <w:b/>
          <w:sz w:val="24"/>
        </w:rPr>
        <w:tab/>
        <w:t>Plate</w:t>
      </w:r>
      <w:r>
        <w:rPr>
          <w:b/>
          <w:spacing w:val="-4"/>
          <w:sz w:val="24"/>
        </w:rPr>
        <w:t> </w:t>
      </w:r>
      <w:r>
        <w:rPr>
          <w:b/>
          <w:sz w:val="24"/>
        </w:rPr>
        <w:t>V:</w:t>
      </w:r>
      <w:r>
        <w:rPr>
          <w:b/>
          <w:spacing w:val="1"/>
          <w:sz w:val="24"/>
        </w:rPr>
        <w:t> </w:t>
      </w:r>
      <w:r>
        <w:rPr>
          <w:b/>
          <w:sz w:val="24"/>
        </w:rPr>
        <w:t>Liver</w:t>
      </w:r>
      <w:r>
        <w:rPr>
          <w:b/>
          <w:spacing w:val="-7"/>
          <w:sz w:val="24"/>
        </w:rPr>
        <w:t> </w:t>
      </w:r>
      <w:r>
        <w:rPr>
          <w:b/>
          <w:sz w:val="24"/>
        </w:rPr>
        <w:t>(250</w:t>
      </w:r>
      <w:r>
        <w:rPr>
          <w:b/>
          <w:spacing w:val="1"/>
          <w:sz w:val="24"/>
        </w:rPr>
        <w:t> </w:t>
      </w:r>
      <w:r>
        <w:rPr>
          <w:b/>
          <w:sz w:val="24"/>
        </w:rPr>
        <w:t>mg/kg</w:t>
      </w:r>
      <w:r>
        <w:rPr>
          <w:b/>
          <w:spacing w:val="-1"/>
          <w:sz w:val="24"/>
        </w:rPr>
        <w:t> </w:t>
      </w:r>
      <w:r>
        <w:rPr>
          <w:b/>
          <w:sz w:val="24"/>
        </w:rPr>
        <w:t>UME)</w:t>
      </w:r>
      <w:r>
        <w:rPr>
          <w:b/>
          <w:spacing w:val="1"/>
          <w:sz w:val="24"/>
        </w:rPr>
        <w:t> </w:t>
      </w:r>
      <w:r>
        <w:rPr>
          <w:b/>
          <w:spacing w:val="-4"/>
          <w:sz w:val="24"/>
        </w:rPr>
        <w:t>x400</w:t>
      </w:r>
    </w:p>
    <w:p>
      <w:pPr>
        <w:pStyle w:val="BodyText"/>
        <w:rPr>
          <w:b/>
          <w:sz w:val="20"/>
        </w:rPr>
      </w:pPr>
    </w:p>
    <w:p>
      <w:pPr>
        <w:pStyle w:val="BodyText"/>
        <w:spacing w:before="71"/>
        <w:rPr>
          <w:b/>
          <w:sz w:val="20"/>
        </w:rPr>
      </w:pPr>
      <w:r>
        <w:rPr/>
        <w:drawing>
          <wp:anchor distT="0" distB="0" distL="0" distR="0" allowOverlap="1" layoutInCell="1" locked="0" behindDoc="1" simplePos="0" relativeHeight="487627264">
            <wp:simplePos x="0" y="0"/>
            <wp:positionH relativeFrom="page">
              <wp:posOffset>4290695</wp:posOffset>
            </wp:positionH>
            <wp:positionV relativeFrom="paragraph">
              <wp:posOffset>206529</wp:posOffset>
            </wp:positionV>
            <wp:extent cx="2560602" cy="2647950"/>
            <wp:effectExtent l="0" t="0" r="0" b="0"/>
            <wp:wrapTopAndBottom/>
            <wp:docPr id="206" name="Image 206" descr="C:\Users\TRY\Documents\TISSUES\Group5-250mg treated\7 LIVER250.jpg"/>
            <wp:cNvGraphicFramePr>
              <a:graphicFrameLocks/>
            </wp:cNvGraphicFramePr>
            <a:graphic>
              <a:graphicData uri="http://schemas.openxmlformats.org/drawingml/2006/picture">
                <pic:pic>
                  <pic:nvPicPr>
                    <pic:cNvPr id="206" name="Image 206" descr="C:\Users\TRY\Documents\TISSUES\Group5-250mg treated\7 LIVER250.jpg"/>
                    <pic:cNvPicPr/>
                  </pic:nvPicPr>
                  <pic:blipFill>
                    <a:blip r:embed="rId103" cstate="print"/>
                    <a:stretch>
                      <a:fillRect/>
                    </a:stretch>
                  </pic:blipFill>
                  <pic:spPr>
                    <a:xfrm>
                      <a:off x="0" y="0"/>
                      <a:ext cx="2560602" cy="2647950"/>
                    </a:xfrm>
                    <a:prstGeom prst="rect">
                      <a:avLst/>
                    </a:prstGeom>
                  </pic:spPr>
                </pic:pic>
              </a:graphicData>
            </a:graphic>
          </wp:anchor>
        </w:drawing>
      </w:r>
    </w:p>
    <w:p>
      <w:pPr>
        <w:spacing w:before="93"/>
        <w:ind w:left="5714" w:right="0" w:firstLine="0"/>
        <w:jc w:val="left"/>
        <w:rPr>
          <w:b/>
          <w:sz w:val="24"/>
        </w:rPr>
      </w:pPr>
      <w:r>
        <w:rPr>
          <w:b/>
          <w:sz w:val="24"/>
        </w:rPr>
        <w:t>Plate</w:t>
      </w:r>
      <w:r>
        <w:rPr>
          <w:b/>
          <w:spacing w:val="-2"/>
          <w:sz w:val="24"/>
        </w:rPr>
        <w:t> </w:t>
      </w:r>
      <w:r>
        <w:rPr>
          <w:b/>
          <w:sz w:val="24"/>
        </w:rPr>
        <w:t>VI:</w:t>
      </w:r>
      <w:r>
        <w:rPr>
          <w:b/>
          <w:spacing w:val="-1"/>
          <w:sz w:val="24"/>
        </w:rPr>
        <w:t> </w:t>
      </w:r>
      <w:r>
        <w:rPr>
          <w:b/>
          <w:sz w:val="24"/>
        </w:rPr>
        <w:t>Liver</w:t>
      </w:r>
      <w:r>
        <w:rPr>
          <w:b/>
          <w:spacing w:val="-7"/>
          <w:sz w:val="24"/>
        </w:rPr>
        <w:t> </w:t>
      </w:r>
      <w:r>
        <w:rPr>
          <w:b/>
          <w:sz w:val="24"/>
        </w:rPr>
        <w:t>(250</w:t>
      </w:r>
      <w:r>
        <w:rPr>
          <w:b/>
          <w:spacing w:val="-1"/>
          <w:sz w:val="24"/>
        </w:rPr>
        <w:t> </w:t>
      </w:r>
      <w:r>
        <w:rPr>
          <w:b/>
          <w:sz w:val="24"/>
        </w:rPr>
        <w:t>mg/kg</w:t>
      </w:r>
      <w:r>
        <w:rPr>
          <w:b/>
          <w:spacing w:val="-1"/>
          <w:sz w:val="24"/>
        </w:rPr>
        <w:t> </w:t>
      </w:r>
      <w:r>
        <w:rPr>
          <w:b/>
          <w:sz w:val="24"/>
        </w:rPr>
        <w:t>SDME) </w:t>
      </w:r>
      <w:r>
        <w:rPr>
          <w:b/>
          <w:spacing w:val="-4"/>
          <w:sz w:val="24"/>
        </w:rPr>
        <w:t>x250</w:t>
      </w:r>
    </w:p>
    <w:p>
      <w:pPr>
        <w:spacing w:after="0"/>
        <w:jc w:val="left"/>
        <w:rPr>
          <w:sz w:val="24"/>
        </w:rPr>
        <w:sectPr>
          <w:pgSz w:w="11910" w:h="16840"/>
          <w:pgMar w:header="0" w:footer="1012" w:top="1340" w:bottom="1200" w:left="960" w:right="620"/>
        </w:sectPr>
      </w:pPr>
    </w:p>
    <w:p>
      <w:pPr>
        <w:pStyle w:val="ListParagraph"/>
        <w:numPr>
          <w:ilvl w:val="2"/>
          <w:numId w:val="21"/>
        </w:numPr>
        <w:tabs>
          <w:tab w:pos="1863" w:val="left" w:leader="none"/>
        </w:tabs>
        <w:spacing w:line="360" w:lineRule="auto" w:before="64" w:after="0"/>
        <w:ind w:left="1028" w:right="803" w:firstLine="0"/>
        <w:jc w:val="left"/>
        <w:rPr>
          <w:b/>
          <w:sz w:val="24"/>
        </w:rPr>
      </w:pPr>
      <w:r>
        <w:rPr>
          <w:b/>
          <w:sz w:val="24"/>
        </w:rPr>
        <w:t>Effects of undetoxified and detoxified </w:t>
      </w:r>
      <w:r>
        <w:rPr>
          <w:b/>
          <w:i/>
          <w:sz w:val="24"/>
        </w:rPr>
        <w:t>Jatropha curcas </w:t>
      </w:r>
      <w:r>
        <w:rPr>
          <w:b/>
          <w:sz w:val="24"/>
        </w:rPr>
        <w:t>oils on liver tissues (H and E stain)</w:t>
      </w:r>
    </w:p>
    <w:p>
      <w:pPr>
        <w:pStyle w:val="BodyText"/>
        <w:spacing w:before="139"/>
        <w:rPr>
          <w:b/>
        </w:rPr>
      </w:pPr>
    </w:p>
    <w:p>
      <w:pPr>
        <w:spacing w:line="360" w:lineRule="auto" w:before="0"/>
        <w:ind w:left="1028" w:right="802" w:firstLine="0"/>
        <w:jc w:val="both"/>
        <w:rPr>
          <w:sz w:val="22"/>
        </w:rPr>
      </w:pPr>
      <w:r>
        <w:rPr>
          <w:sz w:val="22"/>
        </w:rPr>
        <w:t>Plate IV: Section of the liver tissue from the control (olive oil 10 ml/kg) group with normal hepatocytes (H), sinusoids (S), central vein (CV) and kupffer cells (K).</w:t>
      </w:r>
    </w:p>
    <w:p>
      <w:pPr>
        <w:pStyle w:val="BodyText"/>
        <w:spacing w:before="126"/>
        <w:rPr>
          <w:sz w:val="22"/>
        </w:rPr>
      </w:pPr>
    </w:p>
    <w:p>
      <w:pPr>
        <w:spacing w:line="360" w:lineRule="auto" w:before="0"/>
        <w:ind w:left="1028" w:right="807" w:firstLine="0"/>
        <w:jc w:val="both"/>
        <w:rPr>
          <w:sz w:val="22"/>
        </w:rPr>
      </w:pPr>
      <w:r>
        <w:rPr>
          <w:sz w:val="22"/>
        </w:rPr>
        <w:t>Plate V: Section of the liver treated with 250 mg/kg of undetoxified </w:t>
      </w:r>
      <w:r>
        <w:rPr>
          <w:i/>
          <w:sz w:val="22"/>
        </w:rPr>
        <w:t>J. curcas </w:t>
      </w:r>
      <w:r>
        <w:rPr>
          <w:sz w:val="22"/>
        </w:rPr>
        <w:t>oil showing a cytoarchitecture of the liver with microvasculating fat droplets (FD) and binucleated</w:t>
      </w:r>
      <w:r>
        <w:rPr>
          <w:spacing w:val="40"/>
          <w:sz w:val="22"/>
        </w:rPr>
        <w:t> </w:t>
      </w:r>
      <w:r>
        <w:rPr>
          <w:sz w:val="22"/>
        </w:rPr>
        <w:t>hepatocytes (B).</w:t>
      </w:r>
    </w:p>
    <w:p>
      <w:pPr>
        <w:pStyle w:val="BodyText"/>
        <w:spacing w:before="126"/>
        <w:rPr>
          <w:sz w:val="22"/>
        </w:rPr>
      </w:pPr>
    </w:p>
    <w:p>
      <w:pPr>
        <w:spacing w:line="360" w:lineRule="auto" w:before="0" w:after="4"/>
        <w:ind w:left="1028" w:right="801" w:firstLine="0"/>
        <w:jc w:val="both"/>
        <w:rPr>
          <w:sz w:val="22"/>
        </w:rPr>
      </w:pPr>
      <w:r>
        <w:rPr>
          <w:sz w:val="22"/>
        </w:rPr>
        <w:t>Plate</w:t>
      </w:r>
      <w:r>
        <w:rPr>
          <w:spacing w:val="-6"/>
          <w:sz w:val="22"/>
        </w:rPr>
        <w:t> </w:t>
      </w:r>
      <w:r>
        <w:rPr>
          <w:sz w:val="22"/>
        </w:rPr>
        <w:t>VI:</w:t>
      </w:r>
      <w:r>
        <w:rPr>
          <w:spacing w:val="-3"/>
          <w:sz w:val="22"/>
        </w:rPr>
        <w:t> </w:t>
      </w:r>
      <w:r>
        <w:rPr>
          <w:sz w:val="22"/>
        </w:rPr>
        <w:t>Section of</w:t>
      </w:r>
      <w:r>
        <w:rPr>
          <w:spacing w:val="-5"/>
          <w:sz w:val="22"/>
        </w:rPr>
        <w:t> </w:t>
      </w:r>
      <w:r>
        <w:rPr>
          <w:sz w:val="22"/>
        </w:rPr>
        <w:t>the</w:t>
      </w:r>
      <w:r>
        <w:rPr>
          <w:spacing w:val="-6"/>
          <w:sz w:val="22"/>
        </w:rPr>
        <w:t> </w:t>
      </w:r>
      <w:r>
        <w:rPr>
          <w:sz w:val="22"/>
        </w:rPr>
        <w:t>liver</w:t>
      </w:r>
      <w:r>
        <w:rPr>
          <w:spacing w:val="-1"/>
          <w:sz w:val="22"/>
        </w:rPr>
        <w:t> </w:t>
      </w:r>
      <w:r>
        <w:rPr>
          <w:sz w:val="22"/>
        </w:rPr>
        <w:t>treated</w:t>
      </w:r>
      <w:r>
        <w:rPr>
          <w:spacing w:val="-4"/>
          <w:sz w:val="22"/>
        </w:rPr>
        <w:t> </w:t>
      </w:r>
      <w:r>
        <w:rPr>
          <w:sz w:val="22"/>
        </w:rPr>
        <w:t>with</w:t>
      </w:r>
      <w:r>
        <w:rPr>
          <w:spacing w:val="-9"/>
          <w:sz w:val="22"/>
        </w:rPr>
        <w:t> </w:t>
      </w:r>
      <w:r>
        <w:rPr>
          <w:sz w:val="22"/>
        </w:rPr>
        <w:t>250 mg/kg</w:t>
      </w:r>
      <w:r>
        <w:rPr>
          <w:spacing w:val="-4"/>
          <w:sz w:val="22"/>
        </w:rPr>
        <w:t> </w:t>
      </w:r>
      <w:r>
        <w:rPr>
          <w:sz w:val="22"/>
        </w:rPr>
        <w:t>detoxified</w:t>
      </w:r>
      <w:r>
        <w:rPr>
          <w:spacing w:val="-2"/>
          <w:sz w:val="22"/>
        </w:rPr>
        <w:t> </w:t>
      </w:r>
      <w:r>
        <w:rPr>
          <w:i/>
          <w:sz w:val="22"/>
        </w:rPr>
        <w:t>J. curcas </w:t>
      </w:r>
      <w:r>
        <w:rPr>
          <w:sz w:val="22"/>
        </w:rPr>
        <w:t>oil</w:t>
      </w:r>
      <w:r>
        <w:rPr>
          <w:spacing w:val="-3"/>
          <w:sz w:val="22"/>
        </w:rPr>
        <w:t> </w:t>
      </w:r>
      <w:r>
        <w:rPr>
          <w:sz w:val="22"/>
        </w:rPr>
        <w:t>showing</w:t>
      </w:r>
      <w:r>
        <w:rPr>
          <w:spacing w:val="-4"/>
          <w:sz w:val="22"/>
        </w:rPr>
        <w:t> </w:t>
      </w:r>
      <w:r>
        <w:rPr>
          <w:sz w:val="22"/>
        </w:rPr>
        <w:t>apparently normal cytoarchitecture of the liver with few microvascular fat droplets (FD) and some binucleated hepatocytes (B).</w:t>
      </w:r>
    </w:p>
    <w:p>
      <w:pPr>
        <w:tabs>
          <w:tab w:pos="5797" w:val="left" w:leader="none"/>
        </w:tabs>
        <w:spacing w:line="240" w:lineRule="auto"/>
        <w:ind w:left="1057" w:right="0" w:firstLine="0"/>
        <w:rPr>
          <w:sz w:val="20"/>
        </w:rPr>
      </w:pPr>
      <w:r>
        <w:rPr>
          <w:sz w:val="20"/>
        </w:rPr>
        <w:drawing>
          <wp:inline distT="0" distB="0" distL="0" distR="0">
            <wp:extent cx="2569022" cy="2677096"/>
            <wp:effectExtent l="0" t="0" r="0" b="0"/>
            <wp:docPr id="207" name="Image 207" descr="C:\Users\TRY\Documents\TISSUES\Control\1 LIVA 2.bmp"/>
            <wp:cNvGraphicFramePr>
              <a:graphicFrameLocks/>
            </wp:cNvGraphicFramePr>
            <a:graphic>
              <a:graphicData uri="http://schemas.openxmlformats.org/drawingml/2006/picture">
                <pic:pic>
                  <pic:nvPicPr>
                    <pic:cNvPr id="207" name="Image 207" descr="C:\Users\TRY\Documents\TISSUES\Control\1 LIVA 2.bmp"/>
                    <pic:cNvPicPr/>
                  </pic:nvPicPr>
                  <pic:blipFill>
                    <a:blip r:embed="rId99" cstate="print"/>
                    <a:stretch>
                      <a:fillRect/>
                    </a:stretch>
                  </pic:blipFill>
                  <pic:spPr>
                    <a:xfrm>
                      <a:off x="0" y="0"/>
                      <a:ext cx="2569022" cy="2677096"/>
                    </a:xfrm>
                    <a:prstGeom prst="rect">
                      <a:avLst/>
                    </a:prstGeom>
                  </pic:spPr>
                </pic:pic>
              </a:graphicData>
            </a:graphic>
          </wp:inline>
        </w:drawing>
      </w:r>
      <w:r>
        <w:rPr>
          <w:sz w:val="20"/>
        </w:rPr>
      </w:r>
      <w:r>
        <w:rPr>
          <w:sz w:val="20"/>
        </w:rPr>
        <w:tab/>
      </w:r>
      <w:r>
        <w:rPr>
          <w:position w:val="9"/>
          <w:sz w:val="20"/>
        </w:rPr>
        <w:drawing>
          <wp:inline distT="0" distB="0" distL="0" distR="0">
            <wp:extent cx="2521942" cy="2636043"/>
            <wp:effectExtent l="0" t="0" r="0" b="0"/>
            <wp:docPr id="208" name="Image 208" descr="C:\Users\TRY\Documents\TISSUES\Group6 500mg Untreateed\3 LIVER 250.jpg"/>
            <wp:cNvGraphicFramePr>
              <a:graphicFrameLocks/>
            </wp:cNvGraphicFramePr>
            <a:graphic>
              <a:graphicData uri="http://schemas.openxmlformats.org/drawingml/2006/picture">
                <pic:pic>
                  <pic:nvPicPr>
                    <pic:cNvPr id="208" name="Image 208" descr="C:\Users\TRY\Documents\TISSUES\Group6 500mg Untreateed\3 LIVER 250.jpg"/>
                    <pic:cNvPicPr/>
                  </pic:nvPicPr>
                  <pic:blipFill>
                    <a:blip r:embed="rId104" cstate="print"/>
                    <a:stretch>
                      <a:fillRect/>
                    </a:stretch>
                  </pic:blipFill>
                  <pic:spPr>
                    <a:xfrm>
                      <a:off x="0" y="0"/>
                      <a:ext cx="2521942" cy="2636043"/>
                    </a:xfrm>
                    <a:prstGeom prst="rect">
                      <a:avLst/>
                    </a:prstGeom>
                  </pic:spPr>
                </pic:pic>
              </a:graphicData>
            </a:graphic>
          </wp:inline>
        </w:drawing>
      </w:r>
      <w:r>
        <w:rPr>
          <w:position w:val="9"/>
          <w:sz w:val="20"/>
        </w:rPr>
      </w:r>
    </w:p>
    <w:p>
      <w:pPr>
        <w:tabs>
          <w:tab w:pos="5652" w:val="left" w:leader="none"/>
        </w:tabs>
        <w:spacing w:before="70"/>
        <w:ind w:left="1028" w:right="0" w:firstLine="0"/>
        <w:jc w:val="left"/>
        <w:rPr>
          <w:b/>
          <w:sz w:val="24"/>
        </w:rPr>
      </w:pPr>
      <w:r>
        <w:rPr>
          <w:b/>
          <w:sz w:val="24"/>
        </w:rPr>
        <w:t>Plate</w:t>
      </w:r>
      <w:r>
        <w:rPr>
          <w:b/>
          <w:spacing w:val="-3"/>
          <w:sz w:val="24"/>
        </w:rPr>
        <w:t> </w:t>
      </w:r>
      <w:r>
        <w:rPr>
          <w:b/>
          <w:sz w:val="24"/>
        </w:rPr>
        <w:t>VII:</w:t>
      </w:r>
      <w:r>
        <w:rPr>
          <w:b/>
          <w:spacing w:val="-1"/>
          <w:sz w:val="24"/>
        </w:rPr>
        <w:t> </w:t>
      </w:r>
      <w:r>
        <w:rPr>
          <w:b/>
          <w:sz w:val="24"/>
        </w:rPr>
        <w:t>Liver</w:t>
      </w:r>
      <w:r>
        <w:rPr>
          <w:b/>
          <w:spacing w:val="-8"/>
          <w:sz w:val="24"/>
        </w:rPr>
        <w:t> </w:t>
      </w:r>
      <w:r>
        <w:rPr>
          <w:b/>
          <w:sz w:val="24"/>
        </w:rPr>
        <w:t>(Control) </w:t>
      </w:r>
      <w:r>
        <w:rPr>
          <w:b/>
          <w:spacing w:val="-4"/>
          <w:sz w:val="24"/>
        </w:rPr>
        <w:t>x250</w:t>
      </w:r>
      <w:r>
        <w:rPr>
          <w:b/>
          <w:sz w:val="24"/>
        </w:rPr>
        <w:tab/>
        <w:t>Plate</w:t>
      </w:r>
      <w:r>
        <w:rPr>
          <w:b/>
          <w:spacing w:val="-3"/>
          <w:sz w:val="24"/>
        </w:rPr>
        <w:t> </w:t>
      </w:r>
      <w:r>
        <w:rPr>
          <w:b/>
          <w:sz w:val="24"/>
        </w:rPr>
        <w:t>VIII: Liver</w:t>
      </w:r>
      <w:r>
        <w:rPr>
          <w:b/>
          <w:spacing w:val="-8"/>
          <w:sz w:val="24"/>
        </w:rPr>
        <w:t> </w:t>
      </w:r>
      <w:r>
        <w:rPr>
          <w:b/>
          <w:sz w:val="24"/>
        </w:rPr>
        <w:t>(500</w:t>
      </w:r>
      <w:r>
        <w:rPr>
          <w:b/>
          <w:spacing w:val="2"/>
          <w:sz w:val="24"/>
        </w:rPr>
        <w:t> </w:t>
      </w:r>
      <w:r>
        <w:rPr>
          <w:b/>
          <w:sz w:val="24"/>
        </w:rPr>
        <w:t>mg/kg</w:t>
      </w:r>
      <w:r>
        <w:rPr>
          <w:b/>
          <w:spacing w:val="-1"/>
          <w:sz w:val="24"/>
        </w:rPr>
        <w:t> </w:t>
      </w:r>
      <w:r>
        <w:rPr>
          <w:b/>
          <w:sz w:val="24"/>
        </w:rPr>
        <w:t>UME) </w:t>
      </w:r>
      <w:r>
        <w:rPr>
          <w:b/>
          <w:spacing w:val="-4"/>
          <w:sz w:val="24"/>
        </w:rPr>
        <w:t>x400</w:t>
      </w:r>
    </w:p>
    <w:p>
      <w:pPr>
        <w:spacing w:after="0"/>
        <w:jc w:val="left"/>
        <w:rPr>
          <w:sz w:val="24"/>
        </w:rPr>
        <w:sectPr>
          <w:pgSz w:w="11910" w:h="16840"/>
          <w:pgMar w:header="0" w:footer="1012" w:top="1340" w:bottom="1200" w:left="960" w:right="620"/>
        </w:sectPr>
      </w:pPr>
    </w:p>
    <w:p>
      <w:pPr>
        <w:pStyle w:val="BodyText"/>
        <w:ind w:left="5797"/>
        <w:rPr>
          <w:sz w:val="20"/>
        </w:rPr>
      </w:pPr>
      <w:r>
        <w:rPr>
          <w:sz w:val="20"/>
        </w:rPr>
        <w:drawing>
          <wp:inline distT="0" distB="0" distL="0" distR="0">
            <wp:extent cx="2562399" cy="2631757"/>
            <wp:effectExtent l="0" t="0" r="0" b="0"/>
            <wp:docPr id="209" name="Image 209" descr="C:\Users\TRY\Documents\TISSUES\Group7 500mg Treated\14 LIVE4R.jpg"/>
            <wp:cNvGraphicFramePr>
              <a:graphicFrameLocks/>
            </wp:cNvGraphicFramePr>
            <a:graphic>
              <a:graphicData uri="http://schemas.openxmlformats.org/drawingml/2006/picture">
                <pic:pic>
                  <pic:nvPicPr>
                    <pic:cNvPr id="209" name="Image 209" descr="C:\Users\TRY\Documents\TISSUES\Group7 500mg Treated\14 LIVE4R.jpg"/>
                    <pic:cNvPicPr/>
                  </pic:nvPicPr>
                  <pic:blipFill>
                    <a:blip r:embed="rId105" cstate="print"/>
                    <a:stretch>
                      <a:fillRect/>
                    </a:stretch>
                  </pic:blipFill>
                  <pic:spPr>
                    <a:xfrm>
                      <a:off x="0" y="0"/>
                      <a:ext cx="2562399" cy="2631757"/>
                    </a:xfrm>
                    <a:prstGeom prst="rect">
                      <a:avLst/>
                    </a:prstGeom>
                  </pic:spPr>
                </pic:pic>
              </a:graphicData>
            </a:graphic>
          </wp:inline>
        </w:drawing>
      </w:r>
      <w:r>
        <w:rPr>
          <w:sz w:val="20"/>
        </w:rPr>
      </w:r>
    </w:p>
    <w:p>
      <w:pPr>
        <w:spacing w:before="94"/>
        <w:ind w:left="5767" w:right="0" w:firstLine="0"/>
        <w:jc w:val="left"/>
        <w:rPr>
          <w:b/>
          <w:sz w:val="24"/>
        </w:rPr>
      </w:pPr>
      <w:r>
        <w:rPr>
          <w:b/>
          <w:sz w:val="24"/>
        </w:rPr>
        <w:t>Plate</w:t>
      </w:r>
      <w:r>
        <w:rPr>
          <w:b/>
          <w:spacing w:val="5"/>
          <w:sz w:val="24"/>
        </w:rPr>
        <w:t> </w:t>
      </w:r>
      <w:r>
        <w:rPr>
          <w:b/>
          <w:sz w:val="24"/>
        </w:rPr>
        <w:t>IX:</w:t>
      </w:r>
      <w:r>
        <w:rPr>
          <w:b/>
          <w:spacing w:val="8"/>
          <w:sz w:val="24"/>
        </w:rPr>
        <w:t> </w:t>
      </w:r>
      <w:r>
        <w:rPr>
          <w:b/>
          <w:sz w:val="24"/>
        </w:rPr>
        <w:t>Liver</w:t>
      </w:r>
      <w:r>
        <w:rPr>
          <w:b/>
          <w:spacing w:val="1"/>
          <w:sz w:val="24"/>
        </w:rPr>
        <w:t> </w:t>
      </w:r>
      <w:r>
        <w:rPr>
          <w:b/>
          <w:sz w:val="24"/>
        </w:rPr>
        <w:t>(500</w:t>
      </w:r>
      <w:r>
        <w:rPr>
          <w:b/>
          <w:spacing w:val="14"/>
          <w:sz w:val="24"/>
        </w:rPr>
        <w:t> </w:t>
      </w:r>
      <w:r>
        <w:rPr>
          <w:b/>
          <w:sz w:val="24"/>
        </w:rPr>
        <w:t>mg/kg</w:t>
      </w:r>
      <w:r>
        <w:rPr>
          <w:b/>
          <w:spacing w:val="6"/>
          <w:sz w:val="24"/>
        </w:rPr>
        <w:t> </w:t>
      </w:r>
      <w:r>
        <w:rPr>
          <w:b/>
          <w:sz w:val="24"/>
        </w:rPr>
        <w:t>SDME)</w:t>
      </w:r>
      <w:r>
        <w:rPr>
          <w:b/>
          <w:spacing w:val="8"/>
          <w:sz w:val="24"/>
        </w:rPr>
        <w:t> </w:t>
      </w:r>
      <w:r>
        <w:rPr>
          <w:b/>
          <w:spacing w:val="-4"/>
          <w:sz w:val="24"/>
        </w:rPr>
        <w:t>x250</w:t>
      </w:r>
    </w:p>
    <w:p>
      <w:pPr>
        <w:pStyle w:val="BodyText"/>
        <w:rPr>
          <w:b/>
        </w:rPr>
      </w:pPr>
    </w:p>
    <w:p>
      <w:pPr>
        <w:pStyle w:val="BodyText"/>
        <w:rPr>
          <w:b/>
        </w:rPr>
      </w:pPr>
    </w:p>
    <w:p>
      <w:pPr>
        <w:pStyle w:val="BodyText"/>
        <w:spacing w:before="139"/>
        <w:rPr>
          <w:b/>
        </w:rPr>
      </w:pPr>
    </w:p>
    <w:p>
      <w:pPr>
        <w:pStyle w:val="ListParagraph"/>
        <w:numPr>
          <w:ilvl w:val="2"/>
          <w:numId w:val="21"/>
        </w:numPr>
        <w:tabs>
          <w:tab w:pos="1863" w:val="left" w:leader="none"/>
        </w:tabs>
        <w:spacing w:line="360" w:lineRule="auto" w:before="1" w:after="0"/>
        <w:ind w:left="1028" w:right="803" w:firstLine="0"/>
        <w:jc w:val="left"/>
        <w:rPr>
          <w:b/>
          <w:sz w:val="24"/>
        </w:rPr>
      </w:pPr>
      <w:r>
        <w:rPr>
          <w:b/>
          <w:sz w:val="24"/>
        </w:rPr>
        <w:t>Effects of undetoxified and detoxified </w:t>
      </w:r>
      <w:r>
        <w:rPr>
          <w:b/>
          <w:i/>
          <w:sz w:val="24"/>
        </w:rPr>
        <w:t>Jatropha curcas </w:t>
      </w:r>
      <w:r>
        <w:rPr>
          <w:b/>
          <w:sz w:val="24"/>
        </w:rPr>
        <w:t>oils on liver tissues (H and E stain)</w:t>
      </w:r>
    </w:p>
    <w:p>
      <w:pPr>
        <w:pStyle w:val="BodyText"/>
        <w:spacing w:before="139"/>
        <w:rPr>
          <w:b/>
        </w:rPr>
      </w:pPr>
    </w:p>
    <w:p>
      <w:pPr>
        <w:spacing w:line="360" w:lineRule="auto" w:before="0"/>
        <w:ind w:left="1028" w:right="803" w:firstLine="0"/>
        <w:jc w:val="both"/>
        <w:rPr>
          <w:sz w:val="22"/>
        </w:rPr>
      </w:pPr>
      <w:r>
        <w:rPr>
          <w:sz w:val="22"/>
        </w:rPr>
        <w:t>Plate VII: Section of the liver tissue from the control (olive oil 10 ml/kg) group with normal hepatocytes (H), sinusoids (S), central vein (CV) and kupffer cells (K).</w:t>
      </w:r>
    </w:p>
    <w:p>
      <w:pPr>
        <w:pStyle w:val="BodyText"/>
        <w:spacing w:before="126"/>
        <w:rPr>
          <w:sz w:val="22"/>
        </w:rPr>
      </w:pPr>
    </w:p>
    <w:p>
      <w:pPr>
        <w:spacing w:line="360" w:lineRule="auto" w:before="0"/>
        <w:ind w:left="1028" w:right="798" w:firstLine="0"/>
        <w:jc w:val="both"/>
        <w:rPr>
          <w:sz w:val="22"/>
        </w:rPr>
      </w:pPr>
      <w:r>
        <w:rPr>
          <w:sz w:val="22"/>
        </w:rPr>
        <w:t>Plate VIII: Section of liver treated with 500 mg/kg undetoxified </w:t>
      </w:r>
      <w:r>
        <w:rPr>
          <w:i/>
          <w:sz w:val="22"/>
        </w:rPr>
        <w:t>J. curcas </w:t>
      </w:r>
      <w:r>
        <w:rPr>
          <w:sz w:val="22"/>
        </w:rPr>
        <w:t>oil showing the cytoarchitecture of the liver with cellular debris and atypical lymphocyte in the central vein (CV), necrotic hepatolysis (H) and degenerated sinusoids (S).</w:t>
      </w:r>
    </w:p>
    <w:p>
      <w:pPr>
        <w:pStyle w:val="BodyText"/>
        <w:spacing w:before="126"/>
        <w:rPr>
          <w:sz w:val="22"/>
        </w:rPr>
      </w:pPr>
    </w:p>
    <w:p>
      <w:pPr>
        <w:spacing w:line="360" w:lineRule="auto" w:before="0"/>
        <w:ind w:left="1028" w:right="800" w:firstLine="0"/>
        <w:jc w:val="both"/>
        <w:rPr>
          <w:sz w:val="22"/>
        </w:rPr>
      </w:pPr>
      <w:r>
        <w:rPr>
          <w:sz w:val="22"/>
        </w:rPr>
        <w:t>Plate</w:t>
      </w:r>
      <w:r>
        <w:rPr>
          <w:spacing w:val="-11"/>
          <w:sz w:val="22"/>
        </w:rPr>
        <w:t> </w:t>
      </w:r>
      <w:r>
        <w:rPr>
          <w:sz w:val="22"/>
        </w:rPr>
        <w:t>IX:</w:t>
      </w:r>
      <w:r>
        <w:rPr>
          <w:spacing w:val="-3"/>
          <w:sz w:val="22"/>
        </w:rPr>
        <w:t> </w:t>
      </w:r>
      <w:r>
        <w:rPr>
          <w:sz w:val="22"/>
        </w:rPr>
        <w:t>Section of</w:t>
      </w:r>
      <w:r>
        <w:rPr>
          <w:spacing w:val="-5"/>
          <w:sz w:val="22"/>
        </w:rPr>
        <w:t> </w:t>
      </w:r>
      <w:r>
        <w:rPr>
          <w:sz w:val="22"/>
        </w:rPr>
        <w:t>the</w:t>
      </w:r>
      <w:r>
        <w:rPr>
          <w:spacing w:val="-6"/>
          <w:sz w:val="22"/>
        </w:rPr>
        <w:t> </w:t>
      </w:r>
      <w:r>
        <w:rPr>
          <w:sz w:val="22"/>
        </w:rPr>
        <w:t>liver</w:t>
      </w:r>
      <w:r>
        <w:rPr>
          <w:spacing w:val="-1"/>
          <w:sz w:val="22"/>
        </w:rPr>
        <w:t> </w:t>
      </w:r>
      <w:r>
        <w:rPr>
          <w:sz w:val="22"/>
        </w:rPr>
        <w:t>treated</w:t>
      </w:r>
      <w:r>
        <w:rPr>
          <w:spacing w:val="-4"/>
          <w:sz w:val="22"/>
        </w:rPr>
        <w:t> </w:t>
      </w:r>
      <w:r>
        <w:rPr>
          <w:sz w:val="22"/>
        </w:rPr>
        <w:t>with</w:t>
      </w:r>
      <w:r>
        <w:rPr>
          <w:spacing w:val="-9"/>
          <w:sz w:val="22"/>
        </w:rPr>
        <w:t> </w:t>
      </w:r>
      <w:r>
        <w:rPr>
          <w:sz w:val="22"/>
        </w:rPr>
        <w:t>500 mg/kg</w:t>
      </w:r>
      <w:r>
        <w:rPr>
          <w:spacing w:val="-4"/>
          <w:sz w:val="22"/>
        </w:rPr>
        <w:t> </w:t>
      </w:r>
      <w:r>
        <w:rPr>
          <w:sz w:val="22"/>
        </w:rPr>
        <w:t>detoxified</w:t>
      </w:r>
      <w:r>
        <w:rPr>
          <w:spacing w:val="-2"/>
          <w:sz w:val="22"/>
        </w:rPr>
        <w:t> </w:t>
      </w:r>
      <w:r>
        <w:rPr>
          <w:i/>
          <w:sz w:val="22"/>
        </w:rPr>
        <w:t>J. curcas </w:t>
      </w:r>
      <w:r>
        <w:rPr>
          <w:sz w:val="22"/>
        </w:rPr>
        <w:t>oil</w:t>
      </w:r>
      <w:r>
        <w:rPr>
          <w:spacing w:val="-3"/>
          <w:sz w:val="22"/>
        </w:rPr>
        <w:t> </w:t>
      </w:r>
      <w:r>
        <w:rPr>
          <w:sz w:val="22"/>
        </w:rPr>
        <w:t>showing</w:t>
      </w:r>
      <w:r>
        <w:rPr>
          <w:spacing w:val="-4"/>
          <w:sz w:val="22"/>
        </w:rPr>
        <w:t> </w:t>
      </w:r>
      <w:r>
        <w:rPr>
          <w:sz w:val="22"/>
        </w:rPr>
        <w:t>apparently normal architecture of the liver with cellular debris in the central vein (CV) and slightly degenerated sinusoid.</w:t>
      </w:r>
    </w:p>
    <w:p>
      <w:pPr>
        <w:spacing w:after="0" w:line="360" w:lineRule="auto"/>
        <w:jc w:val="both"/>
        <w:rPr>
          <w:sz w:val="22"/>
        </w:rPr>
        <w:sectPr>
          <w:pgSz w:w="11910" w:h="16840"/>
          <w:pgMar w:header="0" w:footer="1012" w:top="1400" w:bottom="1200" w:left="960" w:right="620"/>
        </w:sectPr>
      </w:pPr>
    </w:p>
    <w:p>
      <w:pPr>
        <w:tabs>
          <w:tab w:pos="5617" w:val="left" w:leader="none"/>
        </w:tabs>
        <w:spacing w:line="240" w:lineRule="auto"/>
        <w:ind w:left="877" w:right="0" w:firstLine="0"/>
        <w:rPr>
          <w:sz w:val="20"/>
        </w:rPr>
      </w:pPr>
      <w:r>
        <w:rPr>
          <w:position w:val="2"/>
          <w:sz w:val="20"/>
        </w:rPr>
        <w:drawing>
          <wp:inline distT="0" distB="0" distL="0" distR="0">
            <wp:extent cx="2639906" cy="2390775"/>
            <wp:effectExtent l="0" t="0" r="0" b="0"/>
            <wp:docPr id="210" name="Image 210" descr="C:\Users\TRY\Documents\TISSUES\Control\5KIDB.bmp"/>
            <wp:cNvGraphicFramePr>
              <a:graphicFrameLocks/>
            </wp:cNvGraphicFramePr>
            <a:graphic>
              <a:graphicData uri="http://schemas.openxmlformats.org/drawingml/2006/picture">
                <pic:pic>
                  <pic:nvPicPr>
                    <pic:cNvPr id="210" name="Image 210" descr="C:\Users\TRY\Documents\TISSUES\Control\5KIDB.bmp"/>
                    <pic:cNvPicPr/>
                  </pic:nvPicPr>
                  <pic:blipFill>
                    <a:blip r:embed="rId106" cstate="print"/>
                    <a:stretch>
                      <a:fillRect/>
                    </a:stretch>
                  </pic:blipFill>
                  <pic:spPr>
                    <a:xfrm>
                      <a:off x="0" y="0"/>
                      <a:ext cx="2639906" cy="2390775"/>
                    </a:xfrm>
                    <a:prstGeom prst="rect">
                      <a:avLst/>
                    </a:prstGeom>
                  </pic:spPr>
                </pic:pic>
              </a:graphicData>
            </a:graphic>
          </wp:inline>
        </w:drawing>
      </w:r>
      <w:r>
        <w:rPr>
          <w:position w:val="2"/>
          <w:sz w:val="20"/>
        </w:rPr>
      </w:r>
      <w:r>
        <w:rPr>
          <w:position w:val="2"/>
          <w:sz w:val="20"/>
        </w:rPr>
        <w:tab/>
      </w:r>
      <w:r>
        <w:rPr>
          <w:sz w:val="20"/>
        </w:rPr>
        <w:drawing>
          <wp:inline distT="0" distB="0" distL="0" distR="0">
            <wp:extent cx="2691228" cy="2390775"/>
            <wp:effectExtent l="0" t="0" r="0" b="0"/>
            <wp:docPr id="211" name="Image 211" descr="C:\Users\TRY\Documents\TISSUES\Group 3-125mg untreated\13kida.bmp"/>
            <wp:cNvGraphicFramePr>
              <a:graphicFrameLocks/>
            </wp:cNvGraphicFramePr>
            <a:graphic>
              <a:graphicData uri="http://schemas.openxmlformats.org/drawingml/2006/picture">
                <pic:pic>
                  <pic:nvPicPr>
                    <pic:cNvPr id="211" name="Image 211" descr="C:\Users\TRY\Documents\TISSUES\Group 3-125mg untreated\13kida.bmp"/>
                    <pic:cNvPicPr/>
                  </pic:nvPicPr>
                  <pic:blipFill>
                    <a:blip r:embed="rId107" cstate="print"/>
                    <a:stretch>
                      <a:fillRect/>
                    </a:stretch>
                  </pic:blipFill>
                  <pic:spPr>
                    <a:xfrm>
                      <a:off x="0" y="0"/>
                      <a:ext cx="2691228" cy="2390775"/>
                    </a:xfrm>
                    <a:prstGeom prst="rect">
                      <a:avLst/>
                    </a:prstGeom>
                  </pic:spPr>
                </pic:pic>
              </a:graphicData>
            </a:graphic>
          </wp:inline>
        </w:drawing>
      </w:r>
      <w:r>
        <w:rPr>
          <w:sz w:val="20"/>
        </w:rPr>
      </w:r>
    </w:p>
    <w:p>
      <w:pPr>
        <w:tabs>
          <w:tab w:pos="5637" w:val="left" w:leader="none"/>
        </w:tabs>
        <w:spacing w:before="111"/>
        <w:ind w:left="845" w:right="0" w:firstLine="0"/>
        <w:jc w:val="left"/>
        <w:rPr>
          <w:b/>
          <w:sz w:val="23"/>
        </w:rPr>
      </w:pPr>
      <w:r>
        <w:rPr>
          <w:b/>
          <w:sz w:val="23"/>
        </w:rPr>
        <w:t>Plate</w:t>
      </w:r>
      <w:r>
        <w:rPr>
          <w:b/>
          <w:spacing w:val="-5"/>
          <w:sz w:val="23"/>
        </w:rPr>
        <w:t> </w:t>
      </w:r>
      <w:r>
        <w:rPr>
          <w:b/>
          <w:sz w:val="23"/>
        </w:rPr>
        <w:t>X:</w:t>
      </w:r>
      <w:r>
        <w:rPr>
          <w:b/>
          <w:spacing w:val="-3"/>
          <w:sz w:val="23"/>
        </w:rPr>
        <w:t> </w:t>
      </w:r>
      <w:r>
        <w:rPr>
          <w:b/>
          <w:sz w:val="23"/>
        </w:rPr>
        <w:t>Kidney</w:t>
      </w:r>
      <w:r>
        <w:rPr>
          <w:b/>
          <w:spacing w:val="-3"/>
          <w:sz w:val="23"/>
        </w:rPr>
        <w:t> </w:t>
      </w:r>
      <w:r>
        <w:rPr>
          <w:b/>
          <w:sz w:val="23"/>
        </w:rPr>
        <w:t>Control</w:t>
      </w:r>
      <w:r>
        <w:rPr>
          <w:b/>
          <w:spacing w:val="-3"/>
          <w:sz w:val="23"/>
        </w:rPr>
        <w:t> </w:t>
      </w:r>
      <w:r>
        <w:rPr>
          <w:b/>
          <w:spacing w:val="-4"/>
          <w:sz w:val="23"/>
        </w:rPr>
        <w:t>x250</w:t>
      </w:r>
      <w:r>
        <w:rPr>
          <w:b/>
          <w:sz w:val="23"/>
        </w:rPr>
        <w:tab/>
        <w:t>Plate</w:t>
      </w:r>
      <w:r>
        <w:rPr>
          <w:b/>
          <w:spacing w:val="-6"/>
          <w:sz w:val="23"/>
        </w:rPr>
        <w:t> </w:t>
      </w:r>
      <w:r>
        <w:rPr>
          <w:b/>
          <w:sz w:val="23"/>
        </w:rPr>
        <w:t>XI:</w:t>
      </w:r>
      <w:r>
        <w:rPr>
          <w:b/>
          <w:spacing w:val="-1"/>
          <w:sz w:val="23"/>
        </w:rPr>
        <w:t> </w:t>
      </w:r>
      <w:r>
        <w:rPr>
          <w:b/>
          <w:sz w:val="23"/>
        </w:rPr>
        <w:t>Kidney</w:t>
      </w:r>
      <w:r>
        <w:rPr>
          <w:b/>
          <w:spacing w:val="-2"/>
          <w:sz w:val="23"/>
        </w:rPr>
        <w:t> </w:t>
      </w:r>
      <w:r>
        <w:rPr>
          <w:b/>
          <w:sz w:val="23"/>
        </w:rPr>
        <w:t>(125</w:t>
      </w:r>
      <w:r>
        <w:rPr>
          <w:b/>
          <w:spacing w:val="-1"/>
          <w:sz w:val="23"/>
        </w:rPr>
        <w:t> </w:t>
      </w:r>
      <w:r>
        <w:rPr>
          <w:b/>
          <w:sz w:val="23"/>
        </w:rPr>
        <w:t>mg/kg</w:t>
      </w:r>
      <w:r>
        <w:rPr>
          <w:b/>
          <w:spacing w:val="-2"/>
          <w:sz w:val="23"/>
        </w:rPr>
        <w:t> </w:t>
      </w:r>
      <w:r>
        <w:rPr>
          <w:b/>
          <w:sz w:val="23"/>
        </w:rPr>
        <w:t>UME)</w:t>
      </w:r>
      <w:r>
        <w:rPr>
          <w:b/>
          <w:spacing w:val="-1"/>
          <w:sz w:val="23"/>
        </w:rPr>
        <w:t> </w:t>
      </w:r>
      <w:r>
        <w:rPr>
          <w:b/>
          <w:spacing w:val="-4"/>
          <w:sz w:val="23"/>
        </w:rPr>
        <w:t>x250</w:t>
      </w:r>
    </w:p>
    <w:p>
      <w:pPr>
        <w:pStyle w:val="BodyText"/>
        <w:rPr>
          <w:b/>
          <w:sz w:val="20"/>
        </w:rPr>
      </w:pPr>
    </w:p>
    <w:p>
      <w:pPr>
        <w:pStyle w:val="BodyText"/>
        <w:spacing w:before="71"/>
        <w:rPr>
          <w:b/>
          <w:sz w:val="20"/>
        </w:rPr>
      </w:pPr>
      <w:r>
        <w:rPr/>
        <w:drawing>
          <wp:anchor distT="0" distB="0" distL="0" distR="0" allowOverlap="1" layoutInCell="1" locked="0" behindDoc="1" simplePos="0" relativeHeight="487627776">
            <wp:simplePos x="0" y="0"/>
            <wp:positionH relativeFrom="page">
              <wp:posOffset>4176395</wp:posOffset>
            </wp:positionH>
            <wp:positionV relativeFrom="paragraph">
              <wp:posOffset>206465</wp:posOffset>
            </wp:positionV>
            <wp:extent cx="2688119" cy="2534221"/>
            <wp:effectExtent l="0" t="0" r="0" b="0"/>
            <wp:wrapTopAndBottom/>
            <wp:docPr id="212" name="Image 212" descr="C:\Users\TRY\Documents\TISSUES\Group 2-125mg treated\8KIDA.bmp"/>
            <wp:cNvGraphicFramePr>
              <a:graphicFrameLocks/>
            </wp:cNvGraphicFramePr>
            <a:graphic>
              <a:graphicData uri="http://schemas.openxmlformats.org/drawingml/2006/picture">
                <pic:pic>
                  <pic:nvPicPr>
                    <pic:cNvPr id="212" name="Image 212" descr="C:\Users\TRY\Documents\TISSUES\Group 2-125mg treated\8KIDA.bmp"/>
                    <pic:cNvPicPr/>
                  </pic:nvPicPr>
                  <pic:blipFill>
                    <a:blip r:embed="rId108" cstate="print"/>
                    <a:stretch>
                      <a:fillRect/>
                    </a:stretch>
                  </pic:blipFill>
                  <pic:spPr>
                    <a:xfrm>
                      <a:off x="0" y="0"/>
                      <a:ext cx="2688119" cy="2534221"/>
                    </a:xfrm>
                    <a:prstGeom prst="rect">
                      <a:avLst/>
                    </a:prstGeom>
                  </pic:spPr>
                </pic:pic>
              </a:graphicData>
            </a:graphic>
          </wp:anchor>
        </w:drawing>
      </w:r>
    </w:p>
    <w:p>
      <w:pPr>
        <w:spacing w:before="115"/>
        <w:ind w:left="5714" w:right="0" w:firstLine="0"/>
        <w:jc w:val="left"/>
        <w:rPr>
          <w:b/>
          <w:sz w:val="23"/>
        </w:rPr>
      </w:pPr>
      <w:r>
        <w:rPr>
          <w:b/>
          <w:sz w:val="23"/>
        </w:rPr>
        <w:t>Plate</w:t>
      </w:r>
      <w:r>
        <w:rPr>
          <w:b/>
          <w:spacing w:val="-4"/>
          <w:sz w:val="23"/>
        </w:rPr>
        <w:t> </w:t>
      </w:r>
      <w:r>
        <w:rPr>
          <w:b/>
          <w:sz w:val="23"/>
        </w:rPr>
        <w:t>XII:</w:t>
      </w:r>
      <w:r>
        <w:rPr>
          <w:b/>
          <w:spacing w:val="-6"/>
          <w:sz w:val="23"/>
        </w:rPr>
        <w:t> </w:t>
      </w:r>
      <w:r>
        <w:rPr>
          <w:b/>
          <w:sz w:val="23"/>
        </w:rPr>
        <w:t>Kidney</w:t>
      </w:r>
      <w:r>
        <w:rPr>
          <w:b/>
          <w:spacing w:val="-1"/>
          <w:sz w:val="23"/>
        </w:rPr>
        <w:t> </w:t>
      </w:r>
      <w:r>
        <w:rPr>
          <w:b/>
          <w:sz w:val="23"/>
        </w:rPr>
        <w:t>(125</w:t>
      </w:r>
      <w:r>
        <w:rPr>
          <w:b/>
          <w:spacing w:val="-6"/>
          <w:sz w:val="23"/>
        </w:rPr>
        <w:t> </w:t>
      </w:r>
      <w:r>
        <w:rPr>
          <w:b/>
          <w:sz w:val="23"/>
        </w:rPr>
        <w:t>mg/kg</w:t>
      </w:r>
      <w:r>
        <w:rPr>
          <w:b/>
          <w:spacing w:val="-1"/>
          <w:sz w:val="23"/>
        </w:rPr>
        <w:t> </w:t>
      </w:r>
      <w:r>
        <w:rPr>
          <w:b/>
          <w:sz w:val="23"/>
        </w:rPr>
        <w:t>SDME)</w:t>
      </w:r>
      <w:r>
        <w:rPr>
          <w:b/>
          <w:spacing w:val="2"/>
          <w:sz w:val="23"/>
        </w:rPr>
        <w:t> </w:t>
      </w:r>
      <w:r>
        <w:rPr>
          <w:b/>
          <w:spacing w:val="-4"/>
          <w:sz w:val="23"/>
        </w:rPr>
        <w:t>x250</w:t>
      </w:r>
    </w:p>
    <w:p>
      <w:pPr>
        <w:pStyle w:val="BodyText"/>
        <w:spacing w:before="249"/>
        <w:rPr>
          <w:b/>
          <w:sz w:val="23"/>
        </w:rPr>
      </w:pPr>
    </w:p>
    <w:p>
      <w:pPr>
        <w:pStyle w:val="ListParagraph"/>
        <w:numPr>
          <w:ilvl w:val="2"/>
          <w:numId w:val="22"/>
        </w:numPr>
        <w:tabs>
          <w:tab w:pos="1747" w:val="left" w:leader="none"/>
        </w:tabs>
        <w:spacing w:line="362" w:lineRule="auto" w:before="1" w:after="0"/>
        <w:ind w:left="1028" w:right="445" w:firstLine="0"/>
        <w:jc w:val="left"/>
        <w:rPr>
          <w:b/>
          <w:sz w:val="23"/>
        </w:rPr>
      </w:pPr>
      <w:r>
        <w:rPr>
          <w:b/>
          <w:sz w:val="23"/>
        </w:rPr>
        <w:t>Effects</w:t>
      </w:r>
      <w:r>
        <w:rPr>
          <w:b/>
          <w:spacing w:val="-2"/>
          <w:sz w:val="23"/>
        </w:rPr>
        <w:t> </w:t>
      </w:r>
      <w:r>
        <w:rPr>
          <w:b/>
          <w:sz w:val="23"/>
        </w:rPr>
        <w:t>of</w:t>
      </w:r>
      <w:r>
        <w:rPr>
          <w:b/>
          <w:spacing w:val="-2"/>
          <w:sz w:val="23"/>
        </w:rPr>
        <w:t> </w:t>
      </w:r>
      <w:r>
        <w:rPr>
          <w:b/>
          <w:sz w:val="23"/>
        </w:rPr>
        <w:t>undetoxified</w:t>
      </w:r>
      <w:r>
        <w:rPr>
          <w:b/>
          <w:spacing w:val="-1"/>
          <w:sz w:val="23"/>
        </w:rPr>
        <w:t> </w:t>
      </w:r>
      <w:r>
        <w:rPr>
          <w:b/>
          <w:sz w:val="23"/>
        </w:rPr>
        <w:t>and</w:t>
      </w:r>
      <w:r>
        <w:rPr>
          <w:b/>
          <w:spacing w:val="-1"/>
          <w:sz w:val="23"/>
        </w:rPr>
        <w:t> </w:t>
      </w:r>
      <w:r>
        <w:rPr>
          <w:b/>
          <w:sz w:val="23"/>
        </w:rPr>
        <w:t>detoxified</w:t>
      </w:r>
      <w:r>
        <w:rPr>
          <w:b/>
          <w:spacing w:val="-1"/>
          <w:sz w:val="23"/>
        </w:rPr>
        <w:t> </w:t>
      </w:r>
      <w:r>
        <w:rPr>
          <w:b/>
          <w:i/>
          <w:sz w:val="23"/>
        </w:rPr>
        <w:t>Jatropha</w:t>
      </w:r>
      <w:r>
        <w:rPr>
          <w:b/>
          <w:i/>
          <w:spacing w:val="-2"/>
          <w:sz w:val="23"/>
        </w:rPr>
        <w:t> </w:t>
      </w:r>
      <w:r>
        <w:rPr>
          <w:b/>
          <w:i/>
          <w:sz w:val="23"/>
        </w:rPr>
        <w:t>curcas</w:t>
      </w:r>
      <w:r>
        <w:rPr>
          <w:b/>
          <w:i/>
          <w:spacing w:val="-1"/>
          <w:sz w:val="23"/>
        </w:rPr>
        <w:t> </w:t>
      </w:r>
      <w:r>
        <w:rPr>
          <w:b/>
          <w:sz w:val="23"/>
        </w:rPr>
        <w:t>oils</w:t>
      </w:r>
      <w:r>
        <w:rPr>
          <w:b/>
          <w:spacing w:val="-2"/>
          <w:sz w:val="23"/>
        </w:rPr>
        <w:t> </w:t>
      </w:r>
      <w:r>
        <w:rPr>
          <w:b/>
          <w:sz w:val="23"/>
        </w:rPr>
        <w:t>on</w:t>
      </w:r>
      <w:r>
        <w:rPr>
          <w:b/>
          <w:spacing w:val="-6"/>
          <w:sz w:val="23"/>
        </w:rPr>
        <w:t> </w:t>
      </w:r>
      <w:r>
        <w:rPr>
          <w:b/>
          <w:sz w:val="23"/>
        </w:rPr>
        <w:t>kidney</w:t>
      </w:r>
      <w:r>
        <w:rPr>
          <w:b/>
          <w:spacing w:val="-2"/>
          <w:sz w:val="23"/>
        </w:rPr>
        <w:t> </w:t>
      </w:r>
      <w:r>
        <w:rPr>
          <w:b/>
          <w:sz w:val="23"/>
        </w:rPr>
        <w:t>tissues (H</w:t>
      </w:r>
      <w:r>
        <w:rPr>
          <w:b/>
          <w:spacing w:val="-4"/>
          <w:sz w:val="23"/>
        </w:rPr>
        <w:t> </w:t>
      </w:r>
      <w:r>
        <w:rPr>
          <w:b/>
          <w:sz w:val="23"/>
        </w:rPr>
        <w:t>and E stain)</w:t>
      </w:r>
    </w:p>
    <w:p>
      <w:pPr>
        <w:pStyle w:val="BodyText"/>
        <w:spacing w:before="112"/>
        <w:rPr>
          <w:b/>
          <w:sz w:val="23"/>
        </w:rPr>
      </w:pPr>
    </w:p>
    <w:p>
      <w:pPr>
        <w:spacing w:line="362" w:lineRule="auto" w:before="0"/>
        <w:ind w:left="1028" w:right="802" w:firstLine="0"/>
        <w:jc w:val="both"/>
        <w:rPr>
          <w:sz w:val="22"/>
        </w:rPr>
      </w:pPr>
      <w:r>
        <w:rPr>
          <w:sz w:val="22"/>
        </w:rPr>
        <w:t>Plate X: Section of the renal cortex of the control (olive oil 10 ml/kg) group showing normal malphigian renal corpuscle containing glomerulus (G) surrounded by Bowman‟s space (arrow head), proximal and distal convoluted tubules.</w:t>
      </w:r>
    </w:p>
    <w:p>
      <w:pPr>
        <w:pStyle w:val="BodyText"/>
        <w:spacing w:before="123"/>
        <w:rPr>
          <w:sz w:val="22"/>
        </w:rPr>
      </w:pPr>
    </w:p>
    <w:p>
      <w:pPr>
        <w:spacing w:line="360" w:lineRule="auto" w:before="0"/>
        <w:ind w:left="1028" w:right="804" w:firstLine="0"/>
        <w:jc w:val="both"/>
        <w:rPr>
          <w:sz w:val="22"/>
        </w:rPr>
      </w:pPr>
      <w:r>
        <w:rPr>
          <w:sz w:val="22"/>
        </w:rPr>
        <w:t>Plate XI: Section of renal cortex of kidney treated with 125 mg/kg undetoxified (UME) </w:t>
      </w:r>
      <w:r>
        <w:rPr>
          <w:i/>
          <w:sz w:val="22"/>
        </w:rPr>
        <w:t>J. curcas </w:t>
      </w:r>
      <w:r>
        <w:rPr>
          <w:sz w:val="22"/>
        </w:rPr>
        <w:t>oil showing malphigian renal corpuscle and mildly shrunken glomerulus (G). Lining tubular epithelial cells show cytoplasmic vacuolation (V) and necrotic macula densa (M).</w:t>
      </w:r>
    </w:p>
    <w:p>
      <w:pPr>
        <w:spacing w:after="0" w:line="360" w:lineRule="auto"/>
        <w:jc w:val="both"/>
        <w:rPr>
          <w:sz w:val="22"/>
        </w:rPr>
        <w:sectPr>
          <w:pgSz w:w="11910" w:h="16840"/>
          <w:pgMar w:header="0" w:footer="1012" w:top="1400" w:bottom="1200" w:left="960" w:right="620"/>
        </w:sectPr>
      </w:pPr>
    </w:p>
    <w:p>
      <w:pPr>
        <w:spacing w:line="360" w:lineRule="auto" w:before="64" w:after="4"/>
        <w:ind w:left="1028" w:right="803" w:firstLine="0"/>
        <w:jc w:val="both"/>
        <w:rPr>
          <w:sz w:val="22"/>
        </w:rPr>
      </w:pPr>
      <w:r>
        <w:rPr>
          <w:sz w:val="22"/>
        </w:rPr>
        <w:t>Plate XII: Section of renal cortex of kidney treated with 125 mg/kg detoxified (SDME) </w:t>
      </w:r>
      <w:r>
        <w:rPr>
          <w:i/>
          <w:sz w:val="22"/>
        </w:rPr>
        <w:t>J.</w:t>
      </w:r>
      <w:r>
        <w:rPr>
          <w:i/>
          <w:spacing w:val="40"/>
          <w:sz w:val="22"/>
        </w:rPr>
        <w:t> </w:t>
      </w:r>
      <w:r>
        <w:rPr>
          <w:i/>
          <w:sz w:val="22"/>
        </w:rPr>
        <w:t>curcas </w:t>
      </w:r>
      <w:r>
        <w:rPr>
          <w:sz w:val="22"/>
        </w:rPr>
        <w:t>oil showing two malphigian renal corpuscle with mildly shrunken glomeruli (G) and widened bowman‟s space (arrow head). Normal proximal (P) and distal convoluted tubule (D) were observed.</w:t>
      </w:r>
    </w:p>
    <w:p>
      <w:pPr>
        <w:tabs>
          <w:tab w:pos="5883" w:val="left" w:leader="none"/>
        </w:tabs>
        <w:spacing w:line="240" w:lineRule="auto"/>
        <w:ind w:left="877" w:right="0" w:firstLine="0"/>
        <w:rPr>
          <w:sz w:val="20"/>
        </w:rPr>
      </w:pPr>
      <w:r>
        <w:rPr>
          <w:sz w:val="20"/>
        </w:rPr>
        <w:drawing>
          <wp:inline distT="0" distB="0" distL="0" distR="0">
            <wp:extent cx="2639906" cy="2390775"/>
            <wp:effectExtent l="0" t="0" r="0" b="0"/>
            <wp:docPr id="213" name="Image 213" descr="C:\Users\TRY\Documents\TISSUES\Control\5KIDB.bmp"/>
            <wp:cNvGraphicFramePr>
              <a:graphicFrameLocks/>
            </wp:cNvGraphicFramePr>
            <a:graphic>
              <a:graphicData uri="http://schemas.openxmlformats.org/drawingml/2006/picture">
                <pic:pic>
                  <pic:nvPicPr>
                    <pic:cNvPr id="213" name="Image 213" descr="C:\Users\TRY\Documents\TISSUES\Control\5KIDB.bmp"/>
                    <pic:cNvPicPr/>
                  </pic:nvPicPr>
                  <pic:blipFill>
                    <a:blip r:embed="rId106" cstate="print"/>
                    <a:stretch>
                      <a:fillRect/>
                    </a:stretch>
                  </pic:blipFill>
                  <pic:spPr>
                    <a:xfrm>
                      <a:off x="0" y="0"/>
                      <a:ext cx="2639906" cy="2390775"/>
                    </a:xfrm>
                    <a:prstGeom prst="rect">
                      <a:avLst/>
                    </a:prstGeom>
                  </pic:spPr>
                </pic:pic>
              </a:graphicData>
            </a:graphic>
          </wp:inline>
        </w:drawing>
      </w:r>
      <w:r>
        <w:rPr>
          <w:sz w:val="20"/>
        </w:rPr>
      </w:r>
      <w:r>
        <w:rPr>
          <w:sz w:val="20"/>
        </w:rPr>
        <w:tab/>
      </w:r>
      <w:r>
        <w:rPr>
          <w:position w:val="1"/>
          <w:sz w:val="20"/>
        </w:rPr>
        <w:drawing>
          <wp:inline distT="0" distB="0" distL="0" distR="0">
            <wp:extent cx="2569504" cy="2380297"/>
            <wp:effectExtent l="0" t="0" r="0" b="0"/>
            <wp:docPr id="214" name="Image 214" descr="C:\Users\TRY\AppData\Local\Microsoft\Windows\Temporary Internet Files\Content.Word\4 KID 100B.JPG"/>
            <wp:cNvGraphicFramePr>
              <a:graphicFrameLocks/>
            </wp:cNvGraphicFramePr>
            <a:graphic>
              <a:graphicData uri="http://schemas.openxmlformats.org/drawingml/2006/picture">
                <pic:pic>
                  <pic:nvPicPr>
                    <pic:cNvPr id="214" name="Image 214" descr="C:\Users\TRY\AppData\Local\Microsoft\Windows\Temporary Internet Files\Content.Word\4 KID 100B.JPG"/>
                    <pic:cNvPicPr/>
                  </pic:nvPicPr>
                  <pic:blipFill>
                    <a:blip r:embed="rId109" cstate="print"/>
                    <a:stretch>
                      <a:fillRect/>
                    </a:stretch>
                  </pic:blipFill>
                  <pic:spPr>
                    <a:xfrm>
                      <a:off x="0" y="0"/>
                      <a:ext cx="2569504" cy="2380297"/>
                    </a:xfrm>
                    <a:prstGeom prst="rect">
                      <a:avLst/>
                    </a:prstGeom>
                  </pic:spPr>
                </pic:pic>
              </a:graphicData>
            </a:graphic>
          </wp:inline>
        </w:drawing>
      </w:r>
      <w:r>
        <w:rPr>
          <w:position w:val="1"/>
          <w:sz w:val="20"/>
        </w:rPr>
      </w:r>
    </w:p>
    <w:p>
      <w:pPr>
        <w:tabs>
          <w:tab w:pos="4916" w:val="left" w:leader="none"/>
        </w:tabs>
        <w:spacing w:before="129"/>
        <w:ind w:left="0" w:right="400" w:firstLine="0"/>
        <w:jc w:val="right"/>
        <w:rPr>
          <w:b/>
          <w:sz w:val="23"/>
        </w:rPr>
      </w:pPr>
      <w:r>
        <w:rPr>
          <w:b/>
          <w:sz w:val="23"/>
        </w:rPr>
        <w:t>Plate</w:t>
      </w:r>
      <w:r>
        <w:rPr>
          <w:b/>
          <w:spacing w:val="-5"/>
          <w:sz w:val="23"/>
        </w:rPr>
        <w:t> </w:t>
      </w:r>
      <w:r>
        <w:rPr>
          <w:b/>
          <w:sz w:val="23"/>
        </w:rPr>
        <w:t>XIII:</w:t>
      </w:r>
      <w:r>
        <w:rPr>
          <w:b/>
          <w:spacing w:val="-8"/>
          <w:sz w:val="23"/>
        </w:rPr>
        <w:t> </w:t>
      </w:r>
      <w:r>
        <w:rPr>
          <w:b/>
          <w:sz w:val="23"/>
        </w:rPr>
        <w:t>Kidney</w:t>
      </w:r>
      <w:r>
        <w:rPr>
          <w:b/>
          <w:spacing w:val="-3"/>
          <w:sz w:val="23"/>
        </w:rPr>
        <w:t> </w:t>
      </w:r>
      <w:r>
        <w:rPr>
          <w:b/>
          <w:sz w:val="23"/>
        </w:rPr>
        <w:t>(Control)</w:t>
      </w:r>
      <w:r>
        <w:rPr>
          <w:b/>
          <w:spacing w:val="-2"/>
          <w:sz w:val="23"/>
        </w:rPr>
        <w:t> </w:t>
      </w:r>
      <w:r>
        <w:rPr>
          <w:b/>
          <w:spacing w:val="-4"/>
          <w:sz w:val="23"/>
        </w:rPr>
        <w:t>x250</w:t>
      </w:r>
      <w:r>
        <w:rPr>
          <w:b/>
          <w:sz w:val="23"/>
        </w:rPr>
        <w:tab/>
        <w:t>Plate</w:t>
      </w:r>
      <w:r>
        <w:rPr>
          <w:b/>
          <w:spacing w:val="-5"/>
          <w:sz w:val="23"/>
        </w:rPr>
        <w:t> </w:t>
      </w:r>
      <w:r>
        <w:rPr>
          <w:b/>
          <w:sz w:val="23"/>
        </w:rPr>
        <w:t>XIV:</w:t>
      </w:r>
      <w:r>
        <w:rPr>
          <w:b/>
          <w:spacing w:val="-5"/>
          <w:sz w:val="23"/>
        </w:rPr>
        <w:t> </w:t>
      </w:r>
      <w:r>
        <w:rPr>
          <w:b/>
          <w:sz w:val="23"/>
        </w:rPr>
        <w:t>Kidney (250</w:t>
      </w:r>
      <w:r>
        <w:rPr>
          <w:b/>
          <w:spacing w:val="-1"/>
          <w:sz w:val="23"/>
        </w:rPr>
        <w:t> </w:t>
      </w:r>
      <w:r>
        <w:rPr>
          <w:b/>
          <w:sz w:val="23"/>
        </w:rPr>
        <w:t>mg/kg</w:t>
      </w:r>
      <w:r>
        <w:rPr>
          <w:b/>
          <w:spacing w:val="-5"/>
          <w:sz w:val="23"/>
        </w:rPr>
        <w:t> </w:t>
      </w:r>
      <w:r>
        <w:rPr>
          <w:b/>
          <w:sz w:val="23"/>
        </w:rPr>
        <w:t>UME)</w:t>
      </w:r>
      <w:r>
        <w:rPr>
          <w:b/>
          <w:spacing w:val="-3"/>
          <w:sz w:val="23"/>
        </w:rPr>
        <w:t> </w:t>
      </w:r>
      <w:r>
        <w:rPr>
          <w:b/>
          <w:spacing w:val="-4"/>
          <w:sz w:val="23"/>
        </w:rPr>
        <w:t>x100</w:t>
      </w:r>
    </w:p>
    <w:p>
      <w:pPr>
        <w:pStyle w:val="BodyText"/>
        <w:rPr>
          <w:b/>
          <w:sz w:val="20"/>
        </w:rPr>
      </w:pPr>
    </w:p>
    <w:p>
      <w:pPr>
        <w:pStyle w:val="BodyText"/>
        <w:spacing w:before="69"/>
        <w:rPr>
          <w:b/>
          <w:sz w:val="20"/>
        </w:rPr>
      </w:pPr>
      <w:r>
        <w:rPr/>
        <w:drawing>
          <wp:anchor distT="0" distB="0" distL="0" distR="0" allowOverlap="1" layoutInCell="1" locked="0" behindDoc="1" simplePos="0" relativeHeight="487628288">
            <wp:simplePos x="0" y="0"/>
            <wp:positionH relativeFrom="page">
              <wp:posOffset>4366895</wp:posOffset>
            </wp:positionH>
            <wp:positionV relativeFrom="paragraph">
              <wp:posOffset>205576</wp:posOffset>
            </wp:positionV>
            <wp:extent cx="2526236" cy="2313431"/>
            <wp:effectExtent l="0" t="0" r="0" b="0"/>
            <wp:wrapTopAndBottom/>
            <wp:docPr id="215" name="Image 215" descr="C:\Users\TRY\Documents\TISSUES\Group5-250mg treated\14 KID 100B.jpg"/>
            <wp:cNvGraphicFramePr>
              <a:graphicFrameLocks/>
            </wp:cNvGraphicFramePr>
            <a:graphic>
              <a:graphicData uri="http://schemas.openxmlformats.org/drawingml/2006/picture">
                <pic:pic>
                  <pic:nvPicPr>
                    <pic:cNvPr id="215" name="Image 215" descr="C:\Users\TRY\Documents\TISSUES\Group5-250mg treated\14 KID 100B.jpg"/>
                    <pic:cNvPicPr/>
                  </pic:nvPicPr>
                  <pic:blipFill>
                    <a:blip r:embed="rId110" cstate="print"/>
                    <a:stretch>
                      <a:fillRect/>
                    </a:stretch>
                  </pic:blipFill>
                  <pic:spPr>
                    <a:xfrm>
                      <a:off x="0" y="0"/>
                      <a:ext cx="2526236" cy="2313431"/>
                    </a:xfrm>
                    <a:prstGeom prst="rect">
                      <a:avLst/>
                    </a:prstGeom>
                  </pic:spPr>
                </pic:pic>
              </a:graphicData>
            </a:graphic>
          </wp:anchor>
        </w:drawing>
      </w:r>
    </w:p>
    <w:p>
      <w:pPr>
        <w:spacing w:before="100"/>
        <w:ind w:left="0" w:right="407" w:firstLine="0"/>
        <w:jc w:val="right"/>
        <w:rPr>
          <w:b/>
          <w:sz w:val="23"/>
        </w:rPr>
      </w:pPr>
      <w:r>
        <w:rPr>
          <w:b/>
          <w:sz w:val="23"/>
        </w:rPr>
        <w:t>Plate</w:t>
      </w:r>
      <w:r>
        <w:rPr>
          <w:b/>
          <w:spacing w:val="-4"/>
          <w:sz w:val="23"/>
        </w:rPr>
        <w:t> </w:t>
      </w:r>
      <w:r>
        <w:rPr>
          <w:b/>
          <w:sz w:val="23"/>
        </w:rPr>
        <w:t>XV:</w:t>
      </w:r>
      <w:r>
        <w:rPr>
          <w:b/>
          <w:spacing w:val="-6"/>
          <w:sz w:val="23"/>
        </w:rPr>
        <w:t> </w:t>
      </w:r>
      <w:r>
        <w:rPr>
          <w:b/>
          <w:sz w:val="23"/>
        </w:rPr>
        <w:t>Kidney</w:t>
      </w:r>
      <w:r>
        <w:rPr>
          <w:b/>
          <w:spacing w:val="-1"/>
          <w:sz w:val="23"/>
        </w:rPr>
        <w:t> </w:t>
      </w:r>
      <w:r>
        <w:rPr>
          <w:b/>
          <w:sz w:val="23"/>
        </w:rPr>
        <w:t>(250</w:t>
      </w:r>
      <w:r>
        <w:rPr>
          <w:b/>
          <w:spacing w:val="-1"/>
          <w:sz w:val="23"/>
        </w:rPr>
        <w:t> </w:t>
      </w:r>
      <w:r>
        <w:rPr>
          <w:b/>
          <w:sz w:val="23"/>
        </w:rPr>
        <w:t>mg/kg</w:t>
      </w:r>
      <w:r>
        <w:rPr>
          <w:b/>
          <w:spacing w:val="-1"/>
          <w:sz w:val="23"/>
        </w:rPr>
        <w:t> </w:t>
      </w:r>
      <w:r>
        <w:rPr>
          <w:b/>
          <w:sz w:val="23"/>
        </w:rPr>
        <w:t>SDME)</w:t>
      </w:r>
      <w:r>
        <w:rPr>
          <w:b/>
          <w:spacing w:val="-1"/>
          <w:sz w:val="23"/>
        </w:rPr>
        <w:t> </w:t>
      </w:r>
      <w:r>
        <w:rPr>
          <w:b/>
          <w:spacing w:val="-4"/>
          <w:sz w:val="23"/>
        </w:rPr>
        <w:t>x100</w:t>
      </w:r>
    </w:p>
    <w:p>
      <w:pPr>
        <w:pStyle w:val="BodyText"/>
        <w:rPr>
          <w:b/>
          <w:sz w:val="23"/>
        </w:rPr>
      </w:pPr>
    </w:p>
    <w:p>
      <w:pPr>
        <w:pStyle w:val="BodyText"/>
        <w:rPr>
          <w:b/>
          <w:sz w:val="23"/>
        </w:rPr>
      </w:pPr>
    </w:p>
    <w:p>
      <w:pPr>
        <w:pStyle w:val="BodyText"/>
        <w:spacing w:before="147"/>
        <w:rPr>
          <w:b/>
          <w:sz w:val="23"/>
        </w:rPr>
      </w:pPr>
    </w:p>
    <w:p>
      <w:pPr>
        <w:pStyle w:val="ListParagraph"/>
        <w:numPr>
          <w:ilvl w:val="2"/>
          <w:numId w:val="22"/>
        </w:numPr>
        <w:tabs>
          <w:tab w:pos="1747" w:val="left" w:leader="none"/>
        </w:tabs>
        <w:spacing w:line="362" w:lineRule="auto" w:before="1" w:after="0"/>
        <w:ind w:left="1028" w:right="445" w:firstLine="0"/>
        <w:jc w:val="left"/>
        <w:rPr>
          <w:b/>
          <w:sz w:val="23"/>
        </w:rPr>
      </w:pPr>
      <w:r>
        <w:rPr>
          <w:b/>
          <w:sz w:val="23"/>
        </w:rPr>
        <w:t>Effects</w:t>
      </w:r>
      <w:r>
        <w:rPr>
          <w:b/>
          <w:spacing w:val="-2"/>
          <w:sz w:val="23"/>
        </w:rPr>
        <w:t> </w:t>
      </w:r>
      <w:r>
        <w:rPr>
          <w:b/>
          <w:sz w:val="23"/>
        </w:rPr>
        <w:t>of</w:t>
      </w:r>
      <w:r>
        <w:rPr>
          <w:b/>
          <w:spacing w:val="-2"/>
          <w:sz w:val="23"/>
        </w:rPr>
        <w:t> </w:t>
      </w:r>
      <w:r>
        <w:rPr>
          <w:b/>
          <w:sz w:val="23"/>
        </w:rPr>
        <w:t>undetoxified</w:t>
      </w:r>
      <w:r>
        <w:rPr>
          <w:b/>
          <w:spacing w:val="-1"/>
          <w:sz w:val="23"/>
        </w:rPr>
        <w:t> </w:t>
      </w:r>
      <w:r>
        <w:rPr>
          <w:b/>
          <w:sz w:val="23"/>
        </w:rPr>
        <w:t>and</w:t>
      </w:r>
      <w:r>
        <w:rPr>
          <w:b/>
          <w:spacing w:val="-1"/>
          <w:sz w:val="23"/>
        </w:rPr>
        <w:t> </w:t>
      </w:r>
      <w:r>
        <w:rPr>
          <w:b/>
          <w:sz w:val="23"/>
        </w:rPr>
        <w:t>detoxified</w:t>
      </w:r>
      <w:r>
        <w:rPr>
          <w:b/>
          <w:spacing w:val="-1"/>
          <w:sz w:val="23"/>
        </w:rPr>
        <w:t> </w:t>
      </w:r>
      <w:r>
        <w:rPr>
          <w:b/>
          <w:i/>
          <w:sz w:val="23"/>
        </w:rPr>
        <w:t>Jatropha</w:t>
      </w:r>
      <w:r>
        <w:rPr>
          <w:b/>
          <w:i/>
          <w:spacing w:val="-2"/>
          <w:sz w:val="23"/>
        </w:rPr>
        <w:t> </w:t>
      </w:r>
      <w:r>
        <w:rPr>
          <w:b/>
          <w:i/>
          <w:sz w:val="23"/>
        </w:rPr>
        <w:t>curcas</w:t>
      </w:r>
      <w:r>
        <w:rPr>
          <w:b/>
          <w:i/>
          <w:spacing w:val="-1"/>
          <w:sz w:val="23"/>
        </w:rPr>
        <w:t> </w:t>
      </w:r>
      <w:r>
        <w:rPr>
          <w:b/>
          <w:sz w:val="23"/>
        </w:rPr>
        <w:t>oils</w:t>
      </w:r>
      <w:r>
        <w:rPr>
          <w:b/>
          <w:spacing w:val="-2"/>
          <w:sz w:val="23"/>
        </w:rPr>
        <w:t> </w:t>
      </w:r>
      <w:r>
        <w:rPr>
          <w:b/>
          <w:sz w:val="23"/>
        </w:rPr>
        <w:t>on</w:t>
      </w:r>
      <w:r>
        <w:rPr>
          <w:b/>
          <w:spacing w:val="-6"/>
          <w:sz w:val="23"/>
        </w:rPr>
        <w:t> </w:t>
      </w:r>
      <w:r>
        <w:rPr>
          <w:b/>
          <w:sz w:val="23"/>
        </w:rPr>
        <w:t>kidney</w:t>
      </w:r>
      <w:r>
        <w:rPr>
          <w:b/>
          <w:spacing w:val="-2"/>
          <w:sz w:val="23"/>
        </w:rPr>
        <w:t> </w:t>
      </w:r>
      <w:r>
        <w:rPr>
          <w:b/>
          <w:sz w:val="23"/>
        </w:rPr>
        <w:t>tissues (H</w:t>
      </w:r>
      <w:r>
        <w:rPr>
          <w:b/>
          <w:spacing w:val="-4"/>
          <w:sz w:val="23"/>
        </w:rPr>
        <w:t> </w:t>
      </w:r>
      <w:r>
        <w:rPr>
          <w:b/>
          <w:sz w:val="23"/>
        </w:rPr>
        <w:t>and E stain)</w:t>
      </w:r>
    </w:p>
    <w:p>
      <w:pPr>
        <w:pStyle w:val="BodyText"/>
        <w:spacing w:before="131"/>
        <w:rPr>
          <w:b/>
          <w:sz w:val="23"/>
        </w:rPr>
      </w:pPr>
    </w:p>
    <w:p>
      <w:pPr>
        <w:spacing w:line="360" w:lineRule="auto" w:before="0"/>
        <w:ind w:left="1028" w:right="803" w:firstLine="0"/>
        <w:jc w:val="both"/>
        <w:rPr>
          <w:sz w:val="22"/>
        </w:rPr>
      </w:pPr>
      <w:r>
        <w:rPr>
          <w:sz w:val="22"/>
        </w:rPr>
        <w:t>Plate</w:t>
      </w:r>
      <w:r>
        <w:rPr>
          <w:spacing w:val="-1"/>
          <w:sz w:val="22"/>
        </w:rPr>
        <w:t> </w:t>
      </w:r>
      <w:r>
        <w:rPr>
          <w:sz w:val="22"/>
        </w:rPr>
        <w:t>XIII: Section of the</w:t>
      </w:r>
      <w:r>
        <w:rPr>
          <w:spacing w:val="-1"/>
          <w:sz w:val="22"/>
        </w:rPr>
        <w:t> </w:t>
      </w:r>
      <w:r>
        <w:rPr>
          <w:sz w:val="22"/>
        </w:rPr>
        <w:t>renal cortex of the control (olive oil 10 ml/kg) group showing normal malphigian renal corpuscle containing glomerulus (G) surrounded by Bowman‟s space (arrow head), proximal and distal convoluted tubules.</w:t>
      </w:r>
    </w:p>
    <w:p>
      <w:pPr>
        <w:spacing w:after="0" w:line="360" w:lineRule="auto"/>
        <w:jc w:val="both"/>
        <w:rPr>
          <w:sz w:val="22"/>
        </w:rPr>
        <w:sectPr>
          <w:pgSz w:w="11910" w:h="16840"/>
          <w:pgMar w:header="0" w:footer="1012" w:top="1340" w:bottom="1200" w:left="960" w:right="620"/>
        </w:sectPr>
      </w:pPr>
    </w:p>
    <w:p>
      <w:pPr>
        <w:spacing w:line="360" w:lineRule="auto" w:before="64"/>
        <w:ind w:left="1028" w:right="439" w:firstLine="0"/>
        <w:jc w:val="both"/>
        <w:rPr>
          <w:sz w:val="22"/>
        </w:rPr>
      </w:pPr>
      <w:r>
        <w:rPr>
          <w:sz w:val="22"/>
        </w:rPr>
        <w:t>Plate XIV: Section of renal cortex of kidney treated with 250 mg/kg</w:t>
      </w:r>
      <w:r>
        <w:rPr>
          <w:spacing w:val="40"/>
          <w:sz w:val="22"/>
        </w:rPr>
        <w:t> </w:t>
      </w:r>
      <w:r>
        <w:rPr>
          <w:sz w:val="22"/>
        </w:rPr>
        <w:t>undetoxified </w:t>
      </w:r>
      <w:r>
        <w:rPr>
          <w:i/>
          <w:sz w:val="22"/>
        </w:rPr>
        <w:t>J. curcas </w:t>
      </w:r>
      <w:r>
        <w:rPr>
          <w:sz w:val="22"/>
        </w:rPr>
        <w:t>oil showing vacuolated and shrunken renal corpuscle and widened bowman‟s space (arrow). Some of the</w:t>
      </w:r>
      <w:r>
        <w:rPr>
          <w:spacing w:val="-2"/>
          <w:sz w:val="22"/>
        </w:rPr>
        <w:t> </w:t>
      </w:r>
      <w:r>
        <w:rPr>
          <w:sz w:val="22"/>
        </w:rPr>
        <w:t>lining</w:t>
      </w:r>
      <w:r>
        <w:rPr>
          <w:spacing w:val="-5"/>
          <w:sz w:val="22"/>
        </w:rPr>
        <w:t> </w:t>
      </w:r>
      <w:r>
        <w:rPr>
          <w:sz w:val="22"/>
        </w:rPr>
        <w:t>tubular epithelial</w:t>
      </w:r>
      <w:r>
        <w:rPr>
          <w:spacing w:val="-4"/>
          <w:sz w:val="22"/>
        </w:rPr>
        <w:t> </w:t>
      </w:r>
      <w:r>
        <w:rPr>
          <w:sz w:val="22"/>
        </w:rPr>
        <w:t>cells show</w:t>
      </w:r>
      <w:r>
        <w:rPr>
          <w:spacing w:val="-6"/>
          <w:sz w:val="22"/>
        </w:rPr>
        <w:t> </w:t>
      </w:r>
      <w:r>
        <w:rPr>
          <w:sz w:val="22"/>
        </w:rPr>
        <w:t>cytoplasmic vacuolation (V). Cellular debris was observed in the lumina of some tubules.</w:t>
      </w:r>
    </w:p>
    <w:p>
      <w:pPr>
        <w:pStyle w:val="BodyText"/>
        <w:spacing w:before="125"/>
        <w:rPr>
          <w:sz w:val="22"/>
        </w:rPr>
      </w:pPr>
    </w:p>
    <w:p>
      <w:pPr>
        <w:spacing w:line="362" w:lineRule="auto" w:before="0"/>
        <w:ind w:left="1028" w:right="800" w:firstLine="0"/>
        <w:jc w:val="both"/>
        <w:rPr>
          <w:sz w:val="22"/>
        </w:rPr>
      </w:pPr>
      <w:r>
        <w:rPr>
          <w:sz w:val="22"/>
        </w:rPr>
        <w:t>Plate XV: Section of renal cortex of kidney treated with 250 mg/kg detoxified </w:t>
      </w:r>
      <w:r>
        <w:rPr>
          <w:i/>
          <w:sz w:val="22"/>
        </w:rPr>
        <w:t>J. curcas </w:t>
      </w:r>
      <w:r>
        <w:rPr>
          <w:sz w:val="22"/>
        </w:rPr>
        <w:t>oil showing mildly shrunken renal corpuscle (G) and widened bowman‟s capsules. Some of the lining tubular epithelial cells show mild cytoplasmic vacuolation (V). Metaplasia tubules were </w:t>
      </w:r>
      <w:r>
        <w:rPr>
          <w:spacing w:val="-2"/>
          <w:sz w:val="22"/>
        </w:rPr>
        <w:t>observed.</w:t>
      </w:r>
    </w:p>
    <w:p>
      <w:pPr>
        <w:tabs>
          <w:tab w:pos="5837" w:val="left" w:leader="none"/>
        </w:tabs>
        <w:spacing w:line="240" w:lineRule="auto"/>
        <w:ind w:left="1057" w:right="0" w:firstLine="0"/>
        <w:rPr>
          <w:sz w:val="20"/>
        </w:rPr>
      </w:pPr>
      <w:r>
        <w:rPr>
          <w:position w:val="5"/>
          <w:sz w:val="20"/>
        </w:rPr>
        <w:drawing>
          <wp:inline distT="0" distB="0" distL="0" distR="0">
            <wp:extent cx="2633443" cy="2773299"/>
            <wp:effectExtent l="0" t="0" r="0" b="0"/>
            <wp:docPr id="216" name="Image 216" descr="C:\Users\TRY\Documents\TISSUES\Control\5KIDB.bmp"/>
            <wp:cNvGraphicFramePr>
              <a:graphicFrameLocks/>
            </wp:cNvGraphicFramePr>
            <a:graphic>
              <a:graphicData uri="http://schemas.openxmlformats.org/drawingml/2006/picture">
                <pic:pic>
                  <pic:nvPicPr>
                    <pic:cNvPr id="216" name="Image 216" descr="C:\Users\TRY\Documents\TISSUES\Control\5KIDB.bmp"/>
                    <pic:cNvPicPr/>
                  </pic:nvPicPr>
                  <pic:blipFill>
                    <a:blip r:embed="rId106" cstate="print"/>
                    <a:stretch>
                      <a:fillRect/>
                    </a:stretch>
                  </pic:blipFill>
                  <pic:spPr>
                    <a:xfrm>
                      <a:off x="0" y="0"/>
                      <a:ext cx="2633443" cy="2773299"/>
                    </a:xfrm>
                    <a:prstGeom prst="rect">
                      <a:avLst/>
                    </a:prstGeom>
                  </pic:spPr>
                </pic:pic>
              </a:graphicData>
            </a:graphic>
          </wp:inline>
        </w:drawing>
      </w:r>
      <w:r>
        <w:rPr>
          <w:position w:val="5"/>
          <w:sz w:val="20"/>
        </w:rPr>
      </w:r>
      <w:r>
        <w:rPr>
          <w:position w:val="5"/>
          <w:sz w:val="20"/>
        </w:rPr>
        <w:tab/>
      </w:r>
      <w:r>
        <w:rPr>
          <w:sz w:val="20"/>
        </w:rPr>
        <w:drawing>
          <wp:inline distT="0" distB="0" distL="0" distR="0">
            <wp:extent cx="2539675" cy="2807970"/>
            <wp:effectExtent l="0" t="0" r="0" b="0"/>
            <wp:docPr id="217" name="Image 217" descr="C:\Users\TRY\AppData\Local\Microsoft\Windows\Temporary Internet Files\Content.Word\5 KID 250.jpg"/>
            <wp:cNvGraphicFramePr>
              <a:graphicFrameLocks/>
            </wp:cNvGraphicFramePr>
            <a:graphic>
              <a:graphicData uri="http://schemas.openxmlformats.org/drawingml/2006/picture">
                <pic:pic>
                  <pic:nvPicPr>
                    <pic:cNvPr id="217" name="Image 217" descr="C:\Users\TRY\AppData\Local\Microsoft\Windows\Temporary Internet Files\Content.Word\5 KID 250.jpg"/>
                    <pic:cNvPicPr/>
                  </pic:nvPicPr>
                  <pic:blipFill>
                    <a:blip r:embed="rId111" cstate="print"/>
                    <a:stretch>
                      <a:fillRect/>
                    </a:stretch>
                  </pic:blipFill>
                  <pic:spPr>
                    <a:xfrm>
                      <a:off x="0" y="0"/>
                      <a:ext cx="2539675" cy="2807970"/>
                    </a:xfrm>
                    <a:prstGeom prst="rect">
                      <a:avLst/>
                    </a:prstGeom>
                  </pic:spPr>
                </pic:pic>
              </a:graphicData>
            </a:graphic>
          </wp:inline>
        </w:drawing>
      </w:r>
      <w:r>
        <w:rPr>
          <w:sz w:val="20"/>
        </w:rPr>
      </w:r>
    </w:p>
    <w:p>
      <w:pPr>
        <w:tabs>
          <w:tab w:pos="5637" w:val="left" w:leader="none"/>
        </w:tabs>
        <w:spacing w:before="76"/>
        <w:ind w:left="960" w:right="0" w:firstLine="0"/>
        <w:jc w:val="both"/>
        <w:rPr>
          <w:b/>
          <w:sz w:val="23"/>
        </w:rPr>
      </w:pPr>
      <w:r>
        <w:rPr>
          <w:b/>
          <w:sz w:val="23"/>
        </w:rPr>
        <w:t>Plate</w:t>
      </w:r>
      <w:r>
        <w:rPr>
          <w:b/>
          <w:spacing w:val="-5"/>
          <w:sz w:val="23"/>
        </w:rPr>
        <w:t> </w:t>
      </w:r>
      <w:r>
        <w:rPr>
          <w:b/>
          <w:sz w:val="23"/>
        </w:rPr>
        <w:t>XVI:</w:t>
      </w:r>
      <w:r>
        <w:rPr>
          <w:b/>
          <w:spacing w:val="-3"/>
          <w:sz w:val="23"/>
        </w:rPr>
        <w:t> </w:t>
      </w:r>
      <w:r>
        <w:rPr>
          <w:b/>
          <w:sz w:val="23"/>
        </w:rPr>
        <w:t>Kidney</w:t>
      </w:r>
      <w:r>
        <w:rPr>
          <w:b/>
          <w:spacing w:val="-3"/>
          <w:sz w:val="23"/>
        </w:rPr>
        <w:t> </w:t>
      </w:r>
      <w:r>
        <w:rPr>
          <w:b/>
          <w:sz w:val="23"/>
        </w:rPr>
        <w:t>(Control)</w:t>
      </w:r>
      <w:r>
        <w:rPr>
          <w:b/>
          <w:spacing w:val="-3"/>
          <w:sz w:val="23"/>
        </w:rPr>
        <w:t> </w:t>
      </w:r>
      <w:r>
        <w:rPr>
          <w:b/>
          <w:spacing w:val="-4"/>
          <w:sz w:val="23"/>
        </w:rPr>
        <w:t>x250</w:t>
      </w:r>
      <w:r>
        <w:rPr>
          <w:b/>
          <w:sz w:val="23"/>
        </w:rPr>
        <w:tab/>
        <w:t>Plate</w:t>
      </w:r>
      <w:r>
        <w:rPr>
          <w:b/>
          <w:spacing w:val="-5"/>
          <w:sz w:val="23"/>
        </w:rPr>
        <w:t> </w:t>
      </w:r>
      <w:r>
        <w:rPr>
          <w:b/>
          <w:sz w:val="23"/>
        </w:rPr>
        <w:t>XVII:</w:t>
      </w:r>
      <w:r>
        <w:rPr>
          <w:b/>
          <w:spacing w:val="-5"/>
          <w:sz w:val="23"/>
        </w:rPr>
        <w:t> </w:t>
      </w:r>
      <w:r>
        <w:rPr>
          <w:b/>
          <w:sz w:val="23"/>
        </w:rPr>
        <w:t>Kidney (500 mg/kg</w:t>
      </w:r>
      <w:r>
        <w:rPr>
          <w:b/>
          <w:spacing w:val="-5"/>
          <w:sz w:val="23"/>
        </w:rPr>
        <w:t> </w:t>
      </w:r>
      <w:r>
        <w:rPr>
          <w:b/>
          <w:sz w:val="23"/>
        </w:rPr>
        <w:t>UME) </w:t>
      </w:r>
      <w:r>
        <w:rPr>
          <w:b/>
          <w:spacing w:val="-4"/>
          <w:sz w:val="23"/>
        </w:rPr>
        <w:t>x100</w:t>
      </w:r>
    </w:p>
    <w:p>
      <w:pPr>
        <w:pStyle w:val="BodyText"/>
        <w:rPr>
          <w:b/>
          <w:sz w:val="20"/>
        </w:rPr>
      </w:pPr>
    </w:p>
    <w:p>
      <w:pPr>
        <w:pStyle w:val="BodyText"/>
        <w:spacing w:before="68"/>
        <w:rPr>
          <w:b/>
          <w:sz w:val="20"/>
        </w:rPr>
      </w:pPr>
      <w:r>
        <w:rPr/>
        <w:drawing>
          <wp:anchor distT="0" distB="0" distL="0" distR="0" allowOverlap="1" layoutInCell="1" locked="0" behindDoc="1" simplePos="0" relativeHeight="487628800">
            <wp:simplePos x="0" y="0"/>
            <wp:positionH relativeFrom="page">
              <wp:posOffset>4290695</wp:posOffset>
            </wp:positionH>
            <wp:positionV relativeFrom="paragraph">
              <wp:posOffset>205042</wp:posOffset>
            </wp:positionV>
            <wp:extent cx="2563146" cy="2645759"/>
            <wp:effectExtent l="0" t="0" r="0" b="0"/>
            <wp:wrapTopAndBottom/>
            <wp:docPr id="218" name="Image 218" descr="C:\Users\TRY\Documents\TISSUES\Group7 500mg Treated\14 KID 100.jpg"/>
            <wp:cNvGraphicFramePr>
              <a:graphicFrameLocks/>
            </wp:cNvGraphicFramePr>
            <a:graphic>
              <a:graphicData uri="http://schemas.openxmlformats.org/drawingml/2006/picture">
                <pic:pic>
                  <pic:nvPicPr>
                    <pic:cNvPr id="218" name="Image 218" descr="C:\Users\TRY\Documents\TISSUES\Group7 500mg Treated\14 KID 100.jpg"/>
                    <pic:cNvPicPr/>
                  </pic:nvPicPr>
                  <pic:blipFill>
                    <a:blip r:embed="rId112" cstate="print"/>
                    <a:stretch>
                      <a:fillRect/>
                    </a:stretch>
                  </pic:blipFill>
                  <pic:spPr>
                    <a:xfrm>
                      <a:off x="0" y="0"/>
                      <a:ext cx="2563146" cy="2645759"/>
                    </a:xfrm>
                    <a:prstGeom prst="rect">
                      <a:avLst/>
                    </a:prstGeom>
                  </pic:spPr>
                </pic:pic>
              </a:graphicData>
            </a:graphic>
          </wp:anchor>
        </w:drawing>
      </w:r>
    </w:p>
    <w:p>
      <w:pPr>
        <w:spacing w:before="135"/>
        <w:ind w:left="5349" w:right="0" w:firstLine="0"/>
        <w:jc w:val="left"/>
        <w:rPr>
          <w:b/>
          <w:sz w:val="23"/>
        </w:rPr>
      </w:pPr>
      <w:r>
        <w:rPr>
          <w:b/>
          <w:sz w:val="23"/>
        </w:rPr>
        <w:t>Plate</w:t>
      </w:r>
      <w:r>
        <w:rPr>
          <w:b/>
          <w:spacing w:val="-3"/>
          <w:sz w:val="23"/>
        </w:rPr>
        <w:t> </w:t>
      </w:r>
      <w:r>
        <w:rPr>
          <w:b/>
          <w:sz w:val="23"/>
        </w:rPr>
        <w:t>XVIII:</w:t>
      </w:r>
      <w:r>
        <w:rPr>
          <w:b/>
          <w:spacing w:val="-6"/>
          <w:sz w:val="23"/>
        </w:rPr>
        <w:t> </w:t>
      </w:r>
      <w:r>
        <w:rPr>
          <w:b/>
          <w:sz w:val="23"/>
        </w:rPr>
        <w:t>Kidney (500</w:t>
      </w:r>
      <w:r>
        <w:rPr>
          <w:b/>
          <w:spacing w:val="-1"/>
          <w:sz w:val="23"/>
        </w:rPr>
        <w:t> </w:t>
      </w:r>
      <w:r>
        <w:rPr>
          <w:b/>
          <w:sz w:val="23"/>
        </w:rPr>
        <w:t>mg/kg</w:t>
      </w:r>
      <w:r>
        <w:rPr>
          <w:b/>
          <w:spacing w:val="-1"/>
          <w:sz w:val="23"/>
        </w:rPr>
        <w:t> </w:t>
      </w:r>
      <w:r>
        <w:rPr>
          <w:b/>
          <w:sz w:val="23"/>
        </w:rPr>
        <w:t>SDME)</w:t>
      </w:r>
      <w:r>
        <w:rPr>
          <w:b/>
          <w:spacing w:val="2"/>
          <w:sz w:val="23"/>
        </w:rPr>
        <w:t> </w:t>
      </w:r>
      <w:r>
        <w:rPr>
          <w:b/>
          <w:spacing w:val="-4"/>
          <w:sz w:val="23"/>
        </w:rPr>
        <w:t>x100</w:t>
      </w:r>
    </w:p>
    <w:p>
      <w:pPr>
        <w:spacing w:after="0"/>
        <w:jc w:val="left"/>
        <w:rPr>
          <w:sz w:val="23"/>
        </w:rPr>
        <w:sectPr>
          <w:pgSz w:w="11910" w:h="16840"/>
          <w:pgMar w:header="0" w:footer="1012" w:top="1340" w:bottom="1200" w:left="960" w:right="620"/>
        </w:sectPr>
      </w:pPr>
    </w:p>
    <w:p>
      <w:pPr>
        <w:pStyle w:val="ListParagraph"/>
        <w:numPr>
          <w:ilvl w:val="2"/>
          <w:numId w:val="22"/>
        </w:numPr>
        <w:tabs>
          <w:tab w:pos="1747" w:val="left" w:leader="none"/>
        </w:tabs>
        <w:spacing w:line="357" w:lineRule="auto" w:before="77" w:after="0"/>
        <w:ind w:left="1028" w:right="445" w:firstLine="0"/>
        <w:jc w:val="left"/>
        <w:rPr>
          <w:b/>
          <w:sz w:val="23"/>
        </w:rPr>
      </w:pPr>
      <w:r>
        <w:rPr>
          <w:b/>
          <w:sz w:val="23"/>
        </w:rPr>
        <w:t>Effects</w:t>
      </w:r>
      <w:r>
        <w:rPr>
          <w:b/>
          <w:spacing w:val="-2"/>
          <w:sz w:val="23"/>
        </w:rPr>
        <w:t> </w:t>
      </w:r>
      <w:r>
        <w:rPr>
          <w:b/>
          <w:sz w:val="23"/>
        </w:rPr>
        <w:t>of</w:t>
      </w:r>
      <w:r>
        <w:rPr>
          <w:b/>
          <w:spacing w:val="-2"/>
          <w:sz w:val="23"/>
        </w:rPr>
        <w:t> </w:t>
      </w:r>
      <w:r>
        <w:rPr>
          <w:b/>
          <w:sz w:val="23"/>
        </w:rPr>
        <w:t>undetoxified</w:t>
      </w:r>
      <w:r>
        <w:rPr>
          <w:b/>
          <w:spacing w:val="-1"/>
          <w:sz w:val="23"/>
        </w:rPr>
        <w:t> </w:t>
      </w:r>
      <w:r>
        <w:rPr>
          <w:b/>
          <w:sz w:val="23"/>
        </w:rPr>
        <w:t>and</w:t>
      </w:r>
      <w:r>
        <w:rPr>
          <w:b/>
          <w:spacing w:val="-1"/>
          <w:sz w:val="23"/>
        </w:rPr>
        <w:t> </w:t>
      </w:r>
      <w:r>
        <w:rPr>
          <w:b/>
          <w:sz w:val="23"/>
        </w:rPr>
        <w:t>detoxified</w:t>
      </w:r>
      <w:r>
        <w:rPr>
          <w:b/>
          <w:spacing w:val="-1"/>
          <w:sz w:val="23"/>
        </w:rPr>
        <w:t> </w:t>
      </w:r>
      <w:r>
        <w:rPr>
          <w:b/>
          <w:i/>
          <w:sz w:val="23"/>
        </w:rPr>
        <w:t>Jatropha</w:t>
      </w:r>
      <w:r>
        <w:rPr>
          <w:b/>
          <w:i/>
          <w:spacing w:val="-2"/>
          <w:sz w:val="23"/>
        </w:rPr>
        <w:t> </w:t>
      </w:r>
      <w:r>
        <w:rPr>
          <w:b/>
          <w:i/>
          <w:sz w:val="23"/>
        </w:rPr>
        <w:t>curcas</w:t>
      </w:r>
      <w:r>
        <w:rPr>
          <w:b/>
          <w:i/>
          <w:spacing w:val="-1"/>
          <w:sz w:val="23"/>
        </w:rPr>
        <w:t> </w:t>
      </w:r>
      <w:r>
        <w:rPr>
          <w:b/>
          <w:sz w:val="23"/>
        </w:rPr>
        <w:t>oils</w:t>
      </w:r>
      <w:r>
        <w:rPr>
          <w:b/>
          <w:spacing w:val="-2"/>
          <w:sz w:val="23"/>
        </w:rPr>
        <w:t> </w:t>
      </w:r>
      <w:r>
        <w:rPr>
          <w:b/>
          <w:sz w:val="23"/>
        </w:rPr>
        <w:t>on</w:t>
      </w:r>
      <w:r>
        <w:rPr>
          <w:b/>
          <w:spacing w:val="-6"/>
          <w:sz w:val="23"/>
        </w:rPr>
        <w:t> </w:t>
      </w:r>
      <w:r>
        <w:rPr>
          <w:b/>
          <w:sz w:val="23"/>
        </w:rPr>
        <w:t>kidney</w:t>
      </w:r>
      <w:r>
        <w:rPr>
          <w:b/>
          <w:spacing w:val="-2"/>
          <w:sz w:val="23"/>
        </w:rPr>
        <w:t> </w:t>
      </w:r>
      <w:r>
        <w:rPr>
          <w:b/>
          <w:sz w:val="23"/>
        </w:rPr>
        <w:t>tissues (H</w:t>
      </w:r>
      <w:r>
        <w:rPr>
          <w:b/>
          <w:spacing w:val="-4"/>
          <w:sz w:val="23"/>
        </w:rPr>
        <w:t> </w:t>
      </w:r>
      <w:r>
        <w:rPr>
          <w:b/>
          <w:sz w:val="23"/>
        </w:rPr>
        <w:t>and E stain)</w:t>
      </w:r>
    </w:p>
    <w:p>
      <w:pPr>
        <w:pStyle w:val="BodyText"/>
        <w:spacing w:before="157"/>
        <w:rPr>
          <w:b/>
          <w:sz w:val="23"/>
        </w:rPr>
      </w:pPr>
    </w:p>
    <w:p>
      <w:pPr>
        <w:spacing w:line="360" w:lineRule="auto" w:before="1"/>
        <w:ind w:left="1028" w:right="802" w:firstLine="0"/>
        <w:jc w:val="both"/>
        <w:rPr>
          <w:sz w:val="22"/>
        </w:rPr>
      </w:pPr>
      <w:r>
        <w:rPr>
          <w:sz w:val="22"/>
        </w:rPr>
        <w:t>Plate</w:t>
      </w:r>
      <w:r>
        <w:rPr>
          <w:spacing w:val="-1"/>
          <w:sz w:val="22"/>
        </w:rPr>
        <w:t> </w:t>
      </w:r>
      <w:r>
        <w:rPr>
          <w:sz w:val="22"/>
        </w:rPr>
        <w:t>XVI: Section of the</w:t>
      </w:r>
      <w:r>
        <w:rPr>
          <w:spacing w:val="-1"/>
          <w:sz w:val="22"/>
        </w:rPr>
        <w:t> </w:t>
      </w:r>
      <w:r>
        <w:rPr>
          <w:sz w:val="22"/>
        </w:rPr>
        <w:t>renal cortex of the</w:t>
      </w:r>
      <w:r>
        <w:rPr>
          <w:spacing w:val="-1"/>
          <w:sz w:val="22"/>
        </w:rPr>
        <w:t> </w:t>
      </w:r>
      <w:r>
        <w:rPr>
          <w:sz w:val="22"/>
        </w:rPr>
        <w:t>control (olive oil 10 ml/kg) group showing normal malphigian renal corpuscle containing glomerulus (G) surrounded by Bowman‟s space (arrow head), proximal and distal convoluted tubules.</w:t>
      </w:r>
    </w:p>
    <w:p>
      <w:pPr>
        <w:pStyle w:val="BodyText"/>
        <w:spacing w:before="125"/>
        <w:rPr>
          <w:sz w:val="22"/>
        </w:rPr>
      </w:pPr>
    </w:p>
    <w:p>
      <w:pPr>
        <w:spacing w:line="362" w:lineRule="auto" w:before="1"/>
        <w:ind w:left="1028" w:right="440" w:firstLine="0"/>
        <w:jc w:val="both"/>
        <w:rPr>
          <w:sz w:val="22"/>
        </w:rPr>
      </w:pPr>
      <w:r>
        <w:rPr>
          <w:sz w:val="22"/>
        </w:rPr>
        <w:t>Plate XVII: Section of the renal cortex of kidney treated with 500 mg/kg undetoxified </w:t>
      </w:r>
      <w:r>
        <w:rPr>
          <w:i/>
          <w:sz w:val="22"/>
        </w:rPr>
        <w:t>J. curcas </w:t>
      </w:r>
      <w:r>
        <w:rPr>
          <w:sz w:val="22"/>
        </w:rPr>
        <w:t>oil showing chronic shrunken renal corpuscle (G) and widened bowman‟s capsule</w:t>
      </w:r>
      <w:r>
        <w:rPr>
          <w:spacing w:val="-2"/>
          <w:sz w:val="22"/>
        </w:rPr>
        <w:t> </w:t>
      </w:r>
      <w:r>
        <w:rPr>
          <w:sz w:val="22"/>
        </w:rPr>
        <w:t>(arrow head). Large amount of metaplasic renal tubules (V) with cellular debris were observed (arrow).</w:t>
      </w:r>
    </w:p>
    <w:p>
      <w:pPr>
        <w:pStyle w:val="BodyText"/>
        <w:spacing w:before="123"/>
        <w:rPr>
          <w:sz w:val="22"/>
        </w:rPr>
      </w:pPr>
    </w:p>
    <w:p>
      <w:pPr>
        <w:spacing w:line="360" w:lineRule="auto" w:before="0"/>
        <w:ind w:left="1028" w:right="622" w:firstLine="0"/>
        <w:jc w:val="both"/>
        <w:rPr>
          <w:sz w:val="22"/>
        </w:rPr>
      </w:pPr>
      <w:r>
        <w:rPr>
          <w:sz w:val="22"/>
        </w:rPr>
        <w:t>Plate</w:t>
      </w:r>
      <w:r>
        <w:rPr>
          <w:spacing w:val="-2"/>
          <w:sz w:val="22"/>
        </w:rPr>
        <w:t> </w:t>
      </w:r>
      <w:r>
        <w:rPr>
          <w:sz w:val="22"/>
        </w:rPr>
        <w:t>XVIII: Section of the</w:t>
      </w:r>
      <w:r>
        <w:rPr>
          <w:spacing w:val="-2"/>
          <w:sz w:val="22"/>
        </w:rPr>
        <w:t> </w:t>
      </w:r>
      <w:r>
        <w:rPr>
          <w:sz w:val="22"/>
        </w:rPr>
        <w:t>renal cortex of kidney treated with 500 mg/kg detoxified </w:t>
      </w:r>
      <w:r>
        <w:rPr>
          <w:i/>
          <w:sz w:val="22"/>
        </w:rPr>
        <w:t>J. curcas </w:t>
      </w:r>
      <w:r>
        <w:rPr>
          <w:sz w:val="22"/>
        </w:rPr>
        <w:t>oil showing shrunken renal corpuscles (G) and widened bowman‟s capsule (arrow) with metaplastic renal tubules.</w:t>
      </w:r>
    </w:p>
    <w:p>
      <w:pPr>
        <w:spacing w:after="0" w:line="360" w:lineRule="auto"/>
        <w:jc w:val="both"/>
        <w:rPr>
          <w:sz w:val="22"/>
        </w:rPr>
        <w:sectPr>
          <w:pgSz w:w="11910" w:h="16840"/>
          <w:pgMar w:header="0" w:footer="1012" w:top="1720" w:bottom="1200" w:left="960" w:right="620"/>
        </w:sectPr>
      </w:pPr>
    </w:p>
    <w:p>
      <w:pPr>
        <w:tabs>
          <w:tab w:pos="5887" w:val="left" w:leader="none"/>
        </w:tabs>
        <w:spacing w:line="240" w:lineRule="auto"/>
        <w:ind w:left="1057" w:right="0" w:firstLine="0"/>
        <w:rPr>
          <w:sz w:val="20"/>
        </w:rPr>
      </w:pPr>
      <w:r>
        <w:rPr>
          <w:position w:val="7"/>
          <w:sz w:val="20"/>
        </w:rPr>
        <w:drawing>
          <wp:inline distT="0" distB="0" distL="0" distR="0">
            <wp:extent cx="2655080" cy="2447544"/>
            <wp:effectExtent l="0" t="0" r="0" b="0"/>
            <wp:docPr id="219" name="Image 219" descr="C:\Users\TRY\Documents\TISSUES\Control\4INTB.bmp"/>
            <wp:cNvGraphicFramePr>
              <a:graphicFrameLocks/>
            </wp:cNvGraphicFramePr>
            <a:graphic>
              <a:graphicData uri="http://schemas.openxmlformats.org/drawingml/2006/picture">
                <pic:pic>
                  <pic:nvPicPr>
                    <pic:cNvPr id="219" name="Image 219" descr="C:\Users\TRY\Documents\TISSUES\Control\4INTB.bmp"/>
                    <pic:cNvPicPr/>
                  </pic:nvPicPr>
                  <pic:blipFill>
                    <a:blip r:embed="rId113" cstate="print"/>
                    <a:stretch>
                      <a:fillRect/>
                    </a:stretch>
                  </pic:blipFill>
                  <pic:spPr>
                    <a:xfrm>
                      <a:off x="0" y="0"/>
                      <a:ext cx="2655080" cy="2447544"/>
                    </a:xfrm>
                    <a:prstGeom prst="rect">
                      <a:avLst/>
                    </a:prstGeom>
                  </pic:spPr>
                </pic:pic>
              </a:graphicData>
            </a:graphic>
          </wp:inline>
        </w:drawing>
      </w:r>
      <w:r>
        <w:rPr>
          <w:position w:val="7"/>
          <w:sz w:val="20"/>
        </w:rPr>
      </w:r>
      <w:r>
        <w:rPr>
          <w:position w:val="7"/>
          <w:sz w:val="20"/>
        </w:rPr>
        <w:tab/>
      </w:r>
      <w:r>
        <w:rPr>
          <w:sz w:val="20"/>
        </w:rPr>
        <w:drawing>
          <wp:inline distT="0" distB="0" distL="0" distR="0">
            <wp:extent cx="2496830" cy="2505455"/>
            <wp:effectExtent l="0" t="0" r="0" b="0"/>
            <wp:docPr id="220" name="Image 220" descr="C:\Users\TRY\Documents\TISSUES\Group 3-125mg untreated\12INTA.bmp"/>
            <wp:cNvGraphicFramePr>
              <a:graphicFrameLocks/>
            </wp:cNvGraphicFramePr>
            <a:graphic>
              <a:graphicData uri="http://schemas.openxmlformats.org/drawingml/2006/picture">
                <pic:pic>
                  <pic:nvPicPr>
                    <pic:cNvPr id="220" name="Image 220" descr="C:\Users\TRY\Documents\TISSUES\Group 3-125mg untreated\12INTA.bmp"/>
                    <pic:cNvPicPr/>
                  </pic:nvPicPr>
                  <pic:blipFill>
                    <a:blip r:embed="rId114" cstate="print"/>
                    <a:stretch>
                      <a:fillRect/>
                    </a:stretch>
                  </pic:blipFill>
                  <pic:spPr>
                    <a:xfrm>
                      <a:off x="0" y="0"/>
                      <a:ext cx="2496830" cy="2505455"/>
                    </a:xfrm>
                    <a:prstGeom prst="rect">
                      <a:avLst/>
                    </a:prstGeom>
                  </pic:spPr>
                </pic:pic>
              </a:graphicData>
            </a:graphic>
          </wp:inline>
        </w:drawing>
      </w:r>
      <w:r>
        <w:rPr>
          <w:sz w:val="20"/>
        </w:rPr>
      </w:r>
    </w:p>
    <w:p>
      <w:pPr>
        <w:pStyle w:val="BodyText"/>
        <w:spacing w:before="267"/>
      </w:pPr>
    </w:p>
    <w:p>
      <w:pPr>
        <w:pStyle w:val="Heading2"/>
        <w:tabs>
          <w:tab w:pos="5834" w:val="left" w:leader="none"/>
        </w:tabs>
        <w:ind w:left="1028" w:firstLine="0"/>
        <w:jc w:val="left"/>
      </w:pPr>
      <w:r>
        <w:rPr/>
        <w:t>Plate</w:t>
      </w:r>
      <w:r>
        <w:rPr>
          <w:spacing w:val="-4"/>
        </w:rPr>
        <w:t> </w:t>
      </w:r>
      <w:r>
        <w:rPr/>
        <w:t>XIX:</w:t>
      </w:r>
      <w:r>
        <w:rPr>
          <w:spacing w:val="-1"/>
        </w:rPr>
        <w:t> </w:t>
      </w:r>
      <w:r>
        <w:rPr/>
        <w:t>GIT</w:t>
      </w:r>
      <w:r>
        <w:rPr>
          <w:spacing w:val="-4"/>
        </w:rPr>
        <w:t> </w:t>
      </w:r>
      <w:r>
        <w:rPr/>
        <w:t>(Control)</w:t>
      </w:r>
      <w:r>
        <w:rPr>
          <w:spacing w:val="-1"/>
        </w:rPr>
        <w:t> </w:t>
      </w:r>
      <w:r>
        <w:rPr>
          <w:spacing w:val="-4"/>
        </w:rPr>
        <w:t>x250</w:t>
      </w:r>
      <w:r>
        <w:rPr/>
        <w:tab/>
        <w:t>Plate</w:t>
      </w:r>
      <w:r>
        <w:rPr>
          <w:spacing w:val="-4"/>
        </w:rPr>
        <w:t> </w:t>
      </w:r>
      <w:r>
        <w:rPr/>
        <w:t>XX: GIT</w:t>
      </w:r>
      <w:r>
        <w:rPr>
          <w:spacing w:val="-3"/>
        </w:rPr>
        <w:t> </w:t>
      </w:r>
      <w:r>
        <w:rPr/>
        <w:t>(125</w:t>
      </w:r>
      <w:r>
        <w:rPr>
          <w:spacing w:val="-5"/>
        </w:rPr>
        <w:t> </w:t>
      </w:r>
      <w:r>
        <w:rPr/>
        <w:t>mg/kg</w:t>
      </w:r>
      <w:r>
        <w:rPr>
          <w:spacing w:val="-1"/>
        </w:rPr>
        <w:t> </w:t>
      </w:r>
      <w:r>
        <w:rPr/>
        <w:t>UME)</w:t>
      </w:r>
      <w:r>
        <w:rPr>
          <w:spacing w:val="1"/>
        </w:rPr>
        <w:t> </w:t>
      </w:r>
      <w:r>
        <w:rPr>
          <w:spacing w:val="-4"/>
        </w:rPr>
        <w:t>x250</w:t>
      </w:r>
    </w:p>
    <w:p>
      <w:pPr>
        <w:pStyle w:val="BodyText"/>
        <w:rPr>
          <w:b/>
          <w:sz w:val="20"/>
        </w:rPr>
      </w:pPr>
    </w:p>
    <w:p>
      <w:pPr>
        <w:pStyle w:val="BodyText"/>
        <w:spacing w:before="71"/>
        <w:rPr>
          <w:b/>
          <w:sz w:val="20"/>
        </w:rPr>
      </w:pPr>
      <w:r>
        <w:rPr/>
        <w:drawing>
          <wp:anchor distT="0" distB="0" distL="0" distR="0" allowOverlap="1" layoutInCell="1" locked="0" behindDoc="1" simplePos="0" relativeHeight="487629312">
            <wp:simplePos x="0" y="0"/>
            <wp:positionH relativeFrom="page">
              <wp:posOffset>4366895</wp:posOffset>
            </wp:positionH>
            <wp:positionV relativeFrom="paragraph">
              <wp:posOffset>206925</wp:posOffset>
            </wp:positionV>
            <wp:extent cx="2534683" cy="2545651"/>
            <wp:effectExtent l="0" t="0" r="0" b="0"/>
            <wp:wrapTopAndBottom/>
            <wp:docPr id="221" name="Image 221" descr="C:\Users\TRY\AppData\Local\Microsoft\Windows\Temporary Internet Files\Content.Word\7INTA.BMP"/>
            <wp:cNvGraphicFramePr>
              <a:graphicFrameLocks/>
            </wp:cNvGraphicFramePr>
            <a:graphic>
              <a:graphicData uri="http://schemas.openxmlformats.org/drawingml/2006/picture">
                <pic:pic>
                  <pic:nvPicPr>
                    <pic:cNvPr id="221" name="Image 221" descr="C:\Users\TRY\AppData\Local\Microsoft\Windows\Temporary Internet Files\Content.Word\7INTA.BMP"/>
                    <pic:cNvPicPr/>
                  </pic:nvPicPr>
                  <pic:blipFill>
                    <a:blip r:embed="rId115" cstate="print"/>
                    <a:stretch>
                      <a:fillRect/>
                    </a:stretch>
                  </pic:blipFill>
                  <pic:spPr>
                    <a:xfrm>
                      <a:off x="0" y="0"/>
                      <a:ext cx="2534683" cy="2545651"/>
                    </a:xfrm>
                    <a:prstGeom prst="rect">
                      <a:avLst/>
                    </a:prstGeom>
                  </pic:spPr>
                </pic:pic>
              </a:graphicData>
            </a:graphic>
          </wp:anchor>
        </w:drawing>
      </w:r>
    </w:p>
    <w:p>
      <w:pPr>
        <w:pStyle w:val="BodyText"/>
        <w:spacing w:before="222"/>
        <w:rPr>
          <w:b/>
        </w:rPr>
      </w:pPr>
    </w:p>
    <w:p>
      <w:pPr>
        <w:spacing w:before="0"/>
        <w:ind w:left="5714" w:right="0" w:firstLine="0"/>
        <w:jc w:val="left"/>
        <w:rPr>
          <w:b/>
          <w:sz w:val="24"/>
        </w:rPr>
      </w:pPr>
      <w:r>
        <w:rPr>
          <w:b/>
          <w:sz w:val="24"/>
        </w:rPr>
        <w:t>Plate</w:t>
      </w:r>
      <w:r>
        <w:rPr>
          <w:b/>
          <w:spacing w:val="-3"/>
          <w:sz w:val="24"/>
        </w:rPr>
        <w:t> </w:t>
      </w:r>
      <w:r>
        <w:rPr>
          <w:b/>
          <w:sz w:val="24"/>
        </w:rPr>
        <w:t>XXI: GIT</w:t>
      </w:r>
      <w:r>
        <w:rPr>
          <w:b/>
          <w:spacing w:val="-3"/>
          <w:sz w:val="24"/>
        </w:rPr>
        <w:t> </w:t>
      </w:r>
      <w:r>
        <w:rPr>
          <w:b/>
          <w:sz w:val="24"/>
        </w:rPr>
        <w:t>(125</w:t>
      </w:r>
      <w:r>
        <w:rPr>
          <w:b/>
          <w:spacing w:val="-1"/>
          <w:sz w:val="24"/>
        </w:rPr>
        <w:t> </w:t>
      </w:r>
      <w:r>
        <w:rPr>
          <w:b/>
          <w:sz w:val="24"/>
        </w:rPr>
        <w:t>mg/kg</w:t>
      </w:r>
      <w:r>
        <w:rPr>
          <w:b/>
          <w:spacing w:val="-1"/>
          <w:sz w:val="24"/>
        </w:rPr>
        <w:t> </w:t>
      </w:r>
      <w:r>
        <w:rPr>
          <w:b/>
          <w:sz w:val="24"/>
        </w:rPr>
        <w:t>SDME)</w:t>
      </w:r>
      <w:r>
        <w:rPr>
          <w:b/>
          <w:spacing w:val="-4"/>
          <w:sz w:val="24"/>
        </w:rPr>
        <w:t> x250</w:t>
      </w:r>
    </w:p>
    <w:p>
      <w:pPr>
        <w:pStyle w:val="BodyText"/>
        <w:rPr>
          <w:b/>
        </w:rPr>
      </w:pPr>
    </w:p>
    <w:p>
      <w:pPr>
        <w:pStyle w:val="BodyText"/>
        <w:rPr>
          <w:b/>
        </w:rPr>
      </w:pPr>
    </w:p>
    <w:p>
      <w:pPr>
        <w:pStyle w:val="BodyText"/>
        <w:spacing w:before="96"/>
        <w:rPr>
          <w:b/>
        </w:rPr>
      </w:pPr>
    </w:p>
    <w:p>
      <w:pPr>
        <w:pStyle w:val="ListParagraph"/>
        <w:numPr>
          <w:ilvl w:val="2"/>
          <w:numId w:val="23"/>
        </w:numPr>
        <w:tabs>
          <w:tab w:pos="1747" w:val="left" w:leader="none"/>
        </w:tabs>
        <w:spacing w:line="362" w:lineRule="auto" w:before="0" w:after="0"/>
        <w:ind w:left="1028" w:right="444" w:firstLine="0"/>
        <w:jc w:val="left"/>
        <w:rPr>
          <w:b/>
          <w:sz w:val="23"/>
        </w:rPr>
      </w:pPr>
      <w:r>
        <w:rPr>
          <w:b/>
          <w:sz w:val="23"/>
        </w:rPr>
        <w:t>Effects</w:t>
      </w:r>
      <w:r>
        <w:rPr>
          <w:b/>
          <w:spacing w:val="40"/>
          <w:sz w:val="23"/>
        </w:rPr>
        <w:t> </w:t>
      </w:r>
      <w:r>
        <w:rPr>
          <w:b/>
          <w:sz w:val="23"/>
        </w:rPr>
        <w:t>of</w:t>
      </w:r>
      <w:r>
        <w:rPr>
          <w:b/>
          <w:spacing w:val="40"/>
          <w:sz w:val="23"/>
        </w:rPr>
        <w:t> </w:t>
      </w:r>
      <w:r>
        <w:rPr>
          <w:b/>
          <w:sz w:val="23"/>
        </w:rPr>
        <w:t>undetoxified</w:t>
      </w:r>
      <w:r>
        <w:rPr>
          <w:b/>
          <w:spacing w:val="40"/>
          <w:sz w:val="23"/>
        </w:rPr>
        <w:t> </w:t>
      </w:r>
      <w:r>
        <w:rPr>
          <w:b/>
          <w:sz w:val="23"/>
        </w:rPr>
        <w:t>and</w:t>
      </w:r>
      <w:r>
        <w:rPr>
          <w:b/>
          <w:spacing w:val="40"/>
          <w:sz w:val="23"/>
        </w:rPr>
        <w:t> </w:t>
      </w:r>
      <w:r>
        <w:rPr>
          <w:b/>
          <w:sz w:val="23"/>
        </w:rPr>
        <w:t>detoxified</w:t>
      </w:r>
      <w:r>
        <w:rPr>
          <w:b/>
          <w:spacing w:val="40"/>
          <w:sz w:val="23"/>
        </w:rPr>
        <w:t> </w:t>
      </w:r>
      <w:r>
        <w:rPr>
          <w:b/>
          <w:i/>
          <w:sz w:val="23"/>
        </w:rPr>
        <w:t>Jatropha</w:t>
      </w:r>
      <w:r>
        <w:rPr>
          <w:b/>
          <w:i/>
          <w:spacing w:val="40"/>
          <w:sz w:val="23"/>
        </w:rPr>
        <w:t> </w:t>
      </w:r>
      <w:r>
        <w:rPr>
          <w:b/>
          <w:i/>
          <w:sz w:val="23"/>
        </w:rPr>
        <w:t>curcas</w:t>
      </w:r>
      <w:r>
        <w:rPr>
          <w:b/>
          <w:i/>
          <w:spacing w:val="40"/>
          <w:sz w:val="23"/>
        </w:rPr>
        <w:t> </w:t>
      </w:r>
      <w:r>
        <w:rPr>
          <w:b/>
          <w:sz w:val="23"/>
        </w:rPr>
        <w:t>oils</w:t>
      </w:r>
      <w:r>
        <w:rPr>
          <w:b/>
          <w:spacing w:val="40"/>
          <w:sz w:val="23"/>
        </w:rPr>
        <w:t> </w:t>
      </w:r>
      <w:r>
        <w:rPr>
          <w:b/>
          <w:sz w:val="23"/>
        </w:rPr>
        <w:t>on</w:t>
      </w:r>
      <w:r>
        <w:rPr>
          <w:b/>
          <w:spacing w:val="40"/>
          <w:sz w:val="23"/>
        </w:rPr>
        <w:t> </w:t>
      </w:r>
      <w:r>
        <w:rPr>
          <w:b/>
          <w:sz w:val="23"/>
        </w:rPr>
        <w:t>GIT</w:t>
      </w:r>
      <w:r>
        <w:rPr>
          <w:b/>
          <w:spacing w:val="40"/>
          <w:sz w:val="23"/>
        </w:rPr>
        <w:t> </w:t>
      </w:r>
      <w:r>
        <w:rPr>
          <w:b/>
          <w:sz w:val="23"/>
        </w:rPr>
        <w:t>(duodenal) tissues (H and E stain)</w:t>
      </w:r>
    </w:p>
    <w:p>
      <w:pPr>
        <w:pStyle w:val="BodyText"/>
        <w:spacing w:before="132"/>
        <w:rPr>
          <w:b/>
          <w:sz w:val="23"/>
        </w:rPr>
      </w:pPr>
    </w:p>
    <w:p>
      <w:pPr>
        <w:spacing w:line="360" w:lineRule="auto" w:before="0"/>
        <w:ind w:left="1028" w:right="670" w:firstLine="0"/>
        <w:jc w:val="left"/>
        <w:rPr>
          <w:sz w:val="22"/>
        </w:rPr>
      </w:pPr>
      <w:r>
        <w:rPr>
          <w:sz w:val="22"/>
        </w:rPr>
        <w:t>Plate XIX: Section</w:t>
      </w:r>
      <w:r>
        <w:rPr>
          <w:spacing w:val="20"/>
          <w:sz w:val="22"/>
        </w:rPr>
        <w:t> </w:t>
      </w:r>
      <w:r>
        <w:rPr>
          <w:sz w:val="22"/>
        </w:rPr>
        <w:t>of the</w:t>
      </w:r>
      <w:r>
        <w:rPr>
          <w:spacing w:val="18"/>
          <w:sz w:val="22"/>
        </w:rPr>
        <w:t> </w:t>
      </w:r>
      <w:r>
        <w:rPr>
          <w:sz w:val="22"/>
        </w:rPr>
        <w:t>wall of</w:t>
      </w:r>
      <w:r>
        <w:rPr>
          <w:spacing w:val="18"/>
          <w:sz w:val="22"/>
        </w:rPr>
        <w:t> </w:t>
      </w:r>
      <w:r>
        <w:rPr>
          <w:sz w:val="22"/>
        </w:rPr>
        <w:t>the small intestine</w:t>
      </w:r>
      <w:r>
        <w:rPr>
          <w:spacing w:val="25"/>
          <w:sz w:val="22"/>
        </w:rPr>
        <w:t> </w:t>
      </w:r>
      <w:r>
        <w:rPr>
          <w:sz w:val="22"/>
        </w:rPr>
        <w:t>of control (olive oil 10</w:t>
      </w:r>
      <w:r>
        <w:rPr>
          <w:spacing w:val="25"/>
          <w:sz w:val="22"/>
        </w:rPr>
        <w:t> </w:t>
      </w:r>
      <w:r>
        <w:rPr>
          <w:sz w:val="22"/>
        </w:rPr>
        <w:t>ml/kg)</w:t>
      </w:r>
      <w:r>
        <w:rPr>
          <w:spacing w:val="19"/>
          <w:sz w:val="22"/>
        </w:rPr>
        <w:t> </w:t>
      </w:r>
      <w:r>
        <w:rPr>
          <w:sz w:val="22"/>
        </w:rPr>
        <w:t>group</w:t>
      </w:r>
      <w:r>
        <w:rPr>
          <w:spacing w:val="25"/>
          <w:sz w:val="22"/>
        </w:rPr>
        <w:t> </w:t>
      </w:r>
      <w:r>
        <w:rPr>
          <w:sz w:val="22"/>
        </w:rPr>
        <w:t>with normal sub mucosa with Brunner‟s gland (B) and tall cylindrical villi (V) with goblet cells (G).</w:t>
      </w:r>
    </w:p>
    <w:p>
      <w:pPr>
        <w:spacing w:after="0" w:line="360" w:lineRule="auto"/>
        <w:jc w:val="left"/>
        <w:rPr>
          <w:sz w:val="22"/>
        </w:rPr>
        <w:sectPr>
          <w:pgSz w:w="11910" w:h="16840"/>
          <w:pgMar w:header="0" w:footer="1012" w:top="1400" w:bottom="1200" w:left="960" w:right="620"/>
        </w:sectPr>
      </w:pPr>
    </w:p>
    <w:p>
      <w:pPr>
        <w:spacing w:line="360" w:lineRule="auto" w:before="64"/>
        <w:ind w:left="1028" w:right="714" w:firstLine="0"/>
        <w:jc w:val="both"/>
        <w:rPr>
          <w:sz w:val="22"/>
        </w:rPr>
      </w:pPr>
      <w:r>
        <w:rPr>
          <w:sz w:val="22"/>
        </w:rPr>
        <w:t>Plate</w:t>
      </w:r>
      <w:r>
        <w:rPr>
          <w:spacing w:val="-7"/>
          <w:sz w:val="22"/>
        </w:rPr>
        <w:t> </w:t>
      </w:r>
      <w:r>
        <w:rPr>
          <w:sz w:val="22"/>
        </w:rPr>
        <w:t>XX:</w:t>
      </w:r>
      <w:r>
        <w:rPr>
          <w:spacing w:val="-5"/>
          <w:sz w:val="22"/>
        </w:rPr>
        <w:t> </w:t>
      </w:r>
      <w:r>
        <w:rPr>
          <w:sz w:val="22"/>
        </w:rPr>
        <w:t>Section</w:t>
      </w:r>
      <w:r>
        <w:rPr>
          <w:spacing w:val="-1"/>
          <w:sz w:val="22"/>
        </w:rPr>
        <w:t> </w:t>
      </w:r>
      <w:r>
        <w:rPr>
          <w:sz w:val="22"/>
        </w:rPr>
        <w:t>of</w:t>
      </w:r>
      <w:r>
        <w:rPr>
          <w:spacing w:val="-3"/>
          <w:sz w:val="22"/>
        </w:rPr>
        <w:t> </w:t>
      </w:r>
      <w:r>
        <w:rPr>
          <w:sz w:val="22"/>
        </w:rPr>
        <w:t>the</w:t>
      </w:r>
      <w:r>
        <w:rPr>
          <w:spacing w:val="-7"/>
          <w:sz w:val="22"/>
        </w:rPr>
        <w:t> </w:t>
      </w:r>
      <w:r>
        <w:rPr>
          <w:sz w:val="22"/>
        </w:rPr>
        <w:t>small</w:t>
      </w:r>
      <w:r>
        <w:rPr>
          <w:spacing w:val="-5"/>
          <w:sz w:val="22"/>
        </w:rPr>
        <w:t> </w:t>
      </w:r>
      <w:r>
        <w:rPr>
          <w:sz w:val="22"/>
        </w:rPr>
        <w:t>intestine</w:t>
      </w:r>
      <w:r>
        <w:rPr>
          <w:spacing w:val="-7"/>
          <w:sz w:val="22"/>
        </w:rPr>
        <w:t> </w:t>
      </w:r>
      <w:r>
        <w:rPr>
          <w:sz w:val="22"/>
        </w:rPr>
        <w:t>treated</w:t>
      </w:r>
      <w:r>
        <w:rPr>
          <w:spacing w:val="-1"/>
          <w:sz w:val="22"/>
        </w:rPr>
        <w:t> </w:t>
      </w:r>
      <w:r>
        <w:rPr>
          <w:sz w:val="22"/>
        </w:rPr>
        <w:t>with</w:t>
      </w:r>
      <w:r>
        <w:rPr>
          <w:spacing w:val="-6"/>
          <w:sz w:val="22"/>
        </w:rPr>
        <w:t> </w:t>
      </w:r>
      <w:r>
        <w:rPr>
          <w:sz w:val="22"/>
        </w:rPr>
        <w:t>125</w:t>
      </w:r>
      <w:r>
        <w:rPr>
          <w:spacing w:val="-1"/>
          <w:sz w:val="22"/>
        </w:rPr>
        <w:t> </w:t>
      </w:r>
      <w:r>
        <w:rPr>
          <w:sz w:val="22"/>
        </w:rPr>
        <w:t>mg/kg</w:t>
      </w:r>
      <w:r>
        <w:rPr>
          <w:spacing w:val="-6"/>
          <w:sz w:val="22"/>
        </w:rPr>
        <w:t> </w:t>
      </w:r>
      <w:r>
        <w:rPr>
          <w:sz w:val="22"/>
        </w:rPr>
        <w:t>undetoxified (UME)</w:t>
      </w:r>
      <w:r>
        <w:rPr>
          <w:spacing w:val="-2"/>
          <w:sz w:val="22"/>
        </w:rPr>
        <w:t> </w:t>
      </w:r>
      <w:r>
        <w:rPr>
          <w:i/>
          <w:sz w:val="22"/>
        </w:rPr>
        <w:t>J. curcas </w:t>
      </w:r>
      <w:r>
        <w:rPr>
          <w:sz w:val="22"/>
        </w:rPr>
        <w:t>oil showing desquamation and necrosis of the tips of the villi (N) infiltrated with lymphocytes.</w:t>
      </w:r>
    </w:p>
    <w:p>
      <w:pPr>
        <w:pStyle w:val="BodyText"/>
        <w:spacing w:before="126"/>
        <w:rPr>
          <w:sz w:val="22"/>
        </w:rPr>
      </w:pPr>
    </w:p>
    <w:p>
      <w:pPr>
        <w:spacing w:line="360" w:lineRule="auto" w:before="0" w:after="4"/>
        <w:ind w:left="1028" w:right="714" w:firstLine="0"/>
        <w:jc w:val="both"/>
        <w:rPr>
          <w:sz w:val="22"/>
        </w:rPr>
      </w:pPr>
      <w:r>
        <w:rPr>
          <w:sz w:val="22"/>
        </w:rPr>
        <w:t>Plate</w:t>
      </w:r>
      <w:r>
        <w:rPr>
          <w:spacing w:val="-7"/>
          <w:sz w:val="22"/>
        </w:rPr>
        <w:t> </w:t>
      </w:r>
      <w:r>
        <w:rPr>
          <w:sz w:val="22"/>
        </w:rPr>
        <w:t>XXI:</w:t>
      </w:r>
      <w:r>
        <w:rPr>
          <w:spacing w:val="-4"/>
          <w:sz w:val="22"/>
        </w:rPr>
        <w:t> </w:t>
      </w:r>
      <w:r>
        <w:rPr>
          <w:sz w:val="22"/>
        </w:rPr>
        <w:t>Section of</w:t>
      </w:r>
      <w:r>
        <w:rPr>
          <w:spacing w:val="-2"/>
          <w:sz w:val="22"/>
        </w:rPr>
        <w:t> </w:t>
      </w:r>
      <w:r>
        <w:rPr>
          <w:sz w:val="22"/>
        </w:rPr>
        <w:t>the</w:t>
      </w:r>
      <w:r>
        <w:rPr>
          <w:spacing w:val="-7"/>
          <w:sz w:val="22"/>
        </w:rPr>
        <w:t> </w:t>
      </w:r>
      <w:r>
        <w:rPr>
          <w:sz w:val="22"/>
        </w:rPr>
        <w:t>small intestine</w:t>
      </w:r>
      <w:r>
        <w:rPr>
          <w:spacing w:val="-2"/>
          <w:sz w:val="22"/>
        </w:rPr>
        <w:t> </w:t>
      </w:r>
      <w:r>
        <w:rPr>
          <w:sz w:val="22"/>
        </w:rPr>
        <w:t>treated with</w:t>
      </w:r>
      <w:r>
        <w:rPr>
          <w:spacing w:val="-5"/>
          <w:sz w:val="22"/>
        </w:rPr>
        <w:t> </w:t>
      </w:r>
      <w:r>
        <w:rPr>
          <w:sz w:val="22"/>
        </w:rPr>
        <w:t>125 mg/kg detoxified (SDME)</w:t>
      </w:r>
      <w:r>
        <w:rPr>
          <w:spacing w:val="-1"/>
          <w:sz w:val="22"/>
        </w:rPr>
        <w:t> </w:t>
      </w:r>
      <w:r>
        <w:rPr>
          <w:i/>
          <w:sz w:val="22"/>
        </w:rPr>
        <w:t>J. curcas </w:t>
      </w:r>
      <w:r>
        <w:rPr>
          <w:sz w:val="22"/>
        </w:rPr>
        <w:t>oil showing</w:t>
      </w:r>
      <w:r>
        <w:rPr>
          <w:spacing w:val="-2"/>
          <w:sz w:val="22"/>
        </w:rPr>
        <w:t> </w:t>
      </w:r>
      <w:r>
        <w:rPr>
          <w:sz w:val="22"/>
        </w:rPr>
        <w:t>normal</w:t>
      </w:r>
      <w:r>
        <w:rPr>
          <w:spacing w:val="-6"/>
          <w:sz w:val="22"/>
        </w:rPr>
        <w:t> </w:t>
      </w:r>
      <w:r>
        <w:rPr>
          <w:sz w:val="22"/>
        </w:rPr>
        <w:t>cytoarchitecture</w:t>
      </w:r>
      <w:r>
        <w:rPr>
          <w:spacing w:val="-9"/>
          <w:sz w:val="22"/>
        </w:rPr>
        <w:t> </w:t>
      </w:r>
      <w:r>
        <w:rPr>
          <w:sz w:val="22"/>
        </w:rPr>
        <w:t>with</w:t>
      </w:r>
      <w:r>
        <w:rPr>
          <w:spacing w:val="-2"/>
          <w:sz w:val="22"/>
        </w:rPr>
        <w:t> </w:t>
      </w:r>
      <w:r>
        <w:rPr>
          <w:sz w:val="22"/>
        </w:rPr>
        <w:t>mild</w:t>
      </w:r>
      <w:r>
        <w:rPr>
          <w:spacing w:val="-2"/>
          <w:sz w:val="22"/>
        </w:rPr>
        <w:t> </w:t>
      </w:r>
      <w:r>
        <w:rPr>
          <w:sz w:val="22"/>
        </w:rPr>
        <w:t>desquamation</w:t>
      </w:r>
      <w:r>
        <w:rPr>
          <w:spacing w:val="-7"/>
          <w:sz w:val="22"/>
        </w:rPr>
        <w:t> </w:t>
      </w:r>
      <w:r>
        <w:rPr>
          <w:sz w:val="22"/>
        </w:rPr>
        <w:t>(D), metaplasia (M)</w:t>
      </w:r>
      <w:r>
        <w:rPr>
          <w:spacing w:val="-3"/>
          <w:sz w:val="22"/>
        </w:rPr>
        <w:t> </w:t>
      </w:r>
      <w:r>
        <w:rPr>
          <w:sz w:val="22"/>
        </w:rPr>
        <w:t>and</w:t>
      </w:r>
      <w:r>
        <w:rPr>
          <w:spacing w:val="-2"/>
          <w:sz w:val="22"/>
        </w:rPr>
        <w:t> </w:t>
      </w:r>
      <w:r>
        <w:rPr>
          <w:sz w:val="22"/>
        </w:rPr>
        <w:t>necrosis</w:t>
      </w:r>
      <w:r>
        <w:rPr>
          <w:spacing w:val="-2"/>
          <w:sz w:val="22"/>
        </w:rPr>
        <w:t> </w:t>
      </w:r>
      <w:r>
        <w:rPr>
          <w:sz w:val="22"/>
        </w:rPr>
        <w:t>at</w:t>
      </w:r>
      <w:r>
        <w:rPr>
          <w:spacing w:val="-1"/>
          <w:sz w:val="22"/>
        </w:rPr>
        <w:t> </w:t>
      </w:r>
      <w:r>
        <w:rPr>
          <w:sz w:val="22"/>
        </w:rPr>
        <w:t>the tip of the villi epithelium.</w:t>
      </w:r>
    </w:p>
    <w:p>
      <w:pPr>
        <w:tabs>
          <w:tab w:pos="5857" w:val="left" w:leader="none"/>
        </w:tabs>
        <w:spacing w:line="240" w:lineRule="auto"/>
        <w:ind w:left="1057" w:right="0" w:firstLine="0"/>
        <w:rPr>
          <w:sz w:val="20"/>
        </w:rPr>
      </w:pPr>
      <w:r>
        <w:rPr>
          <w:position w:val="14"/>
          <w:sz w:val="20"/>
        </w:rPr>
        <w:drawing>
          <wp:inline distT="0" distB="0" distL="0" distR="0">
            <wp:extent cx="2655530" cy="2577465"/>
            <wp:effectExtent l="0" t="0" r="0" b="0"/>
            <wp:docPr id="222" name="Image 222" descr="C:\Users\TRY\Documents\TISSUES\Control\4INTB.bmp"/>
            <wp:cNvGraphicFramePr>
              <a:graphicFrameLocks/>
            </wp:cNvGraphicFramePr>
            <a:graphic>
              <a:graphicData uri="http://schemas.openxmlformats.org/drawingml/2006/picture">
                <pic:pic>
                  <pic:nvPicPr>
                    <pic:cNvPr id="222" name="Image 222" descr="C:\Users\TRY\Documents\TISSUES\Control\4INTB.bmp"/>
                    <pic:cNvPicPr/>
                  </pic:nvPicPr>
                  <pic:blipFill>
                    <a:blip r:embed="rId116" cstate="print"/>
                    <a:stretch>
                      <a:fillRect/>
                    </a:stretch>
                  </pic:blipFill>
                  <pic:spPr>
                    <a:xfrm>
                      <a:off x="0" y="0"/>
                      <a:ext cx="2655530" cy="2577465"/>
                    </a:xfrm>
                    <a:prstGeom prst="rect">
                      <a:avLst/>
                    </a:prstGeom>
                  </pic:spPr>
                </pic:pic>
              </a:graphicData>
            </a:graphic>
          </wp:inline>
        </w:drawing>
      </w:r>
      <w:r>
        <w:rPr>
          <w:position w:val="14"/>
          <w:sz w:val="20"/>
        </w:rPr>
      </w:r>
      <w:r>
        <w:rPr>
          <w:position w:val="14"/>
          <w:sz w:val="20"/>
        </w:rPr>
        <w:tab/>
      </w:r>
      <w:r>
        <w:rPr>
          <w:sz w:val="20"/>
        </w:rPr>
        <w:drawing>
          <wp:inline distT="0" distB="0" distL="0" distR="0">
            <wp:extent cx="2522020" cy="2662047"/>
            <wp:effectExtent l="0" t="0" r="0" b="0"/>
            <wp:docPr id="223" name="Image 223" descr="C:\Users\TRY\Documents\TISSUES\Group 4- 250mg untreated\5 INT 100C.jpg"/>
            <wp:cNvGraphicFramePr>
              <a:graphicFrameLocks/>
            </wp:cNvGraphicFramePr>
            <a:graphic>
              <a:graphicData uri="http://schemas.openxmlformats.org/drawingml/2006/picture">
                <pic:pic>
                  <pic:nvPicPr>
                    <pic:cNvPr id="223" name="Image 223" descr="C:\Users\TRY\Documents\TISSUES\Group 4- 250mg untreated\5 INT 100C.jpg"/>
                    <pic:cNvPicPr/>
                  </pic:nvPicPr>
                  <pic:blipFill>
                    <a:blip r:embed="rId117" cstate="print"/>
                    <a:stretch>
                      <a:fillRect/>
                    </a:stretch>
                  </pic:blipFill>
                  <pic:spPr>
                    <a:xfrm>
                      <a:off x="0" y="0"/>
                      <a:ext cx="2522020" cy="2662047"/>
                    </a:xfrm>
                    <a:prstGeom prst="rect">
                      <a:avLst/>
                    </a:prstGeom>
                  </pic:spPr>
                </pic:pic>
              </a:graphicData>
            </a:graphic>
          </wp:inline>
        </w:drawing>
      </w:r>
      <w:r>
        <w:rPr>
          <w:sz w:val="20"/>
        </w:rPr>
      </w:r>
    </w:p>
    <w:p>
      <w:pPr>
        <w:tabs>
          <w:tab w:pos="5829" w:val="left" w:leader="none"/>
        </w:tabs>
        <w:spacing w:before="67"/>
        <w:ind w:left="1028" w:right="0" w:firstLine="0"/>
        <w:jc w:val="left"/>
        <w:rPr>
          <w:b/>
          <w:sz w:val="23"/>
        </w:rPr>
      </w:pPr>
      <w:r>
        <w:rPr>
          <w:b/>
          <w:sz w:val="23"/>
        </w:rPr>
        <w:t>Plate</w:t>
      </w:r>
      <w:r>
        <w:rPr>
          <w:b/>
          <w:spacing w:val="-6"/>
          <w:sz w:val="23"/>
        </w:rPr>
        <w:t> </w:t>
      </w:r>
      <w:r>
        <w:rPr>
          <w:b/>
          <w:sz w:val="23"/>
        </w:rPr>
        <w:t>XXII:</w:t>
      </w:r>
      <w:r>
        <w:rPr>
          <w:b/>
          <w:spacing w:val="-3"/>
          <w:sz w:val="23"/>
        </w:rPr>
        <w:t> </w:t>
      </w:r>
      <w:r>
        <w:rPr>
          <w:b/>
          <w:sz w:val="23"/>
        </w:rPr>
        <w:t>GIT</w:t>
      </w:r>
      <w:r>
        <w:rPr>
          <w:b/>
          <w:spacing w:val="-3"/>
          <w:sz w:val="23"/>
        </w:rPr>
        <w:t> </w:t>
      </w:r>
      <w:r>
        <w:rPr>
          <w:b/>
          <w:sz w:val="23"/>
        </w:rPr>
        <w:t>(Control)</w:t>
      </w:r>
      <w:r>
        <w:rPr>
          <w:b/>
          <w:spacing w:val="-3"/>
          <w:sz w:val="23"/>
        </w:rPr>
        <w:t> </w:t>
      </w:r>
      <w:r>
        <w:rPr>
          <w:b/>
          <w:spacing w:val="-4"/>
          <w:sz w:val="23"/>
        </w:rPr>
        <w:t>x250</w:t>
      </w:r>
      <w:r>
        <w:rPr>
          <w:b/>
          <w:sz w:val="23"/>
        </w:rPr>
        <w:tab/>
        <w:t>Plate</w:t>
      </w:r>
      <w:r>
        <w:rPr>
          <w:b/>
          <w:spacing w:val="-5"/>
          <w:sz w:val="23"/>
        </w:rPr>
        <w:t> </w:t>
      </w:r>
      <w:r>
        <w:rPr>
          <w:b/>
          <w:sz w:val="23"/>
        </w:rPr>
        <w:t>XXIII: GIT</w:t>
      </w:r>
      <w:r>
        <w:rPr>
          <w:b/>
          <w:spacing w:val="-1"/>
          <w:sz w:val="23"/>
        </w:rPr>
        <w:t> </w:t>
      </w:r>
      <w:r>
        <w:rPr>
          <w:b/>
          <w:sz w:val="23"/>
        </w:rPr>
        <w:t>(250</w:t>
      </w:r>
      <w:r>
        <w:rPr>
          <w:b/>
          <w:spacing w:val="-5"/>
          <w:sz w:val="23"/>
        </w:rPr>
        <w:t> </w:t>
      </w:r>
      <w:r>
        <w:rPr>
          <w:b/>
          <w:sz w:val="23"/>
        </w:rPr>
        <w:t>mg/kg</w:t>
      </w:r>
      <w:r>
        <w:rPr>
          <w:b/>
          <w:spacing w:val="-5"/>
          <w:sz w:val="23"/>
        </w:rPr>
        <w:t> </w:t>
      </w:r>
      <w:r>
        <w:rPr>
          <w:b/>
          <w:sz w:val="23"/>
        </w:rPr>
        <w:t>UME) </w:t>
      </w:r>
      <w:r>
        <w:rPr>
          <w:b/>
          <w:spacing w:val="-4"/>
          <w:sz w:val="23"/>
        </w:rPr>
        <w:t>x250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5"/>
        <w:rPr>
          <w:b/>
          <w:sz w:val="20"/>
        </w:rPr>
      </w:pPr>
      <w:r>
        <w:rPr/>
        <w:drawing>
          <wp:anchor distT="0" distB="0" distL="0" distR="0" allowOverlap="1" layoutInCell="1" locked="0" behindDoc="1" simplePos="0" relativeHeight="487629824">
            <wp:simplePos x="0" y="0"/>
            <wp:positionH relativeFrom="page">
              <wp:posOffset>4214495</wp:posOffset>
            </wp:positionH>
            <wp:positionV relativeFrom="paragraph">
              <wp:posOffset>291846</wp:posOffset>
            </wp:positionV>
            <wp:extent cx="2642698" cy="2514600"/>
            <wp:effectExtent l="0" t="0" r="0" b="0"/>
            <wp:wrapTopAndBottom/>
            <wp:docPr id="224" name="Image 224" descr="C:\Users\TRY\Documents\TISSUES\Group5-250mg treated\4 INT 100.jpg"/>
            <wp:cNvGraphicFramePr>
              <a:graphicFrameLocks/>
            </wp:cNvGraphicFramePr>
            <a:graphic>
              <a:graphicData uri="http://schemas.openxmlformats.org/drawingml/2006/picture">
                <pic:pic>
                  <pic:nvPicPr>
                    <pic:cNvPr id="224" name="Image 224" descr="C:\Users\TRY\Documents\TISSUES\Group5-250mg treated\4 INT 100.jpg"/>
                    <pic:cNvPicPr/>
                  </pic:nvPicPr>
                  <pic:blipFill>
                    <a:blip r:embed="rId118" cstate="print"/>
                    <a:stretch>
                      <a:fillRect/>
                    </a:stretch>
                  </pic:blipFill>
                  <pic:spPr>
                    <a:xfrm>
                      <a:off x="0" y="0"/>
                      <a:ext cx="2642698" cy="2514600"/>
                    </a:xfrm>
                    <a:prstGeom prst="rect">
                      <a:avLst/>
                    </a:prstGeom>
                  </pic:spPr>
                </pic:pic>
              </a:graphicData>
            </a:graphic>
          </wp:anchor>
        </w:drawing>
      </w:r>
    </w:p>
    <w:p>
      <w:pPr>
        <w:spacing w:before="104"/>
        <w:ind w:left="5594" w:right="0" w:firstLine="0"/>
        <w:jc w:val="left"/>
        <w:rPr>
          <w:b/>
          <w:sz w:val="23"/>
        </w:rPr>
      </w:pPr>
      <w:r>
        <w:rPr>
          <w:b/>
          <w:sz w:val="23"/>
        </w:rPr>
        <w:t>Plate</w:t>
      </w:r>
      <w:r>
        <w:rPr>
          <w:b/>
          <w:spacing w:val="-4"/>
          <w:sz w:val="23"/>
        </w:rPr>
        <w:t> </w:t>
      </w:r>
      <w:r>
        <w:rPr>
          <w:b/>
          <w:sz w:val="23"/>
        </w:rPr>
        <w:t>XXIV:</w:t>
      </w:r>
      <w:r>
        <w:rPr>
          <w:b/>
          <w:spacing w:val="-1"/>
          <w:sz w:val="23"/>
        </w:rPr>
        <w:t> </w:t>
      </w:r>
      <w:r>
        <w:rPr>
          <w:b/>
          <w:sz w:val="23"/>
        </w:rPr>
        <w:t>GIT</w:t>
      </w:r>
      <w:r>
        <w:rPr>
          <w:b/>
          <w:spacing w:val="-1"/>
          <w:sz w:val="23"/>
        </w:rPr>
        <w:t> </w:t>
      </w:r>
      <w:r>
        <w:rPr>
          <w:b/>
          <w:sz w:val="23"/>
        </w:rPr>
        <w:t>(250</w:t>
      </w:r>
      <w:r>
        <w:rPr>
          <w:b/>
          <w:spacing w:val="-6"/>
          <w:sz w:val="23"/>
        </w:rPr>
        <w:t> </w:t>
      </w:r>
      <w:r>
        <w:rPr>
          <w:b/>
          <w:sz w:val="23"/>
        </w:rPr>
        <w:t>mg/kg</w:t>
      </w:r>
      <w:r>
        <w:rPr>
          <w:b/>
          <w:spacing w:val="-1"/>
          <w:sz w:val="23"/>
        </w:rPr>
        <w:t> </w:t>
      </w:r>
      <w:r>
        <w:rPr>
          <w:b/>
          <w:sz w:val="23"/>
        </w:rPr>
        <w:t>SDME)</w:t>
      </w:r>
      <w:r>
        <w:rPr>
          <w:b/>
          <w:spacing w:val="-1"/>
          <w:sz w:val="23"/>
        </w:rPr>
        <w:t> </w:t>
      </w:r>
      <w:r>
        <w:rPr>
          <w:b/>
          <w:spacing w:val="-4"/>
          <w:sz w:val="23"/>
        </w:rPr>
        <w:t>x250</w:t>
      </w:r>
    </w:p>
    <w:p>
      <w:pPr>
        <w:spacing w:after="0"/>
        <w:jc w:val="left"/>
        <w:rPr>
          <w:sz w:val="23"/>
        </w:rPr>
        <w:sectPr>
          <w:pgSz w:w="11910" w:h="16840"/>
          <w:pgMar w:header="0" w:footer="1012" w:top="1340" w:bottom="1200" w:left="960" w:right="620"/>
        </w:sectPr>
      </w:pPr>
    </w:p>
    <w:p>
      <w:pPr>
        <w:pStyle w:val="ListParagraph"/>
        <w:numPr>
          <w:ilvl w:val="2"/>
          <w:numId w:val="23"/>
        </w:numPr>
        <w:tabs>
          <w:tab w:pos="1747" w:val="left" w:leader="none"/>
        </w:tabs>
        <w:spacing w:line="362" w:lineRule="auto" w:before="79" w:after="0"/>
        <w:ind w:left="1028" w:right="445" w:firstLine="0"/>
        <w:jc w:val="left"/>
        <w:rPr>
          <w:b/>
          <w:sz w:val="23"/>
        </w:rPr>
      </w:pPr>
      <w:r>
        <w:rPr>
          <w:b/>
          <w:sz w:val="23"/>
        </w:rPr>
        <w:t>Effects</w:t>
      </w:r>
      <w:r>
        <w:rPr>
          <w:b/>
          <w:spacing w:val="40"/>
          <w:sz w:val="23"/>
        </w:rPr>
        <w:t> </w:t>
      </w:r>
      <w:r>
        <w:rPr>
          <w:b/>
          <w:sz w:val="23"/>
        </w:rPr>
        <w:t>of</w:t>
      </w:r>
      <w:r>
        <w:rPr>
          <w:b/>
          <w:spacing w:val="40"/>
          <w:sz w:val="23"/>
        </w:rPr>
        <w:t> </w:t>
      </w:r>
      <w:r>
        <w:rPr>
          <w:b/>
          <w:sz w:val="23"/>
        </w:rPr>
        <w:t>undetoxified</w:t>
      </w:r>
      <w:r>
        <w:rPr>
          <w:b/>
          <w:spacing w:val="40"/>
          <w:sz w:val="23"/>
        </w:rPr>
        <w:t> </w:t>
      </w:r>
      <w:r>
        <w:rPr>
          <w:b/>
          <w:sz w:val="23"/>
        </w:rPr>
        <w:t>and</w:t>
      </w:r>
      <w:r>
        <w:rPr>
          <w:b/>
          <w:spacing w:val="40"/>
          <w:sz w:val="23"/>
        </w:rPr>
        <w:t> </w:t>
      </w:r>
      <w:r>
        <w:rPr>
          <w:b/>
          <w:sz w:val="23"/>
        </w:rPr>
        <w:t>detoxified</w:t>
      </w:r>
      <w:r>
        <w:rPr>
          <w:b/>
          <w:spacing w:val="40"/>
          <w:sz w:val="23"/>
        </w:rPr>
        <w:t> </w:t>
      </w:r>
      <w:r>
        <w:rPr>
          <w:b/>
          <w:i/>
          <w:sz w:val="23"/>
        </w:rPr>
        <w:t>Jatropha</w:t>
      </w:r>
      <w:r>
        <w:rPr>
          <w:b/>
          <w:i/>
          <w:spacing w:val="40"/>
          <w:sz w:val="23"/>
        </w:rPr>
        <w:t> </w:t>
      </w:r>
      <w:r>
        <w:rPr>
          <w:b/>
          <w:i/>
          <w:sz w:val="23"/>
        </w:rPr>
        <w:t>curcas</w:t>
      </w:r>
      <w:r>
        <w:rPr>
          <w:b/>
          <w:i/>
          <w:spacing w:val="40"/>
          <w:sz w:val="23"/>
        </w:rPr>
        <w:t> </w:t>
      </w:r>
      <w:r>
        <w:rPr>
          <w:b/>
          <w:sz w:val="23"/>
        </w:rPr>
        <w:t>oils</w:t>
      </w:r>
      <w:r>
        <w:rPr>
          <w:b/>
          <w:spacing w:val="40"/>
          <w:sz w:val="23"/>
        </w:rPr>
        <w:t> </w:t>
      </w:r>
      <w:r>
        <w:rPr>
          <w:b/>
          <w:sz w:val="23"/>
        </w:rPr>
        <w:t>on</w:t>
      </w:r>
      <w:r>
        <w:rPr>
          <w:b/>
          <w:spacing w:val="40"/>
          <w:sz w:val="23"/>
        </w:rPr>
        <w:t> </w:t>
      </w:r>
      <w:r>
        <w:rPr>
          <w:b/>
          <w:sz w:val="23"/>
        </w:rPr>
        <w:t>GIT</w:t>
      </w:r>
      <w:r>
        <w:rPr>
          <w:b/>
          <w:spacing w:val="40"/>
          <w:sz w:val="23"/>
        </w:rPr>
        <w:t> </w:t>
      </w:r>
      <w:r>
        <w:rPr>
          <w:b/>
          <w:sz w:val="23"/>
        </w:rPr>
        <w:t>(duodenal) tissues (H and E stain)</w:t>
      </w:r>
    </w:p>
    <w:p>
      <w:pPr>
        <w:pStyle w:val="BodyText"/>
        <w:spacing w:before="132"/>
        <w:rPr>
          <w:b/>
          <w:sz w:val="23"/>
        </w:rPr>
      </w:pPr>
    </w:p>
    <w:p>
      <w:pPr>
        <w:spacing w:line="360" w:lineRule="auto" w:before="0"/>
        <w:ind w:left="1028" w:right="714" w:firstLine="0"/>
        <w:jc w:val="both"/>
        <w:rPr>
          <w:sz w:val="22"/>
        </w:rPr>
      </w:pPr>
      <w:r>
        <w:rPr>
          <w:sz w:val="22"/>
        </w:rPr>
        <w:t>Plate XXII: Section of the wall of the small intestine of control (olive oil 10 ml/kg) group with normal sub mucosa with Brunner‟s gland (B) and tall cylindrical villi (V) with goblet cells (G).</w:t>
      </w:r>
    </w:p>
    <w:p>
      <w:pPr>
        <w:pStyle w:val="BodyText"/>
        <w:spacing w:before="126"/>
        <w:rPr>
          <w:sz w:val="22"/>
        </w:rPr>
      </w:pPr>
    </w:p>
    <w:p>
      <w:pPr>
        <w:spacing w:line="360" w:lineRule="auto" w:before="0"/>
        <w:ind w:left="1028" w:right="714" w:firstLine="0"/>
        <w:jc w:val="both"/>
        <w:rPr>
          <w:sz w:val="22"/>
        </w:rPr>
      </w:pPr>
      <w:r>
        <w:rPr>
          <w:sz w:val="22"/>
        </w:rPr>
        <w:t>Plate</w:t>
      </w:r>
      <w:r>
        <w:rPr>
          <w:spacing w:val="-2"/>
          <w:sz w:val="22"/>
        </w:rPr>
        <w:t> </w:t>
      </w:r>
      <w:r>
        <w:rPr>
          <w:sz w:val="22"/>
        </w:rPr>
        <w:t>XXIII: Section</w:t>
      </w:r>
      <w:r>
        <w:rPr>
          <w:spacing w:val="-1"/>
          <w:sz w:val="22"/>
        </w:rPr>
        <w:t> </w:t>
      </w:r>
      <w:r>
        <w:rPr>
          <w:sz w:val="22"/>
        </w:rPr>
        <w:t>of the</w:t>
      </w:r>
      <w:r>
        <w:rPr>
          <w:spacing w:val="-2"/>
          <w:sz w:val="22"/>
        </w:rPr>
        <w:t> </w:t>
      </w:r>
      <w:r>
        <w:rPr>
          <w:sz w:val="22"/>
        </w:rPr>
        <w:t>small intestine (SI) treated</w:t>
      </w:r>
      <w:r>
        <w:rPr>
          <w:spacing w:val="-1"/>
          <w:sz w:val="22"/>
        </w:rPr>
        <w:t> </w:t>
      </w:r>
      <w:r>
        <w:rPr>
          <w:sz w:val="22"/>
        </w:rPr>
        <w:t>with</w:t>
      </w:r>
      <w:r>
        <w:rPr>
          <w:spacing w:val="-1"/>
          <w:sz w:val="22"/>
        </w:rPr>
        <w:t> </w:t>
      </w:r>
      <w:r>
        <w:rPr>
          <w:sz w:val="22"/>
        </w:rPr>
        <w:t>250 mg/kg</w:t>
      </w:r>
      <w:r>
        <w:rPr>
          <w:spacing w:val="-1"/>
          <w:sz w:val="22"/>
        </w:rPr>
        <w:t> </w:t>
      </w:r>
      <w:r>
        <w:rPr>
          <w:sz w:val="22"/>
        </w:rPr>
        <w:t>undetoxified </w:t>
      </w:r>
      <w:r>
        <w:rPr>
          <w:i/>
          <w:sz w:val="22"/>
        </w:rPr>
        <w:t>J. curcas </w:t>
      </w:r>
      <w:r>
        <w:rPr>
          <w:sz w:val="22"/>
        </w:rPr>
        <w:t>oil showing chronic desquamation and necrosis of the tips of the villi epithelium. Hyperplasia and metaplasia (G) were also observed.</w:t>
      </w:r>
    </w:p>
    <w:p>
      <w:pPr>
        <w:pStyle w:val="BodyText"/>
        <w:spacing w:before="126"/>
        <w:rPr>
          <w:sz w:val="22"/>
        </w:rPr>
      </w:pPr>
    </w:p>
    <w:p>
      <w:pPr>
        <w:spacing w:line="362" w:lineRule="auto" w:before="0"/>
        <w:ind w:left="1028" w:right="713" w:firstLine="0"/>
        <w:jc w:val="both"/>
        <w:rPr>
          <w:sz w:val="22"/>
        </w:rPr>
      </w:pPr>
      <w:r>
        <w:rPr>
          <w:sz w:val="22"/>
        </w:rPr>
        <w:t>Plate XXIV: Section of the small intestine (SI) treated with 250 mg/kg detoxified </w:t>
      </w:r>
      <w:r>
        <w:rPr>
          <w:i/>
          <w:sz w:val="22"/>
        </w:rPr>
        <w:t>J. curcas </w:t>
      </w:r>
      <w:r>
        <w:rPr>
          <w:sz w:val="22"/>
        </w:rPr>
        <w:t>oil showing mild desquamation of the tips of the villi epithelium. Hyperplasia and metaplasia were also observed.</w:t>
      </w:r>
    </w:p>
    <w:p>
      <w:pPr>
        <w:tabs>
          <w:tab w:pos="5677" w:val="left" w:leader="none"/>
        </w:tabs>
        <w:spacing w:line="240" w:lineRule="auto"/>
        <w:ind w:left="1057" w:right="0" w:firstLine="0"/>
        <w:rPr>
          <w:sz w:val="20"/>
        </w:rPr>
      </w:pPr>
      <w:r>
        <w:rPr>
          <w:position w:val="7"/>
          <w:sz w:val="20"/>
        </w:rPr>
        <w:drawing>
          <wp:inline distT="0" distB="0" distL="0" distR="0">
            <wp:extent cx="2657534" cy="2581655"/>
            <wp:effectExtent l="0" t="0" r="0" b="0"/>
            <wp:docPr id="225" name="Image 225" descr="C:\Users\TRY\Documents\TISSUES\Control\4INTB.bmp"/>
            <wp:cNvGraphicFramePr>
              <a:graphicFrameLocks/>
            </wp:cNvGraphicFramePr>
            <a:graphic>
              <a:graphicData uri="http://schemas.openxmlformats.org/drawingml/2006/picture">
                <pic:pic>
                  <pic:nvPicPr>
                    <pic:cNvPr id="225" name="Image 225" descr="C:\Users\TRY\Documents\TISSUES\Control\4INTB.bmp"/>
                    <pic:cNvPicPr/>
                  </pic:nvPicPr>
                  <pic:blipFill>
                    <a:blip r:embed="rId119" cstate="print"/>
                    <a:stretch>
                      <a:fillRect/>
                    </a:stretch>
                  </pic:blipFill>
                  <pic:spPr>
                    <a:xfrm>
                      <a:off x="0" y="0"/>
                      <a:ext cx="2657534" cy="2581655"/>
                    </a:xfrm>
                    <a:prstGeom prst="rect">
                      <a:avLst/>
                    </a:prstGeom>
                  </pic:spPr>
                </pic:pic>
              </a:graphicData>
            </a:graphic>
          </wp:inline>
        </w:drawing>
      </w:r>
      <w:r>
        <w:rPr>
          <w:position w:val="7"/>
          <w:sz w:val="20"/>
        </w:rPr>
      </w:r>
      <w:r>
        <w:rPr>
          <w:position w:val="7"/>
          <w:sz w:val="20"/>
        </w:rPr>
        <w:tab/>
      </w:r>
      <w:r>
        <w:rPr>
          <w:sz w:val="20"/>
        </w:rPr>
        <w:drawing>
          <wp:inline distT="0" distB="0" distL="0" distR="0">
            <wp:extent cx="2640923" cy="2536888"/>
            <wp:effectExtent l="0" t="0" r="0" b="0"/>
            <wp:docPr id="226" name="Image 226" descr="C:\Users\TRY\AppData\Local\Microsoft\Windows\Temporary Internet Files\Content.Word\15 INT 100.jpg"/>
            <wp:cNvGraphicFramePr>
              <a:graphicFrameLocks/>
            </wp:cNvGraphicFramePr>
            <a:graphic>
              <a:graphicData uri="http://schemas.openxmlformats.org/drawingml/2006/picture">
                <pic:pic>
                  <pic:nvPicPr>
                    <pic:cNvPr id="226" name="Image 226" descr="C:\Users\TRY\AppData\Local\Microsoft\Windows\Temporary Internet Files\Content.Word\15 INT 100.jpg"/>
                    <pic:cNvPicPr/>
                  </pic:nvPicPr>
                  <pic:blipFill>
                    <a:blip r:embed="rId120" cstate="print"/>
                    <a:stretch>
                      <a:fillRect/>
                    </a:stretch>
                  </pic:blipFill>
                  <pic:spPr>
                    <a:xfrm>
                      <a:off x="0" y="0"/>
                      <a:ext cx="2640923" cy="2536888"/>
                    </a:xfrm>
                    <a:prstGeom prst="rect">
                      <a:avLst/>
                    </a:prstGeom>
                  </pic:spPr>
                </pic:pic>
              </a:graphicData>
            </a:graphic>
          </wp:inline>
        </w:drawing>
      </w:r>
      <w:r>
        <w:rPr>
          <w:sz w:val="20"/>
        </w:rPr>
      </w:r>
    </w:p>
    <w:p>
      <w:pPr>
        <w:tabs>
          <w:tab w:pos="5829" w:val="left" w:leader="none"/>
        </w:tabs>
        <w:spacing w:before="126"/>
        <w:ind w:left="1028" w:right="0" w:firstLine="0"/>
        <w:jc w:val="left"/>
        <w:rPr>
          <w:b/>
          <w:sz w:val="23"/>
        </w:rPr>
      </w:pPr>
      <w:r>
        <w:rPr>
          <w:b/>
          <w:sz w:val="23"/>
        </w:rPr>
        <w:t>Plate</w:t>
      </w:r>
      <w:r>
        <w:rPr>
          <w:b/>
          <w:spacing w:val="-4"/>
          <w:sz w:val="23"/>
        </w:rPr>
        <w:t> </w:t>
      </w:r>
      <w:r>
        <w:rPr>
          <w:b/>
          <w:sz w:val="23"/>
        </w:rPr>
        <w:t>XXV:</w:t>
      </w:r>
      <w:r>
        <w:rPr>
          <w:b/>
          <w:spacing w:val="-2"/>
          <w:sz w:val="23"/>
        </w:rPr>
        <w:t> </w:t>
      </w:r>
      <w:r>
        <w:rPr>
          <w:b/>
          <w:sz w:val="23"/>
        </w:rPr>
        <w:t>GIT</w:t>
      </w:r>
      <w:r>
        <w:rPr>
          <w:b/>
          <w:spacing w:val="-2"/>
          <w:sz w:val="23"/>
        </w:rPr>
        <w:t> </w:t>
      </w:r>
      <w:r>
        <w:rPr>
          <w:b/>
          <w:sz w:val="23"/>
        </w:rPr>
        <w:t>(Control)</w:t>
      </w:r>
      <w:r>
        <w:rPr>
          <w:b/>
          <w:spacing w:val="-2"/>
          <w:sz w:val="23"/>
        </w:rPr>
        <w:t> </w:t>
      </w:r>
      <w:r>
        <w:rPr>
          <w:b/>
          <w:spacing w:val="-4"/>
          <w:sz w:val="23"/>
        </w:rPr>
        <w:t>x250</w:t>
      </w:r>
      <w:r>
        <w:rPr>
          <w:b/>
          <w:sz w:val="23"/>
        </w:rPr>
        <w:tab/>
        <w:t>Plate</w:t>
      </w:r>
      <w:r>
        <w:rPr>
          <w:b/>
          <w:spacing w:val="-3"/>
          <w:sz w:val="23"/>
        </w:rPr>
        <w:t> </w:t>
      </w:r>
      <w:r>
        <w:rPr>
          <w:b/>
          <w:sz w:val="23"/>
        </w:rPr>
        <w:t>XXVI: GIT</w:t>
      </w:r>
      <w:r>
        <w:rPr>
          <w:b/>
          <w:spacing w:val="-1"/>
          <w:sz w:val="23"/>
        </w:rPr>
        <w:t> </w:t>
      </w:r>
      <w:r>
        <w:rPr>
          <w:b/>
          <w:sz w:val="23"/>
        </w:rPr>
        <w:t>(500</w:t>
      </w:r>
      <w:r>
        <w:rPr>
          <w:b/>
          <w:spacing w:val="-5"/>
          <w:sz w:val="23"/>
        </w:rPr>
        <w:t> </w:t>
      </w:r>
      <w:r>
        <w:rPr>
          <w:b/>
          <w:sz w:val="23"/>
        </w:rPr>
        <w:t>mg/kg</w:t>
      </w:r>
      <w:r>
        <w:rPr>
          <w:b/>
          <w:spacing w:val="-1"/>
          <w:sz w:val="23"/>
        </w:rPr>
        <w:t> </w:t>
      </w:r>
      <w:r>
        <w:rPr>
          <w:b/>
          <w:sz w:val="23"/>
        </w:rPr>
        <w:t>UME) </w:t>
      </w:r>
      <w:r>
        <w:rPr>
          <w:b/>
          <w:spacing w:val="-4"/>
          <w:sz w:val="23"/>
        </w:rPr>
        <w:t>x100</w:t>
      </w:r>
    </w:p>
    <w:p>
      <w:pPr>
        <w:spacing w:after="0"/>
        <w:jc w:val="left"/>
        <w:rPr>
          <w:sz w:val="23"/>
        </w:rPr>
        <w:sectPr>
          <w:pgSz w:w="11910" w:h="16840"/>
          <w:pgMar w:header="0" w:footer="1012" w:top="1320" w:bottom="1200" w:left="960" w:right="620"/>
        </w:sectPr>
      </w:pPr>
    </w:p>
    <w:p>
      <w:pPr>
        <w:pStyle w:val="BodyText"/>
        <w:ind w:left="5737"/>
        <w:rPr>
          <w:sz w:val="20"/>
        </w:rPr>
      </w:pPr>
      <w:r>
        <w:rPr>
          <w:sz w:val="20"/>
        </w:rPr>
        <w:drawing>
          <wp:inline distT="0" distB="0" distL="0" distR="0">
            <wp:extent cx="2631638" cy="2581655"/>
            <wp:effectExtent l="0" t="0" r="0" b="0"/>
            <wp:docPr id="227" name="Image 227" descr="C:\Users\TRY\Documents\TISSUES\Group7 500mg Treated\13 INT 100.jpg"/>
            <wp:cNvGraphicFramePr>
              <a:graphicFrameLocks/>
            </wp:cNvGraphicFramePr>
            <a:graphic>
              <a:graphicData uri="http://schemas.openxmlformats.org/drawingml/2006/picture">
                <pic:pic>
                  <pic:nvPicPr>
                    <pic:cNvPr id="227" name="Image 227" descr="C:\Users\TRY\Documents\TISSUES\Group7 500mg Treated\13 INT 100.jpg"/>
                    <pic:cNvPicPr/>
                  </pic:nvPicPr>
                  <pic:blipFill>
                    <a:blip r:embed="rId121" cstate="print"/>
                    <a:stretch>
                      <a:fillRect/>
                    </a:stretch>
                  </pic:blipFill>
                  <pic:spPr>
                    <a:xfrm>
                      <a:off x="0" y="0"/>
                      <a:ext cx="2631638" cy="2581655"/>
                    </a:xfrm>
                    <a:prstGeom prst="rect">
                      <a:avLst/>
                    </a:prstGeom>
                  </pic:spPr>
                </pic:pic>
              </a:graphicData>
            </a:graphic>
          </wp:inline>
        </w:drawing>
      </w:r>
      <w:r>
        <w:rPr>
          <w:sz w:val="20"/>
        </w:rPr>
      </w:r>
    </w:p>
    <w:p>
      <w:pPr>
        <w:spacing w:before="72"/>
        <w:ind w:left="5594" w:right="0" w:firstLine="0"/>
        <w:jc w:val="left"/>
        <w:rPr>
          <w:b/>
          <w:sz w:val="23"/>
        </w:rPr>
      </w:pPr>
      <w:r>
        <w:rPr>
          <w:b/>
          <w:sz w:val="23"/>
        </w:rPr>
        <w:t>Plate</w:t>
      </w:r>
      <w:r>
        <w:rPr>
          <w:b/>
          <w:spacing w:val="-4"/>
          <w:sz w:val="23"/>
        </w:rPr>
        <w:t> </w:t>
      </w:r>
      <w:r>
        <w:rPr>
          <w:b/>
          <w:sz w:val="23"/>
        </w:rPr>
        <w:t>XXVII:</w:t>
      </w:r>
      <w:r>
        <w:rPr>
          <w:b/>
          <w:spacing w:val="-2"/>
          <w:sz w:val="23"/>
        </w:rPr>
        <w:t> </w:t>
      </w:r>
      <w:r>
        <w:rPr>
          <w:b/>
          <w:sz w:val="23"/>
        </w:rPr>
        <w:t>GIT</w:t>
      </w:r>
      <w:r>
        <w:rPr>
          <w:b/>
          <w:spacing w:val="-2"/>
          <w:sz w:val="23"/>
        </w:rPr>
        <w:t> </w:t>
      </w:r>
      <w:r>
        <w:rPr>
          <w:b/>
          <w:sz w:val="23"/>
        </w:rPr>
        <w:t>(500</w:t>
      </w:r>
      <w:r>
        <w:rPr>
          <w:b/>
          <w:spacing w:val="-7"/>
          <w:sz w:val="23"/>
        </w:rPr>
        <w:t> </w:t>
      </w:r>
      <w:r>
        <w:rPr>
          <w:b/>
          <w:sz w:val="23"/>
        </w:rPr>
        <w:t>mg/kg</w:t>
      </w:r>
      <w:r>
        <w:rPr>
          <w:b/>
          <w:spacing w:val="-2"/>
          <w:sz w:val="23"/>
        </w:rPr>
        <w:t> </w:t>
      </w:r>
      <w:r>
        <w:rPr>
          <w:b/>
          <w:sz w:val="23"/>
        </w:rPr>
        <w:t>SDME)</w:t>
      </w:r>
      <w:r>
        <w:rPr>
          <w:b/>
          <w:spacing w:val="-1"/>
          <w:sz w:val="23"/>
        </w:rPr>
        <w:t> </w:t>
      </w:r>
      <w:r>
        <w:rPr>
          <w:b/>
          <w:spacing w:val="-4"/>
          <w:sz w:val="23"/>
        </w:rPr>
        <w:t>x100</w:t>
      </w:r>
    </w:p>
    <w:p>
      <w:pPr>
        <w:pStyle w:val="BodyText"/>
        <w:rPr>
          <w:b/>
          <w:sz w:val="23"/>
        </w:rPr>
      </w:pPr>
    </w:p>
    <w:p>
      <w:pPr>
        <w:pStyle w:val="BodyText"/>
        <w:rPr>
          <w:b/>
          <w:sz w:val="23"/>
        </w:rPr>
      </w:pPr>
    </w:p>
    <w:p>
      <w:pPr>
        <w:pStyle w:val="BodyText"/>
        <w:spacing w:before="147"/>
        <w:rPr>
          <w:b/>
          <w:sz w:val="23"/>
        </w:rPr>
      </w:pPr>
    </w:p>
    <w:p>
      <w:pPr>
        <w:pStyle w:val="ListParagraph"/>
        <w:numPr>
          <w:ilvl w:val="2"/>
          <w:numId w:val="23"/>
        </w:numPr>
        <w:tabs>
          <w:tab w:pos="1747" w:val="left" w:leader="none"/>
        </w:tabs>
        <w:spacing w:line="362" w:lineRule="auto" w:before="0" w:after="0"/>
        <w:ind w:left="1028" w:right="445" w:firstLine="0"/>
        <w:jc w:val="left"/>
        <w:rPr>
          <w:b/>
          <w:sz w:val="23"/>
        </w:rPr>
      </w:pPr>
      <w:r>
        <w:rPr>
          <w:b/>
          <w:sz w:val="23"/>
        </w:rPr>
        <w:t>Effects</w:t>
      </w:r>
      <w:r>
        <w:rPr>
          <w:b/>
          <w:spacing w:val="40"/>
          <w:sz w:val="23"/>
        </w:rPr>
        <w:t> </w:t>
      </w:r>
      <w:r>
        <w:rPr>
          <w:b/>
          <w:sz w:val="23"/>
        </w:rPr>
        <w:t>of</w:t>
      </w:r>
      <w:r>
        <w:rPr>
          <w:b/>
          <w:spacing w:val="40"/>
          <w:sz w:val="23"/>
        </w:rPr>
        <w:t> </w:t>
      </w:r>
      <w:r>
        <w:rPr>
          <w:b/>
          <w:sz w:val="23"/>
        </w:rPr>
        <w:t>undetoxified</w:t>
      </w:r>
      <w:r>
        <w:rPr>
          <w:b/>
          <w:spacing w:val="40"/>
          <w:sz w:val="23"/>
        </w:rPr>
        <w:t> </w:t>
      </w:r>
      <w:r>
        <w:rPr>
          <w:b/>
          <w:sz w:val="23"/>
        </w:rPr>
        <w:t>and</w:t>
      </w:r>
      <w:r>
        <w:rPr>
          <w:b/>
          <w:spacing w:val="40"/>
          <w:sz w:val="23"/>
        </w:rPr>
        <w:t> </w:t>
      </w:r>
      <w:r>
        <w:rPr>
          <w:b/>
          <w:sz w:val="23"/>
        </w:rPr>
        <w:t>detoxified</w:t>
      </w:r>
      <w:r>
        <w:rPr>
          <w:b/>
          <w:spacing w:val="40"/>
          <w:sz w:val="23"/>
        </w:rPr>
        <w:t> </w:t>
      </w:r>
      <w:r>
        <w:rPr>
          <w:b/>
          <w:i/>
          <w:sz w:val="23"/>
        </w:rPr>
        <w:t>Jatropha</w:t>
      </w:r>
      <w:r>
        <w:rPr>
          <w:b/>
          <w:i/>
          <w:spacing w:val="40"/>
          <w:sz w:val="23"/>
        </w:rPr>
        <w:t> </w:t>
      </w:r>
      <w:r>
        <w:rPr>
          <w:b/>
          <w:i/>
          <w:sz w:val="23"/>
        </w:rPr>
        <w:t>curcas</w:t>
      </w:r>
      <w:r>
        <w:rPr>
          <w:b/>
          <w:i/>
          <w:spacing w:val="40"/>
          <w:sz w:val="23"/>
        </w:rPr>
        <w:t> </w:t>
      </w:r>
      <w:r>
        <w:rPr>
          <w:b/>
          <w:sz w:val="23"/>
        </w:rPr>
        <w:t>oils</w:t>
      </w:r>
      <w:r>
        <w:rPr>
          <w:b/>
          <w:spacing w:val="40"/>
          <w:sz w:val="23"/>
        </w:rPr>
        <w:t> </w:t>
      </w:r>
      <w:r>
        <w:rPr>
          <w:b/>
          <w:sz w:val="23"/>
        </w:rPr>
        <w:t>on</w:t>
      </w:r>
      <w:r>
        <w:rPr>
          <w:b/>
          <w:spacing w:val="40"/>
          <w:sz w:val="23"/>
        </w:rPr>
        <w:t> </w:t>
      </w:r>
      <w:r>
        <w:rPr>
          <w:b/>
          <w:sz w:val="23"/>
        </w:rPr>
        <w:t>GIT</w:t>
      </w:r>
      <w:r>
        <w:rPr>
          <w:b/>
          <w:spacing w:val="40"/>
          <w:sz w:val="23"/>
        </w:rPr>
        <w:t> </w:t>
      </w:r>
      <w:r>
        <w:rPr>
          <w:b/>
          <w:sz w:val="23"/>
        </w:rPr>
        <w:t>(duodenal) tissues (H and E stain)</w:t>
      </w:r>
    </w:p>
    <w:p>
      <w:pPr>
        <w:pStyle w:val="BodyText"/>
        <w:spacing w:before="132"/>
        <w:rPr>
          <w:b/>
          <w:sz w:val="23"/>
        </w:rPr>
      </w:pPr>
    </w:p>
    <w:p>
      <w:pPr>
        <w:spacing w:line="360" w:lineRule="auto" w:before="0"/>
        <w:ind w:left="1028" w:right="714" w:firstLine="0"/>
        <w:jc w:val="both"/>
        <w:rPr>
          <w:sz w:val="22"/>
        </w:rPr>
      </w:pPr>
      <w:r>
        <w:rPr>
          <w:sz w:val="22"/>
        </w:rPr>
        <w:t>Plate XXV: Section of the wall of the small intestine of control (olive oil 10 ml/kg) group with normal sub mucosa with Brunner‟s gland (B) and tall cylindrical villi (V) with goblet cells (G).</w:t>
      </w:r>
    </w:p>
    <w:p>
      <w:pPr>
        <w:pStyle w:val="BodyText"/>
        <w:spacing w:before="126"/>
        <w:rPr>
          <w:sz w:val="22"/>
        </w:rPr>
      </w:pPr>
    </w:p>
    <w:p>
      <w:pPr>
        <w:spacing w:line="360" w:lineRule="auto" w:before="0"/>
        <w:ind w:left="1028" w:right="440" w:firstLine="0"/>
        <w:jc w:val="both"/>
        <w:rPr>
          <w:sz w:val="22"/>
        </w:rPr>
      </w:pPr>
      <w:r>
        <w:rPr>
          <w:sz w:val="22"/>
        </w:rPr>
        <w:t>Plate XXVI: Section of the small intestine (SI) treated with 500 mg/kg undetoxified </w:t>
      </w:r>
      <w:r>
        <w:rPr>
          <w:i/>
          <w:sz w:val="22"/>
        </w:rPr>
        <w:t>J. curcas </w:t>
      </w:r>
      <w:r>
        <w:rPr>
          <w:sz w:val="22"/>
        </w:rPr>
        <w:t>oil showing chronic necrosis (N)</w:t>
      </w:r>
      <w:r>
        <w:rPr>
          <w:spacing w:val="-2"/>
          <w:sz w:val="22"/>
        </w:rPr>
        <w:t> </w:t>
      </w:r>
      <w:r>
        <w:rPr>
          <w:sz w:val="22"/>
        </w:rPr>
        <w:t>and desquamation of</w:t>
      </w:r>
      <w:r>
        <w:rPr>
          <w:spacing w:val="-2"/>
          <w:sz w:val="22"/>
        </w:rPr>
        <w:t> </w:t>
      </w:r>
      <w:r>
        <w:rPr>
          <w:sz w:val="22"/>
        </w:rPr>
        <w:t>the</w:t>
      </w:r>
      <w:r>
        <w:rPr>
          <w:spacing w:val="-2"/>
          <w:sz w:val="22"/>
        </w:rPr>
        <w:t> </w:t>
      </w:r>
      <w:r>
        <w:rPr>
          <w:sz w:val="22"/>
        </w:rPr>
        <w:t>villi epithelium. Hyperplasia, metaplasia and chronic infiltration of lymphocytes were observed.</w:t>
      </w:r>
    </w:p>
    <w:p>
      <w:pPr>
        <w:pStyle w:val="BodyText"/>
        <w:spacing w:before="130"/>
        <w:rPr>
          <w:sz w:val="22"/>
        </w:rPr>
      </w:pPr>
    </w:p>
    <w:p>
      <w:pPr>
        <w:spacing w:line="360" w:lineRule="auto" w:before="1"/>
        <w:ind w:left="1028" w:right="715" w:firstLine="0"/>
        <w:jc w:val="both"/>
        <w:rPr>
          <w:sz w:val="22"/>
        </w:rPr>
      </w:pPr>
      <w:r>
        <w:rPr>
          <w:sz w:val="22"/>
        </w:rPr>
        <w:t>Plate</w:t>
      </w:r>
      <w:r>
        <w:rPr>
          <w:spacing w:val="-1"/>
          <w:sz w:val="22"/>
        </w:rPr>
        <w:t> </w:t>
      </w:r>
      <w:r>
        <w:rPr>
          <w:sz w:val="22"/>
        </w:rPr>
        <w:t>XXVII: Section of the wall of the small intestine (SI) treated with 500 mg/kg detoxified </w:t>
      </w:r>
      <w:r>
        <w:rPr>
          <w:i/>
          <w:sz w:val="22"/>
        </w:rPr>
        <w:t>J. curcas </w:t>
      </w:r>
      <w:r>
        <w:rPr>
          <w:sz w:val="22"/>
        </w:rPr>
        <w:t>oil showing desquamation and necrosis of the villi (V). Metaplasia infiltrated with lymphocytes were observed.</w:t>
      </w:r>
    </w:p>
    <w:p>
      <w:pPr>
        <w:spacing w:after="0" w:line="360" w:lineRule="auto"/>
        <w:jc w:val="both"/>
        <w:rPr>
          <w:sz w:val="22"/>
        </w:rPr>
        <w:sectPr>
          <w:pgSz w:w="11910" w:h="16840"/>
          <w:pgMar w:header="0" w:footer="1012" w:top="1400" w:bottom="1200" w:left="960" w:right="620"/>
        </w:sectPr>
      </w:pPr>
    </w:p>
    <w:p>
      <w:pPr>
        <w:pStyle w:val="Heading1"/>
        <w:spacing w:line="480" w:lineRule="auto"/>
        <w:ind w:left="3812"/>
      </w:pPr>
      <w:r>
        <w:rPr/>
        <w:t>CHAPTER</w:t>
      </w:r>
      <w:r>
        <w:rPr>
          <w:spacing w:val="-15"/>
        </w:rPr>
        <w:t> </w:t>
      </w:r>
      <w:r>
        <w:rPr/>
        <w:t>FIVE </w:t>
      </w:r>
      <w:r>
        <w:rPr>
          <w:spacing w:val="-2"/>
        </w:rPr>
        <w:t>DISCUSSION</w:t>
      </w:r>
    </w:p>
    <w:p>
      <w:pPr>
        <w:pStyle w:val="BodyText"/>
        <w:spacing w:before="272"/>
        <w:rPr>
          <w:b/>
        </w:rPr>
      </w:pPr>
    </w:p>
    <w:p>
      <w:pPr>
        <w:pStyle w:val="BodyText"/>
        <w:ind w:left="1028"/>
        <w:jc w:val="both"/>
      </w:pPr>
      <w:r>
        <w:rPr/>
        <w:t>Defatting</w:t>
      </w:r>
      <w:r>
        <w:rPr>
          <w:spacing w:val="50"/>
          <w:w w:val="150"/>
        </w:rPr>
        <w:t> </w:t>
      </w:r>
      <w:r>
        <w:rPr>
          <w:i/>
        </w:rPr>
        <w:t>J.</w:t>
      </w:r>
      <w:r>
        <w:rPr>
          <w:i/>
          <w:spacing w:val="10"/>
        </w:rPr>
        <w:t> </w:t>
      </w:r>
      <w:r>
        <w:rPr>
          <w:i/>
        </w:rPr>
        <w:t>curcas</w:t>
      </w:r>
      <w:r>
        <w:rPr>
          <w:i/>
          <w:spacing w:val="8"/>
        </w:rPr>
        <w:t> </w:t>
      </w:r>
      <w:r>
        <w:rPr/>
        <w:t>seeds</w:t>
      </w:r>
      <w:r>
        <w:rPr>
          <w:spacing w:val="7"/>
        </w:rPr>
        <w:t> </w:t>
      </w:r>
      <w:r>
        <w:rPr/>
        <w:t>through</w:t>
      </w:r>
      <w:r>
        <w:rPr>
          <w:spacing w:val="4"/>
        </w:rPr>
        <w:t> </w:t>
      </w:r>
      <w:r>
        <w:rPr/>
        <w:t>solvent</w:t>
      </w:r>
      <w:r>
        <w:rPr>
          <w:spacing w:val="13"/>
        </w:rPr>
        <w:t> </w:t>
      </w:r>
      <w:r>
        <w:rPr/>
        <w:t>extraction</w:t>
      </w:r>
      <w:r>
        <w:rPr>
          <w:spacing w:val="9"/>
        </w:rPr>
        <w:t> </w:t>
      </w:r>
      <w:r>
        <w:rPr/>
        <w:t>yielded</w:t>
      </w:r>
      <w:r>
        <w:rPr>
          <w:spacing w:val="8"/>
        </w:rPr>
        <w:t> </w:t>
      </w:r>
      <w:r>
        <w:rPr/>
        <w:t>49.1%</w:t>
      </w:r>
      <w:r>
        <w:rPr>
          <w:spacing w:val="11"/>
        </w:rPr>
        <w:t> </w:t>
      </w:r>
      <w:r>
        <w:rPr/>
        <w:t>w/w</w:t>
      </w:r>
      <w:r>
        <w:rPr>
          <w:spacing w:val="4"/>
        </w:rPr>
        <w:t> </w:t>
      </w:r>
      <w:r>
        <w:rPr/>
        <w:t>oil which</w:t>
      </w:r>
      <w:r>
        <w:rPr>
          <w:spacing w:val="4"/>
        </w:rPr>
        <w:t> </w:t>
      </w:r>
      <w:r>
        <w:rPr>
          <w:spacing w:val="-5"/>
        </w:rPr>
        <w:t>was</w:t>
      </w:r>
    </w:p>
    <w:p>
      <w:pPr>
        <w:pStyle w:val="BodyText"/>
      </w:pPr>
    </w:p>
    <w:p>
      <w:pPr>
        <w:pStyle w:val="BodyText"/>
        <w:spacing w:line="480" w:lineRule="auto"/>
        <w:ind w:left="1028" w:right="800"/>
        <w:jc w:val="both"/>
      </w:pPr>
      <w:r>
        <w:rPr/>
        <w:t>3.3 fold higher than the yield obtained with mechanical extraction using hand-operated hydraulic screw press which was only 14.9% w/w oil. The 49.1% oil yield obtained from solvent extraction falls within the 44.2-49.7% range of values reported by Derkyi </w:t>
      </w:r>
      <w:r>
        <w:rPr>
          <w:i/>
        </w:rPr>
        <w:t>et al</w:t>
      </w:r>
      <w:r>
        <w:rPr/>
        <w:t>. (2014) and close to the 50% yield reported by Nzikou </w:t>
      </w:r>
      <w:r>
        <w:rPr>
          <w:i/>
        </w:rPr>
        <w:t>et al</w:t>
      </w:r>
      <w:r>
        <w:rPr/>
        <w:t>. (2009). However, Becker and Makkar (2009) reported 22-40% range of values which is lower than that obtained in this study</w:t>
      </w:r>
      <w:r>
        <w:rPr>
          <w:sz w:val="28"/>
        </w:rPr>
        <w:t>. </w:t>
      </w:r>
      <w:r>
        <w:rPr/>
        <w:t>The 14.9% oil yield obtained from the mechanical oil extraction method was also lower than the 30.0-33.7% range of values obtained by Ahmed and Salimon (2009) possibly because of the hydraulic screw press used. While hand operated hydraulic screw press was used in the present study, that used by Ahmed and Salimon (2009) was not stated, but could have been motor driven. The higher</w:t>
      </w:r>
      <w:r>
        <w:rPr>
          <w:spacing w:val="40"/>
        </w:rPr>
        <w:t> </w:t>
      </w:r>
      <w:r>
        <w:rPr/>
        <w:t>percentage of oil yield obtained from the solvent extraction as compared to that</w:t>
      </w:r>
      <w:r>
        <w:rPr>
          <w:spacing w:val="40"/>
        </w:rPr>
        <w:t> </w:t>
      </w:r>
      <w:r>
        <w:rPr/>
        <w:t>obtained from mechanical extraction was because solvent extraction through the use of Soxhlet apparatus is exhaustive (Luque de Castro and Garcia-Ayuso, 2000). The repeated flow of the solvent through the powdered seed of increased surface area resulted in the recovery of more oil in contrast to mechanical extraction through hand operated screw press which only allowed for partial extraction.</w:t>
      </w:r>
    </w:p>
    <w:p>
      <w:pPr>
        <w:pStyle w:val="BodyText"/>
      </w:pPr>
    </w:p>
    <w:p>
      <w:pPr>
        <w:pStyle w:val="BodyText"/>
        <w:spacing w:before="94"/>
      </w:pPr>
    </w:p>
    <w:p>
      <w:pPr>
        <w:pStyle w:val="BodyText"/>
        <w:spacing w:line="480" w:lineRule="auto"/>
        <w:ind w:left="1028" w:right="804"/>
        <w:jc w:val="both"/>
      </w:pPr>
      <w:r>
        <w:rPr/>
        <w:t>The</w:t>
      </w:r>
      <w:r>
        <w:rPr>
          <w:spacing w:val="-2"/>
        </w:rPr>
        <w:t> </w:t>
      </w:r>
      <w:r>
        <w:rPr/>
        <w:t>high</w:t>
      </w:r>
      <w:r>
        <w:rPr>
          <w:spacing w:val="-6"/>
        </w:rPr>
        <w:t> </w:t>
      </w:r>
      <w:r>
        <w:rPr/>
        <w:t>oil</w:t>
      </w:r>
      <w:r>
        <w:rPr>
          <w:spacing w:val="-6"/>
        </w:rPr>
        <w:t> </w:t>
      </w:r>
      <w:r>
        <w:rPr/>
        <w:t>content (49.1% in</w:t>
      </w:r>
      <w:r>
        <w:rPr>
          <w:spacing w:val="-6"/>
        </w:rPr>
        <w:t> </w:t>
      </w:r>
      <w:r>
        <w:rPr/>
        <w:t>the</w:t>
      </w:r>
      <w:r>
        <w:rPr>
          <w:spacing w:val="-2"/>
        </w:rPr>
        <w:t> </w:t>
      </w:r>
      <w:r>
        <w:rPr/>
        <w:t>present study) was</w:t>
      </w:r>
      <w:r>
        <w:rPr>
          <w:spacing w:val="-3"/>
        </w:rPr>
        <w:t> </w:t>
      </w:r>
      <w:r>
        <w:rPr/>
        <w:t>such</w:t>
      </w:r>
      <w:r>
        <w:rPr>
          <w:spacing w:val="-6"/>
        </w:rPr>
        <w:t> </w:t>
      </w:r>
      <w:r>
        <w:rPr/>
        <w:t>that </w:t>
      </w:r>
      <w:r>
        <w:rPr>
          <w:i/>
        </w:rPr>
        <w:t>J</w:t>
      </w:r>
      <w:r>
        <w:rPr/>
        <w:t>. </w:t>
      </w:r>
      <w:r>
        <w:rPr>
          <w:i/>
        </w:rPr>
        <w:t>curcas</w:t>
      </w:r>
      <w:r>
        <w:rPr>
          <w:i/>
          <w:spacing w:val="-3"/>
        </w:rPr>
        <w:t> </w:t>
      </w:r>
      <w:r>
        <w:rPr/>
        <w:t>seed</w:t>
      </w:r>
      <w:r>
        <w:rPr>
          <w:spacing w:val="-1"/>
        </w:rPr>
        <w:t> </w:t>
      </w:r>
      <w:r>
        <w:rPr/>
        <w:t>oil</w:t>
      </w:r>
      <w:r>
        <w:rPr>
          <w:spacing w:val="-6"/>
        </w:rPr>
        <w:t> </w:t>
      </w:r>
      <w:r>
        <w:rPr/>
        <w:t>can</w:t>
      </w:r>
      <w:r>
        <w:rPr>
          <w:spacing w:val="-1"/>
        </w:rPr>
        <w:t> </w:t>
      </w:r>
      <w:r>
        <w:rPr/>
        <w:t>be used as a biodiesel precussor (Gubitz </w:t>
      </w:r>
      <w:r>
        <w:rPr>
          <w:i/>
        </w:rPr>
        <w:t>et al</w:t>
      </w:r>
      <w:r>
        <w:rPr/>
        <w:t>., 1999; Becker and Makkar, 2009), in the cosmetic</w:t>
      </w:r>
      <w:r>
        <w:rPr>
          <w:spacing w:val="1"/>
        </w:rPr>
        <w:t> </w:t>
      </w:r>
      <w:r>
        <w:rPr/>
        <w:t>industry</w:t>
      </w:r>
      <w:r>
        <w:rPr>
          <w:spacing w:val="-9"/>
        </w:rPr>
        <w:t> </w:t>
      </w:r>
      <w:r>
        <w:rPr/>
        <w:t>(Akbar</w:t>
      </w:r>
      <w:r>
        <w:rPr>
          <w:spacing w:val="2"/>
        </w:rPr>
        <w:t> </w:t>
      </w:r>
      <w:r>
        <w:rPr>
          <w:i/>
        </w:rPr>
        <w:t>et al</w:t>
      </w:r>
      <w:r>
        <w:rPr/>
        <w:t>.,</w:t>
      </w:r>
      <w:r>
        <w:rPr>
          <w:spacing w:val="-3"/>
        </w:rPr>
        <w:t> </w:t>
      </w:r>
      <w:r>
        <w:rPr/>
        <w:t>2009)</w:t>
      </w:r>
      <w:r>
        <w:rPr>
          <w:spacing w:val="1"/>
        </w:rPr>
        <w:t> </w:t>
      </w:r>
      <w:r>
        <w:rPr/>
        <w:t>and as</w:t>
      </w:r>
      <w:r>
        <w:rPr>
          <w:spacing w:val="-2"/>
        </w:rPr>
        <w:t> </w:t>
      </w:r>
      <w:r>
        <w:rPr/>
        <w:t>a pharmaceutical</w:t>
      </w:r>
      <w:r>
        <w:rPr>
          <w:spacing w:val="-5"/>
        </w:rPr>
        <w:t> </w:t>
      </w:r>
      <w:r>
        <w:rPr/>
        <w:t>agent</w:t>
      </w:r>
      <w:r>
        <w:rPr>
          <w:spacing w:val="5"/>
        </w:rPr>
        <w:t> </w:t>
      </w:r>
      <w:r>
        <w:rPr/>
        <w:t>(Heller,</w:t>
      </w:r>
      <w:r>
        <w:rPr>
          <w:spacing w:val="1"/>
        </w:rPr>
        <w:t> </w:t>
      </w:r>
      <w:r>
        <w:rPr/>
        <w:t>1996),</w:t>
      </w:r>
      <w:r>
        <w:rPr>
          <w:spacing w:val="-2"/>
        </w:rPr>
        <w:t> </w:t>
      </w:r>
      <w:r>
        <w:rPr>
          <w:spacing w:val="-5"/>
        </w:rPr>
        <w:t>and</w:t>
      </w:r>
    </w:p>
    <w:p>
      <w:pPr>
        <w:spacing w:after="0" w:line="480" w:lineRule="auto"/>
        <w:jc w:val="both"/>
        <w:sectPr>
          <w:pgSz w:w="11910" w:h="16840"/>
          <w:pgMar w:header="0" w:footer="1012" w:top="1340" w:bottom="1200" w:left="960" w:right="620"/>
        </w:sectPr>
      </w:pPr>
    </w:p>
    <w:p>
      <w:pPr>
        <w:pStyle w:val="BodyText"/>
        <w:spacing w:line="480" w:lineRule="auto" w:before="79"/>
        <w:ind w:left="1028" w:right="806"/>
        <w:jc w:val="both"/>
      </w:pPr>
      <w:r>
        <w:rPr/>
        <w:t>for nutritional purposes (Makkar </w:t>
      </w:r>
      <w:r>
        <w:rPr>
          <w:i/>
        </w:rPr>
        <w:t>et al</w:t>
      </w:r>
      <w:r>
        <w:rPr/>
        <w:t>., 1997). Other than for biodiesel, other potential uses require that the oil be devoid of toxic constituents.</w:t>
      </w:r>
    </w:p>
    <w:p>
      <w:pPr>
        <w:pStyle w:val="BodyText"/>
      </w:pPr>
    </w:p>
    <w:p>
      <w:pPr>
        <w:pStyle w:val="BodyText"/>
        <w:spacing w:before="1"/>
      </w:pPr>
    </w:p>
    <w:p>
      <w:pPr>
        <w:pStyle w:val="BodyText"/>
        <w:spacing w:line="480" w:lineRule="auto"/>
        <w:ind w:left="1028" w:right="804"/>
        <w:jc w:val="both"/>
      </w:pPr>
      <w:r>
        <w:rPr/>
        <w:t>The</w:t>
      </w:r>
      <w:r>
        <w:rPr>
          <w:spacing w:val="40"/>
        </w:rPr>
        <w:t> </w:t>
      </w:r>
      <w:r>
        <w:rPr/>
        <w:t>density, specific gravity and refractive indices for both the solvent and mechanically extracted </w:t>
      </w:r>
      <w:r>
        <w:rPr>
          <w:i/>
        </w:rPr>
        <w:t>J. curcas </w:t>
      </w:r>
      <w:r>
        <w:rPr/>
        <w:t>oil were practically the same. Suggesting that these physical</w:t>
      </w:r>
      <w:r>
        <w:rPr>
          <w:spacing w:val="-4"/>
        </w:rPr>
        <w:t> </w:t>
      </w:r>
      <w:r>
        <w:rPr/>
        <w:t>properties</w:t>
      </w:r>
      <w:r>
        <w:rPr>
          <w:spacing w:val="-1"/>
        </w:rPr>
        <w:t> </w:t>
      </w:r>
      <w:r>
        <w:rPr/>
        <w:t>of</w:t>
      </w:r>
      <w:r>
        <w:rPr>
          <w:spacing w:val="-7"/>
        </w:rPr>
        <w:t> </w:t>
      </w:r>
      <w:r>
        <w:rPr/>
        <w:t>the oil</w:t>
      </w:r>
      <w:r>
        <w:rPr>
          <w:spacing w:val="-4"/>
        </w:rPr>
        <w:t> </w:t>
      </w:r>
      <w:r>
        <w:rPr/>
        <w:t>were not affected by</w:t>
      </w:r>
      <w:r>
        <w:rPr>
          <w:spacing w:val="40"/>
        </w:rPr>
        <w:t> </w:t>
      </w:r>
      <w:r>
        <w:rPr/>
        <w:t>the various methods</w:t>
      </w:r>
      <w:r>
        <w:rPr>
          <w:spacing w:val="-1"/>
        </w:rPr>
        <w:t> </w:t>
      </w:r>
      <w:r>
        <w:rPr/>
        <w:t>of</w:t>
      </w:r>
      <w:r>
        <w:rPr>
          <w:spacing w:val="-7"/>
        </w:rPr>
        <w:t> </w:t>
      </w:r>
      <w:r>
        <w:rPr/>
        <w:t>extraction, an observation that is supported by the findings of previous researchers in their comparisons of the physichochemical properties of solvent and mechanically extracted</w:t>
      </w:r>
    </w:p>
    <w:p>
      <w:pPr>
        <w:pStyle w:val="BodyText"/>
        <w:spacing w:line="480" w:lineRule="auto" w:before="1"/>
        <w:ind w:left="1028" w:right="801"/>
        <w:jc w:val="both"/>
      </w:pPr>
      <w:r>
        <w:rPr>
          <w:i/>
        </w:rPr>
        <w:t>J. curcas </w:t>
      </w:r>
      <w:r>
        <w:rPr/>
        <w:t>oils (Belewu </w:t>
      </w:r>
      <w:r>
        <w:rPr>
          <w:i/>
        </w:rPr>
        <w:t>et al</w:t>
      </w:r>
      <w:r>
        <w:rPr/>
        <w:t>., 2010). The range of values obtained in this study for density, specific gravity</w:t>
      </w:r>
      <w:r>
        <w:rPr>
          <w:spacing w:val="-1"/>
        </w:rPr>
        <w:t> </w:t>
      </w:r>
      <w:r>
        <w:rPr/>
        <w:t>and refractive index</w:t>
      </w:r>
      <w:r>
        <w:rPr>
          <w:spacing w:val="-1"/>
        </w:rPr>
        <w:t> </w:t>
      </w:r>
      <w:r>
        <w:rPr/>
        <w:t>also agree with</w:t>
      </w:r>
      <w:r>
        <w:rPr>
          <w:spacing w:val="-1"/>
        </w:rPr>
        <w:t> </w:t>
      </w:r>
      <w:r>
        <w:rPr/>
        <w:t>those</w:t>
      </w:r>
      <w:r>
        <w:rPr>
          <w:spacing w:val="-2"/>
        </w:rPr>
        <w:t> </w:t>
      </w:r>
      <w:r>
        <w:rPr/>
        <w:t>obtained by</w:t>
      </w:r>
      <w:r>
        <w:rPr>
          <w:spacing w:val="-1"/>
        </w:rPr>
        <w:t> </w:t>
      </w:r>
      <w:r>
        <w:rPr/>
        <w:t>previous studies (Akbar </w:t>
      </w:r>
      <w:r>
        <w:rPr>
          <w:i/>
        </w:rPr>
        <w:t>et al</w:t>
      </w:r>
      <w:r>
        <w:rPr/>
        <w:t>., 2009; Maricela </w:t>
      </w:r>
      <w:r>
        <w:rPr>
          <w:i/>
        </w:rPr>
        <w:t>et al</w:t>
      </w:r>
      <w:r>
        <w:rPr/>
        <w:t>., 2010). Specific gravity and density of oil give information about the concentraction of</w:t>
      </w:r>
      <w:r>
        <w:rPr>
          <w:spacing w:val="80"/>
        </w:rPr>
        <w:t> </w:t>
      </w:r>
      <w:r>
        <w:rPr/>
        <w:t>the oil while refractive index that measures the effect of the oil on rays of light passing through it, gives insight into its degree of purity (Inekwe </w:t>
      </w:r>
      <w:r>
        <w:rPr>
          <w:i/>
        </w:rPr>
        <w:t>et al</w:t>
      </w:r>
      <w:r>
        <w:rPr/>
        <w:t>., 2012). The free fatty acids, acid, peroxide and saponification values obtained for both the solvent and mechanically extracted oil were comparable, and ranged between 15.07-16.47%, 29.95-32.80 mg/g, 4.75-4.91 Meq/kg and 272.90-280.40 mg/g respectively. The values obtained for the free fatty acids is comparable to the 18% reported by Umaru and Aberuagba (2012) but slightly higher than 11.94% reported by Belewu </w:t>
      </w:r>
      <w:r>
        <w:rPr>
          <w:i/>
        </w:rPr>
        <w:t>et al</w:t>
      </w:r>
      <w:r>
        <w:rPr/>
        <w:t>. (2010). Acid value is an indicator of the degree of</w:t>
      </w:r>
      <w:r>
        <w:rPr>
          <w:spacing w:val="-3"/>
        </w:rPr>
        <w:t> </w:t>
      </w:r>
      <w:r>
        <w:rPr/>
        <w:t>edibility of</w:t>
      </w:r>
      <w:r>
        <w:rPr>
          <w:spacing w:val="-3"/>
        </w:rPr>
        <w:t> </w:t>
      </w:r>
      <w:r>
        <w:rPr/>
        <w:t>oil</w:t>
      </w:r>
      <w:r>
        <w:rPr>
          <w:spacing w:val="-1"/>
        </w:rPr>
        <w:t> </w:t>
      </w:r>
      <w:r>
        <w:rPr/>
        <w:t>(Esuoso and Odetokun, 1995). Umaru and Aberuagba (2012) reported an acid value of 36.2 mg/g, a value similar to that obtained in this study. The peroxide and saponification values were also higher than those reported in previous studies (Akbar </w:t>
      </w:r>
      <w:r>
        <w:rPr>
          <w:i/>
        </w:rPr>
        <w:t>et al</w:t>
      </w:r>
      <w:r>
        <w:rPr/>
        <w:t>., 2009; Belewu </w:t>
      </w:r>
      <w:r>
        <w:rPr>
          <w:i/>
        </w:rPr>
        <w:t>et al</w:t>
      </w:r>
      <w:r>
        <w:rPr/>
        <w:t>., 2010; Umaru and Aberuagba, 2012). Peroxide value is an indicator of the deterioration of lipids due to oxidation of the double bond of an unsaturated fatty acid which causes rancidity. The higher saponification value obtained</w:t>
      </w:r>
    </w:p>
    <w:p>
      <w:pPr>
        <w:spacing w:after="0" w:line="480" w:lineRule="auto"/>
        <w:jc w:val="both"/>
        <w:sectPr>
          <w:pgSz w:w="11910" w:h="16840"/>
          <w:pgMar w:header="0" w:footer="1012" w:top="1320" w:bottom="1200" w:left="960" w:right="620"/>
        </w:sectPr>
      </w:pPr>
    </w:p>
    <w:p>
      <w:pPr>
        <w:pStyle w:val="BodyText"/>
        <w:spacing w:line="480" w:lineRule="auto" w:before="79"/>
        <w:ind w:left="1028" w:right="809"/>
        <w:jc w:val="both"/>
      </w:pPr>
      <w:r>
        <w:rPr/>
        <w:t>in this study</w:t>
      </w:r>
      <w:r>
        <w:rPr>
          <w:spacing w:val="-4"/>
        </w:rPr>
        <w:t> </w:t>
      </w:r>
      <w:r>
        <w:rPr/>
        <w:t>as</w:t>
      </w:r>
      <w:r>
        <w:rPr>
          <w:spacing w:val="-1"/>
        </w:rPr>
        <w:t> </w:t>
      </w:r>
      <w:r>
        <w:rPr/>
        <w:t>compared to those reported previously by</w:t>
      </w:r>
      <w:r>
        <w:rPr>
          <w:spacing w:val="-4"/>
        </w:rPr>
        <w:t> </w:t>
      </w:r>
      <w:r>
        <w:rPr/>
        <w:t>other researchers indicates</w:t>
      </w:r>
      <w:r>
        <w:rPr>
          <w:spacing w:val="-1"/>
        </w:rPr>
        <w:t> </w:t>
      </w:r>
      <w:r>
        <w:rPr/>
        <w:t>the richness of the oil in triacylglycerols which are useful in the production of soap (Akbar </w:t>
      </w:r>
      <w:r>
        <w:rPr>
          <w:i/>
        </w:rPr>
        <w:t>et al</w:t>
      </w:r>
      <w:r>
        <w:rPr/>
        <w:t>., 2009).</w:t>
      </w:r>
    </w:p>
    <w:p>
      <w:pPr>
        <w:pStyle w:val="BodyText"/>
      </w:pPr>
    </w:p>
    <w:p>
      <w:pPr>
        <w:pStyle w:val="BodyText"/>
        <w:spacing w:before="1"/>
      </w:pPr>
    </w:p>
    <w:p>
      <w:pPr>
        <w:pStyle w:val="BodyText"/>
        <w:spacing w:line="480" w:lineRule="auto"/>
        <w:ind w:left="1028" w:right="801"/>
        <w:jc w:val="both"/>
      </w:pPr>
      <w:r>
        <w:rPr/>
        <w:t>Oil losses are common to oil refining processes due to factors such as amount of free fatty acids, phospholipids and the efficiency of the refining conditions (International Conference on Palms and Palm Products, 1989). The high amount of oil losses in this study was probably due to the laboratory-scale oil refining processes employed as compared to the industrial</w:t>
      </w:r>
      <w:r>
        <w:rPr>
          <w:spacing w:val="-2"/>
        </w:rPr>
        <w:t> </w:t>
      </w:r>
      <w:r>
        <w:rPr/>
        <w:t>setting where losses are more likely</w:t>
      </w:r>
      <w:r>
        <w:rPr>
          <w:spacing w:val="-2"/>
        </w:rPr>
        <w:t> </w:t>
      </w:r>
      <w:r>
        <w:rPr/>
        <w:t>to be minimised (Hamm </w:t>
      </w:r>
      <w:r>
        <w:rPr>
          <w:i/>
        </w:rPr>
        <w:t>et al</w:t>
      </w:r>
      <w:r>
        <w:rPr/>
        <w:t>., 2013a). The highest oil losses in this study occurred during the deacidification (neutralisation) process, possibly due to the high level of free fatty acids and saponification values</w:t>
      </w:r>
      <w:r>
        <w:rPr>
          <w:spacing w:val="-2"/>
        </w:rPr>
        <w:t> </w:t>
      </w:r>
      <w:r>
        <w:rPr/>
        <w:t>of</w:t>
      </w:r>
      <w:r>
        <w:rPr>
          <w:spacing w:val="-7"/>
        </w:rPr>
        <w:t> </w:t>
      </w:r>
      <w:r>
        <w:rPr>
          <w:i/>
        </w:rPr>
        <w:t>J</w:t>
      </w:r>
      <w:r>
        <w:rPr/>
        <w:t>. </w:t>
      </w:r>
      <w:r>
        <w:rPr>
          <w:i/>
        </w:rPr>
        <w:t>curcas</w:t>
      </w:r>
      <w:r>
        <w:rPr>
          <w:i/>
          <w:spacing w:val="-2"/>
        </w:rPr>
        <w:t> </w:t>
      </w:r>
      <w:r>
        <w:rPr/>
        <w:t>oil. This may</w:t>
      </w:r>
      <w:r>
        <w:rPr>
          <w:spacing w:val="-5"/>
        </w:rPr>
        <w:t> </w:t>
      </w:r>
      <w:r>
        <w:rPr/>
        <w:t>also be</w:t>
      </w:r>
      <w:r>
        <w:rPr>
          <w:spacing w:val="-1"/>
        </w:rPr>
        <w:t> </w:t>
      </w:r>
      <w:r>
        <w:rPr/>
        <w:t>a</w:t>
      </w:r>
      <w:r>
        <w:rPr>
          <w:spacing w:val="-1"/>
        </w:rPr>
        <w:t> </w:t>
      </w:r>
      <w:r>
        <w:rPr/>
        <w:t>reason for</w:t>
      </w:r>
      <w:r>
        <w:rPr>
          <w:spacing w:val="-3"/>
        </w:rPr>
        <w:t> </w:t>
      </w:r>
      <w:r>
        <w:rPr/>
        <w:t>the amount of</w:t>
      </w:r>
      <w:r>
        <w:rPr>
          <w:spacing w:val="-8"/>
        </w:rPr>
        <w:t> </w:t>
      </w:r>
      <w:r>
        <w:rPr/>
        <w:t>soaps formed (Hamm </w:t>
      </w:r>
      <w:r>
        <w:rPr>
          <w:i/>
        </w:rPr>
        <w:t>et al</w:t>
      </w:r>
      <w:r>
        <w:rPr/>
        <w:t>., 2013b). Oil loss during the decolourization process may have been due to the unavailability of high power pressure pumps in the laboratory, such as are used in the oil refining industries for more efficient oil recovery from bleaching reagents (Kellens, 1997; Hamm </w:t>
      </w:r>
      <w:r>
        <w:rPr>
          <w:i/>
        </w:rPr>
        <w:t>et al</w:t>
      </w:r>
      <w:r>
        <w:rPr/>
        <w:t>., 2013b).</w:t>
      </w:r>
    </w:p>
    <w:p>
      <w:pPr>
        <w:pStyle w:val="BodyText"/>
      </w:pPr>
    </w:p>
    <w:p>
      <w:pPr>
        <w:pStyle w:val="BodyText"/>
        <w:spacing w:before="3"/>
      </w:pPr>
    </w:p>
    <w:p>
      <w:pPr>
        <w:pStyle w:val="BodyText"/>
        <w:spacing w:line="480" w:lineRule="auto"/>
        <w:ind w:left="1028" w:right="799"/>
        <w:jc w:val="both"/>
      </w:pPr>
      <w:r>
        <w:rPr/>
        <w:t>Although</w:t>
      </w:r>
      <w:r>
        <w:rPr>
          <w:spacing w:val="-6"/>
        </w:rPr>
        <w:t> </w:t>
      </w:r>
      <w:r>
        <w:rPr/>
        <w:t>cardiac</w:t>
      </w:r>
      <w:r>
        <w:rPr>
          <w:spacing w:val="-2"/>
        </w:rPr>
        <w:t> </w:t>
      </w:r>
      <w:r>
        <w:rPr/>
        <w:t>glycosides,</w:t>
      </w:r>
      <w:r>
        <w:rPr>
          <w:spacing w:val="40"/>
        </w:rPr>
        <w:t> </w:t>
      </w:r>
      <w:r>
        <w:rPr/>
        <w:t>flavonoids, phenols, saponins</w:t>
      </w:r>
      <w:r>
        <w:rPr>
          <w:spacing w:val="-3"/>
        </w:rPr>
        <w:t> </w:t>
      </w:r>
      <w:r>
        <w:rPr/>
        <w:t>and</w:t>
      </w:r>
      <w:r>
        <w:rPr>
          <w:spacing w:val="-1"/>
        </w:rPr>
        <w:t> </w:t>
      </w:r>
      <w:r>
        <w:rPr/>
        <w:t>tannins</w:t>
      </w:r>
      <w:r>
        <w:rPr>
          <w:spacing w:val="-3"/>
        </w:rPr>
        <w:t> </w:t>
      </w:r>
      <w:r>
        <w:rPr/>
        <w:t>were</w:t>
      </w:r>
      <w:r>
        <w:rPr>
          <w:spacing w:val="-2"/>
        </w:rPr>
        <w:t> </w:t>
      </w:r>
      <w:r>
        <w:rPr/>
        <w:t>all</w:t>
      </w:r>
      <w:r>
        <w:rPr>
          <w:spacing w:val="-6"/>
        </w:rPr>
        <w:t> </w:t>
      </w:r>
      <w:r>
        <w:rPr/>
        <w:t>absent, preliminary phytochemical screening showed the presence of alkaloids in the solvent and mechanically extracted oils, undetoxified and detoxified. Plant derived alkaloids have been reported to have among other pharmacological activities, analgesic activity (Grover </w:t>
      </w:r>
      <w:r>
        <w:rPr>
          <w:i/>
        </w:rPr>
        <w:t>et al</w:t>
      </w:r>
      <w:r>
        <w:rPr/>
        <w:t>., 2002; Sonavane </w:t>
      </w:r>
      <w:r>
        <w:rPr>
          <w:i/>
        </w:rPr>
        <w:t>et al</w:t>
      </w:r>
      <w:r>
        <w:rPr/>
        <w:t>., 2001) Common plant derived alkaloids with analgesic activity in clinical use include codeine and morphine (Doughari, 2012). The presence</w:t>
      </w:r>
      <w:r>
        <w:rPr>
          <w:spacing w:val="-1"/>
        </w:rPr>
        <w:t> </w:t>
      </w:r>
      <w:r>
        <w:rPr/>
        <w:t>of</w:t>
      </w:r>
      <w:r>
        <w:rPr>
          <w:spacing w:val="-8"/>
        </w:rPr>
        <w:t> </w:t>
      </w:r>
      <w:r>
        <w:rPr/>
        <w:t>alkaloids in the</w:t>
      </w:r>
      <w:r>
        <w:rPr>
          <w:spacing w:val="-1"/>
        </w:rPr>
        <w:t> </w:t>
      </w:r>
      <w:r>
        <w:rPr/>
        <w:t>oil may be</w:t>
      </w:r>
      <w:r>
        <w:rPr>
          <w:spacing w:val="-1"/>
        </w:rPr>
        <w:t> </w:t>
      </w:r>
      <w:r>
        <w:rPr/>
        <w:t>responsible for</w:t>
      </w:r>
      <w:r>
        <w:rPr>
          <w:spacing w:val="-3"/>
        </w:rPr>
        <w:t> </w:t>
      </w:r>
      <w:r>
        <w:rPr/>
        <w:t>the</w:t>
      </w:r>
      <w:r>
        <w:rPr>
          <w:spacing w:val="-1"/>
        </w:rPr>
        <w:t> </w:t>
      </w:r>
      <w:r>
        <w:rPr/>
        <w:t>analgesic</w:t>
      </w:r>
      <w:r>
        <w:rPr>
          <w:spacing w:val="-1"/>
        </w:rPr>
        <w:t> </w:t>
      </w:r>
      <w:r>
        <w:rPr/>
        <w:t>activity</w:t>
      </w:r>
      <w:r>
        <w:rPr>
          <w:spacing w:val="-5"/>
        </w:rPr>
        <w:t> </w:t>
      </w:r>
      <w:r>
        <w:rPr/>
        <w:t>observed in animal</w:t>
      </w:r>
      <w:r>
        <w:rPr>
          <w:spacing w:val="15"/>
        </w:rPr>
        <w:t> </w:t>
      </w:r>
      <w:r>
        <w:rPr/>
        <w:t>studies.</w:t>
      </w:r>
      <w:r>
        <w:rPr>
          <w:spacing w:val="17"/>
        </w:rPr>
        <w:t> </w:t>
      </w:r>
      <w:r>
        <w:rPr/>
        <w:t>Essential</w:t>
      </w:r>
      <w:r>
        <w:rPr>
          <w:spacing w:val="11"/>
        </w:rPr>
        <w:t> </w:t>
      </w:r>
      <w:r>
        <w:rPr/>
        <w:t>oils</w:t>
      </w:r>
      <w:r>
        <w:rPr>
          <w:spacing w:val="17"/>
        </w:rPr>
        <w:t> </w:t>
      </w:r>
      <w:r>
        <w:rPr/>
        <w:t>such</w:t>
      </w:r>
      <w:r>
        <w:rPr>
          <w:spacing w:val="15"/>
        </w:rPr>
        <w:t> </w:t>
      </w:r>
      <w:r>
        <w:rPr/>
        <w:t>as</w:t>
      </w:r>
      <w:r>
        <w:rPr>
          <w:spacing w:val="17"/>
        </w:rPr>
        <w:t> </w:t>
      </w:r>
      <w:r>
        <w:rPr/>
        <w:t>that</w:t>
      </w:r>
      <w:r>
        <w:rPr>
          <w:spacing w:val="20"/>
        </w:rPr>
        <w:t> </w:t>
      </w:r>
      <w:r>
        <w:rPr/>
        <w:t>of</w:t>
      </w:r>
      <w:r>
        <w:rPr>
          <w:spacing w:val="15"/>
        </w:rPr>
        <w:t> </w:t>
      </w:r>
      <w:r>
        <w:rPr>
          <w:i/>
        </w:rPr>
        <w:t>Cinnamon</w:t>
      </w:r>
      <w:r>
        <w:rPr>
          <w:i/>
          <w:spacing w:val="15"/>
        </w:rPr>
        <w:t> </w:t>
      </w:r>
      <w:r>
        <w:rPr>
          <w:i/>
        </w:rPr>
        <w:t>osmophloeum</w:t>
      </w:r>
      <w:r>
        <w:rPr>
          <w:i/>
          <w:spacing w:val="21"/>
        </w:rPr>
        <w:t> </w:t>
      </w:r>
      <w:r>
        <w:rPr/>
        <w:t>twigs</w:t>
      </w:r>
      <w:r>
        <w:rPr>
          <w:spacing w:val="18"/>
        </w:rPr>
        <w:t> </w:t>
      </w:r>
      <w:r>
        <w:rPr/>
        <w:t>have</w:t>
      </w:r>
      <w:r>
        <w:rPr>
          <w:spacing w:val="20"/>
        </w:rPr>
        <w:t> </w:t>
      </w:r>
      <w:r>
        <w:rPr>
          <w:spacing w:val="-4"/>
        </w:rPr>
        <w:t>been</w:t>
      </w:r>
    </w:p>
    <w:p>
      <w:pPr>
        <w:spacing w:after="0" w:line="480" w:lineRule="auto"/>
        <w:jc w:val="both"/>
        <w:sectPr>
          <w:pgSz w:w="11910" w:h="16840"/>
          <w:pgMar w:header="0" w:footer="1012" w:top="1320" w:bottom="1200" w:left="960" w:right="620"/>
        </w:sectPr>
      </w:pPr>
    </w:p>
    <w:p>
      <w:pPr>
        <w:pStyle w:val="BodyText"/>
        <w:spacing w:line="480" w:lineRule="auto" w:before="79"/>
        <w:ind w:left="1028" w:right="806"/>
        <w:jc w:val="both"/>
      </w:pPr>
      <w:r>
        <w:rPr/>
        <w:t>reported to have excellent antiinflamatory</w:t>
      </w:r>
      <w:r>
        <w:rPr>
          <w:spacing w:val="-6"/>
        </w:rPr>
        <w:t> </w:t>
      </w:r>
      <w:r>
        <w:rPr/>
        <w:t>activity (Jakhetia </w:t>
      </w:r>
      <w:r>
        <w:rPr>
          <w:i/>
        </w:rPr>
        <w:t>et al</w:t>
      </w:r>
      <w:r>
        <w:rPr/>
        <w:t>., 2010). Falodun </w:t>
      </w:r>
      <w:r>
        <w:rPr>
          <w:i/>
        </w:rPr>
        <w:t>et al</w:t>
      </w:r>
      <w:r>
        <w:rPr/>
        <w:t>. (2013) also observed the presence of alkaloids in the preliminary phytochemical screening of the root bark of </w:t>
      </w:r>
      <w:r>
        <w:rPr>
          <w:i/>
        </w:rPr>
        <w:t>J</w:t>
      </w:r>
      <w:r>
        <w:rPr/>
        <w:t>. </w:t>
      </w:r>
      <w:r>
        <w:rPr>
          <w:i/>
        </w:rPr>
        <w:t>multifida </w:t>
      </w:r>
      <w:r>
        <w:rPr/>
        <w:t>on evaluation of its analgesic activity.</w:t>
      </w:r>
    </w:p>
    <w:p>
      <w:pPr>
        <w:pStyle w:val="BodyText"/>
      </w:pPr>
    </w:p>
    <w:p>
      <w:pPr>
        <w:pStyle w:val="BodyText"/>
        <w:spacing w:before="1"/>
      </w:pPr>
    </w:p>
    <w:p>
      <w:pPr>
        <w:pStyle w:val="BodyText"/>
        <w:spacing w:line="480" w:lineRule="auto"/>
        <w:ind w:left="1028" w:right="801"/>
        <w:jc w:val="both"/>
      </w:pPr>
      <w:r>
        <w:rPr/>
        <w:t>The presence of heavy metals and some mineral elements have been reported in </w:t>
      </w:r>
      <w:r>
        <w:rPr>
          <w:i/>
        </w:rPr>
        <w:t>J. curcas </w:t>
      </w:r>
      <w:r>
        <w:rPr/>
        <w:t>seed, small percentage of which have also been reported in the seed oil (Harder </w:t>
      </w:r>
      <w:r>
        <w:rPr>
          <w:i/>
        </w:rPr>
        <w:t>et al</w:t>
      </w:r>
      <w:r>
        <w:rPr/>
        <w:t>., 2013). The</w:t>
      </w:r>
      <w:r>
        <w:rPr>
          <w:spacing w:val="40"/>
        </w:rPr>
        <w:t> </w:t>
      </w:r>
      <w:r>
        <w:rPr/>
        <w:t>concentration of</w:t>
      </w:r>
      <w:r>
        <w:rPr>
          <w:spacing w:val="40"/>
        </w:rPr>
        <w:t> </w:t>
      </w:r>
      <w:r>
        <w:rPr/>
        <w:t>lead, cadmium, copper, iron, calcium and zinc obtained in this study for the undetoxified oil were found to be below European Medicines Agency (2007) maximum acceptable limits of metal residues in drug substances and excipients of 1.0, 0.1, 250, 1300, 2500 and 1300 ppm respectively. While cadmium and copper were undetected in both the undetoxified and synthetically detoxified oils, levels of all detected mineral elements were found to be reduced in the synthetically detoxified oils, a finding that is consistent with</w:t>
      </w:r>
      <w:r>
        <w:rPr>
          <w:spacing w:val="-2"/>
        </w:rPr>
        <w:t> </w:t>
      </w:r>
      <w:r>
        <w:rPr/>
        <w:t>reported decrease in levels of</w:t>
      </w:r>
      <w:r>
        <w:rPr>
          <w:spacing w:val="-10"/>
        </w:rPr>
        <w:t> </w:t>
      </w:r>
      <w:r>
        <w:rPr/>
        <w:t>copper and iron</w:t>
      </w:r>
      <w:r>
        <w:rPr>
          <w:spacing w:val="-1"/>
        </w:rPr>
        <w:t> </w:t>
      </w:r>
      <w:r>
        <w:rPr/>
        <w:t>in</w:t>
      </w:r>
      <w:r>
        <w:rPr>
          <w:spacing w:val="-7"/>
        </w:rPr>
        <w:t> </w:t>
      </w:r>
      <w:r>
        <w:rPr/>
        <w:t>groundnut oil</w:t>
      </w:r>
      <w:r>
        <w:rPr>
          <w:spacing w:val="-11"/>
        </w:rPr>
        <w:t> </w:t>
      </w:r>
      <w:r>
        <w:rPr/>
        <w:t>after</w:t>
      </w:r>
      <w:r>
        <w:rPr>
          <w:spacing w:val="-1"/>
        </w:rPr>
        <w:t> </w:t>
      </w:r>
      <w:r>
        <w:rPr/>
        <w:t>refining by</w:t>
      </w:r>
      <w:r>
        <w:rPr>
          <w:spacing w:val="-2"/>
        </w:rPr>
        <w:t> </w:t>
      </w:r>
      <w:r>
        <w:rPr/>
        <w:t>Aluyor </w:t>
      </w:r>
      <w:r>
        <w:rPr>
          <w:i/>
        </w:rPr>
        <w:t>et</w:t>
      </w:r>
      <w:r>
        <w:rPr>
          <w:i/>
          <w:spacing w:val="-2"/>
        </w:rPr>
        <w:t> </w:t>
      </w:r>
      <w:r>
        <w:rPr>
          <w:i/>
        </w:rPr>
        <w:t>al</w:t>
      </w:r>
      <w:r>
        <w:rPr/>
        <w:t>.</w:t>
      </w:r>
      <w:r>
        <w:rPr>
          <w:spacing w:val="-5"/>
        </w:rPr>
        <w:t> </w:t>
      </w:r>
      <w:r>
        <w:rPr/>
        <w:t>(2009). This</w:t>
      </w:r>
      <w:r>
        <w:rPr>
          <w:spacing w:val="-4"/>
        </w:rPr>
        <w:t> </w:t>
      </w:r>
      <w:r>
        <w:rPr/>
        <w:t>reduction may have resulted from the effect of the adsorbent property of the bleaching reagent used in the detoxification process that caused it to bind metals and colour pigments in oils (O‟Brien, 2009). The reduction in levels of heavy metals in the synthetically detoxified oil</w:t>
      </w:r>
      <w:r>
        <w:rPr>
          <w:spacing w:val="-1"/>
        </w:rPr>
        <w:t> </w:t>
      </w:r>
      <w:r>
        <w:rPr/>
        <w:t>was necessary because copper and iron</w:t>
      </w:r>
      <w:r>
        <w:rPr>
          <w:spacing w:val="-1"/>
        </w:rPr>
        <w:t> </w:t>
      </w:r>
      <w:r>
        <w:rPr/>
        <w:t>have been</w:t>
      </w:r>
      <w:r>
        <w:rPr>
          <w:spacing w:val="-1"/>
        </w:rPr>
        <w:t> </w:t>
      </w:r>
      <w:r>
        <w:rPr/>
        <w:t>reported</w:t>
      </w:r>
      <w:r>
        <w:rPr>
          <w:spacing w:val="-1"/>
        </w:rPr>
        <w:t> </w:t>
      </w:r>
      <w:r>
        <w:rPr/>
        <w:t>to be involved in catalyzing oil oxidation (International Conference on Palm and Palm materials products, 1989) and also to prevent accumulation of heavy metals above the tolerable limits due to continuous usage of the oil.</w:t>
      </w:r>
    </w:p>
    <w:p>
      <w:pPr>
        <w:pStyle w:val="BodyText"/>
      </w:pPr>
    </w:p>
    <w:p>
      <w:pPr>
        <w:pStyle w:val="BodyText"/>
        <w:spacing w:before="3"/>
      </w:pPr>
    </w:p>
    <w:p>
      <w:pPr>
        <w:pStyle w:val="BodyText"/>
        <w:spacing w:line="480" w:lineRule="auto" w:before="1"/>
        <w:ind w:left="1028" w:right="801"/>
        <w:jc w:val="both"/>
      </w:pPr>
      <w:r>
        <w:rPr/>
        <w:t>The increased levels of both calcium and iron in the naturally detoxified oil could have resulted from the high concentration of these elements in the plantain peel ash extract used</w:t>
      </w:r>
      <w:r>
        <w:rPr>
          <w:spacing w:val="27"/>
        </w:rPr>
        <w:t> </w:t>
      </w:r>
      <w:r>
        <w:rPr/>
        <w:t>in</w:t>
      </w:r>
      <w:r>
        <w:rPr>
          <w:spacing w:val="20"/>
        </w:rPr>
        <w:t> </w:t>
      </w:r>
      <w:r>
        <w:rPr/>
        <w:t>place</w:t>
      </w:r>
      <w:r>
        <w:rPr>
          <w:spacing w:val="24"/>
        </w:rPr>
        <w:t> </w:t>
      </w:r>
      <w:r>
        <w:rPr/>
        <w:t>of</w:t>
      </w:r>
      <w:r>
        <w:rPr>
          <w:spacing w:val="18"/>
        </w:rPr>
        <w:t> </w:t>
      </w:r>
      <w:r>
        <w:rPr/>
        <w:t>caustic</w:t>
      </w:r>
      <w:r>
        <w:rPr>
          <w:spacing w:val="24"/>
        </w:rPr>
        <w:t> </w:t>
      </w:r>
      <w:r>
        <w:rPr/>
        <w:t>soda</w:t>
      </w:r>
      <w:r>
        <w:rPr>
          <w:spacing w:val="29"/>
        </w:rPr>
        <w:t> </w:t>
      </w:r>
      <w:r>
        <w:rPr/>
        <w:t>for</w:t>
      </w:r>
      <w:r>
        <w:rPr>
          <w:spacing w:val="26"/>
        </w:rPr>
        <w:t> </w:t>
      </w:r>
      <w:r>
        <w:rPr/>
        <w:t>the</w:t>
      </w:r>
      <w:r>
        <w:rPr>
          <w:spacing w:val="25"/>
        </w:rPr>
        <w:t> </w:t>
      </w:r>
      <w:r>
        <w:rPr/>
        <w:t>deacidification</w:t>
      </w:r>
      <w:r>
        <w:rPr>
          <w:spacing w:val="20"/>
        </w:rPr>
        <w:t> </w:t>
      </w:r>
      <w:r>
        <w:rPr/>
        <w:t>of</w:t>
      </w:r>
      <w:r>
        <w:rPr>
          <w:spacing w:val="17"/>
        </w:rPr>
        <w:t> </w:t>
      </w:r>
      <w:r>
        <w:rPr/>
        <w:t>the</w:t>
      </w:r>
      <w:r>
        <w:rPr>
          <w:spacing w:val="25"/>
        </w:rPr>
        <w:t> </w:t>
      </w:r>
      <w:r>
        <w:rPr/>
        <w:t>oil</w:t>
      </w:r>
      <w:r>
        <w:rPr>
          <w:spacing w:val="25"/>
        </w:rPr>
        <w:t> </w:t>
      </w:r>
      <w:r>
        <w:rPr/>
        <w:t>since</w:t>
      </w:r>
      <w:r>
        <w:rPr>
          <w:spacing w:val="27"/>
        </w:rPr>
        <w:t> </w:t>
      </w:r>
      <w:r>
        <w:rPr/>
        <w:t>Onyegbado</w:t>
      </w:r>
      <w:r>
        <w:rPr>
          <w:spacing w:val="31"/>
        </w:rPr>
        <w:t> </w:t>
      </w:r>
      <w:r>
        <w:rPr>
          <w:i/>
        </w:rPr>
        <w:t>et</w:t>
      </w:r>
      <w:r>
        <w:rPr>
          <w:i/>
          <w:spacing w:val="27"/>
        </w:rPr>
        <w:t> </w:t>
      </w:r>
      <w:r>
        <w:rPr>
          <w:i/>
          <w:spacing w:val="-5"/>
        </w:rPr>
        <w:t>al</w:t>
      </w:r>
      <w:r>
        <w:rPr>
          <w:spacing w:val="-5"/>
        </w:rPr>
        <w:t>.</w:t>
      </w:r>
    </w:p>
    <w:p>
      <w:pPr>
        <w:spacing w:after="0" w:line="480" w:lineRule="auto"/>
        <w:jc w:val="both"/>
        <w:sectPr>
          <w:pgSz w:w="11910" w:h="16840"/>
          <w:pgMar w:header="0" w:footer="1012" w:top="1320" w:bottom="1200" w:left="960" w:right="620"/>
        </w:sectPr>
      </w:pPr>
    </w:p>
    <w:p>
      <w:pPr>
        <w:pStyle w:val="BodyText"/>
        <w:spacing w:line="480" w:lineRule="auto" w:before="79"/>
        <w:ind w:left="1028" w:right="803"/>
        <w:jc w:val="both"/>
      </w:pPr>
      <w:r>
        <w:rPr/>
        <w:t>(2002) and Olabanji </w:t>
      </w:r>
      <w:r>
        <w:rPr>
          <w:i/>
        </w:rPr>
        <w:t>et al</w:t>
      </w:r>
      <w:r>
        <w:rPr/>
        <w:t>. (2012) had reported high levels of these elements in plantain peel ash extracts. Calcium is essential nutritionally as bone and teeth mineral content (Weaver, 2001). Similarly, iron is an essential trace element that has important metabolic functions, including oxygen transport and storage and many redox reactions. Insufficient intake results in deficiency conditions such as anaemia, adverse outcomes</w:t>
      </w:r>
      <w:r>
        <w:rPr>
          <w:spacing w:val="40"/>
        </w:rPr>
        <w:t> </w:t>
      </w:r>
      <w:r>
        <w:rPr/>
        <w:t>of pregnancy, impaired psychomotor development and cognitive performance and reduced immune function. The decreased levels of the toxic elements due to detoxification as well as increased levels of the naturally detoxified </w:t>
      </w:r>
      <w:r>
        <w:rPr>
          <w:i/>
        </w:rPr>
        <w:t>J</w:t>
      </w:r>
      <w:r>
        <w:rPr/>
        <w:t>. </w:t>
      </w:r>
      <w:r>
        <w:rPr>
          <w:i/>
        </w:rPr>
        <w:t>curcas </w:t>
      </w:r>
      <w:r>
        <w:rPr/>
        <w:t>oils was therefore an advantageous outcome of the detoxification processes.</w:t>
      </w:r>
    </w:p>
    <w:p>
      <w:pPr>
        <w:pStyle w:val="BodyText"/>
      </w:pPr>
    </w:p>
    <w:p>
      <w:pPr>
        <w:pStyle w:val="BodyText"/>
        <w:spacing w:before="2"/>
      </w:pPr>
    </w:p>
    <w:p>
      <w:pPr>
        <w:pStyle w:val="BodyText"/>
        <w:spacing w:line="480" w:lineRule="auto"/>
        <w:ind w:left="1028" w:right="804"/>
        <w:jc w:val="both"/>
      </w:pPr>
      <w:r>
        <w:rPr/>
        <w:t>The main toxins present in </w:t>
      </w:r>
      <w:r>
        <w:rPr>
          <w:i/>
        </w:rPr>
        <w:t>J. curcas </w:t>
      </w:r>
      <w:r>
        <w:rPr/>
        <w:t>oil are phorbol esters, which prevent their utilization as feed ingredients (Makkar </w:t>
      </w:r>
      <w:r>
        <w:rPr>
          <w:i/>
        </w:rPr>
        <w:t>et al</w:t>
      </w:r>
      <w:r>
        <w:rPr/>
        <w:t>., 1997). Detoxification of the oil both synthetically and naturally produced reduced levels of phorbol esters in the detoxified oil compared to the undetoxified. The percentage reduction in levels of phorbol esters obtained in this study was less than those reported in previous studies (Haas and Mittelbach,</w:t>
      </w:r>
      <w:r>
        <w:rPr>
          <w:spacing w:val="-1"/>
        </w:rPr>
        <w:t> </w:t>
      </w:r>
      <w:r>
        <w:rPr/>
        <w:t>2000;</w:t>
      </w:r>
      <w:r>
        <w:rPr>
          <w:spacing w:val="-2"/>
        </w:rPr>
        <w:t> </w:t>
      </w:r>
      <w:r>
        <w:rPr/>
        <w:t>Ahmed</w:t>
      </w:r>
      <w:r>
        <w:rPr>
          <w:spacing w:val="-2"/>
        </w:rPr>
        <w:t> </w:t>
      </w:r>
      <w:r>
        <w:rPr/>
        <w:t>and</w:t>
      </w:r>
      <w:r>
        <w:rPr>
          <w:spacing w:val="-2"/>
        </w:rPr>
        <w:t> </w:t>
      </w:r>
      <w:r>
        <w:rPr/>
        <w:t>Salimon,</w:t>
      </w:r>
      <w:r>
        <w:rPr>
          <w:spacing w:val="-1"/>
        </w:rPr>
        <w:t> </w:t>
      </w:r>
      <w:r>
        <w:rPr/>
        <w:t>2009;</w:t>
      </w:r>
      <w:r>
        <w:rPr>
          <w:spacing w:val="-7"/>
        </w:rPr>
        <w:t> </w:t>
      </w:r>
      <w:r>
        <w:rPr/>
        <w:t>Norhani </w:t>
      </w:r>
      <w:r>
        <w:rPr>
          <w:i/>
        </w:rPr>
        <w:t>et</w:t>
      </w:r>
      <w:r>
        <w:rPr>
          <w:i/>
          <w:spacing w:val="-2"/>
        </w:rPr>
        <w:t> </w:t>
      </w:r>
      <w:r>
        <w:rPr>
          <w:i/>
        </w:rPr>
        <w:t>al</w:t>
      </w:r>
      <w:r>
        <w:rPr/>
        <w:t>.,</w:t>
      </w:r>
      <w:r>
        <w:rPr>
          <w:spacing w:val="-1"/>
        </w:rPr>
        <w:t> </w:t>
      </w:r>
      <w:r>
        <w:rPr/>
        <w:t>2014).</w:t>
      </w:r>
      <w:r>
        <w:rPr>
          <w:spacing w:val="-1"/>
        </w:rPr>
        <w:t> </w:t>
      </w:r>
      <w:r>
        <w:rPr/>
        <w:t>The</w:t>
      </w:r>
      <w:r>
        <w:rPr>
          <w:spacing w:val="-3"/>
        </w:rPr>
        <w:t> </w:t>
      </w:r>
      <w:r>
        <w:rPr/>
        <w:t>variation</w:t>
      </w:r>
      <w:r>
        <w:rPr>
          <w:spacing w:val="-2"/>
        </w:rPr>
        <w:t> </w:t>
      </w:r>
      <w:r>
        <w:rPr/>
        <w:t>in</w:t>
      </w:r>
      <w:r>
        <w:rPr>
          <w:spacing w:val="-2"/>
        </w:rPr>
        <w:t> </w:t>
      </w:r>
      <w:r>
        <w:rPr/>
        <w:t>the percentage reduction in phorbol esters of this study from previous ones could be</w:t>
      </w:r>
      <w:r>
        <w:rPr>
          <w:spacing w:val="40"/>
        </w:rPr>
        <w:t> </w:t>
      </w:r>
      <w:r>
        <w:rPr/>
        <w:t>because of the direct weighing of phorbol ester rich fractions in the estimation of the levels of phorbol esters in the oils in place of the high performance liquid chromatography (HPLC) method due to unavailability; a limitation in this study. Phorbol esters act as analogues for diacylglycerol and are strong protein kinase activators; with some of the acute toxicity symptoms including irritation and inflammation of the gastrointestinal walls, diarrhoea and haemorrhagic eyes (Goel </w:t>
      </w:r>
      <w:r>
        <w:rPr>
          <w:i/>
        </w:rPr>
        <w:t>et</w:t>
      </w:r>
      <w:r>
        <w:rPr>
          <w:i/>
          <w:spacing w:val="40"/>
        </w:rPr>
        <w:t> </w:t>
      </w:r>
      <w:r>
        <w:rPr>
          <w:i/>
        </w:rPr>
        <w:t>al</w:t>
      </w:r>
      <w:r>
        <w:rPr/>
        <w:t>., 2007).</w:t>
      </w:r>
    </w:p>
    <w:p>
      <w:pPr>
        <w:spacing w:after="0" w:line="480" w:lineRule="auto"/>
        <w:jc w:val="both"/>
        <w:sectPr>
          <w:pgSz w:w="11910" w:h="16840"/>
          <w:pgMar w:header="0" w:footer="1012" w:top="1320" w:bottom="1200" w:left="960" w:right="620"/>
        </w:sectPr>
      </w:pPr>
    </w:p>
    <w:p>
      <w:pPr>
        <w:pStyle w:val="BodyText"/>
        <w:spacing w:line="480" w:lineRule="auto" w:before="79"/>
        <w:ind w:left="1028" w:right="798"/>
        <w:jc w:val="both"/>
      </w:pPr>
      <w:r>
        <w:rPr/>
        <w:t>The variation in the percentage reduction in the levels of phorbol esters in the solvent and mechanically extracted oil may have been due to the difference in viscosity</w:t>
      </w:r>
      <w:r>
        <w:rPr>
          <w:spacing w:val="-4"/>
        </w:rPr>
        <w:t> </w:t>
      </w:r>
      <w:r>
        <w:rPr/>
        <w:t>of both oils. Viscosity is described as the characteristic thickness of a fluid that causes it to</w:t>
      </w:r>
      <w:r>
        <w:rPr>
          <w:spacing w:val="40"/>
        </w:rPr>
        <w:t> </w:t>
      </w:r>
      <w:r>
        <w:rPr/>
        <w:t>resist deformation under shear stress. It is also defined as the resistance of a fluid to pouring</w:t>
      </w:r>
      <w:r>
        <w:rPr>
          <w:spacing w:val="12"/>
        </w:rPr>
        <w:t> </w:t>
      </w:r>
      <w:r>
        <w:rPr/>
        <w:t>or</w:t>
      </w:r>
      <w:r>
        <w:rPr>
          <w:spacing w:val="20"/>
        </w:rPr>
        <w:t> </w:t>
      </w:r>
      <w:r>
        <w:rPr/>
        <w:t>its</w:t>
      </w:r>
      <w:r>
        <w:rPr>
          <w:spacing w:val="19"/>
        </w:rPr>
        <w:t> </w:t>
      </w:r>
      <w:r>
        <w:rPr/>
        <w:t>internal</w:t>
      </w:r>
      <w:r>
        <w:rPr>
          <w:spacing w:val="10"/>
        </w:rPr>
        <w:t> </w:t>
      </w:r>
      <w:r>
        <w:rPr/>
        <w:t>resistance</w:t>
      </w:r>
      <w:r>
        <w:rPr>
          <w:spacing w:val="13"/>
        </w:rPr>
        <w:t> </w:t>
      </w:r>
      <w:r>
        <w:rPr/>
        <w:t>to</w:t>
      </w:r>
      <w:r>
        <w:rPr>
          <w:spacing w:val="19"/>
        </w:rPr>
        <w:t> </w:t>
      </w:r>
      <w:r>
        <w:rPr/>
        <w:t>flow</w:t>
      </w:r>
      <w:r>
        <w:rPr>
          <w:spacing w:val="19"/>
        </w:rPr>
        <w:t> </w:t>
      </w:r>
      <w:r>
        <w:rPr/>
        <w:t>(Nzikou</w:t>
      </w:r>
      <w:r>
        <w:rPr>
          <w:spacing w:val="15"/>
        </w:rPr>
        <w:t> </w:t>
      </w:r>
      <w:r>
        <w:rPr>
          <w:i/>
        </w:rPr>
        <w:t>et</w:t>
      </w:r>
      <w:r>
        <w:rPr>
          <w:i/>
          <w:spacing w:val="15"/>
        </w:rPr>
        <w:t> </w:t>
      </w:r>
      <w:r>
        <w:rPr>
          <w:i/>
        </w:rPr>
        <w:t>al</w:t>
      </w:r>
      <w:r>
        <w:rPr/>
        <w:t>.,</w:t>
      </w:r>
      <w:r>
        <w:rPr>
          <w:spacing w:val="17"/>
        </w:rPr>
        <w:t> </w:t>
      </w:r>
      <w:r>
        <w:rPr/>
        <w:t>2009).</w:t>
      </w:r>
      <w:r>
        <w:rPr>
          <w:spacing w:val="17"/>
        </w:rPr>
        <w:t> </w:t>
      </w:r>
      <w:r>
        <w:rPr/>
        <w:t>Mechanically</w:t>
      </w:r>
      <w:r>
        <w:rPr>
          <w:spacing w:val="15"/>
        </w:rPr>
        <w:t> </w:t>
      </w:r>
      <w:r>
        <w:rPr>
          <w:spacing w:val="-2"/>
        </w:rPr>
        <w:t>extracted</w:t>
      </w:r>
    </w:p>
    <w:p>
      <w:pPr>
        <w:pStyle w:val="BodyText"/>
        <w:spacing w:line="480" w:lineRule="auto" w:before="1"/>
        <w:ind w:left="1028" w:right="803"/>
        <w:jc w:val="both"/>
      </w:pPr>
      <w:r>
        <w:rPr>
          <w:i/>
        </w:rPr>
        <w:t>J</w:t>
      </w:r>
      <w:r>
        <w:rPr/>
        <w:t>. </w:t>
      </w:r>
      <w:r>
        <w:rPr>
          <w:i/>
        </w:rPr>
        <w:t>curcas </w:t>
      </w:r>
      <w:r>
        <w:rPr/>
        <w:t>oil has been reported to be about twice as viscous as the solvent extracted in previous studies (Belewu</w:t>
      </w:r>
      <w:r>
        <w:rPr>
          <w:spacing w:val="40"/>
        </w:rPr>
        <w:t> </w:t>
      </w:r>
      <w:r>
        <w:rPr>
          <w:i/>
        </w:rPr>
        <w:t>et al</w:t>
      </w:r>
      <w:r>
        <w:rPr/>
        <w:t>., 2010) although this feature was not ascertained in the present study. The higher viscosity of the mechanically extracted oil could have prevented the free flow of alkali solution and bleaching reagent used in the deacidification and bleaching steps respectively, of the detoxification process, resulting in reduced adsorption of phorbol esters from the oil. The bleaching and deacidification steps have been reported by other researchers to be the most effective steps in the detoxification of </w:t>
      </w:r>
      <w:r>
        <w:rPr>
          <w:i/>
        </w:rPr>
        <w:t>J</w:t>
      </w:r>
      <w:r>
        <w:rPr/>
        <w:t>. </w:t>
      </w:r>
      <w:r>
        <w:rPr>
          <w:i/>
        </w:rPr>
        <w:t>curcas </w:t>
      </w:r>
      <w:r>
        <w:rPr/>
        <w:t>oil by other researchers (Haas and Mittelbach, 2000 and Ahmed and Salimon, 2009). Other antinutrinitional factors such as trypsin inhibitors</w:t>
      </w:r>
      <w:r>
        <w:rPr>
          <w:spacing w:val="40"/>
        </w:rPr>
        <w:t> </w:t>
      </w:r>
      <w:r>
        <w:rPr/>
        <w:t>and lectins, also reported to be present in the oil, may have been reduced to non</w:t>
      </w:r>
      <w:r>
        <w:rPr>
          <w:spacing w:val="-2"/>
        </w:rPr>
        <w:t> </w:t>
      </w:r>
      <w:r>
        <w:rPr/>
        <w:t>or less toxic levels during the detoxification process as they are heat labile and may have therefore been destroyed by heat treatment of the oil during the</w:t>
      </w:r>
      <w:r>
        <w:rPr>
          <w:spacing w:val="80"/>
        </w:rPr>
        <w:t> </w:t>
      </w:r>
      <w:r>
        <w:rPr/>
        <w:t>detoxification</w:t>
      </w:r>
      <w:r>
        <w:rPr>
          <w:spacing w:val="40"/>
        </w:rPr>
        <w:t> </w:t>
      </w:r>
      <w:r>
        <w:rPr/>
        <w:t>processes (Aderibigbe </w:t>
      </w:r>
      <w:r>
        <w:rPr>
          <w:i/>
        </w:rPr>
        <w:t>et al</w:t>
      </w:r>
      <w:r>
        <w:rPr/>
        <w:t>., 1997).</w:t>
      </w:r>
    </w:p>
    <w:p>
      <w:pPr>
        <w:pStyle w:val="BodyText"/>
      </w:pPr>
    </w:p>
    <w:p>
      <w:pPr>
        <w:pStyle w:val="BodyText"/>
        <w:spacing w:before="3"/>
      </w:pPr>
    </w:p>
    <w:p>
      <w:pPr>
        <w:pStyle w:val="BodyText"/>
        <w:spacing w:line="480" w:lineRule="auto"/>
        <w:ind w:left="1028" w:right="800"/>
        <w:jc w:val="both"/>
      </w:pPr>
      <w:r>
        <w:rPr/>
        <w:t>Both undetoxified and detoxified </w:t>
      </w:r>
      <w:r>
        <w:rPr>
          <w:i/>
        </w:rPr>
        <w:t>J</w:t>
      </w:r>
      <w:r>
        <w:rPr/>
        <w:t>. </w:t>
      </w:r>
      <w:r>
        <w:rPr>
          <w:i/>
        </w:rPr>
        <w:t>curcas </w:t>
      </w:r>
      <w:r>
        <w:rPr/>
        <w:t>oils showed LD</w:t>
      </w:r>
      <w:r>
        <w:rPr>
          <w:vertAlign w:val="subscript"/>
        </w:rPr>
        <w:t>50</w:t>
      </w:r>
      <w:r>
        <w:rPr>
          <w:vertAlign w:val="baseline"/>
        </w:rPr>
        <w:t> values greater than 5,000 mg/kg when administered orally to chicks and mice. These high LD</w:t>
      </w:r>
      <w:r>
        <w:rPr>
          <w:vertAlign w:val="subscript"/>
        </w:rPr>
        <w:t>50</w:t>
      </w:r>
      <w:r>
        <w:rPr>
          <w:vertAlign w:val="baseline"/>
        </w:rPr>
        <w:t> values showed that the oil is practically safe on acute exposure. The high LD</w:t>
      </w:r>
      <w:r>
        <w:rPr>
          <w:vertAlign w:val="subscript"/>
        </w:rPr>
        <w:t>50</w:t>
      </w:r>
      <w:r>
        <w:rPr>
          <w:spacing w:val="-2"/>
          <w:vertAlign w:val="baseline"/>
        </w:rPr>
        <w:t> </w:t>
      </w:r>
      <w:r>
        <w:rPr>
          <w:vertAlign w:val="baseline"/>
        </w:rPr>
        <w:t>values obtained in this study</w:t>
      </w:r>
      <w:r>
        <w:rPr>
          <w:spacing w:val="-5"/>
          <w:vertAlign w:val="baseline"/>
        </w:rPr>
        <w:t> </w:t>
      </w:r>
      <w:r>
        <w:rPr>
          <w:vertAlign w:val="baseline"/>
        </w:rPr>
        <w:t>are</w:t>
      </w:r>
      <w:r>
        <w:rPr>
          <w:spacing w:val="-1"/>
          <w:vertAlign w:val="baseline"/>
        </w:rPr>
        <w:t> </w:t>
      </w:r>
      <w:r>
        <w:rPr>
          <w:vertAlign w:val="baseline"/>
        </w:rPr>
        <w:t>similar to the</w:t>
      </w:r>
      <w:r>
        <w:rPr>
          <w:spacing w:val="-1"/>
          <w:vertAlign w:val="baseline"/>
        </w:rPr>
        <w:t> </w:t>
      </w:r>
      <w:r>
        <w:rPr>
          <w:vertAlign w:val="baseline"/>
        </w:rPr>
        <w:t>6 ml/kg (6,000 mg/kg) reported in</w:t>
      </w:r>
      <w:r>
        <w:rPr>
          <w:spacing w:val="-5"/>
          <w:vertAlign w:val="baseline"/>
        </w:rPr>
        <w:t> </w:t>
      </w:r>
      <w:r>
        <w:rPr>
          <w:vertAlign w:val="baseline"/>
        </w:rPr>
        <w:t>previous</w:t>
      </w:r>
      <w:r>
        <w:rPr>
          <w:spacing w:val="-2"/>
          <w:vertAlign w:val="baseline"/>
        </w:rPr>
        <w:t> </w:t>
      </w:r>
      <w:r>
        <w:rPr>
          <w:vertAlign w:val="baseline"/>
        </w:rPr>
        <w:t>studies by</w:t>
      </w:r>
      <w:r>
        <w:rPr>
          <w:spacing w:val="-5"/>
          <w:vertAlign w:val="baseline"/>
        </w:rPr>
        <w:t> </w:t>
      </w:r>
      <w:r>
        <w:rPr>
          <w:vertAlign w:val="baseline"/>
        </w:rPr>
        <w:t>Gandhi </w:t>
      </w:r>
      <w:r>
        <w:rPr>
          <w:i/>
          <w:vertAlign w:val="baseline"/>
        </w:rPr>
        <w:t>et al</w:t>
      </w:r>
      <w:r>
        <w:rPr>
          <w:vertAlign w:val="baseline"/>
        </w:rPr>
        <w:t>. (1995).</w:t>
      </w:r>
    </w:p>
    <w:p>
      <w:pPr>
        <w:spacing w:after="0" w:line="480" w:lineRule="auto"/>
        <w:jc w:val="both"/>
        <w:sectPr>
          <w:pgSz w:w="11910" w:h="16840"/>
          <w:pgMar w:header="0" w:footer="1012" w:top="1320" w:bottom="1200" w:left="960" w:right="620"/>
        </w:sectPr>
      </w:pPr>
    </w:p>
    <w:p>
      <w:pPr>
        <w:pStyle w:val="BodyText"/>
        <w:spacing w:line="480" w:lineRule="auto" w:before="79"/>
        <w:ind w:left="1028" w:right="800"/>
        <w:jc w:val="both"/>
      </w:pPr>
      <w:r>
        <w:rPr/>
        <w:t>The major toxicity symptoms observed in Wistar rats on administration of undetoxified and detoxified </w:t>
      </w:r>
      <w:r>
        <w:rPr>
          <w:i/>
        </w:rPr>
        <w:t>J</w:t>
      </w:r>
      <w:r>
        <w:rPr/>
        <w:t>. </w:t>
      </w:r>
      <w:r>
        <w:rPr>
          <w:i/>
        </w:rPr>
        <w:t>curcas </w:t>
      </w:r>
      <w:r>
        <w:rPr/>
        <w:t>oils were ruffled fur, hyperpnoea, restlessness followed by decreased mobility. Restlessness is a central nervous system symptom which may have resulted from electrolyte changes in the rats (Castilla-Guerra </w:t>
      </w:r>
      <w:r>
        <w:rPr>
          <w:i/>
        </w:rPr>
        <w:t>et al</w:t>
      </w:r>
      <w:r>
        <w:rPr/>
        <w:t>., 2006). These occurred mostly in the undetoxified oil (moderate to severe) as opposed to the</w:t>
      </w:r>
      <w:r>
        <w:rPr>
          <w:spacing w:val="40"/>
        </w:rPr>
        <w:t> </w:t>
      </w:r>
      <w:r>
        <w:rPr/>
        <w:t>detoxified oil (mostly mild). The degree of severity of the observed toxicity symptoms were also dose dependent, which is consistent with</w:t>
      </w:r>
      <w:r>
        <w:rPr>
          <w:spacing w:val="-2"/>
        </w:rPr>
        <w:t> </w:t>
      </w:r>
      <w:r>
        <w:rPr/>
        <w:t>the previous research findings (Li</w:t>
      </w:r>
      <w:r>
        <w:rPr>
          <w:spacing w:val="-1"/>
        </w:rPr>
        <w:t> </w:t>
      </w:r>
      <w:r>
        <w:rPr>
          <w:i/>
        </w:rPr>
        <w:t>et al</w:t>
      </w:r>
      <w:r>
        <w:rPr/>
        <w:t>., 2010). Similarly, the highest degree of body weight loss occurred in animals at higher and middle doses of the undetoxified oil while lower doses of the undetoxified</w:t>
      </w:r>
      <w:r>
        <w:rPr>
          <w:spacing w:val="40"/>
        </w:rPr>
        <w:t> </w:t>
      </w:r>
      <w:r>
        <w:rPr/>
        <w:t>oil as well as all doses of detoxified oil caused significant increases in the animal body </w:t>
      </w:r>
      <w:r>
        <w:rPr>
          <w:spacing w:val="-2"/>
        </w:rPr>
        <w:t>weight.</w:t>
      </w:r>
    </w:p>
    <w:p>
      <w:pPr>
        <w:pStyle w:val="BodyText"/>
      </w:pPr>
    </w:p>
    <w:p>
      <w:pPr>
        <w:pStyle w:val="BodyText"/>
        <w:spacing w:before="3"/>
      </w:pPr>
    </w:p>
    <w:p>
      <w:pPr>
        <w:pStyle w:val="BodyText"/>
        <w:spacing w:line="480" w:lineRule="auto"/>
        <w:ind w:left="1028" w:right="799" w:firstLine="57"/>
        <w:jc w:val="both"/>
      </w:pPr>
      <w:r>
        <w:rPr/>
        <w:t>The undetoxified oil at 500 mg/kg dose produced increased levels of WBC and PLT, though the detoxified oil at the same dose also produced milder increases. This shows the ameliorative effect of the detoxification of the oil. WBC increase in the blood has been implicated in pathological conditions such as inflammation which is one of the major toxic effects of </w:t>
      </w:r>
      <w:r>
        <w:rPr>
          <w:i/>
        </w:rPr>
        <w:t>J</w:t>
      </w:r>
      <w:r>
        <w:rPr/>
        <w:t>. </w:t>
      </w:r>
      <w:r>
        <w:rPr>
          <w:i/>
        </w:rPr>
        <w:t>curcas </w:t>
      </w:r>
      <w:r>
        <w:rPr/>
        <w:t>oil due to its chemical irritant effect (Farhangi </w:t>
      </w:r>
      <w:r>
        <w:rPr>
          <w:i/>
        </w:rPr>
        <w:t>et al</w:t>
      </w:r>
      <w:r>
        <w:rPr/>
        <w:t>., 2013) as observed in the histopathological examination of</w:t>
      </w:r>
      <w:r>
        <w:rPr>
          <w:spacing w:val="-3"/>
        </w:rPr>
        <w:t> </w:t>
      </w:r>
      <w:r>
        <w:rPr/>
        <w:t>the organs in this study. This is also consistent with the reports of other researchers who have reported inflammation as one of the effects of </w:t>
      </w:r>
      <w:r>
        <w:rPr>
          <w:i/>
        </w:rPr>
        <w:t>J</w:t>
      </w:r>
      <w:r>
        <w:rPr/>
        <w:t>. </w:t>
      </w:r>
      <w:r>
        <w:rPr>
          <w:i/>
        </w:rPr>
        <w:t>curcas </w:t>
      </w:r>
      <w:r>
        <w:rPr/>
        <w:t>toxicity (Gandhi </w:t>
      </w:r>
      <w:r>
        <w:rPr>
          <w:i/>
        </w:rPr>
        <w:t>et al</w:t>
      </w:r>
      <w:r>
        <w:rPr/>
        <w:t>., 1995).</w:t>
      </w:r>
    </w:p>
    <w:p>
      <w:pPr>
        <w:pStyle w:val="BodyText"/>
      </w:pPr>
    </w:p>
    <w:p>
      <w:pPr>
        <w:pStyle w:val="BodyText"/>
        <w:spacing w:before="1"/>
      </w:pPr>
    </w:p>
    <w:p>
      <w:pPr>
        <w:pStyle w:val="BodyText"/>
        <w:spacing w:line="480" w:lineRule="auto" w:before="1"/>
        <w:ind w:left="1028" w:right="804"/>
        <w:jc w:val="both"/>
      </w:pPr>
      <w:r>
        <w:rPr/>
        <w:t>Electrolyte change due to the toxic effect of undetoxified </w:t>
      </w:r>
      <w:r>
        <w:rPr>
          <w:i/>
        </w:rPr>
        <w:t>J</w:t>
      </w:r>
      <w:r>
        <w:rPr/>
        <w:t>. </w:t>
      </w:r>
      <w:r>
        <w:rPr>
          <w:i/>
        </w:rPr>
        <w:t>curcas </w:t>
      </w:r>
      <w:r>
        <w:rPr/>
        <w:t>oil occurred in the group that received 500 mg/kg dose of the undetoxified oil, though moderate changes were observed at other doses of</w:t>
      </w:r>
      <w:r>
        <w:rPr>
          <w:spacing w:val="-1"/>
        </w:rPr>
        <w:t> </w:t>
      </w:r>
      <w:r>
        <w:rPr/>
        <w:t>both the undetoxified and detoxified oil. The increased level of Na</w:t>
      </w:r>
      <w:r>
        <w:rPr>
          <w:vertAlign w:val="superscript"/>
        </w:rPr>
        <w:t>+</w:t>
      </w:r>
      <w:r>
        <w:rPr>
          <w:vertAlign w:val="baseline"/>
        </w:rPr>
        <w:t> (hypernatremia)</w:t>
      </w:r>
      <w:r>
        <w:rPr>
          <w:spacing w:val="17"/>
          <w:vertAlign w:val="baseline"/>
        </w:rPr>
        <w:t> </w:t>
      </w:r>
      <w:r>
        <w:rPr>
          <w:vertAlign w:val="baseline"/>
        </w:rPr>
        <w:t>may be due to distortions and pathological changes in the</w:t>
      </w:r>
    </w:p>
    <w:p>
      <w:pPr>
        <w:spacing w:after="0" w:line="480" w:lineRule="auto"/>
        <w:jc w:val="both"/>
        <w:sectPr>
          <w:pgSz w:w="11910" w:h="16840"/>
          <w:pgMar w:header="0" w:footer="1012" w:top="1320" w:bottom="1200" w:left="960" w:right="620"/>
        </w:sectPr>
      </w:pPr>
    </w:p>
    <w:p>
      <w:pPr>
        <w:pStyle w:val="BodyText"/>
        <w:spacing w:line="480" w:lineRule="auto" w:before="79"/>
        <w:ind w:left="1028" w:right="799"/>
        <w:jc w:val="both"/>
      </w:pPr>
      <w:r>
        <w:rPr/>
        <w:t>structure and function of</w:t>
      </w:r>
      <w:r>
        <w:rPr>
          <w:spacing w:val="-1"/>
        </w:rPr>
        <w:t> </w:t>
      </w:r>
      <w:r>
        <w:rPr/>
        <w:t>the kidney caused by</w:t>
      </w:r>
      <w:r>
        <w:rPr>
          <w:spacing w:val="-3"/>
        </w:rPr>
        <w:t> </w:t>
      </w:r>
      <w:r>
        <w:rPr/>
        <w:t>the toxicity</w:t>
      </w:r>
      <w:r>
        <w:rPr>
          <w:spacing w:val="-3"/>
        </w:rPr>
        <w:t> </w:t>
      </w:r>
      <w:r>
        <w:rPr/>
        <w:t>of</w:t>
      </w:r>
      <w:r>
        <w:rPr>
          <w:spacing w:val="-6"/>
        </w:rPr>
        <w:t> </w:t>
      </w:r>
      <w:r>
        <w:rPr/>
        <w:t>the oil which</w:t>
      </w:r>
      <w:r>
        <w:rPr>
          <w:spacing w:val="-3"/>
        </w:rPr>
        <w:t> </w:t>
      </w:r>
      <w:r>
        <w:rPr/>
        <w:t>also resulted in increased levels of serum creatinine and urea, an indication of impaired kidney function (Saidu </w:t>
      </w:r>
      <w:r>
        <w:rPr>
          <w:i/>
        </w:rPr>
        <w:t>et al</w:t>
      </w:r>
      <w:r>
        <w:rPr/>
        <w:t>., 2010). This effect may also account for the decrease in kidney</w:t>
      </w:r>
      <w:r>
        <w:rPr>
          <w:spacing w:val="-1"/>
        </w:rPr>
        <w:t> </w:t>
      </w:r>
      <w:r>
        <w:rPr/>
        <w:t>to body weight ratio of rats administered the highest dose of the undetoxified oil. Hypernatremia</w:t>
      </w:r>
      <w:r>
        <w:rPr>
          <w:spacing w:val="-14"/>
        </w:rPr>
        <w:t> </w:t>
      </w:r>
      <w:r>
        <w:rPr/>
        <w:t>has been implicated in body</w:t>
      </w:r>
      <w:r>
        <w:rPr>
          <w:spacing w:val="-5"/>
        </w:rPr>
        <w:t> </w:t>
      </w:r>
      <w:r>
        <w:rPr/>
        <w:t>dehydration</w:t>
      </w:r>
      <w:r>
        <w:rPr>
          <w:spacing w:val="-1"/>
        </w:rPr>
        <w:t> </w:t>
      </w:r>
      <w:r>
        <w:rPr/>
        <w:t>due to severe loss of</w:t>
      </w:r>
      <w:r>
        <w:rPr>
          <w:spacing w:val="-4"/>
        </w:rPr>
        <w:t> </w:t>
      </w:r>
      <w:r>
        <w:rPr/>
        <w:t>water that accompanies the increased excretion of Na</w:t>
      </w:r>
      <w:r>
        <w:rPr>
          <w:vertAlign w:val="superscript"/>
        </w:rPr>
        <w:t>+</w:t>
      </w:r>
      <w:r>
        <w:rPr>
          <w:vertAlign w:val="baseline"/>
        </w:rPr>
        <w:t> from the blood (Laing, 2002). This observation is consistent with the findings of previous researches which have reported dehydration as one of the symptoms of </w:t>
      </w:r>
      <w:r>
        <w:rPr>
          <w:i/>
          <w:vertAlign w:val="baseline"/>
        </w:rPr>
        <w:t>J</w:t>
      </w:r>
      <w:r>
        <w:rPr>
          <w:vertAlign w:val="baseline"/>
        </w:rPr>
        <w:t>. </w:t>
      </w:r>
      <w:r>
        <w:rPr>
          <w:i/>
          <w:vertAlign w:val="baseline"/>
        </w:rPr>
        <w:t>curcas </w:t>
      </w:r>
      <w:r>
        <w:rPr>
          <w:vertAlign w:val="baseline"/>
        </w:rPr>
        <w:t>toxicity (Setty </w:t>
      </w:r>
      <w:r>
        <w:rPr>
          <w:i/>
          <w:vertAlign w:val="baseline"/>
        </w:rPr>
        <w:t>et al</w:t>
      </w:r>
      <w:r>
        <w:rPr>
          <w:vertAlign w:val="baseline"/>
        </w:rPr>
        <w:t>., 2013).</w:t>
      </w:r>
    </w:p>
    <w:p>
      <w:pPr>
        <w:pStyle w:val="BodyText"/>
      </w:pPr>
    </w:p>
    <w:p>
      <w:pPr>
        <w:pStyle w:val="BodyText"/>
        <w:spacing w:before="2"/>
      </w:pPr>
    </w:p>
    <w:p>
      <w:pPr>
        <w:pStyle w:val="BodyText"/>
        <w:spacing w:line="480" w:lineRule="auto"/>
        <w:ind w:left="1028" w:right="794"/>
        <w:jc w:val="both"/>
      </w:pPr>
      <w:r>
        <w:rPr/>
        <w:t>The increased level of liver enzymes observed in Wistar rats due to the administration</w:t>
      </w:r>
      <w:r>
        <w:rPr>
          <w:spacing w:val="40"/>
        </w:rPr>
        <w:t> </w:t>
      </w:r>
      <w:r>
        <w:rPr/>
        <w:t>of</w:t>
      </w:r>
      <w:r>
        <w:rPr>
          <w:spacing w:val="-5"/>
        </w:rPr>
        <w:t> </w:t>
      </w:r>
      <w:r>
        <w:rPr/>
        <w:t>500 mg/kg of the undetoxified oil indicates pathological effects of</w:t>
      </w:r>
      <w:r>
        <w:rPr>
          <w:spacing w:val="-5"/>
        </w:rPr>
        <w:t> </w:t>
      </w:r>
      <w:r>
        <w:rPr/>
        <w:t>the oil</w:t>
      </w:r>
      <w:r>
        <w:rPr>
          <w:spacing w:val="-2"/>
        </w:rPr>
        <w:t> </w:t>
      </w:r>
      <w:r>
        <w:rPr/>
        <w:t>on</w:t>
      </w:r>
      <w:r>
        <w:rPr>
          <w:spacing w:val="-2"/>
        </w:rPr>
        <w:t> </w:t>
      </w:r>
      <w:r>
        <w:rPr/>
        <w:t>the liver function and may therefore account for the reduced liver to body weight ratio on administration of undetoxified </w:t>
      </w:r>
      <w:r>
        <w:rPr>
          <w:i/>
        </w:rPr>
        <w:t>J</w:t>
      </w:r>
      <w:r>
        <w:rPr/>
        <w:t>. </w:t>
      </w:r>
      <w:r>
        <w:rPr>
          <w:i/>
        </w:rPr>
        <w:t>curcas </w:t>
      </w:r>
      <w:r>
        <w:rPr/>
        <w:t>oil at this dose (Setty </w:t>
      </w:r>
      <w:r>
        <w:rPr>
          <w:i/>
        </w:rPr>
        <w:t>et al</w:t>
      </w:r>
      <w:r>
        <w:rPr/>
        <w:t>., 2013). The detoxified oil also produced pathological effects on the liver suggesting that the detoxification only provided mild or no protection to the liver. The significant increase in the level of AST is suggestive of necrosis of hepatic parenchymal tissues and therefore may be indicative of acute liver disease (Adedapo </w:t>
      </w:r>
      <w:r>
        <w:rPr>
          <w:i/>
        </w:rPr>
        <w:t>et al</w:t>
      </w:r>
      <w:r>
        <w:rPr/>
        <w:t>., 2007)</w:t>
      </w:r>
    </w:p>
    <w:p>
      <w:pPr>
        <w:pStyle w:val="BodyText"/>
      </w:pPr>
    </w:p>
    <w:p>
      <w:pPr>
        <w:pStyle w:val="BodyText"/>
        <w:spacing w:before="2"/>
      </w:pPr>
    </w:p>
    <w:p>
      <w:pPr>
        <w:pStyle w:val="BodyText"/>
        <w:spacing w:line="480" w:lineRule="auto"/>
        <w:ind w:left="1028" w:right="801"/>
        <w:jc w:val="both"/>
      </w:pPr>
      <w:r>
        <w:rPr/>
        <w:t>The formalin test is a biphasic analgesic test that consists of two distinctive phases;</w:t>
      </w:r>
      <w:r>
        <w:rPr>
          <w:spacing w:val="40"/>
        </w:rPr>
        <w:t> </w:t>
      </w:r>
      <w:r>
        <w:rPr/>
        <w:t>early and late phase. Drugs that act primarily on the central system inhibit both phases while peripherally acting drugs inhibit the late phase (Shibata </w:t>
      </w:r>
      <w:r>
        <w:rPr>
          <w:i/>
        </w:rPr>
        <w:t>et al</w:t>
      </w:r>
      <w:r>
        <w:rPr/>
        <w:t>., 1989). The early phase is probably a direct result of stimulation of nociceptors in the paw and reflects centrally mediated pain while the late phase is due to inflammation with a release of serotonin, histamine, bradykinin and prostaglandin (Tjolsen </w:t>
      </w:r>
      <w:r>
        <w:rPr>
          <w:i/>
        </w:rPr>
        <w:t>et al</w:t>
      </w:r>
      <w:r>
        <w:rPr/>
        <w:t>., 1992). The undetoxified</w:t>
      </w:r>
      <w:r>
        <w:rPr>
          <w:spacing w:val="45"/>
        </w:rPr>
        <w:t> </w:t>
      </w:r>
      <w:r>
        <w:rPr/>
        <w:t>oil</w:t>
      </w:r>
      <w:r>
        <w:rPr>
          <w:spacing w:val="43"/>
        </w:rPr>
        <w:t> </w:t>
      </w:r>
      <w:r>
        <w:rPr/>
        <w:t>at</w:t>
      </w:r>
      <w:r>
        <w:rPr>
          <w:spacing w:val="52"/>
        </w:rPr>
        <w:t> </w:t>
      </w:r>
      <w:r>
        <w:rPr/>
        <w:t>higher</w:t>
      </w:r>
      <w:r>
        <w:rPr>
          <w:spacing w:val="48"/>
        </w:rPr>
        <w:t> </w:t>
      </w:r>
      <w:r>
        <w:rPr/>
        <w:t>doses</w:t>
      </w:r>
      <w:r>
        <w:rPr>
          <w:spacing w:val="47"/>
        </w:rPr>
        <w:t> </w:t>
      </w:r>
      <w:r>
        <w:rPr/>
        <w:t>significantly</w:t>
      </w:r>
      <w:r>
        <w:rPr>
          <w:spacing w:val="44"/>
        </w:rPr>
        <w:t> </w:t>
      </w:r>
      <w:r>
        <w:rPr/>
        <w:t>inhibited</w:t>
      </w:r>
      <w:r>
        <w:rPr>
          <w:spacing w:val="47"/>
        </w:rPr>
        <w:t> </w:t>
      </w:r>
      <w:r>
        <w:rPr/>
        <w:t>both</w:t>
      </w:r>
      <w:r>
        <w:rPr>
          <w:spacing w:val="44"/>
        </w:rPr>
        <w:t> </w:t>
      </w:r>
      <w:r>
        <w:rPr/>
        <w:t>phases</w:t>
      </w:r>
      <w:r>
        <w:rPr>
          <w:spacing w:val="45"/>
        </w:rPr>
        <w:t> </w:t>
      </w:r>
      <w:r>
        <w:rPr/>
        <w:t>of</w:t>
      </w:r>
      <w:r>
        <w:rPr>
          <w:spacing w:val="39"/>
        </w:rPr>
        <w:t> </w:t>
      </w:r>
      <w:r>
        <w:rPr/>
        <w:t>the</w:t>
      </w:r>
      <w:r>
        <w:rPr>
          <w:spacing w:val="51"/>
        </w:rPr>
        <w:t> </w:t>
      </w:r>
      <w:r>
        <w:rPr>
          <w:spacing w:val="-2"/>
        </w:rPr>
        <w:t>formalin-</w:t>
      </w:r>
    </w:p>
    <w:p>
      <w:pPr>
        <w:spacing w:after="0" w:line="480" w:lineRule="auto"/>
        <w:jc w:val="both"/>
        <w:sectPr>
          <w:pgSz w:w="11910" w:h="16840"/>
          <w:pgMar w:header="0" w:footer="1012" w:top="1320" w:bottom="1200" w:left="960" w:right="620"/>
        </w:sectPr>
      </w:pPr>
    </w:p>
    <w:p>
      <w:pPr>
        <w:pStyle w:val="BodyText"/>
        <w:spacing w:line="480" w:lineRule="auto" w:before="79"/>
        <w:ind w:left="1028" w:right="795"/>
        <w:jc w:val="both"/>
      </w:pPr>
      <w:r>
        <w:rPr/>
        <w:t>induced pain with a more pronounced effect on the second than the first phase, suggesting the presence of both central and peripheral analgesic effects of the oil. Detoxified oil only significantly inhibited the second phase of formalin induced pain, suggesting the presence of peripheral analgesic activity. The hot-plate test is employed for the</w:t>
      </w:r>
      <w:r>
        <w:rPr>
          <w:spacing w:val="-1"/>
        </w:rPr>
        <w:t> </w:t>
      </w:r>
      <w:r>
        <w:rPr/>
        <w:t>evaluation</w:t>
      </w:r>
      <w:r>
        <w:rPr>
          <w:spacing w:val="-5"/>
        </w:rPr>
        <w:t> </w:t>
      </w:r>
      <w:r>
        <w:rPr/>
        <w:t>of</w:t>
      </w:r>
      <w:r>
        <w:rPr>
          <w:spacing w:val="-7"/>
        </w:rPr>
        <w:t> </w:t>
      </w:r>
      <w:r>
        <w:rPr/>
        <w:t>centrally</w:t>
      </w:r>
      <w:r>
        <w:rPr>
          <w:spacing w:val="-5"/>
        </w:rPr>
        <w:t> </w:t>
      </w:r>
      <w:r>
        <w:rPr/>
        <w:t>acting analgesics because centrally acting analgesic</w:t>
      </w:r>
      <w:r>
        <w:rPr>
          <w:spacing w:val="-1"/>
        </w:rPr>
        <w:t> </w:t>
      </w:r>
      <w:r>
        <w:rPr/>
        <w:t>drugs elevate the pain threshold of rodents towards heat (Kiron </w:t>
      </w:r>
      <w:r>
        <w:rPr>
          <w:i/>
        </w:rPr>
        <w:t>et al</w:t>
      </w:r>
      <w:r>
        <w:rPr/>
        <w:t>., 2012). The significant activity observed in this test supports the central analgesic effects of the oils. Both undetoxified and detoxified oils showed the presence of analgesic activity in mice as widely reported (Duke, 1994; Edeoga </w:t>
      </w:r>
      <w:r>
        <w:rPr>
          <w:i/>
        </w:rPr>
        <w:t>et al</w:t>
      </w:r>
      <w:r>
        <w:rPr/>
        <w:t>., 2005; Agbogidi and Eruotor, 2012). This may have been due to the presence of phytochemicals such as alkaloids as detected in the</w:t>
      </w:r>
      <w:r>
        <w:rPr>
          <w:spacing w:val="-1"/>
        </w:rPr>
        <w:t> </w:t>
      </w:r>
      <w:r>
        <w:rPr/>
        <w:t>phytochemical analysis and as also reported by (Aiyelaagbe </w:t>
      </w:r>
      <w:r>
        <w:rPr>
          <w:i/>
        </w:rPr>
        <w:t>et al</w:t>
      </w:r>
      <w:r>
        <w:rPr/>
        <w:t>., 2007). Alkaloids, which are one of the largest groups of phytochemicals in plants, have amazing</w:t>
      </w:r>
      <w:r>
        <w:rPr>
          <w:spacing w:val="27"/>
        </w:rPr>
        <w:t> </w:t>
      </w:r>
      <w:r>
        <w:rPr/>
        <w:t>effects on</w:t>
      </w:r>
      <w:r>
        <w:rPr>
          <w:spacing w:val="-6"/>
        </w:rPr>
        <w:t> </w:t>
      </w:r>
      <w:r>
        <w:rPr/>
        <w:t>humans</w:t>
      </w:r>
      <w:r>
        <w:rPr>
          <w:spacing w:val="-2"/>
        </w:rPr>
        <w:t> </w:t>
      </w:r>
      <w:r>
        <w:rPr/>
        <w:t>and</w:t>
      </w:r>
      <w:r>
        <w:rPr>
          <w:spacing w:val="-1"/>
        </w:rPr>
        <w:t> </w:t>
      </w:r>
      <w:r>
        <w:rPr/>
        <w:t>this has led</w:t>
      </w:r>
      <w:r>
        <w:rPr>
          <w:spacing w:val="-1"/>
        </w:rPr>
        <w:t> </w:t>
      </w:r>
      <w:r>
        <w:rPr/>
        <w:t>to</w:t>
      </w:r>
      <w:r>
        <w:rPr>
          <w:spacing w:val="-1"/>
        </w:rPr>
        <w:t> </w:t>
      </w:r>
      <w:r>
        <w:rPr/>
        <w:t>the</w:t>
      </w:r>
      <w:r>
        <w:rPr>
          <w:spacing w:val="-2"/>
        </w:rPr>
        <w:t> </w:t>
      </w:r>
      <w:r>
        <w:rPr/>
        <w:t>development of</w:t>
      </w:r>
      <w:r>
        <w:rPr>
          <w:spacing w:val="-9"/>
        </w:rPr>
        <w:t> </w:t>
      </w:r>
      <w:r>
        <w:rPr/>
        <w:t>powerful</w:t>
      </w:r>
      <w:r>
        <w:rPr>
          <w:spacing w:val="-10"/>
        </w:rPr>
        <w:t> </w:t>
      </w:r>
      <w:r>
        <w:rPr/>
        <w:t>painkiller medications</w:t>
      </w:r>
      <w:r>
        <w:rPr>
          <w:spacing w:val="-3"/>
        </w:rPr>
        <w:t> </w:t>
      </w:r>
      <w:r>
        <w:rPr/>
        <w:t>(Kam and Liew, 2002). However, the undetoxified oil showed greater analgesic effect compared to the detoxified. This reduction in the observed analgesic effect of the detoxified may have been affected by the heat treatment during the detoxification process which may have led to the denaturation of the phytochemicals responsible for the analgesic activity of the oil (Rungapamestry </w:t>
      </w:r>
      <w:r>
        <w:rPr>
          <w:i/>
        </w:rPr>
        <w:t>et al</w:t>
      </w:r>
      <w:r>
        <w:rPr/>
        <w:t>., 2007; Volden </w:t>
      </w:r>
      <w:r>
        <w:rPr>
          <w:i/>
        </w:rPr>
        <w:t>et al</w:t>
      </w:r>
      <w:r>
        <w:rPr/>
        <w:t>., 2009). The decreased analgesic activity on administration of 500 mg/kg of the detoxified oil compared to the analgesic activity on administration of 250 mg/kg of the same oil suggests that the peak analgesic activity for the detoxified oil had been reached at 250 mg/kg. From this study, the analgesic activity of the undetoxified oil was dose dependent. The seed, latex and root of </w:t>
      </w:r>
      <w:r>
        <w:rPr>
          <w:i/>
        </w:rPr>
        <w:t>J</w:t>
      </w:r>
      <w:r>
        <w:rPr/>
        <w:t>. </w:t>
      </w:r>
      <w:r>
        <w:rPr>
          <w:i/>
        </w:rPr>
        <w:t>curcas </w:t>
      </w:r>
      <w:r>
        <w:rPr/>
        <w:t>have also been reported to have anti- inflammatory activity (De Feo, 1989; Mujumdar </w:t>
      </w:r>
      <w:r>
        <w:rPr>
          <w:i/>
        </w:rPr>
        <w:t>et al</w:t>
      </w:r>
      <w:r>
        <w:rPr/>
        <w:t>., 2000 and Mujumdar and Visar </w:t>
      </w:r>
      <w:r>
        <w:rPr>
          <w:spacing w:val="-2"/>
        </w:rPr>
        <w:t>2004).</w:t>
      </w:r>
    </w:p>
    <w:p>
      <w:pPr>
        <w:spacing w:after="0" w:line="480" w:lineRule="auto"/>
        <w:jc w:val="both"/>
        <w:sectPr>
          <w:pgSz w:w="11910" w:h="16840"/>
          <w:pgMar w:header="0" w:footer="1012" w:top="1320" w:bottom="1200" w:left="960" w:right="620"/>
        </w:sectPr>
      </w:pPr>
    </w:p>
    <w:p>
      <w:pPr>
        <w:pStyle w:val="BodyText"/>
        <w:spacing w:line="480" w:lineRule="auto" w:before="79"/>
        <w:ind w:left="1028" w:right="799"/>
        <w:jc w:val="both"/>
      </w:pPr>
      <w:r>
        <w:rPr/>
        <w:t>The ability of </w:t>
      </w:r>
      <w:r>
        <w:rPr>
          <w:i/>
        </w:rPr>
        <w:t>Jatropha curcas </w:t>
      </w:r>
      <w:r>
        <w:rPr/>
        <w:t>oil to induce diarrhoea in animals has been reported (Heller, 1996) and is attributed to the presence of ricinoleic acid (Hosamami and</w:t>
      </w:r>
      <w:r>
        <w:rPr>
          <w:spacing w:val="80"/>
        </w:rPr>
        <w:t> </w:t>
      </w:r>
      <w:r>
        <w:rPr/>
        <w:t>Katagi, 2008); the active metabolite in castor oil which stimulates peristaltic activity in the small intestine, leading to changes in the electrolyte permeability of the intestinal mucosa</w:t>
      </w:r>
      <w:r>
        <w:rPr>
          <w:spacing w:val="-2"/>
        </w:rPr>
        <w:t> </w:t>
      </w:r>
      <w:r>
        <w:rPr/>
        <w:t>and</w:t>
      </w:r>
      <w:r>
        <w:rPr>
          <w:spacing w:val="-2"/>
        </w:rPr>
        <w:t> </w:t>
      </w:r>
      <w:r>
        <w:rPr/>
        <w:t>diarrhoea induction. The liberation</w:t>
      </w:r>
      <w:r>
        <w:rPr>
          <w:spacing w:val="-6"/>
        </w:rPr>
        <w:t> </w:t>
      </w:r>
      <w:r>
        <w:rPr/>
        <w:t>of</w:t>
      </w:r>
      <w:r>
        <w:rPr>
          <w:spacing w:val="-4"/>
        </w:rPr>
        <w:t> </w:t>
      </w:r>
      <w:r>
        <w:rPr/>
        <w:t>ricinoleic</w:t>
      </w:r>
      <w:r>
        <w:rPr>
          <w:spacing w:val="-2"/>
        </w:rPr>
        <w:t> </w:t>
      </w:r>
      <w:r>
        <w:rPr/>
        <w:t>acid</w:t>
      </w:r>
      <w:r>
        <w:rPr>
          <w:spacing w:val="-2"/>
        </w:rPr>
        <w:t> </w:t>
      </w:r>
      <w:r>
        <w:rPr/>
        <w:t>results in irritation</w:t>
      </w:r>
      <w:r>
        <w:rPr>
          <w:spacing w:val="-6"/>
        </w:rPr>
        <w:t> </w:t>
      </w:r>
      <w:r>
        <w:rPr/>
        <w:t>and inflammation of intestinal mucosa leading to release of prostaglandin (Pierce </w:t>
      </w:r>
      <w:r>
        <w:rPr>
          <w:i/>
        </w:rPr>
        <w:t>et al</w:t>
      </w:r>
      <w:r>
        <w:rPr/>
        <w:t>., 1971). Both the undetoxified and detoxified oils elicited slight laxative activity in mice on administration of 0.5 ml of each oil though both were not statistically significant. Both</w:t>
      </w:r>
      <w:r>
        <w:rPr>
          <w:spacing w:val="-6"/>
        </w:rPr>
        <w:t> </w:t>
      </w:r>
      <w:r>
        <w:rPr/>
        <w:t>undetoxified and</w:t>
      </w:r>
      <w:r>
        <w:rPr>
          <w:spacing w:val="-1"/>
        </w:rPr>
        <w:t> </w:t>
      </w:r>
      <w:r>
        <w:rPr/>
        <w:t>detoxified</w:t>
      </w:r>
      <w:r>
        <w:rPr>
          <w:spacing w:val="-1"/>
        </w:rPr>
        <w:t> </w:t>
      </w:r>
      <w:r>
        <w:rPr/>
        <w:t>oils</w:t>
      </w:r>
      <w:r>
        <w:rPr>
          <w:spacing w:val="-3"/>
        </w:rPr>
        <w:t> </w:t>
      </w:r>
      <w:r>
        <w:rPr/>
        <w:t>did not</w:t>
      </w:r>
      <w:r>
        <w:rPr>
          <w:spacing w:val="-1"/>
        </w:rPr>
        <w:t> </w:t>
      </w:r>
      <w:r>
        <w:rPr/>
        <w:t>induce</w:t>
      </w:r>
      <w:r>
        <w:rPr>
          <w:spacing w:val="-2"/>
        </w:rPr>
        <w:t> </w:t>
      </w:r>
      <w:r>
        <w:rPr/>
        <w:t>diarrhoea</w:t>
      </w:r>
      <w:r>
        <w:rPr>
          <w:spacing w:val="-2"/>
        </w:rPr>
        <w:t> </w:t>
      </w:r>
      <w:r>
        <w:rPr/>
        <w:t>on</w:t>
      </w:r>
      <w:r>
        <w:rPr>
          <w:spacing w:val="-6"/>
        </w:rPr>
        <w:t> </w:t>
      </w:r>
      <w:r>
        <w:rPr/>
        <w:t>administration</w:t>
      </w:r>
      <w:r>
        <w:rPr>
          <w:spacing w:val="-6"/>
        </w:rPr>
        <w:t> </w:t>
      </w:r>
      <w:r>
        <w:rPr/>
        <w:t>of</w:t>
      </w:r>
      <w:r>
        <w:rPr>
          <w:spacing w:val="-9"/>
        </w:rPr>
        <w:t> </w:t>
      </w:r>
      <w:r>
        <w:rPr/>
        <w:t>1 ml of each. The slight laxative activity observed in mice on administration 0.5 ml of </w:t>
      </w:r>
      <w:r>
        <w:rPr>
          <w:i/>
        </w:rPr>
        <w:t>J</w:t>
      </w:r>
      <w:r>
        <w:rPr/>
        <w:t>. </w:t>
      </w:r>
      <w:r>
        <w:rPr>
          <w:i/>
        </w:rPr>
        <w:t>curcas </w:t>
      </w:r>
      <w:r>
        <w:rPr/>
        <w:t>as well as lack of laxative activity on administration of 1</w:t>
      </w:r>
      <w:r>
        <w:rPr>
          <w:spacing w:val="26"/>
        </w:rPr>
        <w:t> </w:t>
      </w:r>
      <w:r>
        <w:rPr/>
        <w:t>ml of the oil suggest</w:t>
      </w:r>
      <w:r>
        <w:rPr>
          <w:spacing w:val="40"/>
        </w:rPr>
        <w:t> </w:t>
      </w:r>
      <w:r>
        <w:rPr/>
        <w:t>the</w:t>
      </w:r>
      <w:r>
        <w:rPr>
          <w:spacing w:val="-1"/>
        </w:rPr>
        <w:t> </w:t>
      </w:r>
      <w:r>
        <w:rPr/>
        <w:t>possibility</w:t>
      </w:r>
      <w:r>
        <w:rPr>
          <w:spacing w:val="-5"/>
        </w:rPr>
        <w:t> </w:t>
      </w:r>
      <w:r>
        <w:rPr/>
        <w:t>of</w:t>
      </w:r>
      <w:r>
        <w:rPr>
          <w:spacing w:val="-8"/>
        </w:rPr>
        <w:t> </w:t>
      </w:r>
      <w:r>
        <w:rPr/>
        <w:t>obtaining a</w:t>
      </w:r>
      <w:r>
        <w:rPr>
          <w:spacing w:val="-1"/>
        </w:rPr>
        <w:t> </w:t>
      </w:r>
      <w:r>
        <w:rPr/>
        <w:t>higher laxative</w:t>
      </w:r>
      <w:r>
        <w:rPr>
          <w:spacing w:val="-1"/>
        </w:rPr>
        <w:t> </w:t>
      </w:r>
      <w:r>
        <w:rPr/>
        <w:t>activity</w:t>
      </w:r>
      <w:r>
        <w:rPr>
          <w:spacing w:val="-5"/>
        </w:rPr>
        <w:t> </w:t>
      </w:r>
      <w:r>
        <w:rPr/>
        <w:t>on</w:t>
      </w:r>
      <w:r>
        <w:rPr>
          <w:spacing w:val="-5"/>
        </w:rPr>
        <w:t> </w:t>
      </w:r>
      <w:r>
        <w:rPr/>
        <w:t>administration</w:t>
      </w:r>
      <w:r>
        <w:rPr>
          <w:spacing w:val="-5"/>
        </w:rPr>
        <w:t> </w:t>
      </w:r>
      <w:r>
        <w:rPr/>
        <w:t>of</w:t>
      </w:r>
      <w:r>
        <w:rPr>
          <w:spacing w:val="-3"/>
        </w:rPr>
        <w:t> </w:t>
      </w:r>
      <w:r>
        <w:rPr/>
        <w:t>lower doses</w:t>
      </w:r>
      <w:r>
        <w:rPr>
          <w:spacing w:val="-2"/>
        </w:rPr>
        <w:t> </w:t>
      </w:r>
      <w:r>
        <w:rPr/>
        <w:t>of the oil.</w:t>
      </w:r>
    </w:p>
    <w:p>
      <w:pPr>
        <w:pStyle w:val="BodyText"/>
      </w:pPr>
    </w:p>
    <w:p>
      <w:pPr>
        <w:pStyle w:val="BodyText"/>
        <w:spacing w:before="3"/>
      </w:pPr>
    </w:p>
    <w:p>
      <w:pPr>
        <w:pStyle w:val="BodyText"/>
        <w:spacing w:line="480" w:lineRule="auto"/>
        <w:ind w:left="1028" w:right="800"/>
        <w:jc w:val="both"/>
      </w:pPr>
      <w:r>
        <w:rPr/>
        <w:t>Histopathological examinations of the liver, kidney and intestine of the animals to</w:t>
      </w:r>
      <w:r>
        <w:rPr>
          <w:spacing w:val="40"/>
        </w:rPr>
        <w:t> </w:t>
      </w:r>
      <w:r>
        <w:rPr/>
        <w:t>which the undetoxified oil</w:t>
      </w:r>
      <w:r>
        <w:rPr>
          <w:spacing w:val="-5"/>
        </w:rPr>
        <w:t> </w:t>
      </w:r>
      <w:r>
        <w:rPr/>
        <w:t>was administered all showed severe pathological impairment in the structures</w:t>
      </w:r>
      <w:r>
        <w:rPr>
          <w:spacing w:val="-2"/>
        </w:rPr>
        <w:t> </w:t>
      </w:r>
      <w:r>
        <w:rPr/>
        <w:t>of</w:t>
      </w:r>
      <w:r>
        <w:rPr>
          <w:spacing w:val="-8"/>
        </w:rPr>
        <w:t> </w:t>
      </w:r>
      <w:r>
        <w:rPr/>
        <w:t>these organs</w:t>
      </w:r>
      <w:r>
        <w:rPr>
          <w:spacing w:val="-2"/>
        </w:rPr>
        <w:t> </w:t>
      </w:r>
      <w:r>
        <w:rPr/>
        <w:t>as</w:t>
      </w:r>
      <w:r>
        <w:rPr>
          <w:spacing w:val="-2"/>
        </w:rPr>
        <w:t> </w:t>
      </w:r>
      <w:r>
        <w:rPr/>
        <w:t>compared to the mild degree observed in the animals to which the detoxified was administered, suggesting that the pre-treatment of the oil before administration to rats ameliorated the severe toxicity symptoms. This observed impairment is consistent with reports in previous studies (Gandhi </w:t>
      </w:r>
      <w:r>
        <w:rPr>
          <w:i/>
        </w:rPr>
        <w:t>et al</w:t>
      </w:r>
      <w:r>
        <w:rPr/>
        <w:t>., 1995; Setty </w:t>
      </w:r>
      <w:r>
        <w:rPr>
          <w:i/>
        </w:rPr>
        <w:t>et al</w:t>
      </w:r>
      <w:r>
        <w:rPr/>
        <w:t>., 2013).</w:t>
      </w:r>
    </w:p>
    <w:p>
      <w:pPr>
        <w:pStyle w:val="BodyText"/>
      </w:pPr>
    </w:p>
    <w:p>
      <w:pPr>
        <w:pStyle w:val="BodyText"/>
        <w:spacing w:before="1"/>
      </w:pPr>
    </w:p>
    <w:p>
      <w:pPr>
        <w:pStyle w:val="BodyText"/>
        <w:spacing w:line="480" w:lineRule="auto" w:before="1"/>
        <w:ind w:left="1028" w:right="801"/>
        <w:jc w:val="both"/>
      </w:pPr>
      <w:r>
        <w:rPr/>
        <w:t>Histopathologic examination suggests inflammation and hemorrhage in the liver which could have caused the presence of lymphocytes in the central vein and degeneration of sinusoids</w:t>
      </w:r>
      <w:r>
        <w:rPr>
          <w:spacing w:val="27"/>
        </w:rPr>
        <w:t> </w:t>
      </w:r>
      <w:r>
        <w:rPr/>
        <w:t>in</w:t>
      </w:r>
      <w:r>
        <w:rPr>
          <w:spacing w:val="28"/>
        </w:rPr>
        <w:t> </w:t>
      </w:r>
      <w:r>
        <w:rPr/>
        <w:t>rats</w:t>
      </w:r>
      <w:r>
        <w:rPr>
          <w:spacing w:val="25"/>
        </w:rPr>
        <w:t> </w:t>
      </w:r>
      <w:r>
        <w:rPr/>
        <w:t>administered</w:t>
      </w:r>
      <w:r>
        <w:rPr>
          <w:spacing w:val="29"/>
        </w:rPr>
        <w:t> </w:t>
      </w:r>
      <w:r>
        <w:rPr/>
        <w:t>the</w:t>
      </w:r>
      <w:r>
        <w:rPr>
          <w:spacing w:val="27"/>
        </w:rPr>
        <w:t> </w:t>
      </w:r>
      <w:r>
        <w:rPr/>
        <w:t>undetoxified</w:t>
      </w:r>
      <w:r>
        <w:rPr>
          <w:spacing w:val="26"/>
        </w:rPr>
        <w:t> </w:t>
      </w:r>
      <w:r>
        <w:rPr/>
        <w:t>oil.</w:t>
      </w:r>
      <w:r>
        <w:rPr>
          <w:spacing w:val="34"/>
        </w:rPr>
        <w:t> </w:t>
      </w:r>
      <w:r>
        <w:rPr/>
        <w:t>However,</w:t>
      </w:r>
      <w:r>
        <w:rPr>
          <w:spacing w:val="33"/>
        </w:rPr>
        <w:t> </w:t>
      </w:r>
      <w:r>
        <w:rPr/>
        <w:t>binucleated</w:t>
      </w:r>
      <w:r>
        <w:rPr>
          <w:spacing w:val="27"/>
        </w:rPr>
        <w:t> </w:t>
      </w:r>
      <w:r>
        <w:rPr>
          <w:spacing w:val="-2"/>
        </w:rPr>
        <w:t>hepatocytes</w:t>
      </w:r>
    </w:p>
    <w:p>
      <w:pPr>
        <w:spacing w:after="0" w:line="480" w:lineRule="auto"/>
        <w:jc w:val="both"/>
        <w:sectPr>
          <w:pgSz w:w="11910" w:h="16840"/>
          <w:pgMar w:header="0" w:footer="1012" w:top="1320" w:bottom="1200" w:left="960" w:right="620"/>
        </w:sectPr>
      </w:pPr>
    </w:p>
    <w:p>
      <w:pPr>
        <w:pStyle w:val="BodyText"/>
        <w:spacing w:line="480" w:lineRule="auto" w:before="79"/>
        <w:ind w:left="1028" w:right="813"/>
        <w:jc w:val="both"/>
      </w:pPr>
      <w:r>
        <w:rPr/>
        <w:t>were observed in rats at lower doses and due to administration of the detoxified oil, suggesting the ability of the hepatocytes to regenerate and recover from the toxic effect of the oil (Nabil </w:t>
      </w:r>
      <w:r>
        <w:rPr>
          <w:i/>
        </w:rPr>
        <w:t>et al.</w:t>
      </w:r>
      <w:r>
        <w:rPr/>
        <w:t>, 2011).</w:t>
      </w:r>
    </w:p>
    <w:p>
      <w:pPr>
        <w:pStyle w:val="BodyText"/>
      </w:pPr>
    </w:p>
    <w:p>
      <w:pPr>
        <w:pStyle w:val="BodyText"/>
        <w:spacing w:before="1"/>
      </w:pPr>
    </w:p>
    <w:p>
      <w:pPr>
        <w:pStyle w:val="BodyText"/>
        <w:spacing w:line="480" w:lineRule="auto"/>
        <w:ind w:left="1028" w:right="804"/>
        <w:jc w:val="both"/>
      </w:pPr>
      <w:r>
        <w:rPr/>
        <w:t>The widening of the Bowman‟s capsule and shrinkage of the glomerulus suggest renal impairment effect of the oil which may have resulted in the elevated levels of urea, creatinine and electrolyte imbalance. These observed effects are indicative of the acute renal</w:t>
      </w:r>
      <w:r>
        <w:rPr>
          <w:spacing w:val="-5"/>
        </w:rPr>
        <w:t> </w:t>
      </w:r>
      <w:r>
        <w:rPr/>
        <w:t>toxic effect of</w:t>
      </w:r>
      <w:r>
        <w:rPr>
          <w:spacing w:val="-3"/>
        </w:rPr>
        <w:t> </w:t>
      </w:r>
      <w:r>
        <w:rPr/>
        <w:t>the undetoxified oil which became mild due to detoxification of</w:t>
      </w:r>
      <w:r>
        <w:rPr>
          <w:spacing w:val="-3"/>
        </w:rPr>
        <w:t> </w:t>
      </w:r>
      <w:r>
        <w:rPr/>
        <w:t>the oil (Ojediran and Emiola, 2014).</w:t>
      </w:r>
    </w:p>
    <w:p>
      <w:pPr>
        <w:pStyle w:val="BodyText"/>
      </w:pPr>
    </w:p>
    <w:p>
      <w:pPr>
        <w:pStyle w:val="BodyText"/>
        <w:spacing w:before="1"/>
      </w:pPr>
    </w:p>
    <w:p>
      <w:pPr>
        <w:pStyle w:val="BodyText"/>
        <w:spacing w:line="480" w:lineRule="auto"/>
        <w:ind w:left="1028" w:right="804"/>
        <w:jc w:val="both"/>
      </w:pPr>
      <w:r>
        <w:rPr/>
        <w:t>The villi are the part of the small intestine involved in the absorption of digested nutrients in the digestive system. The severe desquamation and necrosis of the villi epithelium observed at the higher doses of the undetoxified oil may have been responsible for the impairment of the ability of the villi to absorb nutrients from the gastrointestinal tract (GIT) resulting in its unavailability for use by the body cells thereby leading to the significant loss in body weight observed in the animals to which they</w:t>
      </w:r>
      <w:r>
        <w:rPr>
          <w:spacing w:val="-1"/>
        </w:rPr>
        <w:t> </w:t>
      </w:r>
      <w:r>
        <w:rPr/>
        <w:t>were administered. The observed hyperplasia and infiltration of the intestinal cells suggest inflammatory</w:t>
      </w:r>
      <w:r>
        <w:rPr>
          <w:spacing w:val="-5"/>
        </w:rPr>
        <w:t> </w:t>
      </w:r>
      <w:r>
        <w:rPr/>
        <w:t>responses by</w:t>
      </w:r>
      <w:r>
        <w:rPr>
          <w:spacing w:val="-5"/>
        </w:rPr>
        <w:t> </w:t>
      </w:r>
      <w:r>
        <w:rPr/>
        <w:t>the immune</w:t>
      </w:r>
      <w:r>
        <w:rPr>
          <w:spacing w:val="-1"/>
        </w:rPr>
        <w:t> </w:t>
      </w:r>
      <w:r>
        <w:rPr/>
        <w:t>system</w:t>
      </w:r>
      <w:r>
        <w:rPr>
          <w:spacing w:val="-5"/>
        </w:rPr>
        <w:t> </w:t>
      </w:r>
      <w:r>
        <w:rPr/>
        <w:t>to the inflammation of</w:t>
      </w:r>
      <w:r>
        <w:rPr>
          <w:spacing w:val="-3"/>
        </w:rPr>
        <w:t> </w:t>
      </w:r>
      <w:r>
        <w:rPr/>
        <w:t>the</w:t>
      </w:r>
      <w:r>
        <w:rPr>
          <w:spacing w:val="-1"/>
        </w:rPr>
        <w:t> </w:t>
      </w:r>
      <w:r>
        <w:rPr/>
        <w:t>small intestine (duodenum) which may have been caused by the irritant effect of the oil. Detoxification of the oil may have been responsible for the reduction of these toxic symptoms to a milder degree at which the organ could easily recover from, enabling its ability</w:t>
      </w:r>
      <w:r>
        <w:rPr>
          <w:spacing w:val="-4"/>
        </w:rPr>
        <w:t> </w:t>
      </w:r>
      <w:r>
        <w:rPr/>
        <w:t>to function in the absorption</w:t>
      </w:r>
      <w:r>
        <w:rPr>
          <w:spacing w:val="-4"/>
        </w:rPr>
        <w:t> </w:t>
      </w:r>
      <w:r>
        <w:rPr/>
        <w:t>of</w:t>
      </w:r>
      <w:r>
        <w:rPr>
          <w:spacing w:val="-2"/>
        </w:rPr>
        <w:t> </w:t>
      </w:r>
      <w:r>
        <w:rPr/>
        <w:t>nutrients</w:t>
      </w:r>
      <w:r>
        <w:rPr>
          <w:spacing w:val="-1"/>
        </w:rPr>
        <w:t> </w:t>
      </w:r>
      <w:r>
        <w:rPr/>
        <w:t>and probably</w:t>
      </w:r>
      <w:r>
        <w:rPr>
          <w:spacing w:val="-4"/>
        </w:rPr>
        <w:t> </w:t>
      </w:r>
      <w:r>
        <w:rPr/>
        <w:t>account for</w:t>
      </w:r>
      <w:r>
        <w:rPr>
          <w:spacing w:val="-2"/>
        </w:rPr>
        <w:t> </w:t>
      </w:r>
      <w:r>
        <w:rPr/>
        <w:t>the significant weight gain resulting from administration of the detoxified oil (Ojediran and Emiola, </w:t>
      </w:r>
      <w:r>
        <w:rPr>
          <w:spacing w:val="-2"/>
        </w:rPr>
        <w:t>2014).</w:t>
      </w:r>
    </w:p>
    <w:p>
      <w:pPr>
        <w:spacing w:after="0" w:line="480" w:lineRule="auto"/>
        <w:jc w:val="both"/>
        <w:sectPr>
          <w:pgSz w:w="11910" w:h="16840"/>
          <w:pgMar w:header="0" w:footer="1012" w:top="1320" w:bottom="1200" w:left="960" w:right="620"/>
        </w:sectPr>
      </w:pPr>
    </w:p>
    <w:p>
      <w:pPr>
        <w:pStyle w:val="Heading1"/>
        <w:ind w:left="3807"/>
      </w:pPr>
      <w:r>
        <w:rPr/>
        <w:t>CHAPTER</w:t>
      </w:r>
      <w:r>
        <w:rPr>
          <w:spacing w:val="-9"/>
        </w:rPr>
        <w:t> </w:t>
      </w:r>
      <w:r>
        <w:rPr>
          <w:spacing w:val="-5"/>
        </w:rPr>
        <w:t>SIX</w:t>
      </w:r>
    </w:p>
    <w:p>
      <w:pPr>
        <w:pStyle w:val="BodyText"/>
        <w:rPr>
          <w:b/>
        </w:rPr>
      </w:pPr>
    </w:p>
    <w:p>
      <w:pPr>
        <w:pStyle w:val="ListParagraph"/>
        <w:numPr>
          <w:ilvl w:val="1"/>
          <w:numId w:val="24"/>
        </w:numPr>
        <w:tabs>
          <w:tab w:pos="1747" w:val="left" w:leader="none"/>
        </w:tabs>
        <w:spacing w:line="240" w:lineRule="auto" w:before="0" w:after="0"/>
        <w:ind w:left="1747" w:right="0" w:hanging="719"/>
        <w:jc w:val="both"/>
        <w:rPr>
          <w:b/>
          <w:sz w:val="24"/>
        </w:rPr>
      </w:pPr>
      <w:r>
        <w:rPr>
          <w:b/>
          <w:sz w:val="24"/>
        </w:rPr>
        <w:t>SUMMARY, CONCLUSION AND </w:t>
      </w:r>
      <w:r>
        <w:rPr>
          <w:b/>
          <w:spacing w:val="-2"/>
          <w:sz w:val="24"/>
        </w:rPr>
        <w:t>RECOMMENDATION</w:t>
      </w:r>
    </w:p>
    <w:p>
      <w:pPr>
        <w:pStyle w:val="BodyText"/>
        <w:spacing w:before="1"/>
        <w:rPr>
          <w:b/>
        </w:rPr>
      </w:pPr>
    </w:p>
    <w:p>
      <w:pPr>
        <w:pStyle w:val="Heading2"/>
        <w:numPr>
          <w:ilvl w:val="1"/>
          <w:numId w:val="24"/>
        </w:numPr>
        <w:tabs>
          <w:tab w:pos="1747" w:val="left" w:leader="none"/>
        </w:tabs>
        <w:spacing w:line="240" w:lineRule="auto" w:before="0" w:after="0"/>
        <w:ind w:left="1747" w:right="0" w:hanging="719"/>
        <w:jc w:val="both"/>
      </w:pPr>
      <w:r>
        <w:rPr>
          <w:spacing w:val="-2"/>
        </w:rPr>
        <w:t>Summary</w:t>
      </w:r>
    </w:p>
    <w:p>
      <w:pPr>
        <w:pStyle w:val="BodyText"/>
        <w:spacing w:line="480" w:lineRule="auto" w:before="271"/>
        <w:ind w:left="1028" w:right="800"/>
        <w:jc w:val="both"/>
      </w:pPr>
      <w:r>
        <w:rPr>
          <w:i/>
        </w:rPr>
        <w:t>J</w:t>
      </w:r>
      <w:r>
        <w:rPr/>
        <w:t>. </w:t>
      </w:r>
      <w:r>
        <w:rPr>
          <w:i/>
        </w:rPr>
        <w:t>curcas </w:t>
      </w:r>
      <w:r>
        <w:rPr/>
        <w:t>seeds yielded more oil</w:t>
      </w:r>
      <w:r>
        <w:rPr>
          <w:spacing w:val="-3"/>
        </w:rPr>
        <w:t> </w:t>
      </w:r>
      <w:r>
        <w:rPr/>
        <w:t>when extracted</w:t>
      </w:r>
      <w:r>
        <w:rPr>
          <w:spacing w:val="-3"/>
        </w:rPr>
        <w:t> </w:t>
      </w:r>
      <w:r>
        <w:rPr/>
        <w:t>through</w:t>
      </w:r>
      <w:r>
        <w:rPr>
          <w:spacing w:val="-3"/>
        </w:rPr>
        <w:t> </w:t>
      </w:r>
      <w:r>
        <w:rPr/>
        <w:t>solvent extraction</w:t>
      </w:r>
      <w:r>
        <w:rPr>
          <w:spacing w:val="-3"/>
        </w:rPr>
        <w:t> </w:t>
      </w:r>
      <w:r>
        <w:rPr/>
        <w:t>as compared to the mechanical method of extraction by hand operated screw press. Solvent and mechanically extracted oils contained the same levels of phorbol esters before ddetoxification. Heavy metals and other mineral elements were also present at low levels which may accumulate to toxic levels on constant ingestion of the oil. The toxic effects</w:t>
      </w:r>
      <w:r>
        <w:rPr>
          <w:spacing w:val="-1"/>
        </w:rPr>
        <w:t> </w:t>
      </w:r>
      <w:r>
        <w:rPr/>
        <w:t>of</w:t>
      </w:r>
      <w:r>
        <w:rPr>
          <w:spacing w:val="-2"/>
        </w:rPr>
        <w:t> </w:t>
      </w:r>
      <w:r>
        <w:rPr/>
        <w:t>the oil were not detected both in chicks and mice in acute toxicity</w:t>
      </w:r>
      <w:r>
        <w:rPr>
          <w:spacing w:val="-4"/>
        </w:rPr>
        <w:t> </w:t>
      </w:r>
      <w:r>
        <w:rPr/>
        <w:t>studies, but were</w:t>
      </w:r>
      <w:r>
        <w:rPr>
          <w:spacing w:val="-2"/>
        </w:rPr>
        <w:t> </w:t>
      </w:r>
      <w:r>
        <w:rPr/>
        <w:t>detected</w:t>
      </w:r>
      <w:r>
        <w:rPr>
          <w:spacing w:val="-6"/>
        </w:rPr>
        <w:t> </w:t>
      </w:r>
      <w:r>
        <w:rPr/>
        <w:t>on</w:t>
      </w:r>
      <w:r>
        <w:rPr>
          <w:spacing w:val="-1"/>
        </w:rPr>
        <w:t> </w:t>
      </w:r>
      <w:r>
        <w:rPr/>
        <w:t>further</w:t>
      </w:r>
      <w:r>
        <w:rPr>
          <w:spacing w:val="-1"/>
        </w:rPr>
        <w:t> </w:t>
      </w:r>
      <w:r>
        <w:rPr/>
        <w:t>sub-acute</w:t>
      </w:r>
      <w:r>
        <w:rPr>
          <w:spacing w:val="-2"/>
        </w:rPr>
        <w:t> </w:t>
      </w:r>
      <w:r>
        <w:rPr/>
        <w:t>toxicity</w:t>
      </w:r>
      <w:r>
        <w:rPr>
          <w:spacing w:val="-6"/>
        </w:rPr>
        <w:t> </w:t>
      </w:r>
      <w:r>
        <w:rPr/>
        <w:t>studies which</w:t>
      </w:r>
      <w:r>
        <w:rPr>
          <w:spacing w:val="-1"/>
        </w:rPr>
        <w:t> </w:t>
      </w:r>
      <w:r>
        <w:rPr/>
        <w:t>lasted for</w:t>
      </w:r>
      <w:r>
        <w:rPr>
          <w:spacing w:val="-1"/>
        </w:rPr>
        <w:t> </w:t>
      </w:r>
      <w:r>
        <w:rPr/>
        <w:t>14</w:t>
      </w:r>
      <w:r>
        <w:rPr>
          <w:spacing w:val="-1"/>
        </w:rPr>
        <w:t> </w:t>
      </w:r>
      <w:r>
        <w:rPr/>
        <w:t>days. These</w:t>
      </w:r>
      <w:r>
        <w:rPr>
          <w:spacing w:val="-2"/>
        </w:rPr>
        <w:t> </w:t>
      </w:r>
      <w:r>
        <w:rPr/>
        <w:t>toxic effects were mostly those of inflammation and necrosis of various organs such as the liver, kidney</w:t>
      </w:r>
      <w:r>
        <w:rPr>
          <w:spacing w:val="-5"/>
        </w:rPr>
        <w:t> </w:t>
      </w:r>
      <w:r>
        <w:rPr/>
        <w:t>and intestine</w:t>
      </w:r>
      <w:r>
        <w:rPr>
          <w:spacing w:val="-1"/>
        </w:rPr>
        <w:t> </w:t>
      </w:r>
      <w:r>
        <w:rPr/>
        <w:t>and overall impairment of</w:t>
      </w:r>
      <w:r>
        <w:rPr>
          <w:spacing w:val="-8"/>
        </w:rPr>
        <w:t> </w:t>
      </w:r>
      <w:r>
        <w:rPr/>
        <w:t>their functions</w:t>
      </w:r>
      <w:r>
        <w:rPr>
          <w:spacing w:val="-2"/>
        </w:rPr>
        <w:t> </w:t>
      </w:r>
      <w:r>
        <w:rPr/>
        <w:t>primarily</w:t>
      </w:r>
      <w:r>
        <w:rPr>
          <w:spacing w:val="-5"/>
        </w:rPr>
        <w:t> </w:t>
      </w:r>
      <w:r>
        <w:rPr/>
        <w:t>due</w:t>
      </w:r>
      <w:r>
        <w:rPr>
          <w:spacing w:val="-1"/>
        </w:rPr>
        <w:t> </w:t>
      </w:r>
      <w:r>
        <w:rPr/>
        <w:t>to the irritating effect of</w:t>
      </w:r>
      <w:r>
        <w:rPr>
          <w:spacing w:val="-6"/>
        </w:rPr>
        <w:t> </w:t>
      </w:r>
      <w:r>
        <w:rPr/>
        <w:t>the oil</w:t>
      </w:r>
      <w:r>
        <w:rPr>
          <w:spacing w:val="-3"/>
        </w:rPr>
        <w:t> </w:t>
      </w:r>
      <w:r>
        <w:rPr/>
        <w:t>on</w:t>
      </w:r>
      <w:r>
        <w:rPr>
          <w:spacing w:val="-3"/>
        </w:rPr>
        <w:t> </w:t>
      </w:r>
      <w:r>
        <w:rPr/>
        <w:t>the organs; and these effects were dose dependent. Signs of toxicity such as ruffled fur, hyperpnoea, restlessness followed by decreased mobility</w:t>
      </w:r>
      <w:r>
        <w:rPr>
          <w:spacing w:val="40"/>
        </w:rPr>
        <w:t> </w:t>
      </w:r>
      <w:r>
        <w:rPr/>
        <w:t>and weight loss were also observed. Detoxification of the oil by edible oil treatment method involving</w:t>
      </w:r>
      <w:r>
        <w:rPr>
          <w:spacing w:val="-1"/>
        </w:rPr>
        <w:t> </w:t>
      </w:r>
      <w:r>
        <w:rPr/>
        <w:t>the use of</w:t>
      </w:r>
      <w:r>
        <w:rPr>
          <w:spacing w:val="-6"/>
        </w:rPr>
        <w:t> </w:t>
      </w:r>
      <w:r>
        <w:rPr/>
        <w:t>synthetic and more naturally</w:t>
      </w:r>
      <w:r>
        <w:rPr>
          <w:spacing w:val="-3"/>
        </w:rPr>
        <w:t> </w:t>
      </w:r>
      <w:r>
        <w:rPr/>
        <w:t>available materials separately, resulted in reduction in the level</w:t>
      </w:r>
      <w:r>
        <w:rPr>
          <w:spacing w:val="-4"/>
        </w:rPr>
        <w:t> </w:t>
      </w:r>
      <w:r>
        <w:rPr/>
        <w:t>of</w:t>
      </w:r>
      <w:r>
        <w:rPr>
          <w:spacing w:val="-7"/>
        </w:rPr>
        <w:t> </w:t>
      </w:r>
      <w:r>
        <w:rPr/>
        <w:t>phorbol</w:t>
      </w:r>
      <w:r>
        <w:rPr>
          <w:spacing w:val="-8"/>
        </w:rPr>
        <w:t> </w:t>
      </w:r>
      <w:r>
        <w:rPr/>
        <w:t>esters</w:t>
      </w:r>
      <w:r>
        <w:rPr>
          <w:spacing w:val="-1"/>
        </w:rPr>
        <w:t> </w:t>
      </w:r>
      <w:r>
        <w:rPr/>
        <w:t>and other toxic principles more in the solvent extracted oil than in the mechanically extracted. The effect of</w:t>
      </w:r>
      <w:r>
        <w:rPr>
          <w:spacing w:val="-3"/>
        </w:rPr>
        <w:t> </w:t>
      </w:r>
      <w:r>
        <w:rPr/>
        <w:t>the detoxification resulted in the amelioration of the toxic symptoms to milder levels in rats. The oils showed analgesic activity in animals, though the detoxified showed reduced activity compared to the undetoxified. Laxative activities of undetoxified and detoxified oils in albino mice were not found to be statistically significant at all administered doses, though mild laxative activities were observed on administration of 0.5 ml of undetoxified and detoxified oils.</w:t>
      </w:r>
    </w:p>
    <w:p>
      <w:pPr>
        <w:spacing w:after="0" w:line="480" w:lineRule="auto"/>
        <w:jc w:val="both"/>
        <w:sectPr>
          <w:pgSz w:w="11910" w:h="16840"/>
          <w:pgMar w:header="0" w:footer="1012" w:top="1340" w:bottom="1200" w:left="960" w:right="620"/>
        </w:sectPr>
      </w:pPr>
    </w:p>
    <w:p>
      <w:pPr>
        <w:pStyle w:val="BodyText"/>
        <w:spacing w:before="79"/>
        <w:ind w:left="1028"/>
        <w:jc w:val="both"/>
      </w:pPr>
      <w:r>
        <w:rPr/>
        <w:t>Contribution</w:t>
      </w:r>
      <w:r>
        <w:rPr>
          <w:spacing w:val="-6"/>
        </w:rPr>
        <w:t> </w:t>
      </w:r>
      <w:r>
        <w:rPr/>
        <w:t>of</w:t>
      </w:r>
      <w:r>
        <w:rPr>
          <w:spacing w:val="-6"/>
        </w:rPr>
        <w:t> </w:t>
      </w:r>
      <w:r>
        <w:rPr/>
        <w:t>the</w:t>
      </w:r>
      <w:r>
        <w:rPr>
          <w:spacing w:val="1"/>
        </w:rPr>
        <w:t> </w:t>
      </w:r>
      <w:r>
        <w:rPr/>
        <w:t>Current</w:t>
      </w:r>
      <w:r>
        <w:rPr>
          <w:spacing w:val="7"/>
        </w:rPr>
        <w:t> </w:t>
      </w:r>
      <w:r>
        <w:rPr/>
        <w:t>Research</w:t>
      </w:r>
      <w:r>
        <w:rPr>
          <w:spacing w:val="-3"/>
        </w:rPr>
        <w:t> </w:t>
      </w:r>
      <w:r>
        <w:rPr/>
        <w:t>to</w:t>
      </w:r>
      <w:r>
        <w:rPr>
          <w:spacing w:val="-3"/>
        </w:rPr>
        <w:t> </w:t>
      </w:r>
      <w:r>
        <w:rPr/>
        <w:t>the</w:t>
      </w:r>
      <w:r>
        <w:rPr>
          <w:spacing w:val="1"/>
        </w:rPr>
        <w:t> </w:t>
      </w:r>
      <w:r>
        <w:rPr/>
        <w:t>Body</w:t>
      </w:r>
      <w:r>
        <w:rPr>
          <w:spacing w:val="-8"/>
        </w:rPr>
        <w:t> </w:t>
      </w:r>
      <w:r>
        <w:rPr/>
        <w:t>of</w:t>
      </w:r>
      <w:r>
        <w:rPr>
          <w:spacing w:val="-6"/>
        </w:rPr>
        <w:t> </w:t>
      </w:r>
      <w:r>
        <w:rPr>
          <w:spacing w:val="-2"/>
        </w:rPr>
        <w:t>Knowledge</w:t>
      </w:r>
    </w:p>
    <w:p>
      <w:pPr>
        <w:pStyle w:val="BodyText"/>
      </w:pPr>
    </w:p>
    <w:p>
      <w:pPr>
        <w:pStyle w:val="ListParagraph"/>
        <w:numPr>
          <w:ilvl w:val="0"/>
          <w:numId w:val="25"/>
        </w:numPr>
        <w:tabs>
          <w:tab w:pos="1748" w:val="left" w:leader="none"/>
        </w:tabs>
        <w:spacing w:line="480" w:lineRule="auto" w:before="0" w:after="0"/>
        <w:ind w:left="1028" w:right="799" w:firstLine="0"/>
        <w:jc w:val="both"/>
        <w:rPr>
          <w:sz w:val="24"/>
        </w:rPr>
      </w:pPr>
      <w:r>
        <w:rPr>
          <w:i/>
          <w:sz w:val="24"/>
        </w:rPr>
        <w:t>J</w:t>
      </w:r>
      <w:r>
        <w:rPr>
          <w:sz w:val="24"/>
        </w:rPr>
        <w:t>. </w:t>
      </w:r>
      <w:r>
        <w:rPr>
          <w:i/>
          <w:sz w:val="24"/>
        </w:rPr>
        <w:t>curcas </w:t>
      </w:r>
      <w:r>
        <w:rPr>
          <w:sz w:val="24"/>
        </w:rPr>
        <w:t>oil from seeds located in Zaria, North-Western part of Nigeria is toxic as it contains phorbol esters. It also contains heavy metals and mineral elements in minute quantities but may accumulate to toxic levels on constant exposure to the oil.</w:t>
      </w:r>
    </w:p>
    <w:p>
      <w:pPr>
        <w:pStyle w:val="ListParagraph"/>
        <w:numPr>
          <w:ilvl w:val="0"/>
          <w:numId w:val="25"/>
        </w:numPr>
        <w:tabs>
          <w:tab w:pos="1748" w:val="left" w:leader="none"/>
        </w:tabs>
        <w:spacing w:line="480" w:lineRule="auto" w:before="1" w:after="0"/>
        <w:ind w:left="1028" w:right="805" w:firstLine="0"/>
        <w:jc w:val="both"/>
        <w:rPr>
          <w:sz w:val="24"/>
        </w:rPr>
      </w:pPr>
      <w:r>
        <w:rPr>
          <w:sz w:val="24"/>
        </w:rPr>
        <w:t>Detoxification of </w:t>
      </w:r>
      <w:r>
        <w:rPr>
          <w:i/>
          <w:sz w:val="24"/>
        </w:rPr>
        <w:t>J</w:t>
      </w:r>
      <w:r>
        <w:rPr>
          <w:sz w:val="24"/>
        </w:rPr>
        <w:t>. </w:t>
      </w:r>
      <w:r>
        <w:rPr>
          <w:i/>
          <w:sz w:val="24"/>
        </w:rPr>
        <w:t>curcas </w:t>
      </w:r>
      <w:r>
        <w:rPr>
          <w:sz w:val="24"/>
        </w:rPr>
        <w:t>oil through edible oil refining methods using synthetic materials brought about greater reduction in the level of phorbol esters in the detoxified oil as compared to the use of more naturally available materials for detoxification. Reduction in levels of phorbol esters was also more in the solvent extracted oil than in the mechanically extracted.</w:t>
      </w:r>
    </w:p>
    <w:p>
      <w:pPr>
        <w:pStyle w:val="ListParagraph"/>
        <w:numPr>
          <w:ilvl w:val="0"/>
          <w:numId w:val="25"/>
        </w:numPr>
        <w:tabs>
          <w:tab w:pos="1748" w:val="left" w:leader="none"/>
        </w:tabs>
        <w:spacing w:line="480" w:lineRule="auto" w:before="1" w:after="0"/>
        <w:ind w:left="1028" w:right="798" w:firstLine="0"/>
        <w:jc w:val="both"/>
        <w:rPr>
          <w:sz w:val="24"/>
        </w:rPr>
      </w:pPr>
      <w:r>
        <w:rPr>
          <w:i/>
          <w:sz w:val="24"/>
        </w:rPr>
        <w:t>J</w:t>
      </w:r>
      <w:r>
        <w:rPr>
          <w:sz w:val="24"/>
        </w:rPr>
        <w:t>. </w:t>
      </w:r>
      <w:r>
        <w:rPr>
          <w:i/>
          <w:sz w:val="24"/>
        </w:rPr>
        <w:t>curcas </w:t>
      </w:r>
      <w:r>
        <w:rPr>
          <w:sz w:val="24"/>
        </w:rPr>
        <w:t>oil detoxification through edible oil refining</w:t>
      </w:r>
      <w:r>
        <w:rPr>
          <w:spacing w:val="40"/>
          <w:sz w:val="24"/>
        </w:rPr>
        <w:t> </w:t>
      </w:r>
      <w:r>
        <w:rPr>
          <w:sz w:val="24"/>
        </w:rPr>
        <w:t>method by the use of more naturally available materials brought about increased levels of iron, calcium and copper in the detoxified oil while the use of synthetic materials brought about a</w:t>
      </w:r>
      <w:r>
        <w:rPr>
          <w:spacing w:val="80"/>
          <w:sz w:val="24"/>
        </w:rPr>
        <w:t> </w:t>
      </w:r>
      <w:r>
        <w:rPr>
          <w:sz w:val="24"/>
        </w:rPr>
        <w:t>decrease in the levels of heavy metals and mineral elements.</w:t>
      </w:r>
    </w:p>
    <w:p>
      <w:pPr>
        <w:pStyle w:val="ListParagraph"/>
        <w:numPr>
          <w:ilvl w:val="0"/>
          <w:numId w:val="25"/>
        </w:numPr>
        <w:tabs>
          <w:tab w:pos="1748" w:val="left" w:leader="none"/>
        </w:tabs>
        <w:spacing w:line="480" w:lineRule="auto" w:before="1" w:after="0"/>
        <w:ind w:left="1028" w:right="803" w:firstLine="0"/>
        <w:jc w:val="both"/>
        <w:rPr>
          <w:sz w:val="24"/>
        </w:rPr>
      </w:pPr>
      <w:r>
        <w:rPr>
          <w:sz w:val="24"/>
        </w:rPr>
        <w:t>The effect of detoxification of </w:t>
      </w:r>
      <w:r>
        <w:rPr>
          <w:i/>
          <w:sz w:val="24"/>
        </w:rPr>
        <w:t>J</w:t>
      </w:r>
      <w:r>
        <w:rPr>
          <w:sz w:val="24"/>
        </w:rPr>
        <w:t>. </w:t>
      </w:r>
      <w:r>
        <w:rPr>
          <w:i/>
          <w:sz w:val="24"/>
        </w:rPr>
        <w:t>curcas </w:t>
      </w:r>
      <w:r>
        <w:rPr>
          <w:sz w:val="24"/>
        </w:rPr>
        <w:t>oil in reduction of phorbol esters and other toxic antinutrient in</w:t>
      </w:r>
      <w:r>
        <w:rPr>
          <w:spacing w:val="-3"/>
          <w:sz w:val="24"/>
        </w:rPr>
        <w:t> </w:t>
      </w:r>
      <w:r>
        <w:rPr>
          <w:sz w:val="24"/>
        </w:rPr>
        <w:t>the oil</w:t>
      </w:r>
      <w:r>
        <w:rPr>
          <w:spacing w:val="-3"/>
          <w:sz w:val="24"/>
        </w:rPr>
        <w:t> </w:t>
      </w:r>
      <w:r>
        <w:rPr>
          <w:sz w:val="24"/>
        </w:rPr>
        <w:t>translated to the amelioration of</w:t>
      </w:r>
      <w:r>
        <w:rPr>
          <w:spacing w:val="-6"/>
          <w:sz w:val="24"/>
        </w:rPr>
        <w:t> </w:t>
      </w:r>
      <w:r>
        <w:rPr>
          <w:sz w:val="24"/>
        </w:rPr>
        <w:t>the toxic effects of</w:t>
      </w:r>
      <w:r>
        <w:rPr>
          <w:spacing w:val="-6"/>
          <w:sz w:val="24"/>
        </w:rPr>
        <w:t> </w:t>
      </w:r>
      <w:r>
        <w:rPr>
          <w:sz w:val="24"/>
        </w:rPr>
        <w:t>the oil to mild levels in rats.</w:t>
      </w:r>
    </w:p>
    <w:p>
      <w:pPr>
        <w:pStyle w:val="ListParagraph"/>
        <w:numPr>
          <w:ilvl w:val="0"/>
          <w:numId w:val="25"/>
        </w:numPr>
        <w:tabs>
          <w:tab w:pos="1748" w:val="left" w:leader="none"/>
        </w:tabs>
        <w:spacing w:line="480" w:lineRule="auto" w:before="0" w:after="0"/>
        <w:ind w:left="1028" w:right="798" w:firstLine="0"/>
        <w:jc w:val="both"/>
        <w:rPr>
          <w:sz w:val="24"/>
        </w:rPr>
      </w:pPr>
      <w:r>
        <w:rPr>
          <w:sz w:val="24"/>
        </w:rPr>
        <w:t>Analgesic activity of the detoxified </w:t>
      </w:r>
      <w:r>
        <w:rPr>
          <w:i/>
          <w:sz w:val="24"/>
        </w:rPr>
        <w:t>J</w:t>
      </w:r>
      <w:r>
        <w:rPr>
          <w:sz w:val="24"/>
        </w:rPr>
        <w:t>. </w:t>
      </w:r>
      <w:r>
        <w:rPr>
          <w:i/>
          <w:sz w:val="24"/>
        </w:rPr>
        <w:t>curcas </w:t>
      </w:r>
      <w:r>
        <w:rPr>
          <w:sz w:val="24"/>
        </w:rPr>
        <w:t>oil was reduced to a lower level after detoxification of the oil.</w:t>
      </w:r>
    </w:p>
    <w:p>
      <w:pPr>
        <w:pStyle w:val="Heading2"/>
        <w:numPr>
          <w:ilvl w:val="1"/>
          <w:numId w:val="24"/>
        </w:numPr>
        <w:tabs>
          <w:tab w:pos="1747" w:val="left" w:leader="none"/>
        </w:tabs>
        <w:spacing w:line="240" w:lineRule="auto" w:before="6" w:after="0"/>
        <w:ind w:left="1747" w:right="0" w:hanging="719"/>
        <w:jc w:val="both"/>
      </w:pPr>
      <w:r>
        <w:rPr>
          <w:spacing w:val="-2"/>
        </w:rPr>
        <w:t>Conclusion</w:t>
      </w:r>
    </w:p>
    <w:p>
      <w:pPr>
        <w:pStyle w:val="BodyText"/>
        <w:spacing w:line="480" w:lineRule="auto" w:before="271"/>
        <w:ind w:left="1028" w:right="801" w:firstLine="57"/>
        <w:jc w:val="both"/>
      </w:pPr>
      <w:r>
        <w:rPr/>
        <w:t>The study revealed that </w:t>
      </w:r>
      <w:r>
        <w:rPr>
          <w:i/>
        </w:rPr>
        <w:t>J</w:t>
      </w:r>
      <w:r>
        <w:rPr/>
        <w:t>. </w:t>
      </w:r>
      <w:r>
        <w:rPr>
          <w:i/>
        </w:rPr>
        <w:t>curcas </w:t>
      </w:r>
      <w:r>
        <w:rPr/>
        <w:t>oil is toxic in rats. The toxicity is attributable to the presence of phorbol esters and heavy metals. Detoxification by edible oil treatment method reduced the level of phorbol ester more in solvent extracted than mechanically extracted oil and ameliorated the toxic effects of the oil in animals. The analgesic activity of the oil was significant and was retained but to a lower degree after </w:t>
      </w:r>
      <w:r>
        <w:rPr>
          <w:spacing w:val="-2"/>
        </w:rPr>
        <w:t>detoxification.</w:t>
      </w:r>
    </w:p>
    <w:p>
      <w:pPr>
        <w:spacing w:after="0" w:line="480" w:lineRule="auto"/>
        <w:jc w:val="both"/>
        <w:sectPr>
          <w:pgSz w:w="11910" w:h="16840"/>
          <w:pgMar w:header="0" w:footer="1012" w:top="1320" w:bottom="1200" w:left="960" w:right="620"/>
        </w:sectPr>
      </w:pPr>
    </w:p>
    <w:p>
      <w:pPr>
        <w:pStyle w:val="Heading2"/>
        <w:numPr>
          <w:ilvl w:val="1"/>
          <w:numId w:val="24"/>
        </w:numPr>
        <w:tabs>
          <w:tab w:pos="1748" w:val="left" w:leader="none"/>
        </w:tabs>
        <w:spacing w:line="240" w:lineRule="auto" w:before="64" w:after="0"/>
        <w:ind w:left="1748" w:right="0" w:hanging="658"/>
        <w:jc w:val="left"/>
      </w:pPr>
      <w:r>
        <w:rPr>
          <w:spacing w:val="-2"/>
        </w:rPr>
        <w:t>Recommendations</w:t>
      </w:r>
    </w:p>
    <w:p>
      <w:pPr>
        <w:pStyle w:val="BodyText"/>
        <w:spacing w:before="271"/>
        <w:ind w:left="1028"/>
      </w:pPr>
      <w:r>
        <w:rPr/>
        <w:t>The</w:t>
      </w:r>
      <w:r>
        <w:rPr>
          <w:spacing w:val="-4"/>
        </w:rPr>
        <w:t> </w:t>
      </w:r>
      <w:r>
        <w:rPr/>
        <w:t>recommendations</w:t>
      </w:r>
      <w:r>
        <w:rPr>
          <w:spacing w:val="1"/>
        </w:rPr>
        <w:t> </w:t>
      </w:r>
      <w:r>
        <w:rPr/>
        <w:t>for further research</w:t>
      </w:r>
      <w:r>
        <w:rPr>
          <w:spacing w:val="-6"/>
        </w:rPr>
        <w:t> </w:t>
      </w:r>
      <w:r>
        <w:rPr/>
        <w:t>on</w:t>
      </w:r>
      <w:r>
        <w:rPr>
          <w:spacing w:val="-5"/>
        </w:rPr>
        <w:t> </w:t>
      </w:r>
      <w:r>
        <w:rPr/>
        <w:t>this</w:t>
      </w:r>
      <w:r>
        <w:rPr>
          <w:spacing w:val="-3"/>
        </w:rPr>
        <w:t> </w:t>
      </w:r>
      <w:r>
        <w:rPr/>
        <w:t>study</w:t>
      </w:r>
      <w:r>
        <w:rPr>
          <w:spacing w:val="-5"/>
        </w:rPr>
        <w:t> </w:t>
      </w:r>
      <w:r>
        <w:rPr>
          <w:spacing w:val="-2"/>
        </w:rPr>
        <w:t>include:</w:t>
      </w:r>
    </w:p>
    <w:p>
      <w:pPr>
        <w:pStyle w:val="BodyText"/>
        <w:spacing w:before="1"/>
      </w:pPr>
    </w:p>
    <w:p>
      <w:pPr>
        <w:pStyle w:val="ListParagraph"/>
        <w:numPr>
          <w:ilvl w:val="0"/>
          <w:numId w:val="26"/>
        </w:numPr>
        <w:tabs>
          <w:tab w:pos="1810" w:val="left" w:leader="none"/>
        </w:tabs>
        <w:spacing w:line="240" w:lineRule="auto" w:before="0" w:after="0"/>
        <w:ind w:left="1810" w:right="0" w:hanging="782"/>
        <w:jc w:val="left"/>
        <w:rPr>
          <w:sz w:val="24"/>
        </w:rPr>
      </w:pPr>
      <w:r>
        <w:rPr>
          <w:sz w:val="24"/>
        </w:rPr>
        <w:t>Studies</w:t>
      </w:r>
      <w:r>
        <w:rPr>
          <w:spacing w:val="-3"/>
          <w:sz w:val="24"/>
        </w:rPr>
        <w:t> </w:t>
      </w:r>
      <w:r>
        <w:rPr>
          <w:sz w:val="24"/>
        </w:rPr>
        <w:t>on</w:t>
      </w:r>
      <w:r>
        <w:rPr>
          <w:spacing w:val="-6"/>
          <w:sz w:val="24"/>
        </w:rPr>
        <w:t> </w:t>
      </w:r>
      <w:r>
        <w:rPr>
          <w:sz w:val="24"/>
        </w:rPr>
        <w:t>other pharmacological</w:t>
      </w:r>
      <w:r>
        <w:rPr>
          <w:spacing w:val="-6"/>
          <w:sz w:val="24"/>
        </w:rPr>
        <w:t> </w:t>
      </w:r>
      <w:r>
        <w:rPr>
          <w:sz w:val="24"/>
        </w:rPr>
        <w:t>activities</w:t>
      </w:r>
      <w:r>
        <w:rPr>
          <w:spacing w:val="-3"/>
          <w:sz w:val="24"/>
        </w:rPr>
        <w:t> </w:t>
      </w:r>
      <w:r>
        <w:rPr>
          <w:sz w:val="24"/>
        </w:rPr>
        <w:t>of</w:t>
      </w:r>
      <w:r>
        <w:rPr>
          <w:spacing w:val="-8"/>
          <w:sz w:val="24"/>
        </w:rPr>
        <w:t> </w:t>
      </w:r>
      <w:r>
        <w:rPr>
          <w:sz w:val="24"/>
        </w:rPr>
        <w:t>detoxified</w:t>
      </w:r>
      <w:r>
        <w:rPr>
          <w:spacing w:val="7"/>
          <w:sz w:val="24"/>
        </w:rPr>
        <w:t> </w:t>
      </w:r>
      <w:r>
        <w:rPr>
          <w:i/>
          <w:sz w:val="24"/>
        </w:rPr>
        <w:t>J</w:t>
      </w:r>
      <w:r>
        <w:rPr>
          <w:sz w:val="24"/>
        </w:rPr>
        <w:t>.</w:t>
      </w:r>
      <w:r>
        <w:rPr>
          <w:spacing w:val="1"/>
          <w:sz w:val="24"/>
        </w:rPr>
        <w:t> </w:t>
      </w:r>
      <w:r>
        <w:rPr>
          <w:i/>
          <w:sz w:val="24"/>
        </w:rPr>
        <w:t>curcas</w:t>
      </w:r>
      <w:r>
        <w:rPr>
          <w:i/>
          <w:spacing w:val="-2"/>
          <w:sz w:val="24"/>
        </w:rPr>
        <w:t> </w:t>
      </w:r>
      <w:r>
        <w:rPr>
          <w:spacing w:val="-4"/>
          <w:sz w:val="24"/>
        </w:rPr>
        <w:t>oil.</w:t>
      </w:r>
    </w:p>
    <w:p>
      <w:pPr>
        <w:pStyle w:val="BodyText"/>
      </w:pPr>
    </w:p>
    <w:p>
      <w:pPr>
        <w:pStyle w:val="ListParagraph"/>
        <w:numPr>
          <w:ilvl w:val="0"/>
          <w:numId w:val="26"/>
        </w:numPr>
        <w:tabs>
          <w:tab w:pos="1810" w:val="left" w:leader="none"/>
        </w:tabs>
        <w:spacing w:line="240" w:lineRule="auto" w:before="0" w:after="0"/>
        <w:ind w:left="1810" w:right="0" w:hanging="782"/>
        <w:jc w:val="left"/>
        <w:rPr>
          <w:sz w:val="24"/>
        </w:rPr>
      </w:pPr>
      <w:r>
        <w:rPr>
          <w:sz w:val="24"/>
        </w:rPr>
        <w:t>Chronic</w:t>
      </w:r>
      <w:r>
        <w:rPr>
          <w:spacing w:val="-5"/>
          <w:sz w:val="24"/>
        </w:rPr>
        <w:t> </w:t>
      </w:r>
      <w:r>
        <w:rPr>
          <w:sz w:val="24"/>
        </w:rPr>
        <w:t>toxicity</w:t>
      </w:r>
      <w:r>
        <w:rPr>
          <w:spacing w:val="-6"/>
          <w:sz w:val="24"/>
        </w:rPr>
        <w:t> </w:t>
      </w:r>
      <w:r>
        <w:rPr>
          <w:sz w:val="24"/>
        </w:rPr>
        <w:t>studies</w:t>
      </w:r>
      <w:r>
        <w:rPr>
          <w:spacing w:val="-4"/>
          <w:sz w:val="24"/>
        </w:rPr>
        <w:t> </w:t>
      </w:r>
      <w:r>
        <w:rPr>
          <w:sz w:val="24"/>
        </w:rPr>
        <w:t>of</w:t>
      </w:r>
      <w:r>
        <w:rPr>
          <w:spacing w:val="-9"/>
          <w:sz w:val="24"/>
        </w:rPr>
        <w:t> </w:t>
      </w:r>
      <w:r>
        <w:rPr>
          <w:sz w:val="24"/>
        </w:rPr>
        <w:t>detoxified</w:t>
      </w:r>
      <w:r>
        <w:rPr>
          <w:spacing w:val="4"/>
          <w:sz w:val="24"/>
        </w:rPr>
        <w:t> </w:t>
      </w:r>
      <w:r>
        <w:rPr>
          <w:i/>
          <w:sz w:val="24"/>
        </w:rPr>
        <w:t>J</w:t>
      </w:r>
      <w:r>
        <w:rPr>
          <w:sz w:val="24"/>
        </w:rPr>
        <w:t>. </w:t>
      </w:r>
      <w:r>
        <w:rPr>
          <w:i/>
          <w:sz w:val="24"/>
        </w:rPr>
        <w:t>curcas</w:t>
      </w:r>
      <w:r>
        <w:rPr>
          <w:i/>
          <w:spacing w:val="-3"/>
          <w:sz w:val="24"/>
        </w:rPr>
        <w:t> </w:t>
      </w:r>
      <w:r>
        <w:rPr>
          <w:spacing w:val="-4"/>
          <w:sz w:val="24"/>
        </w:rPr>
        <w:t>oil.</w:t>
      </w:r>
    </w:p>
    <w:p>
      <w:pPr>
        <w:pStyle w:val="BodyText"/>
      </w:pPr>
    </w:p>
    <w:p>
      <w:pPr>
        <w:pStyle w:val="ListParagraph"/>
        <w:numPr>
          <w:ilvl w:val="0"/>
          <w:numId w:val="26"/>
        </w:numPr>
        <w:tabs>
          <w:tab w:pos="1810" w:val="left" w:leader="none"/>
        </w:tabs>
        <w:spacing w:line="240" w:lineRule="auto" w:before="0" w:after="0"/>
        <w:ind w:left="1810" w:right="0" w:hanging="782"/>
        <w:jc w:val="left"/>
        <w:rPr>
          <w:sz w:val="24"/>
        </w:rPr>
      </w:pPr>
      <w:r>
        <w:rPr>
          <w:sz w:val="24"/>
        </w:rPr>
        <w:t>Determination</w:t>
      </w:r>
      <w:r>
        <w:rPr>
          <w:spacing w:val="-9"/>
          <w:sz w:val="24"/>
        </w:rPr>
        <w:t> </w:t>
      </w:r>
      <w:r>
        <w:rPr>
          <w:sz w:val="24"/>
        </w:rPr>
        <w:t>of</w:t>
      </w:r>
      <w:r>
        <w:rPr>
          <w:spacing w:val="-8"/>
          <w:sz w:val="24"/>
        </w:rPr>
        <w:t> </w:t>
      </w:r>
      <w:r>
        <w:rPr>
          <w:sz w:val="24"/>
        </w:rPr>
        <w:t>detoxification</w:t>
      </w:r>
      <w:r>
        <w:rPr>
          <w:spacing w:val="-2"/>
          <w:sz w:val="24"/>
        </w:rPr>
        <w:t> </w:t>
      </w:r>
      <w:r>
        <w:rPr>
          <w:sz w:val="24"/>
        </w:rPr>
        <w:t>methods</w:t>
      </w:r>
      <w:r>
        <w:rPr>
          <w:spacing w:val="-3"/>
          <w:sz w:val="24"/>
        </w:rPr>
        <w:t> </w:t>
      </w:r>
      <w:r>
        <w:rPr>
          <w:sz w:val="24"/>
        </w:rPr>
        <w:t>that</w:t>
      </w:r>
      <w:r>
        <w:rPr>
          <w:spacing w:val="-1"/>
          <w:sz w:val="24"/>
        </w:rPr>
        <w:t> </w:t>
      </w:r>
      <w:r>
        <w:rPr>
          <w:sz w:val="24"/>
        </w:rPr>
        <w:t>will</w:t>
      </w:r>
      <w:r>
        <w:rPr>
          <w:spacing w:val="-1"/>
          <w:sz w:val="24"/>
        </w:rPr>
        <w:t> </w:t>
      </w:r>
      <w:r>
        <w:rPr>
          <w:sz w:val="24"/>
        </w:rPr>
        <w:t>result</w:t>
      </w:r>
      <w:r>
        <w:rPr>
          <w:spacing w:val="4"/>
          <w:sz w:val="24"/>
        </w:rPr>
        <w:t> </w:t>
      </w:r>
      <w:r>
        <w:rPr>
          <w:sz w:val="24"/>
        </w:rPr>
        <w:t>in</w:t>
      </w:r>
      <w:r>
        <w:rPr>
          <w:spacing w:val="-2"/>
          <w:sz w:val="24"/>
        </w:rPr>
        <w:t> </w:t>
      </w:r>
      <w:r>
        <w:rPr>
          <w:sz w:val="24"/>
        </w:rPr>
        <w:t>minimal</w:t>
      </w:r>
      <w:r>
        <w:rPr>
          <w:spacing w:val="-9"/>
          <w:sz w:val="24"/>
        </w:rPr>
        <w:t> </w:t>
      </w:r>
      <w:r>
        <w:rPr>
          <w:sz w:val="24"/>
        </w:rPr>
        <w:t>oil</w:t>
      </w:r>
      <w:r>
        <w:rPr>
          <w:spacing w:val="-6"/>
          <w:sz w:val="24"/>
        </w:rPr>
        <w:t> </w:t>
      </w:r>
      <w:r>
        <w:rPr>
          <w:spacing w:val="-2"/>
          <w:sz w:val="24"/>
        </w:rPr>
        <w:t>losses.</w:t>
      </w:r>
    </w:p>
    <w:p>
      <w:pPr>
        <w:spacing w:after="0" w:line="240" w:lineRule="auto"/>
        <w:jc w:val="left"/>
        <w:rPr>
          <w:sz w:val="24"/>
        </w:rPr>
        <w:sectPr>
          <w:pgSz w:w="11910" w:h="16840"/>
          <w:pgMar w:header="0" w:footer="1012" w:top="1340" w:bottom="1200" w:left="960" w:right="620"/>
        </w:sectPr>
      </w:pPr>
    </w:p>
    <w:p>
      <w:pPr>
        <w:pStyle w:val="Heading1"/>
        <w:ind w:left="3806"/>
      </w:pPr>
      <w:bookmarkStart w:name="_TOC_250000" w:id="56"/>
      <w:bookmarkEnd w:id="56"/>
      <w:r>
        <w:rPr>
          <w:spacing w:val="-2"/>
        </w:rPr>
        <w:t>REFERENCES</w:t>
      </w:r>
    </w:p>
    <w:p>
      <w:pPr>
        <w:pStyle w:val="BodyText"/>
        <w:rPr>
          <w:b/>
        </w:rPr>
      </w:pPr>
    </w:p>
    <w:p>
      <w:pPr>
        <w:pStyle w:val="BodyText"/>
        <w:rPr>
          <w:b/>
        </w:rPr>
      </w:pPr>
    </w:p>
    <w:p>
      <w:pPr>
        <w:pStyle w:val="BodyText"/>
        <w:spacing w:before="135"/>
        <w:rPr>
          <w:b/>
        </w:rPr>
      </w:pPr>
    </w:p>
    <w:p>
      <w:pPr>
        <w:pStyle w:val="BodyText"/>
        <w:spacing w:line="360" w:lineRule="auto"/>
        <w:ind w:left="1748" w:right="812" w:hanging="721"/>
        <w:jc w:val="both"/>
      </w:pPr>
      <w:r>
        <w:rPr/>
        <w:t>Abe, H., Konishi, H., Komiya H. and Arichi, S. (1981). Effects of saikosaponins on biological membranes. </w:t>
      </w:r>
      <w:r>
        <w:rPr>
          <w:i/>
        </w:rPr>
        <w:t>Planta Medica, </w:t>
      </w:r>
      <w:r>
        <w:rPr/>
        <w:t>42: 356-363.</w:t>
      </w:r>
    </w:p>
    <w:p>
      <w:pPr>
        <w:pStyle w:val="BodyText"/>
        <w:spacing w:before="139"/>
      </w:pPr>
    </w:p>
    <w:p>
      <w:pPr>
        <w:pStyle w:val="BodyText"/>
        <w:spacing w:line="360" w:lineRule="auto"/>
        <w:ind w:left="1748" w:right="805" w:hanging="658"/>
        <w:jc w:val="both"/>
      </w:pPr>
      <w:r>
        <w:rPr/>
        <w:t>Adedapo, A. A., Abatan, M. O. and Olorunsogo, O. O. (2007). Effects of some plants of the spurge family on haematological and biochemical parameters in rats.</w:t>
      </w:r>
    </w:p>
    <w:p>
      <w:pPr>
        <w:spacing w:line="274" w:lineRule="exact" w:before="0"/>
        <w:ind w:left="1748" w:right="0" w:firstLine="0"/>
        <w:jc w:val="left"/>
        <w:rPr>
          <w:sz w:val="24"/>
        </w:rPr>
      </w:pPr>
      <w:r>
        <w:rPr>
          <w:i/>
          <w:sz w:val="24"/>
        </w:rPr>
        <w:t>Veterinarski Arhiv</w:t>
      </w:r>
      <w:r>
        <w:rPr>
          <w:i/>
          <w:spacing w:val="1"/>
          <w:sz w:val="24"/>
        </w:rPr>
        <w:t> </w:t>
      </w:r>
      <w:r>
        <w:rPr>
          <w:sz w:val="24"/>
        </w:rPr>
        <w:t>77 (1):</w:t>
      </w:r>
      <w:r>
        <w:rPr>
          <w:spacing w:val="-4"/>
          <w:sz w:val="24"/>
        </w:rPr>
        <w:t> </w:t>
      </w:r>
      <w:r>
        <w:rPr>
          <w:sz w:val="24"/>
        </w:rPr>
        <w:t>29-</w:t>
      </w:r>
      <w:r>
        <w:rPr>
          <w:spacing w:val="-5"/>
          <w:sz w:val="24"/>
        </w:rPr>
        <w:t>38.</w:t>
      </w:r>
    </w:p>
    <w:p>
      <w:pPr>
        <w:pStyle w:val="BodyText"/>
      </w:pPr>
    </w:p>
    <w:p>
      <w:pPr>
        <w:pStyle w:val="BodyText"/>
        <w:spacing w:before="3"/>
      </w:pPr>
    </w:p>
    <w:p>
      <w:pPr>
        <w:pStyle w:val="BodyText"/>
        <w:spacing w:line="360" w:lineRule="auto"/>
        <w:ind w:left="1748" w:right="814" w:hanging="721"/>
        <w:jc w:val="both"/>
      </w:pPr>
      <w:r>
        <w:rPr/>
        <w:t>Adekola, K. A. (1991). Process optimization of oil expression from coconut (cocosuncifera L). An M.Sc. Thesis submitted to Department of Agric. Engg, University of Ibadan, Nigeria. NSAE Proc. 16: 102-11.</w:t>
      </w:r>
    </w:p>
    <w:p>
      <w:pPr>
        <w:pStyle w:val="BodyText"/>
        <w:spacing w:before="134"/>
      </w:pPr>
    </w:p>
    <w:p>
      <w:pPr>
        <w:pStyle w:val="BodyText"/>
        <w:spacing w:line="360" w:lineRule="auto"/>
        <w:ind w:left="1748" w:right="802" w:hanging="721"/>
        <w:jc w:val="both"/>
      </w:pPr>
      <w:r>
        <w:rPr/>
        <w:t>Aderibigbe, A.O., Johnson, C.O.L.E, Makkar, H.P.S, Becker, K. and Foidl, N. (1997). Chemical composition and effect of heat on organic matter and nitrogen degradability and some antinutritional components of </w:t>
      </w:r>
      <w:r>
        <w:rPr>
          <w:i/>
        </w:rPr>
        <w:t>Jatropha </w:t>
      </w:r>
      <w:r>
        <w:rPr/>
        <w:t>meal. </w:t>
      </w:r>
      <w:r>
        <w:rPr>
          <w:i/>
        </w:rPr>
        <w:t>Animal Feed Science and Technology</w:t>
      </w:r>
      <w:r>
        <w:rPr/>
        <w:t>, 67: 347-354.</w:t>
      </w:r>
    </w:p>
    <w:p>
      <w:pPr>
        <w:pStyle w:val="BodyText"/>
        <w:spacing w:before="142"/>
      </w:pPr>
    </w:p>
    <w:p>
      <w:pPr>
        <w:pStyle w:val="BodyText"/>
        <w:spacing w:line="360" w:lineRule="auto"/>
        <w:ind w:left="1748" w:right="808" w:hanging="721"/>
        <w:jc w:val="both"/>
      </w:pPr>
      <w:r>
        <w:rPr/>
        <w:t>Adolf, W., Opferkuch, H.J. and Hecker, E. (1984). Irritant phorbol derivatives from</w:t>
      </w:r>
      <w:r>
        <w:rPr>
          <w:spacing w:val="40"/>
        </w:rPr>
        <w:t> </w:t>
      </w:r>
      <w:r>
        <w:rPr/>
        <w:t>four Jatropha species. </w:t>
      </w:r>
      <w:r>
        <w:rPr>
          <w:i/>
        </w:rPr>
        <w:t>Phytochemistry</w:t>
      </w:r>
      <w:r>
        <w:rPr/>
        <w:t>, 23: 129-132.</w:t>
      </w:r>
    </w:p>
    <w:p>
      <w:pPr>
        <w:pStyle w:val="BodyText"/>
        <w:spacing w:before="135"/>
      </w:pPr>
    </w:p>
    <w:p>
      <w:pPr>
        <w:pStyle w:val="BodyText"/>
        <w:spacing w:line="364" w:lineRule="auto"/>
        <w:ind w:left="1748" w:right="816" w:hanging="721"/>
        <w:jc w:val="both"/>
      </w:pPr>
      <w:r>
        <w:rPr/>
        <w:t>Afia, E.S. and Momoh, J.A. (2006). Standard operating procedure. Unpublished guideline for the chemical pathology laboratory, National Hospital, Abuja.</w:t>
      </w:r>
    </w:p>
    <w:p>
      <w:pPr>
        <w:pStyle w:val="BodyText"/>
        <w:spacing w:before="129"/>
      </w:pPr>
    </w:p>
    <w:p>
      <w:pPr>
        <w:pStyle w:val="BodyText"/>
        <w:spacing w:line="360" w:lineRule="auto"/>
        <w:ind w:left="1748" w:right="809" w:hanging="721"/>
        <w:jc w:val="both"/>
      </w:pPr>
      <w:r>
        <w:rPr/>
        <w:t>Agbogidi, O.M., Erutor, P.G. (2012). Morphological Changes Due to Spent Engine Oil and</w:t>
      </w:r>
      <w:r>
        <w:rPr>
          <w:spacing w:val="16"/>
        </w:rPr>
        <w:t> </w:t>
      </w:r>
      <w:r>
        <w:rPr/>
        <w:t>its</w:t>
      </w:r>
      <w:r>
        <w:rPr>
          <w:spacing w:val="12"/>
        </w:rPr>
        <w:t> </w:t>
      </w:r>
      <w:r>
        <w:rPr/>
        <w:t>Heavy</w:t>
      </w:r>
      <w:r>
        <w:rPr>
          <w:spacing w:val="14"/>
        </w:rPr>
        <w:t> </w:t>
      </w:r>
      <w:r>
        <w:rPr/>
        <w:t>metal</w:t>
      </w:r>
      <w:r>
        <w:rPr>
          <w:spacing w:val="5"/>
        </w:rPr>
        <w:t> </w:t>
      </w:r>
      <w:r>
        <w:rPr/>
        <w:t>Components</w:t>
      </w:r>
      <w:r>
        <w:rPr>
          <w:spacing w:val="12"/>
        </w:rPr>
        <w:t> </w:t>
      </w:r>
      <w:r>
        <w:rPr/>
        <w:t>of</w:t>
      </w:r>
      <w:r>
        <w:rPr>
          <w:spacing w:val="12"/>
        </w:rPr>
        <w:t> </w:t>
      </w:r>
      <w:r>
        <w:rPr>
          <w:i/>
        </w:rPr>
        <w:t>Jatropha</w:t>
      </w:r>
      <w:r>
        <w:rPr>
          <w:i/>
          <w:spacing w:val="15"/>
        </w:rPr>
        <w:t> </w:t>
      </w:r>
      <w:r>
        <w:rPr>
          <w:i/>
        </w:rPr>
        <w:t>curcas.</w:t>
      </w:r>
      <w:r>
        <w:rPr>
          <w:i/>
          <w:spacing w:val="17"/>
        </w:rPr>
        <w:t> </w:t>
      </w:r>
      <w:r>
        <w:rPr/>
        <w:t>In:</w:t>
      </w:r>
      <w:r>
        <w:rPr>
          <w:spacing w:val="15"/>
        </w:rPr>
        <w:t> </w:t>
      </w:r>
      <w:r>
        <w:rPr/>
        <w:t>Baby,</w:t>
      </w:r>
      <w:r>
        <w:rPr>
          <w:spacing w:val="16"/>
        </w:rPr>
        <w:t> </w:t>
      </w:r>
      <w:r>
        <w:rPr/>
        <w:t>S.</w:t>
      </w:r>
      <w:r>
        <w:rPr>
          <w:spacing w:val="16"/>
        </w:rPr>
        <w:t> </w:t>
      </w:r>
      <w:r>
        <w:rPr/>
        <w:t>and</w:t>
      </w:r>
      <w:r>
        <w:rPr>
          <w:spacing w:val="14"/>
        </w:rPr>
        <w:t> </w:t>
      </w:r>
      <w:r>
        <w:rPr>
          <w:spacing w:val="-2"/>
        </w:rPr>
        <w:t>Sandhu,</w:t>
      </w:r>
    </w:p>
    <w:p>
      <w:pPr>
        <w:spacing w:line="360" w:lineRule="auto" w:before="3"/>
        <w:ind w:left="1748" w:right="807" w:firstLine="0"/>
        <w:jc w:val="both"/>
        <w:rPr>
          <w:sz w:val="24"/>
        </w:rPr>
      </w:pPr>
      <w:r>
        <w:rPr>
          <w:sz w:val="24"/>
        </w:rPr>
        <w:t>P.S. (Ed) </w:t>
      </w:r>
      <w:r>
        <w:rPr>
          <w:i/>
          <w:sz w:val="24"/>
        </w:rPr>
        <w:t>Proceedings of The International Conference On Bioscience, Biotechnology and Health Sciences organized by Plenary Science Centre Research</w:t>
      </w:r>
      <w:r>
        <w:rPr>
          <w:sz w:val="24"/>
        </w:rPr>
        <w:t>, Singapore, pp. 88-93.</w:t>
      </w:r>
    </w:p>
    <w:p>
      <w:pPr>
        <w:pStyle w:val="BodyText"/>
        <w:spacing w:before="138"/>
      </w:pPr>
    </w:p>
    <w:p>
      <w:pPr>
        <w:pStyle w:val="BodyText"/>
        <w:ind w:left="525" w:right="313"/>
        <w:jc w:val="center"/>
      </w:pPr>
      <w:r>
        <w:rPr/>
        <w:t>Aguiar,</w:t>
      </w:r>
      <w:r>
        <w:rPr>
          <w:spacing w:val="26"/>
        </w:rPr>
        <w:t>  </w:t>
      </w:r>
      <w:r>
        <w:rPr/>
        <w:t>R.</w:t>
      </w:r>
      <w:r>
        <w:rPr>
          <w:spacing w:val="29"/>
        </w:rPr>
        <w:t>  </w:t>
      </w:r>
      <w:r>
        <w:rPr/>
        <w:t>and</w:t>
      </w:r>
      <w:r>
        <w:rPr>
          <w:spacing w:val="30"/>
        </w:rPr>
        <w:t>  </w:t>
      </w:r>
      <w:r>
        <w:rPr/>
        <w:t>Wink,</w:t>
      </w:r>
      <w:r>
        <w:rPr>
          <w:spacing w:val="31"/>
        </w:rPr>
        <w:t>  </w:t>
      </w:r>
      <w:r>
        <w:rPr/>
        <w:t>M.</w:t>
      </w:r>
      <w:r>
        <w:rPr>
          <w:spacing w:val="29"/>
        </w:rPr>
        <w:t>  </w:t>
      </w:r>
      <w:r>
        <w:rPr/>
        <w:t>(2005).</w:t>
      </w:r>
      <w:r>
        <w:rPr>
          <w:spacing w:val="29"/>
        </w:rPr>
        <w:t>  </w:t>
      </w:r>
      <w:r>
        <w:rPr/>
        <w:t>How</w:t>
      </w:r>
      <w:r>
        <w:rPr>
          <w:spacing w:val="27"/>
        </w:rPr>
        <w:t>  </w:t>
      </w:r>
      <w:r>
        <w:rPr/>
        <w:t>do</w:t>
      </w:r>
      <w:r>
        <w:rPr>
          <w:spacing w:val="28"/>
        </w:rPr>
        <w:t>  </w:t>
      </w:r>
      <w:r>
        <w:rPr/>
        <w:t>slugs</w:t>
      </w:r>
      <w:r>
        <w:rPr>
          <w:spacing w:val="29"/>
        </w:rPr>
        <w:t>  </w:t>
      </w:r>
      <w:r>
        <w:rPr/>
        <w:t>cope</w:t>
      </w:r>
      <w:r>
        <w:rPr>
          <w:spacing w:val="27"/>
        </w:rPr>
        <w:t>  </w:t>
      </w:r>
      <w:r>
        <w:rPr/>
        <w:t>with</w:t>
      </w:r>
      <w:r>
        <w:rPr>
          <w:spacing w:val="26"/>
        </w:rPr>
        <w:t>  </w:t>
      </w:r>
      <w:r>
        <w:rPr/>
        <w:t>toxic</w:t>
      </w:r>
      <w:r>
        <w:rPr>
          <w:spacing w:val="30"/>
        </w:rPr>
        <w:t>  </w:t>
      </w:r>
      <w:r>
        <w:rPr>
          <w:spacing w:val="-2"/>
        </w:rPr>
        <w:t>alkaloids.</w:t>
      </w:r>
    </w:p>
    <w:p>
      <w:pPr>
        <w:spacing w:before="137"/>
        <w:ind w:left="1748" w:right="0" w:firstLine="0"/>
        <w:jc w:val="left"/>
        <w:rPr>
          <w:sz w:val="24"/>
        </w:rPr>
      </w:pPr>
      <w:r>
        <w:rPr>
          <w:i/>
          <w:sz w:val="24"/>
        </w:rPr>
        <w:t>Chemoecology</w:t>
      </w:r>
      <w:r>
        <w:rPr>
          <w:sz w:val="24"/>
        </w:rPr>
        <w:t>,</w:t>
      </w:r>
      <w:r>
        <w:rPr>
          <w:spacing w:val="1"/>
          <w:sz w:val="24"/>
        </w:rPr>
        <w:t> </w:t>
      </w:r>
      <w:r>
        <w:rPr>
          <w:sz w:val="24"/>
        </w:rPr>
        <w:t>15:</w:t>
      </w:r>
      <w:r>
        <w:rPr>
          <w:spacing w:val="2"/>
          <w:sz w:val="24"/>
        </w:rPr>
        <w:t> </w:t>
      </w:r>
      <w:r>
        <w:rPr>
          <w:sz w:val="24"/>
        </w:rPr>
        <w:t>167-</w:t>
      </w:r>
      <w:r>
        <w:rPr>
          <w:spacing w:val="-4"/>
          <w:sz w:val="24"/>
        </w:rPr>
        <w:t>177.</w:t>
      </w:r>
    </w:p>
    <w:p>
      <w:pPr>
        <w:spacing w:after="0"/>
        <w:jc w:val="left"/>
        <w:rPr>
          <w:sz w:val="24"/>
        </w:rPr>
        <w:sectPr>
          <w:pgSz w:w="11910" w:h="16840"/>
          <w:pgMar w:header="0" w:footer="1012" w:top="1340" w:bottom="1200" w:left="960" w:right="620"/>
        </w:sectPr>
      </w:pPr>
    </w:p>
    <w:p>
      <w:pPr>
        <w:spacing w:line="360" w:lineRule="auto" w:before="79"/>
        <w:ind w:left="1748" w:right="796" w:hanging="721"/>
        <w:jc w:val="both"/>
        <w:rPr>
          <w:sz w:val="24"/>
        </w:rPr>
      </w:pPr>
      <w:r>
        <w:rPr>
          <w:sz w:val="24"/>
        </w:rPr>
        <w:t>Ahmed, W.A. and Salimon, J. (2009). Phorbol ester as toxic constituents of tropical </w:t>
      </w:r>
      <w:r>
        <w:rPr>
          <w:i/>
          <w:sz w:val="24"/>
        </w:rPr>
        <w:t>Jatropha curcas </w:t>
      </w:r>
      <w:r>
        <w:rPr>
          <w:sz w:val="24"/>
        </w:rPr>
        <w:t>seed oil. </w:t>
      </w:r>
      <w:r>
        <w:rPr>
          <w:i/>
          <w:sz w:val="24"/>
        </w:rPr>
        <w:t>European Journal of Scientific Research</w:t>
      </w:r>
      <w:r>
        <w:rPr>
          <w:sz w:val="24"/>
        </w:rPr>
        <w:t>, 31(3): 429- </w:t>
      </w:r>
      <w:r>
        <w:rPr>
          <w:spacing w:val="-4"/>
          <w:sz w:val="24"/>
        </w:rPr>
        <w:t>436.</w:t>
      </w:r>
    </w:p>
    <w:p>
      <w:pPr>
        <w:pStyle w:val="BodyText"/>
        <w:spacing w:before="139"/>
      </w:pPr>
    </w:p>
    <w:p>
      <w:pPr>
        <w:spacing w:line="360" w:lineRule="auto" w:before="0"/>
        <w:ind w:left="1748" w:right="800" w:hanging="721"/>
        <w:jc w:val="both"/>
        <w:rPr>
          <w:sz w:val="24"/>
        </w:rPr>
      </w:pPr>
      <w:r>
        <w:rPr>
          <w:sz w:val="24"/>
        </w:rPr>
        <w:t>Aiyelaagbe, O.O., Adeyeni, B.A., Fatunsin, O.F. and Arimah, B.D. (2007). </w:t>
      </w:r>
      <w:r>
        <w:rPr>
          <w:i/>
          <w:sz w:val="24"/>
        </w:rPr>
        <w:t>In vitro </w:t>
      </w:r>
      <w:r>
        <w:rPr>
          <w:sz w:val="24"/>
        </w:rPr>
        <w:t>antimicrobial activity and phytochemical analysis of </w:t>
      </w:r>
      <w:r>
        <w:rPr>
          <w:i/>
          <w:sz w:val="24"/>
        </w:rPr>
        <w:t>Jatropha curcas </w:t>
      </w:r>
      <w:r>
        <w:rPr>
          <w:sz w:val="24"/>
        </w:rPr>
        <w:t>roots. </w:t>
      </w:r>
      <w:r>
        <w:rPr>
          <w:i/>
          <w:sz w:val="24"/>
        </w:rPr>
        <w:t>International Journal of Pharmacology</w:t>
      </w:r>
      <w:r>
        <w:rPr>
          <w:sz w:val="24"/>
        </w:rPr>
        <w:t>, 3(1): 106-110.</w:t>
      </w:r>
    </w:p>
    <w:p>
      <w:pPr>
        <w:pStyle w:val="BodyText"/>
        <w:spacing w:before="138"/>
      </w:pPr>
    </w:p>
    <w:p>
      <w:pPr>
        <w:spacing w:line="360" w:lineRule="auto" w:before="0"/>
        <w:ind w:left="1748" w:right="801" w:hanging="721"/>
        <w:jc w:val="both"/>
        <w:rPr>
          <w:sz w:val="24"/>
        </w:rPr>
      </w:pPr>
      <w:r>
        <w:rPr>
          <w:sz w:val="24"/>
        </w:rPr>
        <w:t>Akbar, E., Yaakob, Z., Kamarudin, S.K., Ismail, M. and Salimon, J. (2009). Characteristic and composition of </w:t>
      </w:r>
      <w:r>
        <w:rPr>
          <w:i/>
          <w:sz w:val="24"/>
        </w:rPr>
        <w:t>Jatropha curcas </w:t>
      </w:r>
      <w:r>
        <w:rPr>
          <w:sz w:val="24"/>
        </w:rPr>
        <w:t>oil seed from Malaysia and its potential as biodiesel feedstock, </w:t>
      </w:r>
      <w:r>
        <w:rPr>
          <w:i/>
          <w:sz w:val="24"/>
        </w:rPr>
        <w:t>European Journal of Scientific Research</w:t>
      </w:r>
      <w:r>
        <w:rPr>
          <w:sz w:val="24"/>
        </w:rPr>
        <w:t>, 29(3):</w:t>
      </w:r>
      <w:r>
        <w:rPr>
          <w:spacing w:val="40"/>
          <w:sz w:val="24"/>
        </w:rPr>
        <w:t> </w:t>
      </w:r>
      <w:r>
        <w:rPr>
          <w:sz w:val="24"/>
        </w:rPr>
        <w:t>396-403.</w:t>
      </w:r>
    </w:p>
    <w:p>
      <w:pPr>
        <w:pStyle w:val="BodyText"/>
        <w:spacing w:before="138"/>
      </w:pPr>
    </w:p>
    <w:p>
      <w:pPr>
        <w:pStyle w:val="BodyText"/>
        <w:spacing w:line="362" w:lineRule="auto"/>
        <w:ind w:left="1748" w:right="797" w:hanging="721"/>
        <w:jc w:val="both"/>
      </w:pPr>
      <w:r>
        <w:rPr/>
        <w:t>Alberts, B., Johnson, A., Lewis, J., Raff, M., Roberts, K. and Walter, P. (2008). </w:t>
      </w:r>
      <w:r>
        <w:rPr>
          <w:i/>
        </w:rPr>
        <w:t>Molecular Biology of the Cell</w:t>
      </w:r>
      <w:r>
        <w:rPr/>
        <w:t>. Retrieved from </w:t>
      </w:r>
      <w:hyperlink r:id="rId122">
        <w:r>
          <w:rPr>
            <w:spacing w:val="-2"/>
            <w:u w:val="single"/>
          </w:rPr>
          <w:t>http://www.pdfcampus.net/molecular-biology-of-the-</w:t>
        </w:r>
      </w:hyperlink>
      <w:r>
        <w:rPr>
          <w:spacing w:val="-2"/>
        </w:rPr>
        <w:t>cell-5th-edition/</w:t>
      </w:r>
    </w:p>
    <w:p>
      <w:pPr>
        <w:pStyle w:val="BodyText"/>
        <w:spacing w:before="130"/>
      </w:pPr>
    </w:p>
    <w:p>
      <w:pPr>
        <w:pStyle w:val="BodyText"/>
        <w:ind w:left="1028"/>
      </w:pPr>
      <w:r>
        <w:rPr/>
        <w:t>Alonso-Amelot,</w:t>
      </w:r>
      <w:r>
        <w:rPr>
          <w:spacing w:val="5"/>
        </w:rPr>
        <w:t> </w:t>
      </w:r>
      <w:r>
        <w:rPr/>
        <w:t>M.E.</w:t>
      </w:r>
      <w:r>
        <w:rPr>
          <w:spacing w:val="6"/>
        </w:rPr>
        <w:t> </w:t>
      </w:r>
      <w:r>
        <w:rPr/>
        <w:t>(1997).</w:t>
      </w:r>
      <w:r>
        <w:rPr>
          <w:spacing w:val="1"/>
        </w:rPr>
        <w:t> </w:t>
      </w:r>
      <w:r>
        <w:rPr/>
        <w:t>The</w:t>
      </w:r>
      <w:r>
        <w:rPr>
          <w:spacing w:val="7"/>
        </w:rPr>
        <w:t> </w:t>
      </w:r>
      <w:r>
        <w:rPr/>
        <w:t>link</w:t>
      </w:r>
      <w:r>
        <w:rPr>
          <w:spacing w:val="7"/>
        </w:rPr>
        <w:t> </w:t>
      </w:r>
      <w:r>
        <w:rPr/>
        <w:t>between</w:t>
      </w:r>
      <w:r>
        <w:rPr>
          <w:spacing w:val="3"/>
        </w:rPr>
        <w:t> </w:t>
      </w:r>
      <w:r>
        <w:rPr/>
        <w:t>bracken</w:t>
      </w:r>
      <w:r>
        <w:rPr>
          <w:spacing w:val="3"/>
        </w:rPr>
        <w:t> </w:t>
      </w:r>
      <w:r>
        <w:rPr/>
        <w:t>fern</w:t>
      </w:r>
      <w:r>
        <w:rPr>
          <w:spacing w:val="-1"/>
        </w:rPr>
        <w:t> </w:t>
      </w:r>
      <w:r>
        <w:rPr/>
        <w:t>and</w:t>
      </w:r>
      <w:r>
        <w:rPr>
          <w:spacing w:val="3"/>
        </w:rPr>
        <w:t> </w:t>
      </w:r>
      <w:r>
        <w:rPr/>
        <w:t>stomach</w:t>
      </w:r>
      <w:r>
        <w:rPr>
          <w:spacing w:val="-1"/>
        </w:rPr>
        <w:t> </w:t>
      </w:r>
      <w:r>
        <w:rPr/>
        <w:t>cancer:</w:t>
      </w:r>
      <w:r>
        <w:rPr>
          <w:spacing w:val="9"/>
        </w:rPr>
        <w:t> </w:t>
      </w:r>
      <w:r>
        <w:rPr>
          <w:spacing w:val="-2"/>
        </w:rPr>
        <w:t>milk.</w:t>
      </w:r>
    </w:p>
    <w:p>
      <w:pPr>
        <w:spacing w:before="137"/>
        <w:ind w:left="1748" w:right="0" w:firstLine="0"/>
        <w:jc w:val="left"/>
        <w:rPr>
          <w:sz w:val="24"/>
        </w:rPr>
      </w:pPr>
      <w:r>
        <w:rPr>
          <w:i/>
          <w:sz w:val="24"/>
        </w:rPr>
        <w:t>Nutrition</w:t>
      </w:r>
      <w:r>
        <w:rPr>
          <w:sz w:val="24"/>
        </w:rPr>
        <w:t>,</w:t>
      </w:r>
      <w:r>
        <w:rPr>
          <w:spacing w:val="-2"/>
          <w:sz w:val="24"/>
        </w:rPr>
        <w:t> </w:t>
      </w:r>
      <w:r>
        <w:rPr>
          <w:sz w:val="24"/>
        </w:rPr>
        <w:t>13: 694-</w:t>
      </w:r>
      <w:r>
        <w:rPr>
          <w:spacing w:val="-4"/>
          <w:sz w:val="24"/>
        </w:rPr>
        <w:t>696.</w:t>
      </w:r>
    </w:p>
    <w:p>
      <w:pPr>
        <w:pStyle w:val="BodyText"/>
      </w:pPr>
    </w:p>
    <w:p>
      <w:pPr>
        <w:pStyle w:val="BodyText"/>
        <w:spacing w:before="3"/>
      </w:pPr>
    </w:p>
    <w:p>
      <w:pPr>
        <w:pStyle w:val="BodyText"/>
        <w:spacing w:line="360" w:lineRule="auto"/>
        <w:ind w:left="1748" w:right="796" w:hanging="721"/>
        <w:jc w:val="both"/>
      </w:pPr>
      <w:r>
        <w:rPr/>
        <w:t>Aluyor, E. O., Aluyor, P. and Ozigagu, C. E. (2009). Effect of refining on the quality and composition of groundnut oil. </w:t>
      </w:r>
      <w:r>
        <w:rPr>
          <w:i/>
        </w:rPr>
        <w:t>African Journal of Food Science</w:t>
      </w:r>
      <w:r>
        <w:rPr/>
        <w:t>, 3(8): 201- </w:t>
      </w:r>
      <w:r>
        <w:rPr>
          <w:spacing w:val="-4"/>
        </w:rPr>
        <w:t>205.</w:t>
      </w:r>
    </w:p>
    <w:p>
      <w:pPr>
        <w:pStyle w:val="BodyText"/>
        <w:spacing w:before="139"/>
      </w:pPr>
    </w:p>
    <w:p>
      <w:pPr>
        <w:spacing w:line="360" w:lineRule="auto" w:before="0"/>
        <w:ind w:left="1748" w:right="803" w:hanging="721"/>
        <w:jc w:val="both"/>
        <w:rPr>
          <w:sz w:val="24"/>
        </w:rPr>
      </w:pPr>
      <w:r>
        <w:rPr>
          <w:sz w:val="24"/>
        </w:rPr>
        <w:t>Ames, B. N., Profet, M. and Gold, L. S. (1990). </w:t>
      </w:r>
      <w:r>
        <w:rPr>
          <w:i/>
          <w:sz w:val="24"/>
        </w:rPr>
        <w:t>Nature’s chemicals and synthetic chemicals: Comparative toxicology</w:t>
      </w:r>
      <w:r>
        <w:rPr>
          <w:sz w:val="24"/>
        </w:rPr>
        <w:t>. Proceedings of the National Academy of Science, USA, 87: 7782-7786.</w:t>
      </w:r>
    </w:p>
    <w:p>
      <w:pPr>
        <w:pStyle w:val="BodyText"/>
        <w:spacing w:before="138"/>
      </w:pPr>
    </w:p>
    <w:p>
      <w:pPr>
        <w:pStyle w:val="BodyText"/>
        <w:spacing w:line="360" w:lineRule="auto"/>
        <w:ind w:left="1748" w:right="801" w:hanging="721"/>
        <w:jc w:val="both"/>
      </w:pPr>
      <w:r>
        <w:rPr/>
        <w:t>Antoniassi, N.A.B., Ferreira, E.V., Dos Santos, C.E.P., Arruda, L.P., Campos, J.L.E., Nakazato, L. and Codel, E.M. (2007). Intoxicação espontânea por </w:t>
      </w:r>
      <w:r>
        <w:rPr>
          <w:i/>
        </w:rPr>
        <w:t>Ipomoea carnea </w:t>
      </w:r>
      <w:r>
        <w:rPr/>
        <w:t>subsp. </w:t>
      </w:r>
      <w:r>
        <w:rPr>
          <w:i/>
        </w:rPr>
        <w:t>fistulosa </w:t>
      </w:r>
      <w:r>
        <w:rPr/>
        <w:t>(Convolvulaceae) em bovinos no Pantanal Matogrossense. </w:t>
      </w:r>
      <w:r>
        <w:rPr>
          <w:i/>
        </w:rPr>
        <w:t>Pesquisa Veterinaria Brasileira</w:t>
      </w:r>
      <w:r>
        <w:rPr/>
        <w:t>, 27: 415-418.</w:t>
      </w:r>
    </w:p>
    <w:p>
      <w:pPr>
        <w:spacing w:after="0" w:line="360" w:lineRule="auto"/>
        <w:jc w:val="both"/>
        <w:sectPr>
          <w:pgSz w:w="11910" w:h="16840"/>
          <w:pgMar w:header="0" w:footer="1012" w:top="1320" w:bottom="1200" w:left="960" w:right="620"/>
        </w:sectPr>
      </w:pPr>
    </w:p>
    <w:p>
      <w:pPr>
        <w:spacing w:line="360" w:lineRule="auto" w:before="79"/>
        <w:ind w:left="1748" w:right="806" w:hanging="721"/>
        <w:jc w:val="both"/>
        <w:rPr>
          <w:sz w:val="24"/>
        </w:rPr>
      </w:pPr>
      <w:r>
        <w:rPr>
          <w:sz w:val="24"/>
        </w:rPr>
        <w:t>Association of Official Analytical Chemists (AOAC). (1990). </w:t>
      </w:r>
      <w:r>
        <w:rPr>
          <w:i/>
          <w:sz w:val="24"/>
        </w:rPr>
        <w:t>Official methods of analysis of the association of official analytical chemist </w:t>
      </w:r>
      <w:r>
        <w:rPr>
          <w:sz w:val="24"/>
        </w:rPr>
        <w:t>(17</w:t>
      </w:r>
      <w:r>
        <w:rPr>
          <w:sz w:val="16"/>
        </w:rPr>
        <w:t>th </w:t>
      </w:r>
      <w:r>
        <w:rPr>
          <w:sz w:val="24"/>
        </w:rPr>
        <w:t>ed.). Arlington, Virginia: Association of official analytical chemist.</w:t>
      </w:r>
    </w:p>
    <w:p>
      <w:pPr>
        <w:pStyle w:val="BodyText"/>
        <w:spacing w:before="139"/>
      </w:pPr>
    </w:p>
    <w:p>
      <w:pPr>
        <w:spacing w:line="360" w:lineRule="auto" w:before="0"/>
        <w:ind w:left="1748" w:right="799" w:hanging="721"/>
        <w:jc w:val="both"/>
        <w:rPr>
          <w:sz w:val="24"/>
        </w:rPr>
      </w:pPr>
      <w:r>
        <w:rPr>
          <w:sz w:val="24"/>
        </w:rPr>
        <w:t>Aregheore, M.,</w:t>
      </w:r>
      <w:r>
        <w:rPr>
          <w:spacing w:val="-1"/>
          <w:sz w:val="24"/>
        </w:rPr>
        <w:t> </w:t>
      </w:r>
      <w:r>
        <w:rPr>
          <w:sz w:val="24"/>
        </w:rPr>
        <w:t>Becker, K. and</w:t>
      </w:r>
      <w:r>
        <w:rPr>
          <w:spacing w:val="-1"/>
          <w:sz w:val="24"/>
        </w:rPr>
        <w:t> </w:t>
      </w:r>
      <w:r>
        <w:rPr>
          <w:sz w:val="24"/>
        </w:rPr>
        <w:t>Makkar, H.P.S.</w:t>
      </w:r>
      <w:r>
        <w:rPr>
          <w:spacing w:val="-1"/>
          <w:sz w:val="24"/>
        </w:rPr>
        <w:t> </w:t>
      </w:r>
      <w:r>
        <w:rPr>
          <w:sz w:val="24"/>
        </w:rPr>
        <w:t>(2003). Detoxification of a toxic variety of </w:t>
      </w:r>
      <w:r>
        <w:rPr>
          <w:i/>
          <w:sz w:val="24"/>
        </w:rPr>
        <w:t>Jatropha curcas </w:t>
      </w:r>
      <w:r>
        <w:rPr>
          <w:sz w:val="24"/>
        </w:rPr>
        <w:t>using heat and chemical treatments, and preliminary nutritional evaluation with rats. </w:t>
      </w:r>
      <w:r>
        <w:rPr>
          <w:i/>
          <w:sz w:val="24"/>
        </w:rPr>
        <w:t>The South Pacific Journal of Natural Sciences</w:t>
      </w:r>
      <w:r>
        <w:rPr>
          <w:sz w:val="24"/>
        </w:rPr>
        <w:t>, 21:</w:t>
      </w:r>
      <w:r>
        <w:rPr>
          <w:spacing w:val="40"/>
          <w:sz w:val="24"/>
        </w:rPr>
        <w:t> </w:t>
      </w:r>
      <w:r>
        <w:rPr>
          <w:sz w:val="24"/>
        </w:rPr>
        <w:t>50-56.</w:t>
      </w:r>
    </w:p>
    <w:p>
      <w:pPr>
        <w:pStyle w:val="BodyText"/>
        <w:spacing w:before="137"/>
      </w:pPr>
    </w:p>
    <w:p>
      <w:pPr>
        <w:pStyle w:val="BodyText"/>
        <w:spacing w:line="362" w:lineRule="auto"/>
        <w:ind w:left="1748" w:right="804" w:hanging="721"/>
        <w:jc w:val="both"/>
      </w:pPr>
      <w:r>
        <w:rPr/>
        <w:t>Aslani, M.R.,</w:t>
      </w:r>
      <w:r>
        <w:rPr>
          <w:spacing w:val="40"/>
        </w:rPr>
        <w:t> </w:t>
      </w:r>
      <w:r>
        <w:rPr/>
        <w:t>Maleki, M., Mohri, M., Afshari, A., Sharifi, K. and Najarnezhad, V. (2007). Castor bean (</w:t>
      </w:r>
      <w:r>
        <w:rPr>
          <w:i/>
        </w:rPr>
        <w:t>Ricinus communis</w:t>
      </w:r>
      <w:r>
        <w:rPr/>
        <w:t>) toxicosis in a sheep flock. </w:t>
      </w:r>
      <w:r>
        <w:rPr>
          <w:i/>
        </w:rPr>
        <w:t>Toxicon, </w:t>
      </w:r>
      <w:r>
        <w:rPr/>
        <w:t>49: </w:t>
      </w:r>
      <w:r>
        <w:rPr>
          <w:spacing w:val="-2"/>
        </w:rPr>
        <w:t>400-406.</w:t>
      </w:r>
    </w:p>
    <w:p>
      <w:pPr>
        <w:pStyle w:val="BodyText"/>
        <w:spacing w:before="131"/>
      </w:pPr>
    </w:p>
    <w:p>
      <w:pPr>
        <w:pStyle w:val="BodyText"/>
        <w:ind w:left="1028"/>
        <w:jc w:val="both"/>
      </w:pPr>
      <w:r>
        <w:rPr/>
        <w:t>Aufreiter,</w:t>
      </w:r>
      <w:r>
        <w:rPr>
          <w:spacing w:val="3"/>
        </w:rPr>
        <w:t> </w:t>
      </w:r>
      <w:r>
        <w:rPr/>
        <w:t>S.,</w:t>
      </w:r>
      <w:r>
        <w:rPr>
          <w:spacing w:val="3"/>
        </w:rPr>
        <w:t> </w:t>
      </w:r>
      <w:r>
        <w:rPr/>
        <w:t>Mahaney,</w:t>
      </w:r>
      <w:r>
        <w:rPr>
          <w:spacing w:val="7"/>
        </w:rPr>
        <w:t> </w:t>
      </w:r>
      <w:r>
        <w:rPr/>
        <w:t>W.C.,</w:t>
      </w:r>
      <w:r>
        <w:rPr>
          <w:spacing w:val="3"/>
        </w:rPr>
        <w:t> </w:t>
      </w:r>
      <w:r>
        <w:rPr/>
        <w:t>Milner,</w:t>
      </w:r>
      <w:r>
        <w:rPr>
          <w:spacing w:val="4"/>
        </w:rPr>
        <w:t> </w:t>
      </w:r>
      <w:r>
        <w:rPr/>
        <w:t>M.W.,</w:t>
      </w:r>
      <w:r>
        <w:rPr>
          <w:spacing w:val="3"/>
        </w:rPr>
        <w:t> </w:t>
      </w:r>
      <w:r>
        <w:rPr/>
        <w:t>Hancock,</w:t>
      </w:r>
      <w:r>
        <w:rPr>
          <w:spacing w:val="3"/>
        </w:rPr>
        <w:t> </w:t>
      </w:r>
      <w:r>
        <w:rPr/>
        <w:t>R.G.V.,</w:t>
      </w:r>
      <w:r>
        <w:rPr>
          <w:spacing w:val="4"/>
        </w:rPr>
        <w:t> </w:t>
      </w:r>
      <w:r>
        <w:rPr/>
        <w:t>Ketch,</w:t>
      </w:r>
      <w:r>
        <w:rPr>
          <w:spacing w:val="3"/>
        </w:rPr>
        <w:t> </w:t>
      </w:r>
      <w:r>
        <w:rPr/>
        <w:t>L.,</w:t>
      </w:r>
      <w:r>
        <w:rPr>
          <w:spacing w:val="3"/>
        </w:rPr>
        <w:t> </w:t>
      </w:r>
      <w:r>
        <w:rPr/>
        <w:t>Malloch,</w:t>
      </w:r>
      <w:r>
        <w:rPr>
          <w:spacing w:val="4"/>
        </w:rPr>
        <w:t> </w:t>
      </w:r>
      <w:r>
        <w:rPr>
          <w:spacing w:val="-5"/>
        </w:rPr>
        <w:t>D.,</w:t>
      </w:r>
    </w:p>
    <w:p>
      <w:pPr>
        <w:pStyle w:val="BodyText"/>
        <w:spacing w:line="362" w:lineRule="auto" w:before="137"/>
        <w:ind w:left="1748" w:right="810"/>
        <w:jc w:val="both"/>
      </w:pPr>
      <w:r>
        <w:rPr/>
        <w:t>...Sodhi, R. (2001). Mineralogical and chemical interactions of soils eaten by chimpanzees of the Mahale mountains and Gombe stream National parks, Tanzania. </w:t>
      </w:r>
      <w:r>
        <w:rPr>
          <w:i/>
        </w:rPr>
        <w:t>Journal of Chemical Ecology, </w:t>
      </w:r>
      <w:r>
        <w:rPr/>
        <w:t>27: 285-311.</w:t>
      </w:r>
    </w:p>
    <w:p>
      <w:pPr>
        <w:pStyle w:val="BodyText"/>
        <w:spacing w:before="130"/>
      </w:pPr>
    </w:p>
    <w:p>
      <w:pPr>
        <w:spacing w:line="362" w:lineRule="auto" w:before="0"/>
        <w:ind w:left="1748" w:right="809" w:hanging="721"/>
        <w:jc w:val="both"/>
        <w:rPr>
          <w:sz w:val="24"/>
        </w:rPr>
      </w:pPr>
      <w:r>
        <w:rPr>
          <w:sz w:val="24"/>
        </w:rPr>
        <w:t>Augustus, G.D.P.S., Javabeans, M. and</w:t>
      </w:r>
      <w:r>
        <w:rPr>
          <w:spacing w:val="-1"/>
          <w:sz w:val="24"/>
        </w:rPr>
        <w:t> </w:t>
      </w:r>
      <w:r>
        <w:rPr>
          <w:sz w:val="24"/>
        </w:rPr>
        <w:t>Seiler, G.J. (2002).</w:t>
      </w:r>
      <w:r>
        <w:rPr>
          <w:spacing w:val="-2"/>
          <w:sz w:val="24"/>
        </w:rPr>
        <w:t> </w:t>
      </w:r>
      <w:r>
        <w:rPr>
          <w:sz w:val="24"/>
        </w:rPr>
        <w:t>Evaluation</w:t>
      </w:r>
      <w:r>
        <w:rPr>
          <w:spacing w:val="-4"/>
          <w:sz w:val="24"/>
        </w:rPr>
        <w:t> </w:t>
      </w:r>
      <w:r>
        <w:rPr>
          <w:sz w:val="24"/>
        </w:rPr>
        <w:t>and bioinduction of energy components of </w:t>
      </w:r>
      <w:r>
        <w:rPr>
          <w:i/>
          <w:sz w:val="24"/>
        </w:rPr>
        <w:t>Jatropha curcas</w:t>
      </w:r>
      <w:r>
        <w:rPr>
          <w:sz w:val="24"/>
        </w:rPr>
        <w:t>. </w:t>
      </w:r>
      <w:r>
        <w:rPr>
          <w:i/>
          <w:sz w:val="24"/>
        </w:rPr>
        <w:t>Biomass Bioenergy</w:t>
      </w:r>
      <w:r>
        <w:rPr>
          <w:sz w:val="24"/>
        </w:rPr>
        <w:t>, 23: 161-164.</w:t>
      </w:r>
    </w:p>
    <w:p>
      <w:pPr>
        <w:pStyle w:val="BodyText"/>
        <w:spacing w:before="134"/>
      </w:pPr>
    </w:p>
    <w:p>
      <w:pPr>
        <w:spacing w:line="362" w:lineRule="auto" w:before="0"/>
        <w:ind w:left="1748" w:right="800" w:hanging="721"/>
        <w:jc w:val="both"/>
        <w:rPr>
          <w:sz w:val="24"/>
        </w:rPr>
      </w:pPr>
      <w:r>
        <w:rPr>
          <w:sz w:val="24"/>
        </w:rPr>
        <w:t>Australia New Zealand Food Authority. (2001). </w:t>
      </w:r>
      <w:r>
        <w:rPr>
          <w:i/>
          <w:sz w:val="24"/>
        </w:rPr>
        <w:t>Pyrrolizidine Alkaloids in Food. A toxicological review and risk assessment</w:t>
      </w:r>
      <w:r>
        <w:rPr>
          <w:sz w:val="24"/>
        </w:rPr>
        <w:t>. Technical Report Series No.2. R</w:t>
      </w:r>
      <w:r>
        <w:rPr>
          <w:sz w:val="24"/>
          <w:u w:val="single"/>
        </w:rPr>
        <w:t>etrieved from: </w:t>
      </w:r>
      <w:hyperlink r:id="rId123">
        <w:r>
          <w:rPr>
            <w:sz w:val="24"/>
            <w:u w:val="single"/>
          </w:rPr>
          <w:t>www.foodstandards.gov.au/_srcfiles/TR2.pdf</w:t>
        </w:r>
        <w:r>
          <w:rPr>
            <w:sz w:val="24"/>
          </w:rPr>
          <w:t>.</w:t>
        </w:r>
      </w:hyperlink>
    </w:p>
    <w:p>
      <w:pPr>
        <w:pStyle w:val="BodyText"/>
        <w:spacing w:before="130"/>
      </w:pPr>
    </w:p>
    <w:p>
      <w:pPr>
        <w:spacing w:line="360" w:lineRule="auto" w:before="0"/>
        <w:ind w:left="1748" w:right="798" w:hanging="721"/>
        <w:jc w:val="both"/>
        <w:rPr>
          <w:sz w:val="24"/>
        </w:rPr>
      </w:pPr>
      <w:r>
        <w:rPr>
          <w:sz w:val="24"/>
        </w:rPr>
        <w:t>Barbieri, L., Battelli, M.G. and Stirpe, F. (1993). Ribosome-inactivating proteins from plants. </w:t>
      </w:r>
      <w:r>
        <w:rPr>
          <w:i/>
          <w:sz w:val="24"/>
        </w:rPr>
        <w:t>Biochimica et Biophysica Acta</w:t>
      </w:r>
      <w:r>
        <w:rPr>
          <w:sz w:val="24"/>
        </w:rPr>
        <w:t>, 1154: 237-282.</w:t>
      </w:r>
    </w:p>
    <w:p>
      <w:pPr>
        <w:pStyle w:val="BodyText"/>
        <w:spacing w:before="140"/>
      </w:pPr>
    </w:p>
    <w:p>
      <w:pPr>
        <w:spacing w:line="360" w:lineRule="auto" w:before="0"/>
        <w:ind w:left="1748" w:right="804" w:hanging="721"/>
        <w:jc w:val="both"/>
        <w:rPr>
          <w:sz w:val="24"/>
        </w:rPr>
      </w:pPr>
      <w:r>
        <w:rPr>
          <w:sz w:val="24"/>
        </w:rPr>
        <w:t>Becker, K. and Makkar, H.P.S. (2009). </w:t>
      </w:r>
      <w:r>
        <w:rPr>
          <w:i/>
          <w:sz w:val="24"/>
        </w:rPr>
        <w:t>Jatropha curcas</w:t>
      </w:r>
      <w:r>
        <w:rPr>
          <w:sz w:val="24"/>
        </w:rPr>
        <w:t>: A biodiesel source for tomorrow‟s oil and biodiesel. </w:t>
      </w:r>
      <w:r>
        <w:rPr>
          <w:i/>
          <w:sz w:val="24"/>
        </w:rPr>
        <w:t>European Journal of Lipid Science and Technology</w:t>
      </w:r>
      <w:r>
        <w:rPr>
          <w:sz w:val="24"/>
        </w:rPr>
        <w:t>, 20: 104-7.</w:t>
      </w:r>
    </w:p>
    <w:p>
      <w:pPr>
        <w:pStyle w:val="BodyText"/>
        <w:spacing w:before="139"/>
      </w:pPr>
    </w:p>
    <w:p>
      <w:pPr>
        <w:pStyle w:val="BodyText"/>
        <w:spacing w:line="360" w:lineRule="auto"/>
        <w:ind w:left="1748" w:right="808" w:hanging="721"/>
        <w:jc w:val="both"/>
      </w:pPr>
      <w:r>
        <w:rPr/>
        <w:t>Belewu, M.A., Adekola, F.A., Adebayo, G.B., Ameen, O.M., Muhammed, N.O., Olaniyan,</w:t>
      </w:r>
      <w:r>
        <w:rPr>
          <w:spacing w:val="36"/>
        </w:rPr>
        <w:t> </w:t>
      </w:r>
      <w:r>
        <w:rPr/>
        <w:t>A.M.</w:t>
      </w:r>
      <w:r>
        <w:rPr>
          <w:spacing w:val="32"/>
        </w:rPr>
        <w:t> </w:t>
      </w:r>
      <w:r>
        <w:rPr/>
        <w:t>and</w:t>
      </w:r>
      <w:r>
        <w:rPr>
          <w:spacing w:val="40"/>
        </w:rPr>
        <w:t> </w:t>
      </w:r>
      <w:r>
        <w:rPr/>
        <w:t>Adekola,</w:t>
      </w:r>
      <w:r>
        <w:rPr>
          <w:spacing w:val="32"/>
        </w:rPr>
        <w:t> </w:t>
      </w:r>
      <w:r>
        <w:rPr/>
        <w:t>O.F.</w:t>
      </w:r>
      <w:r>
        <w:rPr>
          <w:spacing w:val="32"/>
        </w:rPr>
        <w:t> </w:t>
      </w:r>
      <w:r>
        <w:rPr/>
        <w:t>(2010).</w:t>
      </w:r>
      <w:r>
        <w:rPr>
          <w:spacing w:val="32"/>
        </w:rPr>
        <w:t> </w:t>
      </w:r>
      <w:r>
        <w:rPr/>
        <w:t>Physicochemical</w:t>
      </w:r>
      <w:r>
        <w:rPr>
          <w:spacing w:val="26"/>
        </w:rPr>
        <w:t> </w:t>
      </w:r>
      <w:r>
        <w:rPr/>
        <w:t>characteristics</w:t>
      </w:r>
      <w:r>
        <w:rPr>
          <w:spacing w:val="29"/>
        </w:rPr>
        <w:t> </w:t>
      </w:r>
      <w:r>
        <w:rPr>
          <w:spacing w:val="-5"/>
        </w:rPr>
        <w:t>of</w:t>
      </w:r>
    </w:p>
    <w:p>
      <w:pPr>
        <w:spacing w:after="0" w:line="360" w:lineRule="auto"/>
        <w:jc w:val="both"/>
        <w:sectPr>
          <w:pgSz w:w="11910" w:h="16840"/>
          <w:pgMar w:header="0" w:footer="1012" w:top="1320" w:bottom="1200" w:left="960" w:right="620"/>
        </w:sectPr>
      </w:pPr>
    </w:p>
    <w:p>
      <w:pPr>
        <w:spacing w:line="360" w:lineRule="auto" w:before="79"/>
        <w:ind w:left="1748" w:right="670" w:firstLine="0"/>
        <w:jc w:val="left"/>
        <w:rPr>
          <w:sz w:val="24"/>
        </w:rPr>
      </w:pPr>
      <w:r>
        <w:rPr>
          <w:sz w:val="24"/>
        </w:rPr>
        <w:t>oil and biodiesel from</w:t>
      </w:r>
      <w:r>
        <w:rPr>
          <w:spacing w:val="-5"/>
          <w:sz w:val="24"/>
        </w:rPr>
        <w:t> </w:t>
      </w:r>
      <w:r>
        <w:rPr>
          <w:sz w:val="24"/>
        </w:rPr>
        <w:t>Nigerian and Indian </w:t>
      </w:r>
      <w:r>
        <w:rPr>
          <w:i/>
          <w:sz w:val="24"/>
        </w:rPr>
        <w:t>Jatropha curcas </w:t>
      </w:r>
      <w:r>
        <w:rPr>
          <w:sz w:val="24"/>
        </w:rPr>
        <w:t>seeds. </w:t>
      </w:r>
      <w:r>
        <w:rPr>
          <w:i/>
          <w:sz w:val="24"/>
        </w:rPr>
        <w:t>International Journal of Biological and Chemical Sciences</w:t>
      </w:r>
      <w:r>
        <w:rPr>
          <w:sz w:val="24"/>
        </w:rPr>
        <w:t>, 4(2): 524-529.</w:t>
      </w:r>
    </w:p>
    <w:p>
      <w:pPr>
        <w:pStyle w:val="BodyText"/>
        <w:spacing w:before="140"/>
      </w:pPr>
    </w:p>
    <w:p>
      <w:pPr>
        <w:pStyle w:val="BodyText"/>
        <w:ind w:left="1028"/>
      </w:pPr>
      <w:r>
        <w:rPr/>
        <w:t>Bokisch,</w:t>
      </w:r>
      <w:r>
        <w:rPr>
          <w:spacing w:val="16"/>
        </w:rPr>
        <w:t> </w:t>
      </w:r>
      <w:r>
        <w:rPr/>
        <w:t>M.</w:t>
      </w:r>
      <w:r>
        <w:rPr>
          <w:spacing w:val="18"/>
        </w:rPr>
        <w:t> </w:t>
      </w:r>
      <w:r>
        <w:rPr/>
        <w:t>(1993).</w:t>
      </w:r>
      <w:r>
        <w:rPr>
          <w:spacing w:val="16"/>
        </w:rPr>
        <w:t> </w:t>
      </w:r>
      <w:r>
        <w:rPr/>
        <w:t>Handbuch</w:t>
      </w:r>
      <w:r>
        <w:rPr>
          <w:spacing w:val="9"/>
        </w:rPr>
        <w:t> </w:t>
      </w:r>
      <w:r>
        <w:rPr/>
        <w:t>der</w:t>
      </w:r>
      <w:r>
        <w:rPr>
          <w:spacing w:val="17"/>
        </w:rPr>
        <w:t> </w:t>
      </w:r>
      <w:r>
        <w:rPr/>
        <w:t>Lebensmitteltechnologie-</w:t>
      </w:r>
      <w:r>
        <w:rPr>
          <w:spacing w:val="16"/>
        </w:rPr>
        <w:t> </w:t>
      </w:r>
      <w:r>
        <w:rPr/>
        <w:t>Nahrungsfette</w:t>
      </w:r>
      <w:r>
        <w:rPr>
          <w:spacing w:val="13"/>
        </w:rPr>
        <w:t> </w:t>
      </w:r>
      <w:r>
        <w:rPr/>
        <w:t>und</w:t>
      </w:r>
      <w:r>
        <w:rPr>
          <w:spacing w:val="16"/>
        </w:rPr>
        <w:t> </w:t>
      </w:r>
      <w:r>
        <w:rPr/>
        <w:t>-o¨</w:t>
      </w:r>
      <w:r>
        <w:rPr>
          <w:spacing w:val="17"/>
        </w:rPr>
        <w:t> </w:t>
      </w:r>
      <w:r>
        <w:rPr>
          <w:spacing w:val="-5"/>
        </w:rPr>
        <w:t>le.</w:t>
      </w:r>
    </w:p>
    <w:p>
      <w:pPr>
        <w:pStyle w:val="BodyText"/>
        <w:spacing w:before="137"/>
        <w:ind w:left="1748"/>
      </w:pPr>
      <w:r>
        <w:rPr/>
        <w:t>Ulmer,</w:t>
      </w:r>
      <w:r>
        <w:rPr>
          <w:spacing w:val="-3"/>
        </w:rPr>
        <w:t> </w:t>
      </w:r>
      <w:r>
        <w:rPr/>
        <w:t>Stuttgart,</w:t>
      </w:r>
      <w:r>
        <w:rPr>
          <w:spacing w:val="-1"/>
        </w:rPr>
        <w:t> </w:t>
      </w:r>
      <w:r>
        <w:rPr/>
        <w:t>pp.</w:t>
      </w:r>
      <w:r>
        <w:rPr>
          <w:spacing w:val="-1"/>
        </w:rPr>
        <w:t> </w:t>
      </w:r>
      <w:r>
        <w:rPr>
          <w:spacing w:val="-4"/>
        </w:rPr>
        <w:t>346.</w:t>
      </w:r>
    </w:p>
    <w:p>
      <w:pPr>
        <w:pStyle w:val="BodyText"/>
      </w:pPr>
    </w:p>
    <w:p>
      <w:pPr>
        <w:pStyle w:val="BodyText"/>
        <w:spacing w:before="2"/>
      </w:pPr>
    </w:p>
    <w:p>
      <w:pPr>
        <w:spacing w:before="0"/>
        <w:ind w:left="1028" w:right="0" w:firstLine="0"/>
        <w:jc w:val="left"/>
        <w:rPr>
          <w:sz w:val="24"/>
        </w:rPr>
      </w:pPr>
      <w:r>
        <w:rPr>
          <w:sz w:val="24"/>
        </w:rPr>
        <w:t>British</w:t>
      </w:r>
      <w:r>
        <w:rPr>
          <w:spacing w:val="77"/>
          <w:sz w:val="24"/>
        </w:rPr>
        <w:t> </w:t>
      </w:r>
      <w:r>
        <w:rPr>
          <w:sz w:val="24"/>
        </w:rPr>
        <w:t>Standard</w:t>
      </w:r>
      <w:r>
        <w:rPr>
          <w:spacing w:val="53"/>
          <w:w w:val="150"/>
          <w:sz w:val="24"/>
        </w:rPr>
        <w:t> </w:t>
      </w:r>
      <w:r>
        <w:rPr>
          <w:sz w:val="24"/>
        </w:rPr>
        <w:t>Institutions</w:t>
      </w:r>
      <w:r>
        <w:rPr>
          <w:spacing w:val="50"/>
          <w:w w:val="150"/>
          <w:sz w:val="24"/>
        </w:rPr>
        <w:t> </w:t>
      </w:r>
      <w:r>
        <w:rPr>
          <w:sz w:val="24"/>
        </w:rPr>
        <w:t>(1936).</w:t>
      </w:r>
      <w:r>
        <w:rPr>
          <w:spacing w:val="61"/>
          <w:w w:val="150"/>
          <w:sz w:val="24"/>
        </w:rPr>
        <w:t> </w:t>
      </w:r>
      <w:r>
        <w:rPr>
          <w:i/>
          <w:sz w:val="24"/>
        </w:rPr>
        <w:t>Standard</w:t>
      </w:r>
      <w:r>
        <w:rPr>
          <w:i/>
          <w:spacing w:val="53"/>
          <w:w w:val="150"/>
          <w:sz w:val="24"/>
        </w:rPr>
        <w:t> </w:t>
      </w:r>
      <w:r>
        <w:rPr>
          <w:i/>
          <w:sz w:val="24"/>
        </w:rPr>
        <w:t>Methods</w:t>
      </w:r>
      <w:r>
        <w:rPr>
          <w:i/>
          <w:spacing w:val="50"/>
          <w:w w:val="150"/>
          <w:sz w:val="24"/>
        </w:rPr>
        <w:t> </w:t>
      </w:r>
      <w:r>
        <w:rPr>
          <w:i/>
          <w:sz w:val="24"/>
        </w:rPr>
        <w:t>for</w:t>
      </w:r>
      <w:r>
        <w:rPr>
          <w:i/>
          <w:spacing w:val="51"/>
          <w:w w:val="150"/>
          <w:sz w:val="24"/>
        </w:rPr>
        <w:t> </w:t>
      </w:r>
      <w:r>
        <w:rPr>
          <w:i/>
          <w:sz w:val="24"/>
        </w:rPr>
        <w:t>the</w:t>
      </w:r>
      <w:r>
        <w:rPr>
          <w:i/>
          <w:spacing w:val="52"/>
          <w:w w:val="150"/>
          <w:sz w:val="24"/>
        </w:rPr>
        <w:t> </w:t>
      </w:r>
      <w:r>
        <w:rPr>
          <w:i/>
          <w:sz w:val="24"/>
        </w:rPr>
        <w:t>Analysis</w:t>
      </w:r>
      <w:r>
        <w:rPr>
          <w:i/>
          <w:spacing w:val="52"/>
          <w:w w:val="150"/>
          <w:sz w:val="24"/>
        </w:rPr>
        <w:t> </w:t>
      </w:r>
      <w:r>
        <w:rPr>
          <w:i/>
          <w:sz w:val="24"/>
        </w:rPr>
        <w:t>of</w:t>
      </w:r>
      <w:r>
        <w:rPr>
          <w:i/>
          <w:spacing w:val="58"/>
          <w:w w:val="150"/>
          <w:sz w:val="24"/>
        </w:rPr>
        <w:t> </w:t>
      </w:r>
      <w:r>
        <w:rPr>
          <w:i/>
          <w:spacing w:val="-2"/>
          <w:sz w:val="24"/>
        </w:rPr>
        <w:t>Fats</w:t>
      </w:r>
      <w:r>
        <w:rPr>
          <w:spacing w:val="-2"/>
          <w:sz w:val="24"/>
        </w:rPr>
        <w:t>.</w:t>
      </w:r>
    </w:p>
    <w:p>
      <w:pPr>
        <w:pStyle w:val="BodyText"/>
        <w:spacing w:before="138"/>
        <w:ind w:left="1748"/>
      </w:pPr>
      <w:r>
        <w:rPr/>
        <w:t>Victoria,</w:t>
      </w:r>
      <w:r>
        <w:rPr>
          <w:spacing w:val="-1"/>
        </w:rPr>
        <w:t> </w:t>
      </w:r>
      <w:r>
        <w:rPr/>
        <w:t>London, pp.</w:t>
      </w:r>
      <w:r>
        <w:rPr>
          <w:spacing w:val="-5"/>
        </w:rPr>
        <w:t> </w:t>
      </w:r>
      <w:r>
        <w:rPr>
          <w:spacing w:val="-4"/>
        </w:rPr>
        <w:t>684.</w:t>
      </w:r>
    </w:p>
    <w:p>
      <w:pPr>
        <w:pStyle w:val="BodyText"/>
        <w:spacing w:before="273"/>
      </w:pPr>
    </w:p>
    <w:p>
      <w:pPr>
        <w:spacing w:line="362" w:lineRule="auto" w:before="0"/>
        <w:ind w:left="1748" w:right="803" w:hanging="721"/>
        <w:jc w:val="both"/>
        <w:rPr>
          <w:sz w:val="24"/>
        </w:rPr>
      </w:pPr>
      <w:r>
        <w:rPr>
          <w:sz w:val="24"/>
        </w:rPr>
        <w:t>Bruneton, J. (1995). </w:t>
      </w:r>
      <w:r>
        <w:rPr>
          <w:i/>
          <w:sz w:val="24"/>
        </w:rPr>
        <w:t>Pharmacognosie, Phytochimie, Plantes Médicinales; Éditions Technique &amp; Documentation</w:t>
      </w:r>
      <w:r>
        <w:rPr>
          <w:sz w:val="24"/>
        </w:rPr>
        <w:t>. Paris, France, pp. 1120.</w:t>
      </w:r>
    </w:p>
    <w:p>
      <w:pPr>
        <w:pStyle w:val="BodyText"/>
        <w:spacing w:before="134"/>
      </w:pPr>
    </w:p>
    <w:p>
      <w:pPr>
        <w:pStyle w:val="BodyText"/>
        <w:spacing w:line="360" w:lineRule="auto" w:before="1"/>
        <w:ind w:left="1748" w:right="806" w:hanging="721"/>
        <w:jc w:val="both"/>
      </w:pPr>
      <w:r>
        <w:rPr/>
        <w:t>Butler, L., Rogler, J., Mehansho, H. and Carlson, D. (1986). Dietary</w:t>
      </w:r>
      <w:r>
        <w:rPr>
          <w:spacing w:val="-10"/>
        </w:rPr>
        <w:t> </w:t>
      </w:r>
      <w:r>
        <w:rPr/>
        <w:t>Effects</w:t>
      </w:r>
      <w:r>
        <w:rPr>
          <w:spacing w:val="-3"/>
        </w:rPr>
        <w:t> </w:t>
      </w:r>
      <w:r>
        <w:rPr/>
        <w:t>of</w:t>
      </w:r>
      <w:r>
        <w:rPr>
          <w:spacing w:val="-8"/>
        </w:rPr>
        <w:t> </w:t>
      </w:r>
      <w:r>
        <w:rPr/>
        <w:t>Tannins. In: Plant Flavonoids in Biology and Medicine; Biochemical, Pharmacological, and Structure Activity Relationships, New York, USA, pp. 141-157.</w:t>
      </w:r>
    </w:p>
    <w:p>
      <w:pPr>
        <w:pStyle w:val="BodyText"/>
        <w:spacing w:before="138"/>
      </w:pPr>
    </w:p>
    <w:p>
      <w:pPr>
        <w:pStyle w:val="BodyText"/>
        <w:spacing w:line="360" w:lineRule="auto"/>
        <w:ind w:left="1748" w:right="801" w:hanging="721"/>
        <w:jc w:val="both"/>
      </w:pPr>
      <w:r>
        <w:rPr/>
        <w:t>Castilla-Guerra, L., Fernandez-Moreno, M.C., Lopez-Chozas, J.M. and Fernandez- Bolanos, R. (2006). Electrolyte disturbances and seizures. </w:t>
      </w:r>
      <w:r>
        <w:rPr>
          <w:i/>
        </w:rPr>
        <w:t>Epilepsia</w:t>
      </w:r>
      <w:r>
        <w:rPr/>
        <w:t>, 47(12): </w:t>
      </w:r>
      <w:r>
        <w:rPr>
          <w:spacing w:val="-2"/>
        </w:rPr>
        <w:t>1990-1998.</w:t>
      </w:r>
    </w:p>
    <w:p>
      <w:pPr>
        <w:pStyle w:val="BodyText"/>
        <w:spacing w:before="139"/>
      </w:pPr>
    </w:p>
    <w:p>
      <w:pPr>
        <w:pStyle w:val="BodyText"/>
        <w:spacing w:line="360" w:lineRule="auto"/>
        <w:ind w:left="1748" w:right="802" w:hanging="721"/>
        <w:jc w:val="both"/>
      </w:pPr>
      <w:r>
        <w:rPr/>
        <w:t>Cao, H. (2003). The distribution of calcium oxalate crystals in genus </w:t>
      </w:r>
      <w:r>
        <w:rPr>
          <w:i/>
        </w:rPr>
        <w:t>Dieffenbachia </w:t>
      </w:r>
      <w:r>
        <w:rPr/>
        <w:t>Schott and the relationship between environmental factors and crystal quantity and quality. (University of Florida, Master‟s thesis).</w:t>
      </w:r>
    </w:p>
    <w:p>
      <w:pPr>
        <w:pStyle w:val="BodyText"/>
        <w:spacing w:before="138"/>
      </w:pPr>
    </w:p>
    <w:p>
      <w:pPr>
        <w:spacing w:before="0"/>
        <w:ind w:left="1028" w:right="0" w:firstLine="0"/>
        <w:jc w:val="left"/>
        <w:rPr>
          <w:sz w:val="24"/>
        </w:rPr>
      </w:pPr>
      <w:r>
        <w:rPr>
          <w:sz w:val="24"/>
        </w:rPr>
        <w:t>Cronquist,</w:t>
      </w:r>
      <w:r>
        <w:rPr>
          <w:spacing w:val="73"/>
          <w:w w:val="150"/>
          <w:sz w:val="24"/>
        </w:rPr>
        <w:t> </w:t>
      </w:r>
      <w:r>
        <w:rPr>
          <w:sz w:val="24"/>
        </w:rPr>
        <w:t>A.</w:t>
      </w:r>
      <w:r>
        <w:rPr>
          <w:spacing w:val="76"/>
          <w:w w:val="150"/>
          <w:sz w:val="24"/>
        </w:rPr>
        <w:t> </w:t>
      </w:r>
      <w:r>
        <w:rPr>
          <w:sz w:val="24"/>
        </w:rPr>
        <w:t>(1981).</w:t>
      </w:r>
      <w:r>
        <w:rPr>
          <w:spacing w:val="76"/>
          <w:w w:val="150"/>
          <w:sz w:val="24"/>
        </w:rPr>
        <w:t> </w:t>
      </w:r>
      <w:r>
        <w:rPr>
          <w:i/>
          <w:sz w:val="24"/>
        </w:rPr>
        <w:t>Integrated</w:t>
      </w:r>
      <w:r>
        <w:rPr>
          <w:i/>
          <w:spacing w:val="74"/>
          <w:w w:val="150"/>
          <w:sz w:val="24"/>
        </w:rPr>
        <w:t> </w:t>
      </w:r>
      <w:r>
        <w:rPr>
          <w:i/>
          <w:sz w:val="24"/>
        </w:rPr>
        <w:t>System</w:t>
      </w:r>
      <w:r>
        <w:rPr>
          <w:i/>
          <w:spacing w:val="73"/>
          <w:w w:val="150"/>
          <w:sz w:val="24"/>
        </w:rPr>
        <w:t> </w:t>
      </w:r>
      <w:r>
        <w:rPr>
          <w:i/>
          <w:sz w:val="24"/>
        </w:rPr>
        <w:t>of</w:t>
      </w:r>
      <w:r>
        <w:rPr>
          <w:i/>
          <w:spacing w:val="75"/>
          <w:w w:val="150"/>
          <w:sz w:val="24"/>
        </w:rPr>
        <w:t> </w:t>
      </w:r>
      <w:r>
        <w:rPr>
          <w:i/>
          <w:sz w:val="24"/>
        </w:rPr>
        <w:t>Classification</w:t>
      </w:r>
      <w:r>
        <w:rPr>
          <w:i/>
          <w:spacing w:val="75"/>
          <w:w w:val="150"/>
          <w:sz w:val="24"/>
        </w:rPr>
        <w:t> </w:t>
      </w:r>
      <w:r>
        <w:rPr>
          <w:i/>
          <w:sz w:val="24"/>
        </w:rPr>
        <w:t>of</w:t>
      </w:r>
      <w:r>
        <w:rPr>
          <w:i/>
          <w:spacing w:val="75"/>
          <w:w w:val="150"/>
          <w:sz w:val="24"/>
        </w:rPr>
        <w:t> </w:t>
      </w:r>
      <w:r>
        <w:rPr>
          <w:i/>
          <w:sz w:val="24"/>
        </w:rPr>
        <w:t>Flowering</w:t>
      </w:r>
      <w:r>
        <w:rPr>
          <w:i/>
          <w:spacing w:val="75"/>
          <w:w w:val="150"/>
          <w:sz w:val="24"/>
        </w:rPr>
        <w:t> </w:t>
      </w:r>
      <w:r>
        <w:rPr>
          <w:i/>
          <w:spacing w:val="-2"/>
          <w:sz w:val="24"/>
        </w:rPr>
        <w:t>Plants</w:t>
      </w:r>
      <w:r>
        <w:rPr>
          <w:spacing w:val="-2"/>
          <w:sz w:val="24"/>
        </w:rPr>
        <w:t>.</w:t>
      </w:r>
    </w:p>
    <w:p>
      <w:pPr>
        <w:pStyle w:val="BodyText"/>
        <w:spacing w:before="137"/>
        <w:ind w:left="1748"/>
      </w:pPr>
      <w:r>
        <w:rPr/>
        <w:t>Columbia</w:t>
      </w:r>
      <w:r>
        <w:rPr>
          <w:spacing w:val="-2"/>
        </w:rPr>
        <w:t> </w:t>
      </w:r>
      <w:r>
        <w:rPr/>
        <w:t>University</w:t>
      </w:r>
      <w:r>
        <w:rPr>
          <w:spacing w:val="-9"/>
        </w:rPr>
        <w:t> </w:t>
      </w:r>
      <w:r>
        <w:rPr/>
        <w:t>Press,</w:t>
      </w:r>
      <w:r>
        <w:rPr>
          <w:spacing w:val="2"/>
        </w:rPr>
        <w:t> </w:t>
      </w:r>
      <w:r>
        <w:rPr/>
        <w:t>New</w:t>
      </w:r>
      <w:r>
        <w:rPr>
          <w:spacing w:val="-1"/>
        </w:rPr>
        <w:t> </w:t>
      </w:r>
      <w:r>
        <w:rPr/>
        <w:t>York,</w:t>
      </w:r>
      <w:r>
        <w:rPr>
          <w:spacing w:val="-3"/>
        </w:rPr>
        <w:t> </w:t>
      </w:r>
      <w:r>
        <w:rPr/>
        <w:t>U.S.A,</w:t>
      </w:r>
      <w:r>
        <w:rPr>
          <w:spacing w:val="1"/>
        </w:rPr>
        <w:t> </w:t>
      </w:r>
      <w:r>
        <w:rPr/>
        <w:t>pp.</w:t>
      </w:r>
      <w:r>
        <w:rPr>
          <w:spacing w:val="-6"/>
        </w:rPr>
        <w:t> </w:t>
      </w:r>
      <w:r>
        <w:rPr>
          <w:spacing w:val="-2"/>
        </w:rPr>
        <w:t>1262.</w:t>
      </w:r>
    </w:p>
    <w:p>
      <w:pPr>
        <w:pStyle w:val="BodyText"/>
      </w:pPr>
    </w:p>
    <w:p>
      <w:pPr>
        <w:pStyle w:val="BodyText"/>
        <w:spacing w:before="3"/>
      </w:pPr>
    </w:p>
    <w:p>
      <w:pPr>
        <w:pStyle w:val="BodyText"/>
        <w:ind w:left="1028"/>
      </w:pPr>
      <w:r>
        <w:rPr/>
        <w:t>D‟Mello,</w:t>
      </w:r>
      <w:r>
        <w:rPr>
          <w:spacing w:val="47"/>
        </w:rPr>
        <w:t> </w:t>
      </w:r>
      <w:r>
        <w:rPr/>
        <w:t>J.P.F.</w:t>
      </w:r>
      <w:r>
        <w:rPr>
          <w:spacing w:val="48"/>
        </w:rPr>
        <w:t> </w:t>
      </w:r>
      <w:r>
        <w:rPr/>
        <w:t>(1995a).</w:t>
      </w:r>
      <w:r>
        <w:rPr>
          <w:spacing w:val="48"/>
        </w:rPr>
        <w:t> </w:t>
      </w:r>
      <w:r>
        <w:rPr/>
        <w:t>Antinutritional</w:t>
      </w:r>
      <w:r>
        <w:rPr>
          <w:spacing w:val="42"/>
        </w:rPr>
        <w:t> </w:t>
      </w:r>
      <w:r>
        <w:rPr/>
        <w:t>Substances</w:t>
      </w:r>
      <w:r>
        <w:rPr>
          <w:spacing w:val="47"/>
        </w:rPr>
        <w:t> </w:t>
      </w:r>
      <w:r>
        <w:rPr/>
        <w:t>in</w:t>
      </w:r>
      <w:r>
        <w:rPr>
          <w:spacing w:val="46"/>
        </w:rPr>
        <w:t> </w:t>
      </w:r>
      <w:r>
        <w:rPr/>
        <w:t>Legume</w:t>
      </w:r>
      <w:r>
        <w:rPr>
          <w:spacing w:val="45"/>
        </w:rPr>
        <w:t> </w:t>
      </w:r>
      <w:r>
        <w:rPr/>
        <w:t>Seeds.</w:t>
      </w:r>
      <w:r>
        <w:rPr>
          <w:spacing w:val="47"/>
        </w:rPr>
        <w:t> </w:t>
      </w:r>
      <w:r>
        <w:rPr/>
        <w:t>In:</w:t>
      </w:r>
      <w:r>
        <w:rPr>
          <w:spacing w:val="47"/>
        </w:rPr>
        <w:t> </w:t>
      </w:r>
      <w:r>
        <w:rPr>
          <w:spacing w:val="-2"/>
        </w:rPr>
        <w:t>D‟Mello,</w:t>
      </w:r>
    </w:p>
    <w:p>
      <w:pPr>
        <w:spacing w:line="360" w:lineRule="auto" w:before="137"/>
        <w:ind w:left="1748" w:right="0" w:firstLine="0"/>
        <w:jc w:val="left"/>
        <w:rPr>
          <w:sz w:val="24"/>
        </w:rPr>
      </w:pPr>
      <w:r>
        <w:rPr>
          <w:sz w:val="24"/>
        </w:rPr>
        <w:t>J.P.F.</w:t>
      </w:r>
      <w:r>
        <w:rPr>
          <w:spacing w:val="40"/>
          <w:sz w:val="24"/>
        </w:rPr>
        <w:t> </w:t>
      </w:r>
      <w:r>
        <w:rPr>
          <w:sz w:val="24"/>
        </w:rPr>
        <w:t>and</w:t>
      </w:r>
      <w:r>
        <w:rPr>
          <w:spacing w:val="40"/>
          <w:sz w:val="24"/>
        </w:rPr>
        <w:t> </w:t>
      </w:r>
      <w:r>
        <w:rPr>
          <w:sz w:val="24"/>
        </w:rPr>
        <w:t>Devendra,</w:t>
      </w:r>
      <w:r>
        <w:rPr>
          <w:spacing w:val="40"/>
          <w:sz w:val="24"/>
        </w:rPr>
        <w:t> </w:t>
      </w:r>
      <w:r>
        <w:rPr>
          <w:sz w:val="24"/>
        </w:rPr>
        <w:t>C.</w:t>
      </w:r>
      <w:r>
        <w:rPr>
          <w:spacing w:val="40"/>
          <w:sz w:val="24"/>
        </w:rPr>
        <w:t> </w:t>
      </w:r>
      <w:r>
        <w:rPr>
          <w:sz w:val="24"/>
        </w:rPr>
        <w:t>(Ed.)</w:t>
      </w:r>
      <w:r>
        <w:rPr>
          <w:spacing w:val="40"/>
          <w:sz w:val="24"/>
        </w:rPr>
        <w:t> </w:t>
      </w:r>
      <w:r>
        <w:rPr>
          <w:i/>
          <w:sz w:val="24"/>
        </w:rPr>
        <w:t>Tropical</w:t>
      </w:r>
      <w:r>
        <w:rPr>
          <w:i/>
          <w:spacing w:val="40"/>
          <w:sz w:val="24"/>
        </w:rPr>
        <w:t> </w:t>
      </w:r>
      <w:r>
        <w:rPr>
          <w:i/>
          <w:sz w:val="24"/>
        </w:rPr>
        <w:t>Legumes</w:t>
      </w:r>
      <w:r>
        <w:rPr>
          <w:i/>
          <w:spacing w:val="40"/>
          <w:sz w:val="24"/>
        </w:rPr>
        <w:t> </w:t>
      </w:r>
      <w:r>
        <w:rPr>
          <w:i/>
          <w:sz w:val="24"/>
        </w:rPr>
        <w:t>in</w:t>
      </w:r>
      <w:r>
        <w:rPr>
          <w:i/>
          <w:spacing w:val="40"/>
          <w:sz w:val="24"/>
        </w:rPr>
        <w:t> </w:t>
      </w:r>
      <w:r>
        <w:rPr>
          <w:i/>
          <w:sz w:val="24"/>
        </w:rPr>
        <w:t>Animal</w:t>
      </w:r>
      <w:r>
        <w:rPr>
          <w:i/>
          <w:spacing w:val="40"/>
          <w:sz w:val="24"/>
        </w:rPr>
        <w:t> </w:t>
      </w:r>
      <w:r>
        <w:rPr>
          <w:i/>
          <w:sz w:val="24"/>
        </w:rPr>
        <w:t>Nutrition</w:t>
      </w:r>
      <w:r>
        <w:rPr>
          <w:sz w:val="24"/>
        </w:rPr>
        <w:t>.</w:t>
      </w:r>
      <w:r>
        <w:rPr>
          <w:spacing w:val="40"/>
          <w:sz w:val="24"/>
        </w:rPr>
        <w:t> </w:t>
      </w:r>
      <w:r>
        <w:rPr>
          <w:sz w:val="24"/>
        </w:rPr>
        <w:t>CAB International, U.K., pp. 135-172.</w:t>
      </w:r>
    </w:p>
    <w:p>
      <w:pPr>
        <w:pStyle w:val="BodyText"/>
        <w:spacing w:before="140"/>
      </w:pPr>
    </w:p>
    <w:p>
      <w:pPr>
        <w:pStyle w:val="BodyText"/>
        <w:spacing w:line="360" w:lineRule="auto"/>
        <w:ind w:left="1748" w:right="805" w:hanging="721"/>
        <w:jc w:val="both"/>
      </w:pPr>
      <w:r>
        <w:rPr/>
        <w:t>D‟Mello, J.P.F. (1995b). Underutilized Legume Grains in Non-Ruminant Nutrition. In: D‟Mello, J.P.F. and Devendra, C. (Ed.) </w:t>
      </w:r>
      <w:r>
        <w:rPr>
          <w:i/>
        </w:rPr>
        <w:t>Tropical Legumes in Animal Nutrition. </w:t>
      </w:r>
      <w:r>
        <w:rPr/>
        <w:t>CAB International, U.K., pp. 289-329.</w:t>
      </w:r>
    </w:p>
    <w:p>
      <w:pPr>
        <w:spacing w:after="0" w:line="360" w:lineRule="auto"/>
        <w:jc w:val="both"/>
        <w:sectPr>
          <w:pgSz w:w="11910" w:h="16840"/>
          <w:pgMar w:header="0" w:footer="1012" w:top="1320" w:bottom="1200" w:left="960" w:right="620"/>
        </w:sectPr>
      </w:pPr>
    </w:p>
    <w:p>
      <w:pPr>
        <w:spacing w:line="362" w:lineRule="auto" w:before="72"/>
        <w:ind w:left="1748" w:right="808" w:hanging="721"/>
        <w:jc w:val="both"/>
        <w:rPr>
          <w:sz w:val="24"/>
        </w:rPr>
      </w:pPr>
      <w:r>
        <w:rPr>
          <w:sz w:val="24"/>
        </w:rPr>
        <w:t>Dalziel, J.M. (1955). </w:t>
      </w:r>
      <w:r>
        <w:rPr>
          <w:i/>
          <w:sz w:val="24"/>
        </w:rPr>
        <w:t>The Useful Plants of West-Tropical Africa</w:t>
      </w:r>
      <w:r>
        <w:rPr>
          <w:sz w:val="24"/>
        </w:rPr>
        <w:t>. Crown Agents for Oversea Governments and Administration, London, pp. 147.</w:t>
      </w:r>
    </w:p>
    <w:p>
      <w:pPr>
        <w:pStyle w:val="BodyText"/>
        <w:spacing w:before="134"/>
      </w:pPr>
    </w:p>
    <w:p>
      <w:pPr>
        <w:pStyle w:val="BodyText"/>
        <w:ind w:left="1028"/>
      </w:pPr>
      <w:r>
        <w:rPr/>
        <w:t>De</w:t>
      </w:r>
      <w:r>
        <w:rPr>
          <w:spacing w:val="-5"/>
        </w:rPr>
        <w:t> </w:t>
      </w:r>
      <w:r>
        <w:rPr/>
        <w:t>Feo,</w:t>
      </w:r>
      <w:r>
        <w:rPr>
          <w:spacing w:val="1"/>
        </w:rPr>
        <w:t> </w:t>
      </w:r>
      <w:r>
        <w:rPr/>
        <w:t>V.</w:t>
      </w:r>
      <w:r>
        <w:rPr>
          <w:spacing w:val="1"/>
        </w:rPr>
        <w:t> </w:t>
      </w:r>
      <w:r>
        <w:rPr/>
        <w:t>(1989).</w:t>
      </w:r>
      <w:r>
        <w:rPr>
          <w:spacing w:val="-4"/>
        </w:rPr>
        <w:t> </w:t>
      </w:r>
      <w:r>
        <w:rPr/>
        <w:t>Use</w:t>
      </w:r>
      <w:r>
        <w:rPr>
          <w:spacing w:val="-6"/>
        </w:rPr>
        <w:t> </w:t>
      </w:r>
      <w:r>
        <w:rPr/>
        <w:t>of</w:t>
      </w:r>
      <w:r>
        <w:rPr>
          <w:spacing w:val="-9"/>
        </w:rPr>
        <w:t> </w:t>
      </w:r>
      <w:r>
        <w:rPr/>
        <w:t>plant</w:t>
      </w:r>
      <w:r>
        <w:rPr>
          <w:spacing w:val="4"/>
        </w:rPr>
        <w:t> </w:t>
      </w:r>
      <w:r>
        <w:rPr/>
        <w:t>action</w:t>
      </w:r>
      <w:r>
        <w:rPr>
          <w:spacing w:val="-5"/>
        </w:rPr>
        <w:t> </w:t>
      </w:r>
      <w:r>
        <w:rPr/>
        <w:t>anti-inflammatoria</w:t>
      </w:r>
      <w:r>
        <w:rPr>
          <w:spacing w:val="-2"/>
        </w:rPr>
        <w:t> </w:t>
      </w:r>
      <w:r>
        <w:rPr/>
        <w:t>upper Ucayall,</w:t>
      </w:r>
      <w:r>
        <w:rPr>
          <w:spacing w:val="1"/>
        </w:rPr>
        <w:t> </w:t>
      </w:r>
      <w:r>
        <w:rPr/>
        <w:t>eastern</w:t>
      </w:r>
      <w:r>
        <w:rPr>
          <w:spacing w:val="-5"/>
        </w:rPr>
        <w:t> </w:t>
      </w:r>
      <w:r>
        <w:rPr>
          <w:spacing w:val="-2"/>
        </w:rPr>
        <w:t>Peru.</w:t>
      </w:r>
    </w:p>
    <w:p>
      <w:pPr>
        <w:spacing w:before="137"/>
        <w:ind w:left="1748" w:right="0" w:firstLine="0"/>
        <w:jc w:val="left"/>
        <w:rPr>
          <w:sz w:val="24"/>
        </w:rPr>
      </w:pPr>
      <w:r>
        <w:rPr>
          <w:i/>
          <w:sz w:val="24"/>
        </w:rPr>
        <w:t>Fitoterapia</w:t>
      </w:r>
      <w:r>
        <w:rPr>
          <w:sz w:val="24"/>
        </w:rPr>
        <w:t>, 62:</w:t>
      </w:r>
      <w:r>
        <w:rPr>
          <w:spacing w:val="1"/>
          <w:sz w:val="24"/>
        </w:rPr>
        <w:t> </w:t>
      </w:r>
      <w:r>
        <w:rPr>
          <w:sz w:val="24"/>
        </w:rPr>
        <w:t>481-</w:t>
      </w:r>
      <w:r>
        <w:rPr>
          <w:spacing w:val="-4"/>
          <w:sz w:val="24"/>
        </w:rPr>
        <w:t>494.</w:t>
      </w:r>
    </w:p>
    <w:p>
      <w:pPr>
        <w:pStyle w:val="BodyText"/>
      </w:pPr>
    </w:p>
    <w:p>
      <w:pPr>
        <w:pStyle w:val="BodyText"/>
        <w:spacing w:before="3"/>
      </w:pPr>
    </w:p>
    <w:p>
      <w:pPr>
        <w:spacing w:line="360" w:lineRule="auto" w:before="0"/>
        <w:ind w:left="1748" w:right="796" w:hanging="721"/>
        <w:jc w:val="both"/>
        <w:rPr>
          <w:sz w:val="24"/>
        </w:rPr>
      </w:pPr>
      <w:r>
        <w:rPr>
          <w:sz w:val="24"/>
        </w:rPr>
        <w:t>Derkyi, Agyemang, N.S., Sekyere, Daniel, Oduro and Antwi, K. (2014). Variations in oil</w:t>
      </w:r>
      <w:r>
        <w:rPr>
          <w:spacing w:val="-6"/>
          <w:sz w:val="24"/>
        </w:rPr>
        <w:t> </w:t>
      </w:r>
      <w:r>
        <w:rPr>
          <w:sz w:val="24"/>
        </w:rPr>
        <w:t>content and biodiesel</w:t>
      </w:r>
      <w:r>
        <w:rPr>
          <w:spacing w:val="-1"/>
          <w:sz w:val="24"/>
        </w:rPr>
        <w:t> </w:t>
      </w:r>
      <w:r>
        <w:rPr>
          <w:sz w:val="24"/>
        </w:rPr>
        <w:t>yield</w:t>
      </w:r>
      <w:r>
        <w:rPr>
          <w:spacing w:val="-1"/>
          <w:sz w:val="24"/>
        </w:rPr>
        <w:t> </w:t>
      </w:r>
      <w:r>
        <w:rPr>
          <w:sz w:val="24"/>
        </w:rPr>
        <w:t>of</w:t>
      </w:r>
      <w:r>
        <w:rPr>
          <w:spacing w:val="-3"/>
          <w:sz w:val="24"/>
        </w:rPr>
        <w:t> </w:t>
      </w:r>
      <w:r>
        <w:rPr>
          <w:i/>
          <w:sz w:val="24"/>
        </w:rPr>
        <w:t>Jatropha curcas </w:t>
      </w:r>
      <w:r>
        <w:rPr>
          <w:sz w:val="24"/>
        </w:rPr>
        <w:t>from</w:t>
      </w:r>
      <w:r>
        <w:rPr>
          <w:spacing w:val="-10"/>
          <w:sz w:val="24"/>
        </w:rPr>
        <w:t> </w:t>
      </w:r>
      <w:r>
        <w:rPr>
          <w:sz w:val="24"/>
        </w:rPr>
        <w:t>different agro-ecological zones of Ghana. </w:t>
      </w:r>
      <w:r>
        <w:rPr>
          <w:i/>
          <w:sz w:val="24"/>
        </w:rPr>
        <w:t>International Journal of Renewable and Sustainable Energy. </w:t>
      </w:r>
      <w:r>
        <w:rPr>
          <w:sz w:val="24"/>
        </w:rPr>
        <w:t>Vol. 3(4): 76-81.</w:t>
      </w:r>
    </w:p>
    <w:p>
      <w:pPr>
        <w:pStyle w:val="BodyText"/>
        <w:spacing w:before="137"/>
      </w:pPr>
    </w:p>
    <w:p>
      <w:pPr>
        <w:pStyle w:val="BodyText"/>
        <w:spacing w:before="1"/>
        <w:ind w:left="1028"/>
      </w:pPr>
      <w:r>
        <w:rPr/>
        <w:t>Devappa,</w:t>
      </w:r>
      <w:r>
        <w:rPr>
          <w:spacing w:val="22"/>
        </w:rPr>
        <w:t> </w:t>
      </w:r>
      <w:r>
        <w:rPr/>
        <w:t>R.K.,</w:t>
      </w:r>
      <w:r>
        <w:rPr>
          <w:spacing w:val="24"/>
        </w:rPr>
        <w:t> </w:t>
      </w:r>
      <w:r>
        <w:rPr/>
        <w:t>Makkar,</w:t>
      </w:r>
      <w:r>
        <w:rPr>
          <w:spacing w:val="25"/>
        </w:rPr>
        <w:t> </w:t>
      </w:r>
      <w:r>
        <w:rPr/>
        <w:t>H.P.S.</w:t>
      </w:r>
      <w:r>
        <w:rPr>
          <w:spacing w:val="24"/>
        </w:rPr>
        <w:t> </w:t>
      </w:r>
      <w:r>
        <w:rPr/>
        <w:t>and</w:t>
      </w:r>
      <w:r>
        <w:rPr>
          <w:spacing w:val="22"/>
        </w:rPr>
        <w:t> </w:t>
      </w:r>
      <w:r>
        <w:rPr/>
        <w:t>Becker,</w:t>
      </w:r>
      <w:r>
        <w:rPr>
          <w:spacing w:val="25"/>
        </w:rPr>
        <w:t> </w:t>
      </w:r>
      <w:r>
        <w:rPr/>
        <w:t>K.</w:t>
      </w:r>
      <w:r>
        <w:rPr>
          <w:spacing w:val="24"/>
        </w:rPr>
        <w:t> </w:t>
      </w:r>
      <w:r>
        <w:rPr/>
        <w:t>(2010).</w:t>
      </w:r>
      <w:r>
        <w:rPr>
          <w:spacing w:val="31"/>
        </w:rPr>
        <w:t> </w:t>
      </w:r>
      <w:r>
        <w:rPr>
          <w:i/>
        </w:rPr>
        <w:t>Jatropha</w:t>
      </w:r>
      <w:r>
        <w:rPr>
          <w:i/>
          <w:spacing w:val="19"/>
        </w:rPr>
        <w:t> </w:t>
      </w:r>
      <w:r>
        <w:rPr/>
        <w:t>toxicity</w:t>
      </w:r>
      <w:r>
        <w:rPr>
          <w:spacing w:val="15"/>
        </w:rPr>
        <w:t> </w:t>
      </w:r>
      <w:r>
        <w:rPr/>
        <w:t>–</w:t>
      </w:r>
      <w:r>
        <w:rPr>
          <w:spacing w:val="27"/>
        </w:rPr>
        <w:t> </w:t>
      </w:r>
      <w:r>
        <w:rPr/>
        <w:t>A</w:t>
      </w:r>
      <w:r>
        <w:rPr>
          <w:spacing w:val="18"/>
        </w:rPr>
        <w:t> </w:t>
      </w:r>
      <w:r>
        <w:rPr>
          <w:spacing w:val="-2"/>
        </w:rPr>
        <w:t>review.</w:t>
      </w:r>
    </w:p>
    <w:p>
      <w:pPr>
        <w:spacing w:before="136"/>
        <w:ind w:left="1748" w:right="0" w:firstLine="0"/>
        <w:jc w:val="left"/>
        <w:rPr>
          <w:sz w:val="24"/>
        </w:rPr>
      </w:pPr>
      <w:r>
        <w:rPr>
          <w:i/>
          <w:sz w:val="24"/>
        </w:rPr>
        <w:t>Journal of</w:t>
      </w:r>
      <w:r>
        <w:rPr>
          <w:i/>
          <w:spacing w:val="1"/>
          <w:sz w:val="24"/>
        </w:rPr>
        <w:t> </w:t>
      </w:r>
      <w:r>
        <w:rPr>
          <w:i/>
          <w:sz w:val="24"/>
        </w:rPr>
        <w:t>Toxicology</w:t>
      </w:r>
      <w:r>
        <w:rPr>
          <w:i/>
          <w:spacing w:val="-1"/>
          <w:sz w:val="24"/>
        </w:rPr>
        <w:t> </w:t>
      </w:r>
      <w:r>
        <w:rPr>
          <w:i/>
          <w:sz w:val="24"/>
        </w:rPr>
        <w:t>and</w:t>
      </w:r>
      <w:r>
        <w:rPr>
          <w:i/>
          <w:spacing w:val="-4"/>
          <w:sz w:val="24"/>
        </w:rPr>
        <w:t> </w:t>
      </w:r>
      <w:r>
        <w:rPr>
          <w:i/>
          <w:sz w:val="24"/>
        </w:rPr>
        <w:t>Environmental Health,</w:t>
      </w:r>
      <w:r>
        <w:rPr>
          <w:i/>
          <w:spacing w:val="-2"/>
          <w:sz w:val="24"/>
        </w:rPr>
        <w:t> </w:t>
      </w:r>
      <w:r>
        <w:rPr>
          <w:sz w:val="24"/>
        </w:rPr>
        <w:t>13:</w:t>
      </w:r>
      <w:r>
        <w:rPr>
          <w:spacing w:val="1"/>
          <w:sz w:val="24"/>
        </w:rPr>
        <w:t> </w:t>
      </w:r>
      <w:r>
        <w:rPr>
          <w:sz w:val="24"/>
        </w:rPr>
        <w:t>476-</w:t>
      </w:r>
      <w:r>
        <w:rPr>
          <w:spacing w:val="-4"/>
          <w:sz w:val="24"/>
        </w:rPr>
        <w:t>507.</w:t>
      </w:r>
    </w:p>
    <w:p>
      <w:pPr>
        <w:pStyle w:val="BodyText"/>
      </w:pPr>
    </w:p>
    <w:p>
      <w:pPr>
        <w:pStyle w:val="BodyText"/>
      </w:pPr>
    </w:p>
    <w:p>
      <w:pPr>
        <w:pStyle w:val="BodyText"/>
        <w:spacing w:before="140"/>
      </w:pPr>
    </w:p>
    <w:p>
      <w:pPr>
        <w:pStyle w:val="BodyText"/>
        <w:spacing w:line="360" w:lineRule="auto"/>
        <w:ind w:left="1748" w:right="803" w:hanging="721"/>
        <w:jc w:val="both"/>
      </w:pPr>
      <w:r>
        <w:rPr/>
        <w:t>Diaz, G.J. (2001). Naturally Occurring Toxins Relevant to Poultry Nutrition. In:</w:t>
      </w:r>
      <w:r>
        <w:rPr>
          <w:spacing w:val="40"/>
        </w:rPr>
        <w:t> </w:t>
      </w:r>
      <w:r>
        <w:rPr/>
        <w:t>Leeson, S. and Summers, J.D. (Ed) </w:t>
      </w:r>
      <w:r>
        <w:rPr>
          <w:i/>
        </w:rPr>
        <w:t>Scott´s Nutrition of the Chicken</w:t>
      </w:r>
      <w:r>
        <w:rPr/>
        <w:t>, 4th ed., University Books, Guelph, Ontario, Canada. pp. 544-591.</w:t>
      </w:r>
    </w:p>
    <w:p>
      <w:pPr>
        <w:pStyle w:val="BodyText"/>
        <w:spacing w:before="139"/>
      </w:pPr>
    </w:p>
    <w:p>
      <w:pPr>
        <w:pStyle w:val="BodyText"/>
        <w:ind w:left="1028"/>
      </w:pPr>
      <w:r>
        <w:rPr/>
        <w:t>Diaz,</w:t>
      </w:r>
      <w:r>
        <w:rPr>
          <w:spacing w:val="52"/>
        </w:rPr>
        <w:t> </w:t>
      </w:r>
      <w:r>
        <w:rPr/>
        <w:t>G.J.</w:t>
      </w:r>
      <w:r>
        <w:rPr>
          <w:spacing w:val="55"/>
        </w:rPr>
        <w:t> </w:t>
      </w:r>
      <w:r>
        <w:rPr/>
        <w:t>(2011).</w:t>
      </w:r>
      <w:r>
        <w:rPr>
          <w:spacing w:val="55"/>
        </w:rPr>
        <w:t> </w:t>
      </w:r>
      <w:r>
        <w:rPr/>
        <w:t>Toxic</w:t>
      </w:r>
      <w:r>
        <w:rPr>
          <w:spacing w:val="56"/>
        </w:rPr>
        <w:t> </w:t>
      </w:r>
      <w:r>
        <w:rPr/>
        <w:t>plants</w:t>
      </w:r>
      <w:r>
        <w:rPr>
          <w:spacing w:val="50"/>
        </w:rPr>
        <w:t> </w:t>
      </w:r>
      <w:r>
        <w:rPr/>
        <w:t>of</w:t>
      </w:r>
      <w:r>
        <w:rPr>
          <w:spacing w:val="49"/>
        </w:rPr>
        <w:t> </w:t>
      </w:r>
      <w:r>
        <w:rPr/>
        <w:t>veterinary</w:t>
      </w:r>
      <w:r>
        <w:rPr>
          <w:spacing w:val="52"/>
        </w:rPr>
        <w:t> </w:t>
      </w:r>
      <w:r>
        <w:rPr/>
        <w:t>and</w:t>
      </w:r>
      <w:r>
        <w:rPr>
          <w:spacing w:val="57"/>
        </w:rPr>
        <w:t> </w:t>
      </w:r>
      <w:r>
        <w:rPr/>
        <w:t>agricultural</w:t>
      </w:r>
      <w:r>
        <w:rPr>
          <w:spacing w:val="53"/>
        </w:rPr>
        <w:t> </w:t>
      </w:r>
      <w:r>
        <w:rPr/>
        <w:t>interest</w:t>
      </w:r>
      <w:r>
        <w:rPr>
          <w:spacing w:val="61"/>
        </w:rPr>
        <w:t> </w:t>
      </w:r>
      <w:r>
        <w:rPr/>
        <w:t>in</w:t>
      </w:r>
      <w:r>
        <w:rPr>
          <w:spacing w:val="49"/>
        </w:rPr>
        <w:t> </w:t>
      </w:r>
      <w:r>
        <w:rPr>
          <w:spacing w:val="-2"/>
        </w:rPr>
        <w:t>columbia.</w:t>
      </w:r>
    </w:p>
    <w:p>
      <w:pPr>
        <w:spacing w:before="137"/>
        <w:ind w:left="1748" w:right="0" w:firstLine="0"/>
        <w:jc w:val="left"/>
        <w:rPr>
          <w:sz w:val="24"/>
        </w:rPr>
      </w:pPr>
      <w:r>
        <w:rPr>
          <w:i/>
          <w:sz w:val="24"/>
        </w:rPr>
        <w:t>International</w:t>
      </w:r>
      <w:r>
        <w:rPr>
          <w:i/>
          <w:spacing w:val="-2"/>
          <w:sz w:val="24"/>
        </w:rPr>
        <w:t> </w:t>
      </w:r>
      <w:r>
        <w:rPr>
          <w:i/>
          <w:sz w:val="24"/>
        </w:rPr>
        <w:t>Journal</w:t>
      </w:r>
      <w:r>
        <w:rPr>
          <w:i/>
          <w:spacing w:val="-2"/>
          <w:sz w:val="24"/>
        </w:rPr>
        <w:t> </w:t>
      </w:r>
      <w:r>
        <w:rPr>
          <w:i/>
          <w:sz w:val="24"/>
        </w:rPr>
        <w:t>of</w:t>
      </w:r>
      <w:r>
        <w:rPr>
          <w:i/>
          <w:spacing w:val="3"/>
          <w:sz w:val="24"/>
        </w:rPr>
        <w:t> </w:t>
      </w:r>
      <w:r>
        <w:rPr>
          <w:i/>
          <w:sz w:val="24"/>
        </w:rPr>
        <w:t>Poisonous</w:t>
      </w:r>
      <w:r>
        <w:rPr>
          <w:i/>
          <w:spacing w:val="-3"/>
          <w:sz w:val="24"/>
        </w:rPr>
        <w:t> </w:t>
      </w:r>
      <w:r>
        <w:rPr>
          <w:i/>
          <w:sz w:val="24"/>
        </w:rPr>
        <w:t>Plant</w:t>
      </w:r>
      <w:r>
        <w:rPr>
          <w:i/>
          <w:spacing w:val="-2"/>
          <w:sz w:val="24"/>
        </w:rPr>
        <w:t> </w:t>
      </w:r>
      <w:r>
        <w:rPr>
          <w:i/>
          <w:sz w:val="24"/>
        </w:rPr>
        <w:t>Research,</w:t>
      </w:r>
      <w:r>
        <w:rPr>
          <w:i/>
          <w:spacing w:val="1"/>
          <w:sz w:val="24"/>
        </w:rPr>
        <w:t> </w:t>
      </w:r>
      <w:r>
        <w:rPr>
          <w:sz w:val="24"/>
        </w:rPr>
        <w:t>1(1):</w:t>
      </w:r>
      <w:r>
        <w:rPr>
          <w:spacing w:val="-1"/>
          <w:sz w:val="24"/>
        </w:rPr>
        <w:t> </w:t>
      </w:r>
      <w:r>
        <w:rPr>
          <w:spacing w:val="-5"/>
          <w:sz w:val="24"/>
        </w:rPr>
        <w:t>5.</w:t>
      </w:r>
    </w:p>
    <w:p>
      <w:pPr>
        <w:pStyle w:val="BodyText"/>
      </w:pPr>
    </w:p>
    <w:p>
      <w:pPr>
        <w:pStyle w:val="BodyText"/>
        <w:spacing w:before="2"/>
      </w:pPr>
    </w:p>
    <w:p>
      <w:pPr>
        <w:spacing w:line="360" w:lineRule="auto" w:before="1"/>
        <w:ind w:left="1748" w:right="806" w:hanging="721"/>
        <w:jc w:val="both"/>
        <w:rPr>
          <w:sz w:val="24"/>
        </w:rPr>
      </w:pPr>
      <w:r>
        <w:rPr>
          <w:sz w:val="24"/>
        </w:rPr>
        <w:t>Doughari, J.H. (2012). </w:t>
      </w:r>
      <w:r>
        <w:rPr>
          <w:i/>
          <w:sz w:val="24"/>
        </w:rPr>
        <w:t>Phytochemicals: Extraction Methods, Basic Structures and</w:t>
      </w:r>
      <w:r>
        <w:rPr>
          <w:i/>
          <w:spacing w:val="40"/>
          <w:sz w:val="24"/>
        </w:rPr>
        <w:t> </w:t>
      </w:r>
      <w:r>
        <w:rPr>
          <w:i/>
          <w:sz w:val="24"/>
        </w:rPr>
        <w:t>Mode of Action as Potential Chemotherapeutic Agents, Phytochemicals - A Global Perspective of Their Role in Nutrition and Health</w:t>
      </w:r>
      <w:r>
        <w:rPr>
          <w:sz w:val="24"/>
        </w:rPr>
        <w:t>. doi: 10.5772/26052</w:t>
      </w:r>
    </w:p>
    <w:p>
      <w:pPr>
        <w:pStyle w:val="BodyText"/>
        <w:spacing w:before="138"/>
      </w:pPr>
    </w:p>
    <w:p>
      <w:pPr>
        <w:pStyle w:val="BodyText"/>
        <w:spacing w:line="360" w:lineRule="auto"/>
        <w:ind w:left="1748" w:right="808" w:hanging="721"/>
      </w:pPr>
      <w:r>
        <w:rPr/>
        <w:t>Duffus, C. M. and Duffus, J. H. (1991). Introduction and Overview. In: D‟Mello, F. J.P.,</w:t>
      </w:r>
      <w:r>
        <w:rPr>
          <w:spacing w:val="28"/>
        </w:rPr>
        <w:t> </w:t>
      </w:r>
      <w:r>
        <w:rPr/>
        <w:t>Duffus,</w:t>
      </w:r>
      <w:r>
        <w:rPr>
          <w:spacing w:val="30"/>
        </w:rPr>
        <w:t> </w:t>
      </w:r>
      <w:r>
        <w:rPr/>
        <w:t>Duffus,</w:t>
      </w:r>
      <w:r>
        <w:rPr>
          <w:spacing w:val="29"/>
        </w:rPr>
        <w:t> </w:t>
      </w:r>
      <w:r>
        <w:rPr/>
        <w:t>C.</w:t>
      </w:r>
      <w:r>
        <w:rPr>
          <w:spacing w:val="28"/>
        </w:rPr>
        <w:t> </w:t>
      </w:r>
      <w:r>
        <w:rPr/>
        <w:t>M.</w:t>
      </w:r>
      <w:r>
        <w:rPr>
          <w:spacing w:val="28"/>
        </w:rPr>
        <w:t> </w:t>
      </w:r>
      <w:r>
        <w:rPr/>
        <w:t>and</w:t>
      </w:r>
      <w:r>
        <w:rPr>
          <w:spacing w:val="25"/>
        </w:rPr>
        <w:t> </w:t>
      </w:r>
      <w:r>
        <w:rPr/>
        <w:t>Duffus,</w:t>
      </w:r>
      <w:r>
        <w:rPr>
          <w:spacing w:val="28"/>
        </w:rPr>
        <w:t> </w:t>
      </w:r>
      <w:r>
        <w:rPr/>
        <w:t>J.</w:t>
      </w:r>
      <w:r>
        <w:rPr>
          <w:spacing w:val="28"/>
        </w:rPr>
        <w:t> </w:t>
      </w:r>
      <w:r>
        <w:rPr/>
        <w:t>H.</w:t>
      </w:r>
      <w:r>
        <w:rPr>
          <w:spacing w:val="31"/>
        </w:rPr>
        <w:t> </w:t>
      </w:r>
      <w:r>
        <w:rPr>
          <w:i/>
        </w:rPr>
        <w:t>Toxic</w:t>
      </w:r>
      <w:r>
        <w:rPr>
          <w:i/>
          <w:spacing w:val="25"/>
        </w:rPr>
        <w:t> </w:t>
      </w:r>
      <w:r>
        <w:rPr>
          <w:i/>
        </w:rPr>
        <w:t>substances</w:t>
      </w:r>
      <w:r>
        <w:rPr>
          <w:i/>
          <w:spacing w:val="23"/>
        </w:rPr>
        <w:t> </w:t>
      </w:r>
      <w:r>
        <w:rPr>
          <w:i/>
        </w:rPr>
        <w:t>in</w:t>
      </w:r>
      <w:r>
        <w:rPr>
          <w:i/>
          <w:spacing w:val="26"/>
        </w:rPr>
        <w:t> </w:t>
      </w:r>
      <w:r>
        <w:rPr>
          <w:i/>
        </w:rPr>
        <w:t>crop</w:t>
      </w:r>
      <w:r>
        <w:rPr>
          <w:i/>
          <w:spacing w:val="25"/>
        </w:rPr>
        <w:t> </w:t>
      </w:r>
      <w:r>
        <w:rPr>
          <w:i/>
        </w:rPr>
        <w:t>plants </w:t>
      </w:r>
      <w:r>
        <w:rPr/>
        <w:t>(eds). Royal Society of Chemistry, Cambridge, pp. 1-21.</w:t>
      </w:r>
    </w:p>
    <w:p>
      <w:pPr>
        <w:pStyle w:val="BodyText"/>
        <w:spacing w:before="139"/>
      </w:pPr>
    </w:p>
    <w:p>
      <w:pPr>
        <w:pStyle w:val="BodyText"/>
        <w:ind w:left="1028"/>
      </w:pPr>
      <w:r>
        <w:rPr/>
        <w:t>Duke,</w:t>
      </w:r>
      <w:r>
        <w:rPr>
          <w:spacing w:val="-1"/>
        </w:rPr>
        <w:t> </w:t>
      </w:r>
      <w:r>
        <w:rPr/>
        <w:t>J.</w:t>
      </w:r>
      <w:r>
        <w:rPr>
          <w:spacing w:val="1"/>
        </w:rPr>
        <w:t> </w:t>
      </w:r>
      <w:r>
        <w:rPr/>
        <w:t>A.</w:t>
      </w:r>
      <w:r>
        <w:rPr>
          <w:spacing w:val="-4"/>
        </w:rPr>
        <w:t> </w:t>
      </w:r>
      <w:r>
        <w:rPr/>
        <w:t>(1985).</w:t>
      </w:r>
      <w:r>
        <w:rPr>
          <w:spacing w:val="-4"/>
        </w:rPr>
        <w:t> </w:t>
      </w:r>
      <w:r>
        <w:rPr/>
        <w:t>Medicinal</w:t>
      </w:r>
      <w:r>
        <w:rPr>
          <w:spacing w:val="-10"/>
        </w:rPr>
        <w:t> </w:t>
      </w:r>
      <w:r>
        <w:rPr/>
        <w:t>plants.</w:t>
      </w:r>
      <w:r>
        <w:rPr>
          <w:spacing w:val="7"/>
        </w:rPr>
        <w:t> </w:t>
      </w:r>
      <w:r>
        <w:rPr>
          <w:i/>
        </w:rPr>
        <w:t>Science</w:t>
      </w:r>
      <w:r>
        <w:rPr/>
        <w:t>,</w:t>
      </w:r>
      <w:r>
        <w:rPr>
          <w:spacing w:val="1"/>
        </w:rPr>
        <w:t> </w:t>
      </w:r>
      <w:r>
        <w:rPr/>
        <w:t>229:</w:t>
      </w:r>
      <w:r>
        <w:rPr>
          <w:spacing w:val="-5"/>
        </w:rPr>
        <w:t> </w:t>
      </w:r>
      <w:r>
        <w:rPr>
          <w:spacing w:val="-2"/>
        </w:rPr>
        <w:t>1036.</w:t>
      </w:r>
    </w:p>
    <w:p>
      <w:pPr>
        <w:spacing w:after="0"/>
        <w:sectPr>
          <w:pgSz w:w="11910" w:h="16840"/>
          <w:pgMar w:header="0" w:footer="1012" w:top="1740" w:bottom="1200" w:left="960" w:right="620"/>
        </w:sectPr>
      </w:pPr>
    </w:p>
    <w:p>
      <w:pPr>
        <w:pStyle w:val="BodyText"/>
        <w:spacing w:before="79"/>
        <w:ind w:left="1028"/>
      </w:pPr>
      <w:r>
        <w:rPr/>
        <w:t>Duke,</w:t>
      </w:r>
      <w:r>
        <w:rPr>
          <w:spacing w:val="1"/>
        </w:rPr>
        <w:t> </w:t>
      </w:r>
      <w:r>
        <w:rPr/>
        <w:t>J.A.</w:t>
      </w:r>
      <w:r>
        <w:rPr>
          <w:spacing w:val="3"/>
        </w:rPr>
        <w:t> </w:t>
      </w:r>
      <w:r>
        <w:rPr/>
        <w:t>(1988).</w:t>
      </w:r>
      <w:r>
        <w:rPr>
          <w:spacing w:val="3"/>
        </w:rPr>
        <w:t> </w:t>
      </w:r>
      <w:r>
        <w:rPr/>
        <w:t>CRC</w:t>
      </w:r>
      <w:r>
        <w:rPr>
          <w:spacing w:val="-1"/>
        </w:rPr>
        <w:t> </w:t>
      </w:r>
      <w:r>
        <w:rPr/>
        <w:t>Hand</w:t>
      </w:r>
      <w:r>
        <w:rPr>
          <w:spacing w:val="11"/>
        </w:rPr>
        <w:t> </w:t>
      </w:r>
      <w:r>
        <w:rPr/>
        <w:t>book</w:t>
      </w:r>
      <w:r>
        <w:rPr>
          <w:spacing w:val="-4"/>
        </w:rPr>
        <w:t> </w:t>
      </w:r>
      <w:r>
        <w:rPr/>
        <w:t>of</w:t>
      </w:r>
      <w:r>
        <w:rPr>
          <w:spacing w:val="-7"/>
        </w:rPr>
        <w:t> </w:t>
      </w:r>
      <w:r>
        <w:rPr/>
        <w:t>Medicinal</w:t>
      </w:r>
      <w:r>
        <w:rPr>
          <w:spacing w:val="1"/>
        </w:rPr>
        <w:t> </w:t>
      </w:r>
      <w:r>
        <w:rPr/>
        <w:t>Herbs.</w:t>
      </w:r>
      <w:r>
        <w:rPr>
          <w:spacing w:val="4"/>
        </w:rPr>
        <w:t> </w:t>
      </w:r>
      <w:r>
        <w:rPr/>
        <w:t>CRC</w:t>
      </w:r>
      <w:r>
        <w:rPr>
          <w:spacing w:val="-1"/>
        </w:rPr>
        <w:t> </w:t>
      </w:r>
      <w:r>
        <w:rPr/>
        <w:t>Press,</w:t>
      </w:r>
      <w:r>
        <w:rPr>
          <w:spacing w:val="3"/>
        </w:rPr>
        <w:t> </w:t>
      </w:r>
      <w:r>
        <w:rPr/>
        <w:t>Boca Raton,</w:t>
      </w:r>
      <w:r>
        <w:rPr>
          <w:spacing w:val="4"/>
        </w:rPr>
        <w:t> </w:t>
      </w:r>
      <w:r>
        <w:rPr>
          <w:spacing w:val="-4"/>
        </w:rPr>
        <w:t>USA,</w:t>
      </w:r>
    </w:p>
    <w:p>
      <w:pPr>
        <w:pStyle w:val="BodyText"/>
        <w:spacing w:before="137"/>
        <w:ind w:left="1748"/>
      </w:pPr>
      <w:r>
        <w:rPr/>
        <w:t>pp.</w:t>
      </w:r>
      <w:r>
        <w:rPr>
          <w:spacing w:val="3"/>
        </w:rPr>
        <w:t> </w:t>
      </w:r>
      <w:r>
        <w:rPr/>
        <w:t>253-</w:t>
      </w:r>
      <w:r>
        <w:rPr>
          <w:spacing w:val="-4"/>
        </w:rPr>
        <w:t>254.</w:t>
      </w:r>
    </w:p>
    <w:p>
      <w:pPr>
        <w:pStyle w:val="BodyText"/>
      </w:pPr>
    </w:p>
    <w:p>
      <w:pPr>
        <w:pStyle w:val="BodyText"/>
        <w:spacing w:before="3"/>
      </w:pPr>
    </w:p>
    <w:p>
      <w:pPr>
        <w:pStyle w:val="BodyText"/>
        <w:spacing w:line="360" w:lineRule="auto"/>
        <w:ind w:left="1748" w:right="809" w:hanging="721"/>
        <w:jc w:val="both"/>
      </w:pPr>
      <w:r>
        <w:rPr/>
        <w:t>Duke, J.A. (1994). Biologically Active Compounds in Important Species. In: Charalambous, E. (Ed) </w:t>
      </w:r>
      <w:r>
        <w:rPr>
          <w:i/>
        </w:rPr>
        <w:t>Species, Herbs in Edible Fungi</w:t>
      </w:r>
      <w:r>
        <w:rPr/>
        <w:t>. Elsevier science,</w:t>
      </w:r>
      <w:r>
        <w:rPr>
          <w:spacing w:val="40"/>
        </w:rPr>
        <w:t> </w:t>
      </w:r>
      <w:r>
        <w:rPr/>
        <w:t>Oxford, pp. 225-250.</w:t>
      </w:r>
    </w:p>
    <w:p>
      <w:pPr>
        <w:pStyle w:val="BodyText"/>
        <w:spacing w:before="138"/>
      </w:pPr>
    </w:p>
    <w:p>
      <w:pPr>
        <w:spacing w:line="360" w:lineRule="auto" w:before="1"/>
        <w:ind w:left="1748" w:right="804" w:hanging="721"/>
        <w:jc w:val="both"/>
        <w:rPr>
          <w:sz w:val="24"/>
        </w:rPr>
      </w:pPr>
      <w:r>
        <w:rPr>
          <w:sz w:val="24"/>
        </w:rPr>
        <w:t>Eddy, N.B. and Leimback, D. (1953). Synthetic analgesics. II. Dithienylbutenyl- and dithienylbutylamines. </w:t>
      </w:r>
      <w:r>
        <w:rPr>
          <w:i/>
          <w:sz w:val="24"/>
        </w:rPr>
        <w:t>Journal of Pharmacology and Experimental Therapeautics</w:t>
      </w:r>
      <w:r>
        <w:rPr>
          <w:sz w:val="24"/>
        </w:rPr>
        <w:t>, 107: 385-393.</w:t>
      </w:r>
    </w:p>
    <w:p>
      <w:pPr>
        <w:pStyle w:val="BodyText"/>
        <w:spacing w:before="138"/>
      </w:pPr>
    </w:p>
    <w:p>
      <w:pPr>
        <w:spacing w:line="360" w:lineRule="auto" w:before="0"/>
        <w:ind w:left="1748" w:right="798" w:hanging="721"/>
        <w:jc w:val="both"/>
        <w:rPr>
          <w:sz w:val="24"/>
        </w:rPr>
      </w:pPr>
      <w:r>
        <w:rPr>
          <w:sz w:val="24"/>
        </w:rPr>
        <w:t>Edeogba, H.O., Okwu, D.E. and Mbaebre, B.O. (2005). Phytochemical constituents of some Nigerian plants. </w:t>
      </w:r>
      <w:r>
        <w:rPr>
          <w:i/>
          <w:sz w:val="24"/>
        </w:rPr>
        <w:t>African Journal of Biotechnology</w:t>
      </w:r>
      <w:r>
        <w:rPr>
          <w:sz w:val="24"/>
        </w:rPr>
        <w:t>, 44(7): 685-688.</w:t>
      </w:r>
    </w:p>
    <w:p>
      <w:pPr>
        <w:pStyle w:val="BodyText"/>
        <w:spacing w:before="135"/>
      </w:pPr>
    </w:p>
    <w:p>
      <w:pPr>
        <w:spacing w:line="360" w:lineRule="auto" w:before="0"/>
        <w:ind w:left="1748" w:right="800" w:hanging="721"/>
        <w:jc w:val="both"/>
        <w:rPr>
          <w:sz w:val="24"/>
        </w:rPr>
      </w:pPr>
      <w:r>
        <w:rPr>
          <w:sz w:val="24"/>
        </w:rPr>
        <w:t>Eja, M.E., Asikong, B.E., Abriba, C., Arikpo, G.E., Anwan, E.E. and Enyi-Idoh, K.H. (2007). A comparative assessment of the antimicrobial effects of garlic (</w:t>
      </w:r>
      <w:r>
        <w:rPr>
          <w:i/>
          <w:sz w:val="24"/>
        </w:rPr>
        <w:t>Allium sativum</w:t>
      </w:r>
      <w:r>
        <w:rPr>
          <w:sz w:val="24"/>
        </w:rPr>
        <w:t>) and antibiotics on diarrheagenic organisms. </w:t>
      </w:r>
      <w:r>
        <w:rPr>
          <w:i/>
          <w:sz w:val="24"/>
        </w:rPr>
        <w:t>The Southeast Asian Journal of Tropical Medicine and Public Health</w:t>
      </w:r>
      <w:r>
        <w:rPr>
          <w:sz w:val="24"/>
        </w:rPr>
        <w:t>, 38(2): 343-8.</w:t>
      </w:r>
    </w:p>
    <w:p>
      <w:pPr>
        <w:pStyle w:val="BodyText"/>
        <w:spacing w:before="142"/>
      </w:pPr>
    </w:p>
    <w:p>
      <w:pPr>
        <w:spacing w:line="360" w:lineRule="auto" w:before="0"/>
        <w:ind w:left="1748" w:right="798" w:hanging="721"/>
        <w:jc w:val="both"/>
        <w:rPr>
          <w:sz w:val="24"/>
        </w:rPr>
      </w:pPr>
      <w:r>
        <w:rPr>
          <w:sz w:val="24"/>
        </w:rPr>
        <w:t>Els, J. M., Damme, V., Peumans, W. J., Pusztai, A. and Bardocz, S. (1998). </w:t>
      </w:r>
      <w:r>
        <w:rPr>
          <w:i/>
          <w:sz w:val="24"/>
        </w:rPr>
        <w:t>Handbook of</w:t>
      </w:r>
      <w:r>
        <w:rPr>
          <w:i/>
          <w:spacing w:val="3"/>
          <w:sz w:val="24"/>
        </w:rPr>
        <w:t> </w:t>
      </w:r>
      <w:r>
        <w:rPr>
          <w:i/>
          <w:sz w:val="24"/>
        </w:rPr>
        <w:t>Plant Lectins:</w:t>
      </w:r>
      <w:r>
        <w:rPr>
          <w:i/>
          <w:spacing w:val="1"/>
          <w:sz w:val="24"/>
        </w:rPr>
        <w:t> </w:t>
      </w:r>
      <w:r>
        <w:rPr>
          <w:i/>
          <w:sz w:val="24"/>
        </w:rPr>
        <w:t>Properties</w:t>
      </w:r>
      <w:r>
        <w:rPr>
          <w:i/>
          <w:spacing w:val="2"/>
          <w:sz w:val="24"/>
        </w:rPr>
        <w:t> </w:t>
      </w:r>
      <w:r>
        <w:rPr>
          <w:i/>
          <w:sz w:val="24"/>
        </w:rPr>
        <w:t>and Biomedical</w:t>
      </w:r>
      <w:r>
        <w:rPr>
          <w:i/>
          <w:spacing w:val="6"/>
          <w:sz w:val="24"/>
        </w:rPr>
        <w:t> </w:t>
      </w:r>
      <w:r>
        <w:rPr>
          <w:i/>
          <w:sz w:val="24"/>
        </w:rPr>
        <w:t>Applications</w:t>
      </w:r>
      <w:r>
        <w:rPr>
          <w:sz w:val="24"/>
        </w:rPr>
        <w:t>.</w:t>
      </w:r>
      <w:r>
        <w:rPr>
          <w:spacing w:val="2"/>
          <w:sz w:val="24"/>
        </w:rPr>
        <w:t> </w:t>
      </w:r>
      <w:r>
        <w:rPr>
          <w:sz w:val="24"/>
        </w:rPr>
        <w:t>John Wiley and</w:t>
      </w:r>
      <w:r>
        <w:rPr>
          <w:spacing w:val="1"/>
          <w:sz w:val="24"/>
        </w:rPr>
        <w:t> </w:t>
      </w:r>
      <w:r>
        <w:rPr>
          <w:spacing w:val="-2"/>
          <w:sz w:val="24"/>
        </w:rPr>
        <w:t>Sons,</w:t>
      </w:r>
    </w:p>
    <w:p>
      <w:pPr>
        <w:pStyle w:val="BodyText"/>
        <w:spacing w:line="274" w:lineRule="exact"/>
        <w:ind w:left="1748"/>
      </w:pPr>
      <w:r>
        <w:rPr/>
        <w:t>pp.</w:t>
      </w:r>
      <w:r>
        <w:rPr>
          <w:spacing w:val="4"/>
        </w:rPr>
        <w:t> </w:t>
      </w:r>
      <w:r>
        <w:rPr>
          <w:spacing w:val="-5"/>
        </w:rPr>
        <w:t>78.</w:t>
      </w:r>
    </w:p>
    <w:p>
      <w:pPr>
        <w:pStyle w:val="BodyText"/>
      </w:pPr>
    </w:p>
    <w:p>
      <w:pPr>
        <w:pStyle w:val="BodyText"/>
        <w:spacing w:before="3"/>
      </w:pPr>
    </w:p>
    <w:p>
      <w:pPr>
        <w:pStyle w:val="BodyText"/>
        <w:spacing w:line="360" w:lineRule="auto" w:before="1"/>
        <w:ind w:left="1748" w:right="805" w:hanging="721"/>
        <w:jc w:val="both"/>
      </w:pPr>
      <w:r>
        <w:rPr/>
        <w:t>Endo, Y. and Tsurugi, K. (1987). RNA N-glycosidase activity of ricin A-chain: Mechanism of action of the toxic lectin ricin on eukaryotic ribosomes.</w:t>
      </w:r>
      <w:r>
        <w:rPr>
          <w:spacing w:val="31"/>
        </w:rPr>
        <w:t> </w:t>
      </w:r>
      <w:r>
        <w:rPr>
          <w:i/>
        </w:rPr>
        <w:t>Journal of Biological Chemistry</w:t>
      </w:r>
      <w:r>
        <w:rPr/>
        <w:t>, 262: 8128-8130.</w:t>
      </w:r>
    </w:p>
    <w:p>
      <w:pPr>
        <w:pStyle w:val="BodyText"/>
        <w:spacing w:before="138"/>
      </w:pPr>
    </w:p>
    <w:p>
      <w:pPr>
        <w:pStyle w:val="BodyText"/>
        <w:spacing w:line="360" w:lineRule="auto"/>
        <w:ind w:left="1748" w:right="806" w:hanging="721"/>
        <w:jc w:val="both"/>
      </w:pPr>
      <w:r>
        <w:rPr/>
        <w:t>Endo, Y., Mitsui, K., Motizuki, M. and</w:t>
      </w:r>
      <w:r>
        <w:rPr>
          <w:spacing w:val="-1"/>
        </w:rPr>
        <w:t> </w:t>
      </w:r>
      <w:r>
        <w:rPr/>
        <w:t>Tsurugi, K. (1987). The mechanism</w:t>
      </w:r>
      <w:r>
        <w:rPr>
          <w:spacing w:val="-5"/>
        </w:rPr>
        <w:t> </w:t>
      </w:r>
      <w:r>
        <w:rPr/>
        <w:t>of</w:t>
      </w:r>
      <w:r>
        <w:rPr>
          <w:spacing w:val="-3"/>
        </w:rPr>
        <w:t> </w:t>
      </w:r>
      <w:r>
        <w:rPr/>
        <w:t>action</w:t>
      </w:r>
      <w:r>
        <w:rPr>
          <w:spacing w:val="-5"/>
        </w:rPr>
        <w:t> </w:t>
      </w:r>
      <w:r>
        <w:rPr/>
        <w:t>of ricin and related toxic lectins on eukaryotic ribosomes: The site and the characteristics of the modification in 28S ribosomal RNA caused by the toxin. </w:t>
      </w:r>
      <w:r>
        <w:rPr>
          <w:i/>
        </w:rPr>
        <w:t>Journal of Biological Chemistry</w:t>
      </w:r>
      <w:r>
        <w:rPr/>
        <w:t>, 262: 5908-5912.</w:t>
      </w:r>
    </w:p>
    <w:p>
      <w:pPr>
        <w:spacing w:after="0" w:line="360" w:lineRule="auto"/>
        <w:jc w:val="both"/>
        <w:sectPr>
          <w:pgSz w:w="11910" w:h="16840"/>
          <w:pgMar w:header="0" w:footer="1012" w:top="1320" w:bottom="1200" w:left="960" w:right="620"/>
        </w:sectPr>
      </w:pPr>
    </w:p>
    <w:p>
      <w:pPr>
        <w:spacing w:line="360" w:lineRule="auto" w:before="79"/>
        <w:ind w:left="1748" w:right="801" w:hanging="721"/>
        <w:jc w:val="both"/>
        <w:rPr>
          <w:sz w:val="24"/>
        </w:rPr>
      </w:pPr>
      <w:r>
        <w:rPr>
          <w:sz w:val="24"/>
        </w:rPr>
        <w:t>Esuoso, K.O. and Odetokun</w:t>
      </w:r>
      <w:r>
        <w:rPr>
          <w:spacing w:val="-5"/>
          <w:sz w:val="24"/>
        </w:rPr>
        <w:t> </w:t>
      </w:r>
      <w:r>
        <w:rPr>
          <w:sz w:val="24"/>
        </w:rPr>
        <w:t>S.M. (1995). Proximate</w:t>
      </w:r>
      <w:r>
        <w:rPr>
          <w:spacing w:val="-1"/>
          <w:sz w:val="24"/>
        </w:rPr>
        <w:t> </w:t>
      </w:r>
      <w:r>
        <w:rPr>
          <w:sz w:val="24"/>
        </w:rPr>
        <w:t>chemical</w:t>
      </w:r>
      <w:r>
        <w:rPr>
          <w:spacing w:val="-5"/>
          <w:sz w:val="24"/>
        </w:rPr>
        <w:t> </w:t>
      </w:r>
      <w:r>
        <w:rPr>
          <w:sz w:val="24"/>
        </w:rPr>
        <w:t>composition and possible industrial utilization of </w:t>
      </w:r>
      <w:r>
        <w:rPr>
          <w:i/>
          <w:sz w:val="24"/>
        </w:rPr>
        <w:t>Biphia sapida </w:t>
      </w:r>
      <w:r>
        <w:rPr>
          <w:sz w:val="24"/>
        </w:rPr>
        <w:t>seed oils. </w:t>
      </w:r>
      <w:r>
        <w:rPr>
          <w:i/>
          <w:sz w:val="24"/>
        </w:rPr>
        <w:t>La Rivista Italiana Delle Sostanze Grasse</w:t>
      </w:r>
      <w:r>
        <w:rPr>
          <w:sz w:val="24"/>
        </w:rPr>
        <w:t>, 72:7.</w:t>
      </w:r>
    </w:p>
    <w:p>
      <w:pPr>
        <w:pStyle w:val="BodyText"/>
        <w:spacing w:before="139"/>
      </w:pPr>
    </w:p>
    <w:p>
      <w:pPr>
        <w:pStyle w:val="BodyText"/>
        <w:spacing w:line="360" w:lineRule="auto"/>
        <w:ind w:left="1748" w:hanging="721"/>
      </w:pPr>
      <w:r>
        <w:rPr/>
        <w:t>ETHOS</w:t>
      </w:r>
      <w:r>
        <w:rPr>
          <w:spacing w:val="-4"/>
        </w:rPr>
        <w:t> </w:t>
      </w:r>
      <w:r>
        <w:rPr/>
        <w:t>User</w:t>
      </w:r>
      <w:r>
        <w:rPr>
          <w:spacing w:val="-7"/>
        </w:rPr>
        <w:t> </w:t>
      </w:r>
      <w:r>
        <w:rPr/>
        <w:t>Manual</w:t>
      </w:r>
      <w:r>
        <w:rPr>
          <w:spacing w:val="-9"/>
        </w:rPr>
        <w:t> </w:t>
      </w:r>
      <w:r>
        <w:rPr/>
        <w:t>Rev</w:t>
      </w:r>
      <w:r>
        <w:rPr>
          <w:spacing w:val="-9"/>
        </w:rPr>
        <w:t> </w:t>
      </w:r>
      <w:r>
        <w:rPr/>
        <w:t>01/2001.</w:t>
      </w:r>
      <w:r>
        <w:rPr>
          <w:spacing w:val="-3"/>
        </w:rPr>
        <w:t> </w:t>
      </w:r>
      <w:r>
        <w:rPr/>
        <w:t>Retrieved</w:t>
      </w:r>
      <w:r>
        <w:rPr>
          <w:spacing w:val="-1"/>
        </w:rPr>
        <w:t> </w:t>
      </w:r>
      <w:r>
        <w:rPr/>
        <w:t>from,</w:t>
      </w:r>
      <w:r>
        <w:rPr>
          <w:spacing w:val="-3"/>
        </w:rPr>
        <w:t> </w:t>
      </w:r>
      <w:r>
        <w:rPr/>
        <w:t>acid</w:t>
      </w:r>
      <w:r>
        <w:rPr>
          <w:spacing w:val="-4"/>
        </w:rPr>
        <w:t> </w:t>
      </w:r>
      <w:r>
        <w:rPr/>
        <w:t>digestion</w:t>
      </w:r>
      <w:r>
        <w:rPr>
          <w:spacing w:val="-9"/>
        </w:rPr>
        <w:t> </w:t>
      </w:r>
      <w:r>
        <w:rPr/>
        <w:t>guidelines </w:t>
      </w:r>
      <w:r>
        <w:rPr>
          <w:spacing w:val="-2"/>
        </w:rPr>
        <w:t>http//</w:t>
      </w:r>
      <w:hyperlink r:id="rId124">
        <w:r>
          <w:rPr>
            <w:spacing w:val="-2"/>
          </w:rPr>
          <w:t>www.yumpu.com/en/documents/view/37608950/mpr</w:t>
        </w:r>
      </w:hyperlink>
    </w:p>
    <w:p>
      <w:pPr>
        <w:pStyle w:val="BodyText"/>
        <w:spacing w:before="139"/>
      </w:pPr>
    </w:p>
    <w:p>
      <w:pPr>
        <w:spacing w:line="360" w:lineRule="auto" w:before="1"/>
        <w:ind w:left="1748" w:right="803" w:hanging="721"/>
        <w:jc w:val="both"/>
        <w:rPr>
          <w:sz w:val="24"/>
        </w:rPr>
      </w:pPr>
      <w:r>
        <w:rPr>
          <w:sz w:val="24"/>
        </w:rPr>
        <w:t>European Medicines Agency (2007). </w:t>
      </w:r>
      <w:r>
        <w:rPr>
          <w:i/>
          <w:sz w:val="24"/>
        </w:rPr>
        <w:t>Pre-authorisation Evaluation of Medicines for Human Use: Guideline on the Specification Limits for Residues of Metal Catalysts</w:t>
      </w:r>
      <w:r>
        <w:rPr>
          <w:sz w:val="24"/>
        </w:rPr>
        <w:t>. London, UK.</w:t>
      </w:r>
    </w:p>
    <w:p>
      <w:pPr>
        <w:pStyle w:val="BodyText"/>
        <w:spacing w:before="138"/>
      </w:pPr>
    </w:p>
    <w:p>
      <w:pPr>
        <w:spacing w:line="360" w:lineRule="auto" w:before="0"/>
        <w:ind w:left="1748" w:right="796" w:hanging="721"/>
        <w:jc w:val="both"/>
        <w:rPr>
          <w:sz w:val="24"/>
        </w:rPr>
      </w:pPr>
      <w:r>
        <w:rPr>
          <w:sz w:val="24"/>
        </w:rPr>
        <w:t>Falodun, A., Igbe, I., Erharuyi, O. and Agbanyim, O.J. (2013). Chemical characterization, anti-inflamatory and analgesic properties of </w:t>
      </w:r>
      <w:r>
        <w:rPr>
          <w:i/>
          <w:sz w:val="24"/>
        </w:rPr>
        <w:t>J</w:t>
      </w:r>
      <w:r>
        <w:rPr>
          <w:sz w:val="24"/>
        </w:rPr>
        <w:t>. </w:t>
      </w:r>
      <w:r>
        <w:rPr>
          <w:i/>
          <w:sz w:val="24"/>
        </w:rPr>
        <w:t>multifida </w:t>
      </w:r>
      <w:r>
        <w:rPr>
          <w:sz w:val="24"/>
        </w:rPr>
        <w:t>root bark. </w:t>
      </w:r>
      <w:r>
        <w:rPr>
          <w:i/>
          <w:sz w:val="24"/>
        </w:rPr>
        <w:t>Journal </w:t>
      </w:r>
      <w:r>
        <w:rPr>
          <w:sz w:val="24"/>
        </w:rPr>
        <w:t>of </w:t>
      </w:r>
      <w:r>
        <w:rPr>
          <w:i/>
          <w:sz w:val="24"/>
        </w:rPr>
        <w:t>Applied Science </w:t>
      </w:r>
      <w:r>
        <w:rPr>
          <w:sz w:val="24"/>
        </w:rPr>
        <w:t>and </w:t>
      </w:r>
      <w:r>
        <w:rPr>
          <w:i/>
          <w:sz w:val="24"/>
        </w:rPr>
        <w:t>Environmental Management</w:t>
      </w:r>
      <w:r>
        <w:rPr>
          <w:sz w:val="24"/>
        </w:rPr>
        <w:t>, 17 (3): 357- </w:t>
      </w:r>
      <w:r>
        <w:rPr>
          <w:spacing w:val="-4"/>
          <w:sz w:val="24"/>
        </w:rPr>
        <w:t>362.</w:t>
      </w:r>
    </w:p>
    <w:p>
      <w:pPr>
        <w:pStyle w:val="BodyText"/>
        <w:spacing w:before="138"/>
      </w:pPr>
    </w:p>
    <w:p>
      <w:pPr>
        <w:pStyle w:val="BodyText"/>
        <w:ind w:left="1028"/>
        <w:jc w:val="both"/>
      </w:pPr>
      <w:r>
        <w:rPr/>
        <w:t>Farhangi,</w:t>
      </w:r>
      <w:r>
        <w:rPr>
          <w:spacing w:val="2"/>
        </w:rPr>
        <w:t> </w:t>
      </w:r>
      <w:r>
        <w:rPr/>
        <w:t>M.A.,</w:t>
      </w:r>
      <w:r>
        <w:rPr>
          <w:spacing w:val="-1"/>
        </w:rPr>
        <w:t> </w:t>
      </w:r>
      <w:r>
        <w:rPr/>
        <w:t>Keshavarz, S.A.,</w:t>
      </w:r>
      <w:r>
        <w:rPr>
          <w:spacing w:val="1"/>
        </w:rPr>
        <w:t> </w:t>
      </w:r>
      <w:r>
        <w:rPr/>
        <w:t>Eshraghian,</w:t>
      </w:r>
      <w:r>
        <w:rPr>
          <w:spacing w:val="-1"/>
        </w:rPr>
        <w:t> </w:t>
      </w:r>
      <w:r>
        <w:rPr/>
        <w:t>M., Ostadrahimi,</w:t>
      </w:r>
      <w:r>
        <w:rPr>
          <w:spacing w:val="4"/>
        </w:rPr>
        <w:t> </w:t>
      </w:r>
      <w:r>
        <w:rPr/>
        <w:t>A. and</w:t>
      </w:r>
      <w:r>
        <w:rPr>
          <w:spacing w:val="-1"/>
        </w:rPr>
        <w:t> </w:t>
      </w:r>
      <w:r>
        <w:rPr/>
        <w:t>Saboor-</w:t>
      </w:r>
      <w:r>
        <w:rPr>
          <w:spacing w:val="-2"/>
        </w:rPr>
        <w:t>Yaraghi,</w:t>
      </w:r>
    </w:p>
    <w:p>
      <w:pPr>
        <w:pStyle w:val="BodyText"/>
        <w:spacing w:line="362" w:lineRule="auto" w:before="137"/>
        <w:ind w:left="1748" w:right="803"/>
        <w:jc w:val="both"/>
      </w:pPr>
      <w:r>
        <w:rPr/>
        <w:t>A.A. (2013). White blood cell count in women: Relation to inflammatory biomarkers, haematological</w:t>
      </w:r>
      <w:r>
        <w:rPr>
          <w:spacing w:val="-3"/>
        </w:rPr>
        <w:t> </w:t>
      </w:r>
      <w:r>
        <w:rPr/>
        <w:t>profiles, visceral</w:t>
      </w:r>
      <w:r>
        <w:rPr>
          <w:spacing w:val="-8"/>
        </w:rPr>
        <w:t> </w:t>
      </w:r>
      <w:r>
        <w:rPr/>
        <w:t>adiposity,</w:t>
      </w:r>
      <w:r>
        <w:rPr>
          <w:spacing w:val="-1"/>
        </w:rPr>
        <w:t> </w:t>
      </w:r>
      <w:r>
        <w:rPr/>
        <w:t>and other</w:t>
      </w:r>
      <w:r>
        <w:rPr>
          <w:spacing w:val="-2"/>
        </w:rPr>
        <w:t> </w:t>
      </w:r>
      <w:r>
        <w:rPr/>
        <w:t>cardiovascular risk factors. </w:t>
      </w:r>
      <w:r>
        <w:rPr>
          <w:i/>
        </w:rPr>
        <w:t>Journal of Health Population and Nutrition</w:t>
      </w:r>
      <w:r>
        <w:rPr/>
        <w:t>, 31(1): 58-64.</w:t>
      </w:r>
    </w:p>
    <w:p>
      <w:pPr>
        <w:pStyle w:val="BodyText"/>
        <w:spacing w:before="130"/>
      </w:pPr>
    </w:p>
    <w:p>
      <w:pPr>
        <w:pStyle w:val="BodyText"/>
        <w:spacing w:line="362" w:lineRule="auto"/>
        <w:ind w:left="1748" w:right="810" w:hanging="721"/>
        <w:jc w:val="both"/>
      </w:pPr>
      <w:r>
        <w:rPr/>
        <w:t>Fernández-Alonso, J.L., and Hernández-Schmidt, M. (2007). Catálogo de la flora vascular de la cuenca alta del río Subachoque (Cundinamarca, Colombia). </w:t>
      </w:r>
      <w:r>
        <w:rPr>
          <w:i/>
        </w:rPr>
        <w:t>Caldasia</w:t>
      </w:r>
      <w:r>
        <w:rPr/>
        <w:t>, 29: 73-104.</w:t>
      </w:r>
    </w:p>
    <w:p>
      <w:pPr>
        <w:pStyle w:val="BodyText"/>
        <w:spacing w:before="130"/>
      </w:pPr>
    </w:p>
    <w:p>
      <w:pPr>
        <w:pStyle w:val="BodyText"/>
        <w:spacing w:line="362" w:lineRule="auto"/>
        <w:ind w:left="1748" w:right="801" w:hanging="721"/>
        <w:jc w:val="both"/>
      </w:pPr>
      <w:r>
        <w:rPr/>
        <w:t>Food</w:t>
      </w:r>
      <w:r>
        <w:rPr>
          <w:spacing w:val="-3"/>
        </w:rPr>
        <w:t> </w:t>
      </w:r>
      <w:r>
        <w:rPr/>
        <w:t>Standard</w:t>
      </w:r>
      <w:r>
        <w:rPr>
          <w:spacing w:val="-3"/>
        </w:rPr>
        <w:t> </w:t>
      </w:r>
      <w:r>
        <w:rPr/>
        <w:t>Australia</w:t>
      </w:r>
      <w:r>
        <w:rPr>
          <w:spacing w:val="-4"/>
        </w:rPr>
        <w:t> </w:t>
      </w:r>
      <w:r>
        <w:rPr/>
        <w:t>New Zealand</w:t>
      </w:r>
      <w:r>
        <w:rPr>
          <w:spacing w:val="-3"/>
        </w:rPr>
        <w:t> </w:t>
      </w:r>
      <w:r>
        <w:rPr/>
        <w:t>(2004).</w:t>
      </w:r>
      <w:r>
        <w:rPr>
          <w:spacing w:val="-1"/>
        </w:rPr>
        <w:t> </w:t>
      </w:r>
      <w:r>
        <w:rPr/>
        <w:t>Final</w:t>
      </w:r>
      <w:r>
        <w:rPr>
          <w:spacing w:val="-11"/>
        </w:rPr>
        <w:t> </w:t>
      </w:r>
      <w:r>
        <w:rPr/>
        <w:t>assessment report proposal: Advice on the preparation of cassava and bamboo shoots. Report Number 2-04. Canberra: FSANZ.</w:t>
      </w:r>
    </w:p>
    <w:p>
      <w:pPr>
        <w:pStyle w:val="BodyText"/>
        <w:spacing w:before="130"/>
      </w:pPr>
    </w:p>
    <w:p>
      <w:pPr>
        <w:pStyle w:val="BodyText"/>
        <w:spacing w:line="360" w:lineRule="auto" w:before="1"/>
        <w:ind w:left="1748" w:right="670" w:hanging="721"/>
      </w:pPr>
      <w:r>
        <w:rPr/>
        <w:t>Francis, G., Kerem, Z., Makkar H.P.S. and Becker, K. (2002). The biological action of saponins in animal systems: A review. </w:t>
      </w:r>
      <w:r>
        <w:rPr>
          <w:i/>
        </w:rPr>
        <w:t>British Journal of Nutrition</w:t>
      </w:r>
      <w:r>
        <w:rPr/>
        <w:t>, 88:587-605.</w:t>
      </w:r>
    </w:p>
    <w:p>
      <w:pPr>
        <w:pStyle w:val="BodyText"/>
        <w:spacing w:before="139"/>
      </w:pPr>
    </w:p>
    <w:p>
      <w:pPr>
        <w:pStyle w:val="BodyText"/>
        <w:ind w:left="1028"/>
        <w:jc w:val="both"/>
      </w:pPr>
      <w:r>
        <w:rPr/>
        <w:t>Fu,</w:t>
      </w:r>
      <w:r>
        <w:rPr>
          <w:spacing w:val="-2"/>
        </w:rPr>
        <w:t> </w:t>
      </w:r>
      <w:r>
        <w:rPr/>
        <w:t>P.P.,</w:t>
      </w:r>
      <w:r>
        <w:rPr>
          <w:spacing w:val="-5"/>
        </w:rPr>
        <w:t> </w:t>
      </w:r>
      <w:r>
        <w:rPr/>
        <w:t>Xia, Q.,</w:t>
      </w:r>
      <w:r>
        <w:rPr>
          <w:spacing w:val="-4"/>
        </w:rPr>
        <w:t> </w:t>
      </w:r>
      <w:r>
        <w:rPr/>
        <w:t>Lin, G.</w:t>
      </w:r>
      <w:r>
        <w:rPr>
          <w:spacing w:val="-1"/>
        </w:rPr>
        <w:t> </w:t>
      </w:r>
      <w:r>
        <w:rPr/>
        <w:t>and</w:t>
      </w:r>
      <w:r>
        <w:rPr>
          <w:spacing w:val="-1"/>
        </w:rPr>
        <w:t> </w:t>
      </w:r>
      <w:r>
        <w:rPr/>
        <w:t>Chou, M.W.</w:t>
      </w:r>
      <w:r>
        <w:rPr>
          <w:spacing w:val="-5"/>
        </w:rPr>
        <w:t> </w:t>
      </w:r>
      <w:r>
        <w:rPr/>
        <w:t>(2004).</w:t>
      </w:r>
      <w:r>
        <w:rPr>
          <w:spacing w:val="-8"/>
        </w:rPr>
        <w:t> </w:t>
      </w:r>
      <w:r>
        <w:rPr/>
        <w:t>Pyrrolizidine</w:t>
      </w:r>
      <w:r>
        <w:rPr>
          <w:spacing w:val="-2"/>
        </w:rPr>
        <w:t> </w:t>
      </w:r>
      <w:r>
        <w:rPr/>
        <w:t>alkaloids-</w:t>
      </w:r>
      <w:r>
        <w:rPr>
          <w:spacing w:val="-2"/>
        </w:rPr>
        <w:t>Genotoxicity,</w:t>
      </w:r>
    </w:p>
    <w:p>
      <w:pPr>
        <w:spacing w:after="0"/>
        <w:jc w:val="both"/>
        <w:sectPr>
          <w:pgSz w:w="11910" w:h="16840"/>
          <w:pgMar w:header="0" w:footer="1012" w:top="1320" w:bottom="1200" w:left="960" w:right="620"/>
        </w:sectPr>
      </w:pPr>
    </w:p>
    <w:p>
      <w:pPr>
        <w:spacing w:line="360" w:lineRule="auto" w:before="79"/>
        <w:ind w:left="1748" w:right="805" w:firstLine="0"/>
        <w:jc w:val="both"/>
        <w:rPr>
          <w:sz w:val="24"/>
        </w:rPr>
      </w:pPr>
      <w:r>
        <w:rPr>
          <w:sz w:val="24"/>
        </w:rPr>
        <w:t>metabolism enzymes, metabolic activation and mechanisms. </w:t>
      </w:r>
      <w:r>
        <w:rPr>
          <w:i/>
          <w:sz w:val="24"/>
        </w:rPr>
        <w:t>Drug Metabolism Reviews</w:t>
      </w:r>
      <w:r>
        <w:rPr>
          <w:sz w:val="24"/>
        </w:rPr>
        <w:t>, 36: 1-55.</w:t>
      </w:r>
    </w:p>
    <w:p>
      <w:pPr>
        <w:pStyle w:val="BodyText"/>
        <w:spacing w:before="140"/>
      </w:pPr>
    </w:p>
    <w:p>
      <w:pPr>
        <w:pStyle w:val="BodyText"/>
        <w:spacing w:line="360" w:lineRule="auto"/>
        <w:ind w:left="1748" w:right="804" w:hanging="721"/>
        <w:jc w:val="both"/>
      </w:pPr>
      <w:r>
        <w:rPr/>
        <w:t>Fu, P.P., Yang, Y.C., Xia, Q., Chou, M.C., Cui, Y.Y. and Lin G. (2002). Pyrrolizidine alkaloids-tumorigenic components in Chinese herbal medicines and dietary supplements. </w:t>
      </w:r>
      <w:r>
        <w:rPr>
          <w:i/>
        </w:rPr>
        <w:t>Journal of Food and Drug Analysis</w:t>
      </w:r>
      <w:r>
        <w:rPr/>
        <w:t>, 10(4): 198-211.</w:t>
      </w:r>
    </w:p>
    <w:p>
      <w:pPr>
        <w:pStyle w:val="BodyText"/>
        <w:spacing w:before="138"/>
      </w:pPr>
    </w:p>
    <w:p>
      <w:pPr>
        <w:spacing w:line="360" w:lineRule="auto" w:before="1"/>
        <w:ind w:left="1748" w:right="808" w:hanging="721"/>
        <w:jc w:val="both"/>
        <w:rPr>
          <w:sz w:val="24"/>
        </w:rPr>
      </w:pPr>
      <w:r>
        <w:rPr>
          <w:sz w:val="24"/>
        </w:rPr>
        <w:t>Gandhi, V. M., Cherian, K. M. and Mulky, M. J. (1995). Toxicological studies on Ratanjyot oil. </w:t>
      </w:r>
      <w:r>
        <w:rPr>
          <w:i/>
          <w:sz w:val="24"/>
        </w:rPr>
        <w:t>Food and Chemical Toxicology</w:t>
      </w:r>
      <w:r>
        <w:rPr>
          <w:sz w:val="24"/>
        </w:rPr>
        <w:t>. 33: 39-42.</w:t>
      </w:r>
    </w:p>
    <w:p>
      <w:pPr>
        <w:pStyle w:val="BodyText"/>
        <w:spacing w:before="139"/>
      </w:pPr>
    </w:p>
    <w:p>
      <w:pPr>
        <w:pStyle w:val="BodyText"/>
        <w:ind w:left="1028"/>
        <w:jc w:val="both"/>
      </w:pPr>
      <w:r>
        <w:rPr/>
        <w:t>Ganguli,</w:t>
      </w:r>
      <w:r>
        <w:rPr>
          <w:spacing w:val="-1"/>
        </w:rPr>
        <w:t> </w:t>
      </w:r>
      <w:r>
        <w:rPr/>
        <w:t>S. (2002).</w:t>
      </w:r>
      <w:r>
        <w:rPr>
          <w:spacing w:val="-6"/>
        </w:rPr>
        <w:t> </w:t>
      </w:r>
      <w:r>
        <w:rPr/>
        <w:t>Neem:</w:t>
      </w:r>
      <w:r>
        <w:rPr>
          <w:spacing w:val="3"/>
        </w:rPr>
        <w:t> </w:t>
      </w:r>
      <w:r>
        <w:rPr/>
        <w:t>A</w:t>
      </w:r>
      <w:r>
        <w:rPr>
          <w:spacing w:val="-8"/>
        </w:rPr>
        <w:t> </w:t>
      </w:r>
      <w:r>
        <w:rPr/>
        <w:t>therapeautic</w:t>
      </w:r>
      <w:r>
        <w:rPr>
          <w:spacing w:val="1"/>
        </w:rPr>
        <w:t> </w:t>
      </w:r>
      <w:r>
        <w:rPr/>
        <w:t>for</w:t>
      </w:r>
      <w:r>
        <w:rPr>
          <w:spacing w:val="-1"/>
        </w:rPr>
        <w:t> </w:t>
      </w:r>
      <w:r>
        <w:rPr/>
        <w:t>all</w:t>
      </w:r>
      <w:r>
        <w:rPr>
          <w:spacing w:val="-7"/>
        </w:rPr>
        <w:t> </w:t>
      </w:r>
      <w:r>
        <w:rPr/>
        <w:t>seasons.</w:t>
      </w:r>
      <w:r>
        <w:rPr>
          <w:spacing w:val="6"/>
        </w:rPr>
        <w:t> </w:t>
      </w:r>
      <w:r>
        <w:rPr>
          <w:i/>
        </w:rPr>
        <w:t>Current</w:t>
      </w:r>
      <w:r>
        <w:rPr>
          <w:i/>
          <w:spacing w:val="-2"/>
        </w:rPr>
        <w:t> </w:t>
      </w:r>
      <w:r>
        <w:rPr>
          <w:i/>
        </w:rPr>
        <w:t>Science</w:t>
      </w:r>
      <w:r>
        <w:rPr/>
        <w:t>, 82:</w:t>
      </w:r>
      <w:r>
        <w:rPr>
          <w:spacing w:val="-2"/>
        </w:rPr>
        <w:t> </w:t>
      </w:r>
      <w:r>
        <w:rPr>
          <w:spacing w:val="-5"/>
        </w:rPr>
        <w:t>11.</w:t>
      </w:r>
    </w:p>
    <w:p>
      <w:pPr>
        <w:pStyle w:val="BodyText"/>
        <w:spacing w:before="274"/>
      </w:pPr>
    </w:p>
    <w:p>
      <w:pPr>
        <w:pStyle w:val="BodyText"/>
        <w:spacing w:line="360" w:lineRule="auto"/>
        <w:ind w:left="1748" w:right="812" w:hanging="721"/>
        <w:jc w:val="both"/>
      </w:pPr>
      <w:r>
        <w:rPr/>
        <w:t>Ganter, P. and Jolles, G. (1970). In tissus conjonctifs in histichimie normales et pathologique, Gauthier-Villars Paris, 2: 1045-1126.</w:t>
      </w:r>
    </w:p>
    <w:p>
      <w:pPr>
        <w:pStyle w:val="BodyText"/>
        <w:spacing w:before="140"/>
      </w:pPr>
    </w:p>
    <w:p>
      <w:pPr>
        <w:spacing w:line="360" w:lineRule="auto" w:before="0"/>
        <w:ind w:left="1748" w:right="809" w:hanging="721"/>
        <w:jc w:val="both"/>
        <w:rPr>
          <w:sz w:val="24"/>
        </w:rPr>
      </w:pPr>
      <w:r>
        <w:rPr>
          <w:sz w:val="24"/>
        </w:rPr>
        <w:t>Gaudani, H., Gupta, M., Guptaa, N., Trivedi, S., Patil, P., Gupta, G. and Vamshi Krishna, K. (2009). Isolation and characterization of</w:t>
      </w:r>
      <w:r>
        <w:rPr>
          <w:spacing w:val="-4"/>
          <w:sz w:val="24"/>
        </w:rPr>
        <w:t> </w:t>
      </w:r>
      <w:r>
        <w:rPr>
          <w:sz w:val="24"/>
        </w:rPr>
        <w:t>phorbol</w:t>
      </w:r>
      <w:r>
        <w:rPr>
          <w:spacing w:val="-5"/>
          <w:sz w:val="24"/>
        </w:rPr>
        <w:t> </w:t>
      </w:r>
      <w:r>
        <w:rPr>
          <w:sz w:val="24"/>
        </w:rPr>
        <w:t>esters (toxin) from </w:t>
      </w:r>
      <w:r>
        <w:rPr>
          <w:i/>
          <w:sz w:val="24"/>
        </w:rPr>
        <w:t>Jatropha curcas </w:t>
      </w:r>
      <w:r>
        <w:rPr>
          <w:sz w:val="24"/>
        </w:rPr>
        <w:t>L. </w:t>
      </w:r>
      <w:r>
        <w:rPr>
          <w:i/>
          <w:sz w:val="24"/>
        </w:rPr>
        <w:t>International Journal of Microbiology Research</w:t>
      </w:r>
      <w:r>
        <w:rPr>
          <w:sz w:val="24"/>
        </w:rPr>
        <w:t>, 1(1): 1-7.</w:t>
      </w:r>
    </w:p>
    <w:p>
      <w:pPr>
        <w:pStyle w:val="BodyText"/>
        <w:spacing w:before="138"/>
      </w:pPr>
    </w:p>
    <w:p>
      <w:pPr>
        <w:pStyle w:val="BodyText"/>
        <w:ind w:left="1028"/>
        <w:jc w:val="both"/>
      </w:pPr>
      <w:r>
        <w:rPr/>
        <w:t>Gauthier,</w:t>
      </w:r>
      <w:r>
        <w:rPr>
          <w:spacing w:val="-3"/>
        </w:rPr>
        <w:t> </w:t>
      </w:r>
      <w:r>
        <w:rPr/>
        <w:t>C.,</w:t>
      </w:r>
      <w:r>
        <w:rPr>
          <w:spacing w:val="-1"/>
        </w:rPr>
        <w:t> </w:t>
      </w:r>
      <w:r>
        <w:rPr/>
        <w:t>Legault,</w:t>
      </w:r>
      <w:r>
        <w:rPr>
          <w:spacing w:val="-5"/>
        </w:rPr>
        <w:t> </w:t>
      </w:r>
      <w:r>
        <w:rPr/>
        <w:t>J.,</w:t>
      </w:r>
      <w:r>
        <w:rPr>
          <w:spacing w:val="-6"/>
        </w:rPr>
        <w:t> </w:t>
      </w:r>
      <w:r>
        <w:rPr/>
        <w:t>Girard-Lalancette, K.,</w:t>
      </w:r>
      <w:r>
        <w:rPr>
          <w:spacing w:val="-3"/>
        </w:rPr>
        <w:t> </w:t>
      </w:r>
      <w:r>
        <w:rPr/>
        <w:t>Mshvildadze,</w:t>
      </w:r>
      <w:r>
        <w:rPr>
          <w:spacing w:val="-1"/>
        </w:rPr>
        <w:t> </w:t>
      </w:r>
      <w:r>
        <w:rPr/>
        <w:t>V.</w:t>
      </w:r>
      <w:r>
        <w:rPr>
          <w:spacing w:val="-1"/>
        </w:rPr>
        <w:t> </w:t>
      </w:r>
      <w:r>
        <w:rPr/>
        <w:t>Pichette,</w:t>
      </w:r>
      <w:r>
        <w:rPr>
          <w:spacing w:val="-6"/>
        </w:rPr>
        <w:t> </w:t>
      </w:r>
      <w:r>
        <w:rPr/>
        <w:t>A. </w:t>
      </w:r>
      <w:r>
        <w:rPr>
          <w:spacing w:val="-2"/>
        </w:rPr>
        <w:t>(2009).</w:t>
      </w:r>
    </w:p>
    <w:p>
      <w:pPr>
        <w:pStyle w:val="BodyText"/>
        <w:spacing w:line="360" w:lineRule="auto" w:before="137"/>
        <w:ind w:left="1748" w:right="805"/>
        <w:jc w:val="both"/>
      </w:pPr>
      <w:r>
        <w:rPr/>
        <w:t>Haemolytic activity, cytotoxicity and membrane cell permeabilization of semi- synthetic and natural lupane and oleanane-type saponins. </w:t>
      </w:r>
      <w:r>
        <w:rPr>
          <w:i/>
        </w:rPr>
        <w:t>Bioorganic and Medicinal Chemistry</w:t>
      </w:r>
      <w:r>
        <w:rPr/>
        <w:t>, 17: 2002-2008.</w:t>
      </w:r>
    </w:p>
    <w:p>
      <w:pPr>
        <w:pStyle w:val="BodyText"/>
        <w:spacing w:before="139"/>
      </w:pPr>
    </w:p>
    <w:p>
      <w:pPr>
        <w:pStyle w:val="BodyText"/>
        <w:spacing w:line="360" w:lineRule="auto"/>
        <w:ind w:left="1748" w:right="796" w:hanging="721"/>
        <w:jc w:val="both"/>
      </w:pPr>
      <w:r>
        <w:rPr/>
        <w:t>Goel, G., Makkar, H.P.S., Francis, G. and Becker, K. (2007). Phorbol esters: structure, biological activity, and toxicity in animals. </w:t>
      </w:r>
      <w:r>
        <w:rPr>
          <w:i/>
        </w:rPr>
        <w:t>International Journal of Toxicology</w:t>
      </w:r>
      <w:r>
        <w:rPr/>
        <w:t>, 26: 279-288.</w:t>
      </w:r>
    </w:p>
    <w:p>
      <w:pPr>
        <w:pStyle w:val="BodyText"/>
        <w:spacing w:before="138"/>
      </w:pPr>
    </w:p>
    <w:p>
      <w:pPr>
        <w:spacing w:line="360" w:lineRule="auto" w:before="1"/>
        <w:ind w:left="1748" w:right="805" w:hanging="721"/>
        <w:jc w:val="both"/>
        <w:rPr>
          <w:sz w:val="24"/>
        </w:rPr>
      </w:pPr>
      <w:r>
        <w:rPr>
          <w:sz w:val="24"/>
        </w:rPr>
        <w:t>Gross, H., Foidl, G. and Foidl, N. (1997). Detoxification of </w:t>
      </w:r>
      <w:r>
        <w:rPr>
          <w:i/>
          <w:sz w:val="24"/>
        </w:rPr>
        <w:t>J</w:t>
      </w:r>
      <w:r>
        <w:rPr>
          <w:sz w:val="24"/>
        </w:rPr>
        <w:t>. </w:t>
      </w:r>
      <w:r>
        <w:rPr>
          <w:i/>
          <w:sz w:val="24"/>
        </w:rPr>
        <w:t>curcas </w:t>
      </w:r>
      <w:r>
        <w:rPr>
          <w:sz w:val="24"/>
        </w:rPr>
        <w:t>Press Cake and</w:t>
      </w:r>
      <w:r>
        <w:rPr>
          <w:spacing w:val="40"/>
          <w:sz w:val="24"/>
        </w:rPr>
        <w:t> </w:t>
      </w:r>
      <w:r>
        <w:rPr>
          <w:sz w:val="24"/>
        </w:rPr>
        <w:t>Oil and Feeding Experiments on Fish and Mice. In: Gubitz, G.M., Mittelbach, M., Trabi, M. (Ed) </w:t>
      </w:r>
      <w:r>
        <w:rPr>
          <w:i/>
          <w:sz w:val="24"/>
        </w:rPr>
        <w:t>Biofuels and Industrial Products from Jatropha curcas</w:t>
      </w:r>
      <w:r>
        <w:rPr>
          <w:sz w:val="24"/>
        </w:rPr>
        <w:t>. Dubrovnik Graz, Austria, pp. 179-182.</w:t>
      </w:r>
    </w:p>
    <w:p>
      <w:pPr>
        <w:spacing w:after="0" w:line="360" w:lineRule="auto"/>
        <w:jc w:val="both"/>
        <w:rPr>
          <w:sz w:val="24"/>
        </w:rPr>
        <w:sectPr>
          <w:pgSz w:w="11910" w:h="16840"/>
          <w:pgMar w:header="0" w:footer="1012" w:top="1320" w:bottom="1200" w:left="960" w:right="620"/>
        </w:sectPr>
      </w:pPr>
    </w:p>
    <w:p>
      <w:pPr>
        <w:spacing w:line="360" w:lineRule="auto" w:before="79"/>
        <w:ind w:left="1748" w:right="802" w:hanging="721"/>
        <w:jc w:val="both"/>
        <w:rPr>
          <w:sz w:val="24"/>
        </w:rPr>
      </w:pPr>
      <w:r>
        <w:rPr>
          <w:sz w:val="24"/>
        </w:rPr>
        <w:t>Grover,</w:t>
      </w:r>
      <w:r>
        <w:rPr>
          <w:spacing w:val="-1"/>
          <w:sz w:val="24"/>
        </w:rPr>
        <w:t> </w:t>
      </w:r>
      <w:r>
        <w:rPr>
          <w:sz w:val="24"/>
        </w:rPr>
        <w:t>J.K.,</w:t>
      </w:r>
      <w:r>
        <w:rPr>
          <w:spacing w:val="-1"/>
          <w:sz w:val="24"/>
        </w:rPr>
        <w:t> </w:t>
      </w:r>
      <w:r>
        <w:rPr>
          <w:sz w:val="24"/>
        </w:rPr>
        <w:t>Khandkar,</w:t>
      </w:r>
      <w:r>
        <w:rPr>
          <w:spacing w:val="-1"/>
          <w:sz w:val="24"/>
        </w:rPr>
        <w:t> </w:t>
      </w:r>
      <w:r>
        <w:rPr>
          <w:sz w:val="24"/>
        </w:rPr>
        <w:t>S.,</w:t>
      </w:r>
      <w:r>
        <w:rPr>
          <w:spacing w:val="-1"/>
          <w:sz w:val="24"/>
        </w:rPr>
        <w:t> </w:t>
      </w:r>
      <w:r>
        <w:rPr>
          <w:sz w:val="24"/>
        </w:rPr>
        <w:t>Vats,</w:t>
      </w:r>
      <w:r>
        <w:rPr>
          <w:spacing w:val="-1"/>
          <w:sz w:val="24"/>
        </w:rPr>
        <w:t> </w:t>
      </w:r>
      <w:r>
        <w:rPr>
          <w:sz w:val="24"/>
        </w:rPr>
        <w:t>V.,</w:t>
      </w:r>
      <w:r>
        <w:rPr>
          <w:spacing w:val="-1"/>
          <w:sz w:val="24"/>
        </w:rPr>
        <w:t> </w:t>
      </w:r>
      <w:r>
        <w:rPr>
          <w:sz w:val="24"/>
        </w:rPr>
        <w:t>Dhunnoo, Y.</w:t>
      </w:r>
      <w:r>
        <w:rPr>
          <w:spacing w:val="-6"/>
          <w:sz w:val="24"/>
        </w:rPr>
        <w:t> </w:t>
      </w:r>
      <w:r>
        <w:rPr>
          <w:sz w:val="24"/>
        </w:rPr>
        <w:t>and</w:t>
      </w:r>
      <w:r>
        <w:rPr>
          <w:spacing w:val="-3"/>
          <w:sz w:val="24"/>
        </w:rPr>
        <w:t> </w:t>
      </w:r>
      <w:r>
        <w:rPr>
          <w:sz w:val="24"/>
        </w:rPr>
        <w:t>Das,</w:t>
      </w:r>
      <w:r>
        <w:rPr>
          <w:spacing w:val="-1"/>
          <w:sz w:val="24"/>
        </w:rPr>
        <w:t> </w:t>
      </w:r>
      <w:r>
        <w:rPr>
          <w:sz w:val="24"/>
        </w:rPr>
        <w:t>D.</w:t>
      </w:r>
      <w:r>
        <w:rPr>
          <w:spacing w:val="-1"/>
          <w:sz w:val="24"/>
        </w:rPr>
        <w:t> </w:t>
      </w:r>
      <w:r>
        <w:rPr>
          <w:sz w:val="24"/>
        </w:rPr>
        <w:t>(2002). Pharmacological studies on </w:t>
      </w:r>
      <w:r>
        <w:rPr>
          <w:i/>
          <w:sz w:val="24"/>
        </w:rPr>
        <w:t>Myristica fragrans </w:t>
      </w:r>
      <w:r>
        <w:rPr>
          <w:sz w:val="24"/>
        </w:rPr>
        <w:t>– antidiarrhoeal, hypnotic, analgesic and hemodynamic (blood pressure) parameters. </w:t>
      </w:r>
      <w:r>
        <w:rPr>
          <w:i/>
          <w:sz w:val="24"/>
        </w:rPr>
        <w:t>Experimental and clinical pharmacology</w:t>
      </w:r>
      <w:r>
        <w:rPr>
          <w:sz w:val="24"/>
        </w:rPr>
        <w:t>, 24(10): 675-680.</w:t>
      </w:r>
    </w:p>
    <w:p>
      <w:pPr>
        <w:pStyle w:val="BodyText"/>
        <w:spacing w:before="138"/>
      </w:pPr>
    </w:p>
    <w:p>
      <w:pPr>
        <w:spacing w:line="362" w:lineRule="auto" w:before="0"/>
        <w:ind w:left="1748" w:right="818" w:hanging="721"/>
        <w:jc w:val="both"/>
        <w:rPr>
          <w:sz w:val="24"/>
        </w:rPr>
      </w:pPr>
      <w:r>
        <w:rPr>
          <w:sz w:val="24"/>
        </w:rPr>
        <w:t>Gubitz, G.M., Mittelbach, M. and Trabi, M. (1998).</w:t>
      </w:r>
      <w:r>
        <w:rPr>
          <w:spacing w:val="-1"/>
          <w:sz w:val="24"/>
        </w:rPr>
        <w:t> </w:t>
      </w:r>
      <w:r>
        <w:rPr>
          <w:sz w:val="24"/>
        </w:rPr>
        <w:t>Exploitation</w:t>
      </w:r>
      <w:r>
        <w:rPr>
          <w:spacing w:val="-2"/>
          <w:sz w:val="24"/>
        </w:rPr>
        <w:t> </w:t>
      </w:r>
      <w:r>
        <w:rPr>
          <w:sz w:val="24"/>
        </w:rPr>
        <w:t>of</w:t>
      </w:r>
      <w:r>
        <w:rPr>
          <w:spacing w:val="-5"/>
          <w:sz w:val="24"/>
        </w:rPr>
        <w:t> </w:t>
      </w:r>
      <w:r>
        <w:rPr>
          <w:sz w:val="24"/>
        </w:rPr>
        <w:t>the tropical</w:t>
      </w:r>
      <w:r>
        <w:rPr>
          <w:spacing w:val="-2"/>
          <w:sz w:val="24"/>
        </w:rPr>
        <w:t> </w:t>
      </w:r>
      <w:r>
        <w:rPr>
          <w:sz w:val="24"/>
        </w:rPr>
        <w:t>oil</w:t>
      </w:r>
      <w:r>
        <w:rPr>
          <w:spacing w:val="-2"/>
          <w:sz w:val="24"/>
        </w:rPr>
        <w:t> </w:t>
      </w:r>
      <w:r>
        <w:rPr>
          <w:sz w:val="24"/>
        </w:rPr>
        <w:t>seed plant </w:t>
      </w:r>
      <w:r>
        <w:rPr>
          <w:i/>
          <w:sz w:val="24"/>
        </w:rPr>
        <w:t>Jatropha curcas </w:t>
      </w:r>
      <w:r>
        <w:rPr>
          <w:sz w:val="24"/>
        </w:rPr>
        <w:t>L. </w:t>
      </w:r>
      <w:r>
        <w:rPr>
          <w:i/>
          <w:sz w:val="24"/>
        </w:rPr>
        <w:t>Bioresource Technology</w:t>
      </w:r>
      <w:r>
        <w:rPr>
          <w:sz w:val="24"/>
        </w:rPr>
        <w:t>, 67: 73-82.</w:t>
      </w:r>
    </w:p>
    <w:p>
      <w:pPr>
        <w:pStyle w:val="BodyText"/>
        <w:spacing w:before="134"/>
      </w:pPr>
    </w:p>
    <w:p>
      <w:pPr>
        <w:pStyle w:val="BodyText"/>
        <w:spacing w:line="360" w:lineRule="auto"/>
        <w:ind w:left="1748" w:hanging="721"/>
      </w:pPr>
      <w:r>
        <w:rPr/>
        <w:t>Gunstone,</w:t>
      </w:r>
      <w:r>
        <w:rPr>
          <w:spacing w:val="-2"/>
        </w:rPr>
        <w:t> </w:t>
      </w:r>
      <w:r>
        <w:rPr/>
        <w:t>F.</w:t>
      </w:r>
      <w:r>
        <w:rPr>
          <w:spacing w:val="-2"/>
        </w:rPr>
        <w:t> </w:t>
      </w:r>
      <w:r>
        <w:rPr/>
        <w:t>D.</w:t>
      </w:r>
      <w:r>
        <w:rPr>
          <w:spacing w:val="-3"/>
        </w:rPr>
        <w:t> </w:t>
      </w:r>
      <w:r>
        <w:rPr/>
        <w:t>and</w:t>
      </w:r>
      <w:r>
        <w:rPr>
          <w:spacing w:val="-4"/>
        </w:rPr>
        <w:t> </w:t>
      </w:r>
      <w:r>
        <w:rPr/>
        <w:t>Norris,</w:t>
      </w:r>
      <w:r>
        <w:rPr>
          <w:spacing w:val="-2"/>
        </w:rPr>
        <w:t> </w:t>
      </w:r>
      <w:r>
        <w:rPr/>
        <w:t>F.</w:t>
      </w:r>
      <w:r>
        <w:rPr>
          <w:spacing w:val="-2"/>
        </w:rPr>
        <w:t> </w:t>
      </w:r>
      <w:r>
        <w:rPr/>
        <w:t>A.</w:t>
      </w:r>
      <w:r>
        <w:rPr>
          <w:spacing w:val="-2"/>
        </w:rPr>
        <w:t> </w:t>
      </w:r>
      <w:r>
        <w:rPr/>
        <w:t>(1983).</w:t>
      </w:r>
      <w:r>
        <w:rPr>
          <w:spacing w:val="-7"/>
        </w:rPr>
        <w:t> </w:t>
      </w:r>
      <w:r>
        <w:rPr/>
        <w:t>Lipids</w:t>
      </w:r>
      <w:r>
        <w:rPr>
          <w:spacing w:val="-2"/>
        </w:rPr>
        <w:t> </w:t>
      </w:r>
      <w:r>
        <w:rPr/>
        <w:t>in</w:t>
      </w:r>
      <w:r>
        <w:rPr>
          <w:spacing w:val="-4"/>
        </w:rPr>
        <w:t> </w:t>
      </w:r>
      <w:r>
        <w:rPr/>
        <w:t>food;</w:t>
      </w:r>
      <w:r>
        <w:rPr>
          <w:spacing w:val="-9"/>
        </w:rPr>
        <w:t> </w:t>
      </w:r>
      <w:r>
        <w:rPr/>
        <w:t>Chemistry,</w:t>
      </w:r>
      <w:r>
        <w:rPr>
          <w:spacing w:val="-2"/>
        </w:rPr>
        <w:t> </w:t>
      </w:r>
      <w:r>
        <w:rPr/>
        <w:t>Biochemistry</w:t>
      </w:r>
      <w:r>
        <w:rPr>
          <w:spacing w:val="-13"/>
        </w:rPr>
        <w:t> </w:t>
      </w:r>
      <w:r>
        <w:rPr/>
        <w:t>and Technology, Pergamon Press, Oxford, U.K. pp. 95-100.</w:t>
      </w:r>
    </w:p>
    <w:p>
      <w:pPr>
        <w:pStyle w:val="BodyText"/>
        <w:spacing w:before="140"/>
      </w:pPr>
    </w:p>
    <w:p>
      <w:pPr>
        <w:pStyle w:val="BodyText"/>
        <w:spacing w:line="360" w:lineRule="auto"/>
        <w:ind w:left="1748" w:right="797" w:hanging="721"/>
        <w:jc w:val="both"/>
      </w:pPr>
      <w:r>
        <w:rPr/>
        <w:t>Gupta,</w:t>
      </w:r>
      <w:r>
        <w:rPr>
          <w:spacing w:val="-5"/>
        </w:rPr>
        <w:t> </w:t>
      </w:r>
      <w:r>
        <w:rPr/>
        <w:t>M.N., Sharma, A. and</w:t>
      </w:r>
      <w:r>
        <w:rPr>
          <w:spacing w:val="-2"/>
        </w:rPr>
        <w:t> </w:t>
      </w:r>
      <w:r>
        <w:rPr/>
        <w:t>Shah, S. (2005).</w:t>
      </w:r>
      <w:r>
        <w:rPr>
          <w:spacing w:val="-5"/>
        </w:rPr>
        <w:t> </w:t>
      </w:r>
      <w:r>
        <w:rPr/>
        <w:t>Extraction</w:t>
      </w:r>
      <w:r>
        <w:rPr>
          <w:spacing w:val="-7"/>
        </w:rPr>
        <w:t> </w:t>
      </w:r>
      <w:r>
        <w:rPr/>
        <w:t>of</w:t>
      </w:r>
      <w:r>
        <w:rPr>
          <w:spacing w:val="-1"/>
        </w:rPr>
        <w:t> </w:t>
      </w:r>
      <w:r>
        <w:rPr>
          <w:i/>
        </w:rPr>
        <w:t>Jatropha</w:t>
      </w:r>
      <w:r>
        <w:rPr>
          <w:i/>
          <w:spacing w:val="-2"/>
        </w:rPr>
        <w:t> </w:t>
      </w:r>
      <w:r>
        <w:rPr>
          <w:i/>
        </w:rPr>
        <w:t>curcas</w:t>
      </w:r>
      <w:r>
        <w:rPr>
          <w:i/>
          <w:spacing w:val="-4"/>
        </w:rPr>
        <w:t> </w:t>
      </w:r>
      <w:r>
        <w:rPr/>
        <w:t>L. oil</w:t>
      </w:r>
      <w:r>
        <w:rPr>
          <w:spacing w:val="-7"/>
        </w:rPr>
        <w:t> </w:t>
      </w:r>
      <w:r>
        <w:rPr/>
        <w:t>from kernel by combination of ultrasonic and aqueous enzymatic oil extraction. </w:t>
      </w:r>
      <w:r>
        <w:rPr>
          <w:i/>
        </w:rPr>
        <w:t>Bioresource Technology</w:t>
      </w:r>
      <w:r>
        <w:rPr/>
        <w:t>, 96: 121-123.</w:t>
      </w:r>
    </w:p>
    <w:p>
      <w:pPr>
        <w:pStyle w:val="BodyText"/>
        <w:spacing w:before="138"/>
      </w:pPr>
    </w:p>
    <w:p>
      <w:pPr>
        <w:pStyle w:val="BodyText"/>
        <w:ind w:left="1028"/>
      </w:pPr>
      <w:r>
        <w:rPr/>
        <w:t>Haas,</w:t>
      </w:r>
      <w:r>
        <w:rPr>
          <w:spacing w:val="10"/>
        </w:rPr>
        <w:t> </w:t>
      </w:r>
      <w:r>
        <w:rPr/>
        <w:t>W.</w:t>
      </w:r>
      <w:r>
        <w:rPr>
          <w:spacing w:val="6"/>
        </w:rPr>
        <w:t> </w:t>
      </w:r>
      <w:r>
        <w:rPr/>
        <w:t>and</w:t>
      </w:r>
      <w:r>
        <w:rPr>
          <w:spacing w:val="9"/>
        </w:rPr>
        <w:t> </w:t>
      </w:r>
      <w:r>
        <w:rPr/>
        <w:t>Mittelbach,</w:t>
      </w:r>
      <w:r>
        <w:rPr>
          <w:spacing w:val="6"/>
        </w:rPr>
        <w:t> </w:t>
      </w:r>
      <w:r>
        <w:rPr/>
        <w:t>M.</w:t>
      </w:r>
      <w:r>
        <w:rPr>
          <w:spacing w:val="7"/>
        </w:rPr>
        <w:t> </w:t>
      </w:r>
      <w:r>
        <w:rPr/>
        <w:t>(2000).</w:t>
      </w:r>
      <w:r>
        <w:rPr>
          <w:spacing w:val="6"/>
        </w:rPr>
        <w:t> </w:t>
      </w:r>
      <w:r>
        <w:rPr/>
        <w:t>Detoxification experiments</w:t>
      </w:r>
      <w:r>
        <w:rPr>
          <w:spacing w:val="1"/>
        </w:rPr>
        <w:t> </w:t>
      </w:r>
      <w:r>
        <w:rPr/>
        <w:t>with the</w:t>
      </w:r>
      <w:r>
        <w:rPr>
          <w:spacing w:val="8"/>
        </w:rPr>
        <w:t> </w:t>
      </w:r>
      <w:r>
        <w:rPr/>
        <w:t>seed</w:t>
      </w:r>
      <w:r>
        <w:rPr>
          <w:spacing w:val="8"/>
        </w:rPr>
        <w:t> </w:t>
      </w:r>
      <w:r>
        <w:rPr/>
        <w:t>oil</w:t>
      </w:r>
      <w:r>
        <w:rPr>
          <w:spacing w:val="5"/>
        </w:rPr>
        <w:t> </w:t>
      </w:r>
      <w:r>
        <w:rPr>
          <w:spacing w:val="-4"/>
        </w:rPr>
        <w:t>from</w:t>
      </w:r>
    </w:p>
    <w:p>
      <w:pPr>
        <w:spacing w:before="137"/>
        <w:ind w:left="1748" w:right="0" w:firstLine="0"/>
        <w:jc w:val="left"/>
        <w:rPr>
          <w:sz w:val="24"/>
        </w:rPr>
      </w:pPr>
      <w:r>
        <w:rPr>
          <w:i/>
          <w:sz w:val="24"/>
        </w:rPr>
        <w:t>Jatropha</w:t>
      </w:r>
      <w:r>
        <w:rPr>
          <w:i/>
          <w:spacing w:val="-1"/>
          <w:sz w:val="24"/>
        </w:rPr>
        <w:t> </w:t>
      </w:r>
      <w:r>
        <w:rPr>
          <w:i/>
          <w:sz w:val="24"/>
        </w:rPr>
        <w:t>curcas</w:t>
      </w:r>
      <w:r>
        <w:rPr>
          <w:i/>
          <w:spacing w:val="-2"/>
          <w:sz w:val="24"/>
        </w:rPr>
        <w:t> </w:t>
      </w:r>
      <w:r>
        <w:rPr>
          <w:sz w:val="24"/>
        </w:rPr>
        <w:t>L.</w:t>
      </w:r>
      <w:r>
        <w:rPr>
          <w:spacing w:val="2"/>
          <w:sz w:val="24"/>
        </w:rPr>
        <w:t> </w:t>
      </w:r>
      <w:r>
        <w:rPr>
          <w:i/>
          <w:sz w:val="24"/>
        </w:rPr>
        <w:t>Industrial</w:t>
      </w:r>
      <w:r>
        <w:rPr>
          <w:i/>
          <w:spacing w:val="-1"/>
          <w:sz w:val="24"/>
        </w:rPr>
        <w:t> </w:t>
      </w:r>
      <w:r>
        <w:rPr>
          <w:i/>
          <w:sz w:val="24"/>
        </w:rPr>
        <w:t>Crops</w:t>
      </w:r>
      <w:r>
        <w:rPr>
          <w:i/>
          <w:spacing w:val="-3"/>
          <w:sz w:val="24"/>
        </w:rPr>
        <w:t> </w:t>
      </w:r>
      <w:r>
        <w:rPr>
          <w:i/>
          <w:sz w:val="24"/>
        </w:rPr>
        <w:t>and Products</w:t>
      </w:r>
      <w:r>
        <w:rPr>
          <w:sz w:val="24"/>
        </w:rPr>
        <w:t>,</w:t>
      </w:r>
      <w:r>
        <w:rPr>
          <w:spacing w:val="1"/>
          <w:sz w:val="24"/>
        </w:rPr>
        <w:t> </w:t>
      </w:r>
      <w:r>
        <w:rPr>
          <w:sz w:val="24"/>
        </w:rPr>
        <w:t>12: 111-</w:t>
      </w:r>
      <w:r>
        <w:rPr>
          <w:spacing w:val="-4"/>
          <w:sz w:val="24"/>
        </w:rPr>
        <w:t>118.</w:t>
      </w:r>
    </w:p>
    <w:p>
      <w:pPr>
        <w:pStyle w:val="BodyText"/>
        <w:spacing w:before="274"/>
      </w:pPr>
    </w:p>
    <w:p>
      <w:pPr>
        <w:spacing w:line="360" w:lineRule="auto" w:before="0"/>
        <w:ind w:left="1748" w:right="804" w:hanging="721"/>
        <w:jc w:val="both"/>
        <w:rPr>
          <w:sz w:val="24"/>
        </w:rPr>
      </w:pPr>
      <w:r>
        <w:rPr>
          <w:sz w:val="24"/>
        </w:rPr>
        <w:t>Hagels, H., Wagenbreth, D. and Schilcher, H. (1995). Phenolic Compounds of Buckwheat Herb and Influence of Plant and Agricultural Factors (</w:t>
      </w:r>
      <w:r>
        <w:rPr>
          <w:i/>
          <w:sz w:val="24"/>
        </w:rPr>
        <w:t>Fagopyrum esculentum </w:t>
      </w:r>
      <w:r>
        <w:rPr>
          <w:sz w:val="24"/>
        </w:rPr>
        <w:t>Moench and </w:t>
      </w:r>
      <w:r>
        <w:rPr>
          <w:i/>
          <w:sz w:val="24"/>
        </w:rPr>
        <w:t>Fagopyrum tataricum </w:t>
      </w:r>
      <w:r>
        <w:rPr>
          <w:sz w:val="24"/>
        </w:rPr>
        <w:t>Gärtner). In: Matano, T. and Ujihara, A. (Ed) </w:t>
      </w:r>
      <w:r>
        <w:rPr>
          <w:i/>
          <w:sz w:val="24"/>
        </w:rPr>
        <w:t>Current Advances in Buckwheat Research</w:t>
      </w:r>
      <w:r>
        <w:rPr>
          <w:sz w:val="24"/>
        </w:rPr>
        <w:t>: </w:t>
      </w:r>
      <w:r>
        <w:rPr>
          <w:i/>
          <w:sz w:val="24"/>
        </w:rPr>
        <w:t>Proceedings of the 6th International Symposium on Buckwheat</w:t>
      </w:r>
      <w:r>
        <w:rPr>
          <w:sz w:val="24"/>
        </w:rPr>
        <w:t>, Shinshu University Press, Shinshu, China. pp. 801-809.</w:t>
      </w:r>
    </w:p>
    <w:p>
      <w:pPr>
        <w:pStyle w:val="BodyText"/>
        <w:spacing w:before="140"/>
      </w:pPr>
    </w:p>
    <w:p>
      <w:pPr>
        <w:pStyle w:val="BodyText"/>
        <w:spacing w:line="362" w:lineRule="auto"/>
        <w:ind w:left="1748" w:right="801" w:hanging="721"/>
        <w:jc w:val="both"/>
      </w:pPr>
      <w:r>
        <w:rPr/>
        <w:t>Hallak, H.O. and Wedlund, P.J. (1991). Vitamin K epoxide reductase activity and its inhibition by warfarin in young and old rats. </w:t>
      </w:r>
      <w:r>
        <w:rPr>
          <w:i/>
        </w:rPr>
        <w:t>Drug Metabolism and Disposition</w:t>
      </w:r>
      <w:r>
        <w:rPr/>
        <w:t>, 19: 278-279.</w:t>
      </w:r>
    </w:p>
    <w:p>
      <w:pPr>
        <w:pStyle w:val="BodyText"/>
        <w:spacing w:before="130"/>
      </w:pPr>
    </w:p>
    <w:p>
      <w:pPr>
        <w:pStyle w:val="BodyText"/>
        <w:spacing w:line="360" w:lineRule="auto" w:before="1"/>
        <w:ind w:left="1748" w:right="670" w:hanging="721"/>
      </w:pPr>
      <w:r>
        <w:rPr/>
        <w:t>Hamm,</w:t>
      </w:r>
      <w:r>
        <w:rPr>
          <w:spacing w:val="33"/>
        </w:rPr>
        <w:t> </w:t>
      </w:r>
      <w:r>
        <w:rPr/>
        <w:t>W.,</w:t>
      </w:r>
      <w:r>
        <w:rPr>
          <w:spacing w:val="29"/>
        </w:rPr>
        <w:t> </w:t>
      </w:r>
      <w:r>
        <w:rPr/>
        <w:t>Hamilton,</w:t>
      </w:r>
      <w:r>
        <w:rPr>
          <w:spacing w:val="29"/>
        </w:rPr>
        <w:t> </w:t>
      </w:r>
      <w:r>
        <w:rPr/>
        <w:t>R.J.</w:t>
      </w:r>
      <w:r>
        <w:rPr>
          <w:spacing w:val="29"/>
        </w:rPr>
        <w:t> </w:t>
      </w:r>
      <w:r>
        <w:rPr/>
        <w:t>and</w:t>
      </w:r>
      <w:r>
        <w:rPr>
          <w:spacing w:val="26"/>
        </w:rPr>
        <w:t> </w:t>
      </w:r>
      <w:r>
        <w:rPr/>
        <w:t>Gijs,</w:t>
      </w:r>
      <w:r>
        <w:rPr>
          <w:spacing w:val="29"/>
        </w:rPr>
        <w:t> </w:t>
      </w:r>
      <w:r>
        <w:rPr/>
        <w:t>C.</w:t>
      </w:r>
      <w:r>
        <w:rPr>
          <w:spacing w:val="29"/>
        </w:rPr>
        <w:t> </w:t>
      </w:r>
      <w:r>
        <w:rPr/>
        <w:t>(2013a).</w:t>
      </w:r>
      <w:r>
        <w:rPr>
          <w:spacing w:val="29"/>
        </w:rPr>
        <w:t> </w:t>
      </w:r>
      <w:r>
        <w:rPr>
          <w:i/>
        </w:rPr>
        <w:t>Edible</w:t>
      </w:r>
      <w:r>
        <w:rPr>
          <w:i/>
          <w:spacing w:val="26"/>
        </w:rPr>
        <w:t> </w:t>
      </w:r>
      <w:r>
        <w:rPr>
          <w:i/>
        </w:rPr>
        <w:t>Oil</w:t>
      </w:r>
      <w:r>
        <w:rPr>
          <w:i/>
          <w:spacing w:val="28"/>
        </w:rPr>
        <w:t> </w:t>
      </w:r>
      <w:r>
        <w:rPr>
          <w:i/>
        </w:rPr>
        <w:t>Processing</w:t>
      </w:r>
      <w:r>
        <w:rPr/>
        <w:t>.</w:t>
      </w:r>
      <w:r>
        <w:rPr>
          <w:spacing w:val="29"/>
        </w:rPr>
        <w:t> </w:t>
      </w:r>
      <w:r>
        <w:rPr/>
        <w:t>John</w:t>
      </w:r>
      <w:r>
        <w:rPr>
          <w:spacing w:val="26"/>
        </w:rPr>
        <w:t> </w:t>
      </w:r>
      <w:r>
        <w:rPr/>
        <w:t>Willey and Sons, U.K., pp. 129.</w:t>
      </w:r>
    </w:p>
    <w:p>
      <w:pPr>
        <w:pStyle w:val="BodyText"/>
        <w:spacing w:before="139"/>
      </w:pPr>
    </w:p>
    <w:p>
      <w:pPr>
        <w:pStyle w:val="BodyText"/>
        <w:spacing w:line="360" w:lineRule="auto"/>
        <w:ind w:left="1748" w:right="670" w:hanging="721"/>
      </w:pPr>
      <w:r>
        <w:rPr/>
        <w:t>Hamm,</w:t>
      </w:r>
      <w:r>
        <w:rPr>
          <w:spacing w:val="31"/>
        </w:rPr>
        <w:t> </w:t>
      </w:r>
      <w:r>
        <w:rPr/>
        <w:t>W.,</w:t>
      </w:r>
      <w:r>
        <w:rPr>
          <w:spacing w:val="27"/>
        </w:rPr>
        <w:t> </w:t>
      </w:r>
      <w:r>
        <w:rPr/>
        <w:t>Hamilton,</w:t>
      </w:r>
      <w:r>
        <w:rPr>
          <w:spacing w:val="27"/>
        </w:rPr>
        <w:t> </w:t>
      </w:r>
      <w:r>
        <w:rPr/>
        <w:t>R.J.</w:t>
      </w:r>
      <w:r>
        <w:rPr>
          <w:spacing w:val="27"/>
        </w:rPr>
        <w:t> </w:t>
      </w:r>
      <w:r>
        <w:rPr/>
        <w:t>and Gijs,</w:t>
      </w:r>
      <w:r>
        <w:rPr>
          <w:spacing w:val="27"/>
        </w:rPr>
        <w:t> </w:t>
      </w:r>
      <w:r>
        <w:rPr/>
        <w:t>C.</w:t>
      </w:r>
      <w:r>
        <w:rPr>
          <w:spacing w:val="27"/>
        </w:rPr>
        <w:t> </w:t>
      </w:r>
      <w:r>
        <w:rPr/>
        <w:t>(2013b).</w:t>
      </w:r>
      <w:r>
        <w:rPr>
          <w:spacing w:val="34"/>
        </w:rPr>
        <w:t> </w:t>
      </w:r>
      <w:r>
        <w:rPr>
          <w:i/>
        </w:rPr>
        <w:t>Edible Oil</w:t>
      </w:r>
      <w:r>
        <w:rPr>
          <w:i/>
          <w:spacing w:val="26"/>
        </w:rPr>
        <w:t> </w:t>
      </w:r>
      <w:r>
        <w:rPr>
          <w:i/>
        </w:rPr>
        <w:t>Processing</w:t>
      </w:r>
      <w:r>
        <w:rPr/>
        <w:t>.</w:t>
      </w:r>
      <w:r>
        <w:rPr>
          <w:spacing w:val="27"/>
        </w:rPr>
        <w:t> </w:t>
      </w:r>
      <w:r>
        <w:rPr/>
        <w:t>John Willey and Sons, U.K., pp. 170-194.</w:t>
      </w:r>
    </w:p>
    <w:p>
      <w:pPr>
        <w:spacing w:after="0" w:line="360" w:lineRule="auto"/>
        <w:sectPr>
          <w:pgSz w:w="11910" w:h="16840"/>
          <w:pgMar w:header="0" w:footer="1012" w:top="1320" w:bottom="1200" w:left="960" w:right="620"/>
        </w:sectPr>
      </w:pPr>
    </w:p>
    <w:p>
      <w:pPr>
        <w:pStyle w:val="BodyText"/>
        <w:spacing w:before="33"/>
      </w:pPr>
    </w:p>
    <w:p>
      <w:pPr>
        <w:pStyle w:val="BodyText"/>
        <w:spacing w:line="360" w:lineRule="auto" w:before="1"/>
        <w:ind w:left="1748" w:right="798" w:hanging="721"/>
        <w:jc w:val="both"/>
      </w:pPr>
      <w:r>
        <w:rPr/>
        <w:t>Harder, M.N.C., Duarte, E.C.M., Barros, L.L.S., Maciel, P.B., Abreu Jnr. C.H., Villanueva, F.C.A. and Arthur, V. (2013). </w:t>
      </w:r>
      <w:r>
        <w:rPr>
          <w:i/>
        </w:rPr>
        <w:t>Jatrofa </w:t>
      </w:r>
      <w:r>
        <w:rPr/>
        <w:t>Seeds; Oil and Biodiesel Quality: Nutrients and Potentially Toxic Elements Determined by Mass Spectroscopy Inductively Coupled Plasma. Materials and Processes for Energy: Communicating Current Research and Technology Developments.</w:t>
      </w:r>
    </w:p>
    <w:p>
      <w:pPr>
        <w:pStyle w:val="BodyText"/>
        <w:spacing w:before="136"/>
      </w:pPr>
    </w:p>
    <w:p>
      <w:pPr>
        <w:spacing w:line="360" w:lineRule="auto" w:before="0"/>
        <w:ind w:left="1748" w:right="808" w:hanging="721"/>
        <w:jc w:val="both"/>
        <w:rPr>
          <w:sz w:val="24"/>
        </w:rPr>
      </w:pPr>
      <w:r>
        <w:rPr>
          <w:sz w:val="24"/>
        </w:rPr>
        <w:t>Haubrich,</w:t>
      </w:r>
      <w:r>
        <w:rPr>
          <w:spacing w:val="80"/>
          <w:sz w:val="24"/>
        </w:rPr>
        <w:t> </w:t>
      </w:r>
      <w:r>
        <w:rPr>
          <w:sz w:val="24"/>
        </w:rPr>
        <w:t>W.S.</w:t>
      </w:r>
      <w:r>
        <w:rPr>
          <w:spacing w:val="80"/>
          <w:sz w:val="24"/>
        </w:rPr>
        <w:t> </w:t>
      </w:r>
      <w:r>
        <w:rPr>
          <w:sz w:val="24"/>
        </w:rPr>
        <w:t>(2003).</w:t>
      </w:r>
      <w:r>
        <w:rPr>
          <w:spacing w:val="80"/>
          <w:sz w:val="24"/>
        </w:rPr>
        <w:t> </w:t>
      </w:r>
      <w:r>
        <w:rPr>
          <w:sz w:val="24"/>
        </w:rPr>
        <w:t>"officina". </w:t>
      </w:r>
      <w:r>
        <w:rPr>
          <w:i/>
          <w:sz w:val="24"/>
        </w:rPr>
        <w:t>Medical</w:t>
      </w:r>
      <w:r>
        <w:rPr>
          <w:i/>
          <w:spacing w:val="80"/>
          <w:sz w:val="24"/>
        </w:rPr>
        <w:t> </w:t>
      </w:r>
      <w:r>
        <w:rPr>
          <w:i/>
          <w:sz w:val="24"/>
        </w:rPr>
        <w:t>Meanings:</w:t>
      </w:r>
      <w:r>
        <w:rPr>
          <w:i/>
          <w:spacing w:val="80"/>
          <w:sz w:val="24"/>
        </w:rPr>
        <w:t> </w:t>
      </w:r>
      <w:r>
        <w:rPr>
          <w:i/>
          <w:sz w:val="24"/>
        </w:rPr>
        <w:t>a</w:t>
      </w:r>
      <w:r>
        <w:rPr>
          <w:i/>
          <w:spacing w:val="80"/>
          <w:sz w:val="24"/>
        </w:rPr>
        <w:t> </w:t>
      </w:r>
      <w:r>
        <w:rPr>
          <w:i/>
          <w:sz w:val="24"/>
        </w:rPr>
        <w:t>Glossary</w:t>
      </w:r>
      <w:r>
        <w:rPr>
          <w:i/>
          <w:spacing w:val="80"/>
          <w:sz w:val="24"/>
        </w:rPr>
        <w:t> </w:t>
      </w:r>
      <w:r>
        <w:rPr>
          <w:i/>
          <w:sz w:val="24"/>
        </w:rPr>
        <w:t>of</w:t>
      </w:r>
      <w:r>
        <w:rPr>
          <w:i/>
          <w:spacing w:val="80"/>
          <w:sz w:val="24"/>
        </w:rPr>
        <w:t> </w:t>
      </w:r>
      <w:r>
        <w:rPr>
          <w:i/>
          <w:sz w:val="24"/>
        </w:rPr>
        <w:t>Word Origins</w:t>
      </w:r>
      <w:r>
        <w:rPr>
          <w:sz w:val="24"/>
        </w:rPr>
        <w:t>.</w:t>
      </w:r>
      <w:r>
        <w:rPr>
          <w:spacing w:val="-2"/>
          <w:sz w:val="24"/>
        </w:rPr>
        <w:t> </w:t>
      </w:r>
      <w:r>
        <w:rPr>
          <w:sz w:val="24"/>
        </w:rPr>
        <w:t>(2nd</w:t>
      </w:r>
      <w:r>
        <w:rPr>
          <w:spacing w:val="-1"/>
          <w:sz w:val="24"/>
        </w:rPr>
        <w:t> </w:t>
      </w:r>
      <w:r>
        <w:rPr>
          <w:sz w:val="24"/>
        </w:rPr>
        <w:t>ed.).</w:t>
      </w:r>
      <w:r>
        <w:rPr>
          <w:spacing w:val="-4"/>
          <w:sz w:val="24"/>
        </w:rPr>
        <w:t> </w:t>
      </w:r>
      <w:r>
        <w:rPr>
          <w:sz w:val="24"/>
        </w:rPr>
        <w:t>Philadelphia,</w:t>
      </w:r>
      <w:r>
        <w:rPr>
          <w:spacing w:val="4"/>
          <w:sz w:val="24"/>
        </w:rPr>
        <w:t> </w:t>
      </w:r>
      <w:r>
        <w:rPr>
          <w:sz w:val="24"/>
        </w:rPr>
        <w:t>American</w:t>
      </w:r>
      <w:r>
        <w:rPr>
          <w:spacing w:val="-6"/>
          <w:sz w:val="24"/>
        </w:rPr>
        <w:t> </w:t>
      </w:r>
      <w:r>
        <w:rPr>
          <w:sz w:val="24"/>
        </w:rPr>
        <w:t>College</w:t>
      </w:r>
      <w:r>
        <w:rPr>
          <w:spacing w:val="-2"/>
          <w:sz w:val="24"/>
        </w:rPr>
        <w:t> </w:t>
      </w:r>
      <w:r>
        <w:rPr>
          <w:sz w:val="24"/>
        </w:rPr>
        <w:t>of</w:t>
      </w:r>
      <w:r>
        <w:rPr>
          <w:spacing w:val="-9"/>
          <w:sz w:val="24"/>
        </w:rPr>
        <w:t> </w:t>
      </w:r>
      <w:r>
        <w:rPr>
          <w:sz w:val="24"/>
        </w:rPr>
        <w:t>Physicians,</w:t>
      </w:r>
      <w:r>
        <w:rPr>
          <w:spacing w:val="1"/>
          <w:sz w:val="24"/>
        </w:rPr>
        <w:t> </w:t>
      </w:r>
      <w:r>
        <w:rPr>
          <w:sz w:val="24"/>
        </w:rPr>
        <w:t>USA,</w:t>
      </w:r>
      <w:r>
        <w:rPr>
          <w:spacing w:val="2"/>
          <w:sz w:val="24"/>
        </w:rPr>
        <w:t> </w:t>
      </w:r>
      <w:r>
        <w:rPr>
          <w:sz w:val="24"/>
        </w:rPr>
        <w:t>pp.</w:t>
      </w:r>
      <w:r>
        <w:rPr>
          <w:spacing w:val="-3"/>
          <w:sz w:val="24"/>
        </w:rPr>
        <w:t> </w:t>
      </w:r>
      <w:r>
        <w:rPr>
          <w:spacing w:val="-4"/>
          <w:sz w:val="24"/>
        </w:rPr>
        <w:t>201.</w:t>
      </w:r>
    </w:p>
    <w:p>
      <w:pPr>
        <w:pStyle w:val="BodyText"/>
        <w:spacing w:before="140"/>
      </w:pPr>
    </w:p>
    <w:p>
      <w:pPr>
        <w:pStyle w:val="BodyText"/>
        <w:spacing w:line="360" w:lineRule="auto"/>
        <w:ind w:left="1748" w:right="805" w:hanging="721"/>
        <w:jc w:val="both"/>
      </w:pPr>
      <w:r>
        <w:rPr/>
        <w:t>Heller, J. (1996). Physic nut, (</w:t>
      </w:r>
      <w:r>
        <w:rPr>
          <w:i/>
        </w:rPr>
        <w:t>Jatropha curcas </w:t>
      </w:r>
      <w:r>
        <w:rPr/>
        <w:t>L.) promoting the preservation and utilization of underutilized and neglected crops. Institute of plant genetics and crop</w:t>
      </w:r>
      <w:r>
        <w:rPr>
          <w:spacing w:val="-3"/>
        </w:rPr>
        <w:t> </w:t>
      </w:r>
      <w:r>
        <w:rPr/>
        <w:t>plant research,</w:t>
      </w:r>
      <w:r>
        <w:rPr>
          <w:spacing w:val="-2"/>
        </w:rPr>
        <w:t> </w:t>
      </w:r>
      <w:r>
        <w:rPr/>
        <w:t>Garrtersleben,</w:t>
      </w:r>
      <w:r>
        <w:rPr>
          <w:spacing w:val="-2"/>
        </w:rPr>
        <w:t> </w:t>
      </w:r>
      <w:r>
        <w:rPr/>
        <w:t>Germany.</w:t>
      </w:r>
      <w:r>
        <w:rPr>
          <w:spacing w:val="-1"/>
        </w:rPr>
        <w:t> </w:t>
      </w:r>
      <w:r>
        <w:rPr>
          <w:i/>
        </w:rPr>
        <w:t>Industrial</w:t>
      </w:r>
      <w:r>
        <w:rPr>
          <w:i/>
          <w:spacing w:val="-3"/>
        </w:rPr>
        <w:t> </w:t>
      </w:r>
      <w:r>
        <w:rPr>
          <w:i/>
        </w:rPr>
        <w:t>Crops</w:t>
      </w:r>
      <w:r>
        <w:rPr>
          <w:i/>
          <w:spacing w:val="-5"/>
        </w:rPr>
        <w:t> </w:t>
      </w:r>
      <w:r>
        <w:rPr>
          <w:i/>
        </w:rPr>
        <w:t>and</w:t>
      </w:r>
      <w:r>
        <w:rPr>
          <w:i/>
          <w:spacing w:val="-3"/>
        </w:rPr>
        <w:t> </w:t>
      </w:r>
      <w:r>
        <w:rPr>
          <w:i/>
        </w:rPr>
        <w:t>Products</w:t>
      </w:r>
      <w:r>
        <w:rPr/>
        <w:t>,</w:t>
      </w:r>
      <w:r>
        <w:rPr>
          <w:spacing w:val="-2"/>
        </w:rPr>
        <w:t> </w:t>
      </w:r>
      <w:r>
        <w:rPr/>
        <w:t>28: </w:t>
      </w:r>
      <w:r>
        <w:rPr>
          <w:spacing w:val="-2"/>
        </w:rPr>
        <w:t>1-10.</w:t>
      </w:r>
    </w:p>
    <w:p>
      <w:pPr>
        <w:pStyle w:val="BodyText"/>
        <w:spacing w:before="138"/>
      </w:pPr>
    </w:p>
    <w:p>
      <w:pPr>
        <w:spacing w:line="360" w:lineRule="auto" w:before="0"/>
        <w:ind w:left="1748" w:right="804" w:hanging="721"/>
        <w:jc w:val="both"/>
        <w:rPr>
          <w:sz w:val="24"/>
        </w:rPr>
      </w:pPr>
      <w:r>
        <w:rPr>
          <w:sz w:val="24"/>
        </w:rPr>
        <w:t>Hosamami, K.M. and Katagi, K.S. (2008). Characterization</w:t>
      </w:r>
      <w:r>
        <w:rPr>
          <w:spacing w:val="-2"/>
          <w:sz w:val="24"/>
        </w:rPr>
        <w:t> </w:t>
      </w:r>
      <w:r>
        <w:rPr>
          <w:sz w:val="24"/>
        </w:rPr>
        <w:t>and structure elucidation</w:t>
      </w:r>
      <w:r>
        <w:rPr>
          <w:spacing w:val="-2"/>
          <w:sz w:val="24"/>
        </w:rPr>
        <w:t> </w:t>
      </w:r>
      <w:r>
        <w:rPr>
          <w:sz w:val="24"/>
        </w:rPr>
        <w:t>of 12-hydroxyoctadec-cis-9-enoic acid in </w:t>
      </w:r>
      <w:r>
        <w:rPr>
          <w:i/>
          <w:sz w:val="24"/>
        </w:rPr>
        <w:t>Jatropha gossypiifolia </w:t>
      </w:r>
      <w:r>
        <w:rPr>
          <w:sz w:val="24"/>
        </w:rPr>
        <w:t>and </w:t>
      </w:r>
      <w:r>
        <w:rPr>
          <w:i/>
          <w:sz w:val="24"/>
        </w:rPr>
        <w:t>Havea brasiliensis </w:t>
      </w:r>
      <w:r>
        <w:rPr>
          <w:sz w:val="24"/>
        </w:rPr>
        <w:t>seed oils: a rich source of hydroxyl fatty acid. </w:t>
      </w:r>
      <w:r>
        <w:rPr>
          <w:i/>
          <w:sz w:val="24"/>
        </w:rPr>
        <w:t>Chemistry and Physics of Lipids</w:t>
      </w:r>
      <w:r>
        <w:rPr>
          <w:sz w:val="24"/>
        </w:rPr>
        <w:t>, 152: 9-2.</w:t>
      </w:r>
    </w:p>
    <w:p>
      <w:pPr>
        <w:pStyle w:val="BodyText"/>
        <w:spacing w:before="137"/>
      </w:pPr>
    </w:p>
    <w:p>
      <w:pPr>
        <w:pStyle w:val="BodyText"/>
        <w:spacing w:line="360" w:lineRule="auto"/>
        <w:ind w:left="1748" w:right="805" w:hanging="721"/>
        <w:jc w:val="both"/>
      </w:pPr>
      <w:r>
        <w:rPr/>
        <w:t>Hong, Y., B.U., Y. and LO, L.C. (2013). Methods and systems for detoxifying phorbol esters in plant products. </w:t>
      </w:r>
      <w:r>
        <w:rPr>
          <w:i/>
        </w:rPr>
        <w:t>Patentscope</w:t>
      </w:r>
      <w:r>
        <w:rPr/>
        <w:t>, 13 (78): 22.</w:t>
      </w:r>
    </w:p>
    <w:p>
      <w:pPr>
        <w:pStyle w:val="BodyText"/>
        <w:spacing w:before="140"/>
      </w:pPr>
    </w:p>
    <w:p>
      <w:pPr>
        <w:pStyle w:val="BodyText"/>
        <w:spacing w:line="360" w:lineRule="auto"/>
        <w:ind w:left="1748" w:right="809" w:hanging="721"/>
        <w:jc w:val="both"/>
      </w:pPr>
      <w:r>
        <w:rPr/>
        <w:t>Hong Kong Center for Food Safety, Food and Environmental Hygiene Department (2007). Natural toxins in food plants. </w:t>
      </w:r>
      <w:r>
        <w:rPr>
          <w:i/>
        </w:rPr>
        <w:t>Risk Assesment Studies</w:t>
      </w:r>
      <w:r>
        <w:rPr/>
        <w:t>, (27): 4-39.</w:t>
      </w:r>
    </w:p>
    <w:p>
      <w:pPr>
        <w:pStyle w:val="BodyText"/>
        <w:spacing w:before="139"/>
      </w:pPr>
    </w:p>
    <w:p>
      <w:pPr>
        <w:pStyle w:val="BodyText"/>
        <w:spacing w:line="360" w:lineRule="auto" w:before="1"/>
        <w:ind w:left="1748" w:right="814" w:hanging="721"/>
        <w:jc w:val="both"/>
      </w:pPr>
      <w:r>
        <w:rPr/>
        <w:t>Huisman, J., Van</w:t>
      </w:r>
      <w:r>
        <w:rPr>
          <w:spacing w:val="-1"/>
        </w:rPr>
        <w:t> </w:t>
      </w:r>
      <w:r>
        <w:rPr/>
        <w:t>der poel, A.F.B. and Liener, I.E. (1989). Recent advances of research in antinutritional factors in legume seeds. PUDOC, Wageningen.</w:t>
      </w:r>
    </w:p>
    <w:p>
      <w:pPr>
        <w:pStyle w:val="BodyText"/>
        <w:spacing w:before="134"/>
      </w:pPr>
    </w:p>
    <w:p>
      <w:pPr>
        <w:pStyle w:val="BodyText"/>
        <w:spacing w:line="360" w:lineRule="auto"/>
        <w:ind w:left="1748" w:right="804" w:hanging="721"/>
        <w:jc w:val="both"/>
      </w:pPr>
      <w:r>
        <w:rPr/>
        <w:t>Inekwe, U.</w:t>
      </w:r>
      <w:r>
        <w:rPr>
          <w:spacing w:val="-1"/>
        </w:rPr>
        <w:t> </w:t>
      </w:r>
      <w:r>
        <w:rPr/>
        <w:t>V., Odey, O., Gauje, B., Dakare, A. M., Ugwumma, C. D. and Adegbe E. S. (2012). Fatty acid composition and physicochemical properties of </w:t>
      </w:r>
      <w:r>
        <w:rPr>
          <w:i/>
        </w:rPr>
        <w:t>Jatropha Curcas </w:t>
      </w:r>
      <w:r>
        <w:rPr/>
        <w:t>oils from Edo and Kaduna states of Nigeria and India. </w:t>
      </w:r>
      <w:r>
        <w:rPr>
          <w:i/>
        </w:rPr>
        <w:t>Annals of Biological Research</w:t>
      </w:r>
      <w:r>
        <w:rPr/>
        <w:t>, 3(10): 4860-4864.</w:t>
      </w:r>
    </w:p>
    <w:p>
      <w:pPr>
        <w:spacing w:after="0" w:line="360" w:lineRule="auto"/>
        <w:jc w:val="both"/>
        <w:sectPr>
          <w:pgSz w:w="11910" w:h="16840"/>
          <w:pgMar w:header="0" w:footer="1012" w:top="1920" w:bottom="1200" w:left="960" w:right="620"/>
        </w:sectPr>
      </w:pPr>
    </w:p>
    <w:p>
      <w:pPr>
        <w:spacing w:line="362" w:lineRule="auto" w:before="72"/>
        <w:ind w:left="1748" w:right="807" w:hanging="721"/>
        <w:jc w:val="both"/>
        <w:rPr>
          <w:sz w:val="24"/>
        </w:rPr>
      </w:pPr>
      <w:r>
        <w:rPr>
          <w:sz w:val="24"/>
        </w:rPr>
        <w:t>Institute of Laboratory Animal Research. (1996). </w:t>
      </w:r>
      <w:r>
        <w:rPr>
          <w:i/>
          <w:sz w:val="24"/>
        </w:rPr>
        <w:t>Guide for the care and use of laboratory animals. </w:t>
      </w:r>
      <w:r>
        <w:rPr>
          <w:sz w:val="24"/>
        </w:rPr>
        <w:t>Retrieved from: </w:t>
      </w:r>
      <w:hyperlink r:id="rId125">
        <w:r>
          <w:rPr>
            <w:sz w:val="24"/>
            <w:u w:val="single"/>
          </w:rPr>
          <w:t>www.nap.edu</w:t>
        </w:r>
      </w:hyperlink>
      <w:r>
        <w:rPr>
          <w:sz w:val="24"/>
        </w:rPr>
        <w:t>.</w:t>
      </w:r>
    </w:p>
    <w:p>
      <w:pPr>
        <w:pStyle w:val="BodyText"/>
        <w:spacing w:before="134"/>
      </w:pPr>
    </w:p>
    <w:p>
      <w:pPr>
        <w:spacing w:line="360" w:lineRule="auto" w:before="0"/>
        <w:ind w:left="1748" w:right="806" w:hanging="721"/>
        <w:jc w:val="both"/>
        <w:rPr>
          <w:sz w:val="24"/>
        </w:rPr>
      </w:pPr>
      <w:r>
        <w:rPr>
          <w:sz w:val="24"/>
        </w:rPr>
        <w:t>International Conference on Palms and Palm Products. (1989). </w:t>
      </w:r>
      <w:r>
        <w:rPr>
          <w:i/>
          <w:sz w:val="24"/>
        </w:rPr>
        <w:t>The Impart of Research and Development on the Production, Processing and Utilisation of Palms and Palm Products </w:t>
      </w:r>
      <w:r>
        <w:rPr>
          <w:sz w:val="24"/>
        </w:rPr>
        <w:t>2: 707-708.</w:t>
      </w:r>
    </w:p>
    <w:p>
      <w:pPr>
        <w:pStyle w:val="BodyText"/>
        <w:spacing w:before="139"/>
      </w:pPr>
    </w:p>
    <w:p>
      <w:pPr>
        <w:spacing w:line="360" w:lineRule="auto" w:before="0"/>
        <w:ind w:left="1748" w:right="805" w:hanging="721"/>
        <w:jc w:val="both"/>
        <w:rPr>
          <w:sz w:val="24"/>
        </w:rPr>
      </w:pPr>
      <w:r>
        <w:rPr>
          <w:sz w:val="24"/>
        </w:rPr>
        <w:t>Iwu, M. (1993). </w:t>
      </w:r>
      <w:r>
        <w:rPr>
          <w:i/>
          <w:sz w:val="24"/>
        </w:rPr>
        <w:t>Handbook of African medicinal plants</w:t>
      </w:r>
      <w:r>
        <w:rPr>
          <w:sz w:val="24"/>
        </w:rPr>
        <w:t>. CRC Press, Boca Raton,</w:t>
      </w:r>
      <w:r>
        <w:rPr>
          <w:spacing w:val="40"/>
          <w:sz w:val="24"/>
        </w:rPr>
        <w:t> </w:t>
      </w:r>
      <w:r>
        <w:rPr>
          <w:spacing w:val="-2"/>
          <w:sz w:val="24"/>
        </w:rPr>
        <w:t>Florida.</w:t>
      </w:r>
    </w:p>
    <w:p>
      <w:pPr>
        <w:pStyle w:val="BodyText"/>
        <w:spacing w:before="140"/>
      </w:pPr>
    </w:p>
    <w:p>
      <w:pPr>
        <w:pStyle w:val="BodyText"/>
        <w:spacing w:line="360" w:lineRule="auto"/>
        <w:ind w:left="1748" w:right="797" w:hanging="721"/>
        <w:jc w:val="both"/>
      </w:pPr>
      <w:r>
        <w:rPr/>
        <w:t>Izzo, A.A., Nicoletti, M. Giannattasio, B. and Capasso, F. (1992). Antidiarrhoeal Activity of </w:t>
      </w:r>
      <w:r>
        <w:rPr>
          <w:i/>
        </w:rPr>
        <w:t>Terminalia sericea Burch </w:t>
      </w:r>
      <w:r>
        <w:rPr/>
        <w:t>ex. DC Extract. In: Capasso, F. and N. Mascolo (Eds.), Natural Drugs and the Digestive Tract. EMSI, Rome, pp: 223- </w:t>
      </w:r>
      <w:r>
        <w:rPr>
          <w:spacing w:val="-4"/>
        </w:rPr>
        <w:t>230.</w:t>
      </w:r>
    </w:p>
    <w:p>
      <w:pPr>
        <w:pStyle w:val="BodyText"/>
        <w:spacing w:before="137"/>
      </w:pPr>
    </w:p>
    <w:p>
      <w:pPr>
        <w:spacing w:line="360" w:lineRule="auto" w:before="0"/>
        <w:ind w:left="1748" w:right="802" w:hanging="721"/>
        <w:jc w:val="both"/>
        <w:rPr>
          <w:sz w:val="24"/>
        </w:rPr>
      </w:pPr>
      <w:r>
        <w:rPr>
          <w:sz w:val="24"/>
        </w:rPr>
        <w:t>Jakhetia, V., Patel, R., Khatri, P., Pahuja, N., Garg, S., Pandey, A. and Sharma, S.A. (2010). Cinnamon: A pharmacological review. </w:t>
      </w:r>
      <w:r>
        <w:rPr>
          <w:i/>
          <w:sz w:val="24"/>
        </w:rPr>
        <w:t>Journal of Advanced Scientific Research</w:t>
      </w:r>
      <w:r>
        <w:rPr>
          <w:sz w:val="24"/>
        </w:rPr>
        <w:t>, 1(2): 19-23.</w:t>
      </w:r>
    </w:p>
    <w:p>
      <w:pPr>
        <w:pStyle w:val="BodyText"/>
        <w:spacing w:before="139"/>
      </w:pPr>
    </w:p>
    <w:p>
      <w:pPr>
        <w:pStyle w:val="BodyText"/>
        <w:spacing w:line="360" w:lineRule="auto"/>
        <w:ind w:left="1748" w:right="808" w:hanging="721"/>
        <w:jc w:val="both"/>
      </w:pPr>
      <w:r>
        <w:rPr/>
        <w:t>Jolly, R.D. and Walkley, S.U. (1997). Lysosomal storage diseases of animals, an essay in comparative pathology. </w:t>
      </w:r>
      <w:r>
        <w:rPr>
          <w:i/>
        </w:rPr>
        <w:t>Veterinary Pathology</w:t>
      </w:r>
      <w:r>
        <w:rPr/>
        <w:t>, 34: 527-548.</w:t>
      </w:r>
    </w:p>
    <w:p>
      <w:pPr>
        <w:pStyle w:val="BodyText"/>
        <w:spacing w:before="139"/>
      </w:pPr>
    </w:p>
    <w:p>
      <w:pPr>
        <w:spacing w:line="360" w:lineRule="auto" w:before="1"/>
        <w:ind w:left="1748" w:right="797" w:hanging="721"/>
        <w:jc w:val="both"/>
        <w:rPr>
          <w:sz w:val="24"/>
        </w:rPr>
      </w:pPr>
      <w:r>
        <w:rPr>
          <w:sz w:val="24"/>
        </w:rPr>
        <w:t>Jongschaap R.E.E., Corre W.J., Bindraban, P.S. and Brandenburg W.A. (2007). </w:t>
      </w:r>
      <w:r>
        <w:rPr>
          <w:i/>
          <w:sz w:val="24"/>
        </w:rPr>
        <w:t>Claims and Facts on Jatropha curcas L.: Global Jatropha curcas evaluation, breeding and propagation Programme</w:t>
      </w:r>
      <w:r>
        <w:rPr>
          <w:sz w:val="24"/>
        </w:rPr>
        <w:t>. B.V. Wageningen, The Netherlands. pp. 1-12.</w:t>
      </w:r>
    </w:p>
    <w:p>
      <w:pPr>
        <w:pStyle w:val="BodyText"/>
        <w:spacing w:before="138"/>
      </w:pPr>
    </w:p>
    <w:p>
      <w:pPr>
        <w:pStyle w:val="BodyText"/>
        <w:ind w:left="1028"/>
      </w:pPr>
      <w:r>
        <w:rPr/>
        <w:t>Kam,</w:t>
      </w:r>
      <w:r>
        <w:rPr>
          <w:spacing w:val="-3"/>
        </w:rPr>
        <w:t> </w:t>
      </w:r>
      <w:r>
        <w:rPr/>
        <w:t>P.C.A.</w:t>
      </w:r>
      <w:r>
        <w:rPr>
          <w:spacing w:val="-1"/>
        </w:rPr>
        <w:t> </w:t>
      </w:r>
      <w:r>
        <w:rPr/>
        <w:t>and</w:t>
      </w:r>
      <w:r>
        <w:rPr>
          <w:spacing w:val="-3"/>
        </w:rPr>
        <w:t> </w:t>
      </w:r>
      <w:r>
        <w:rPr/>
        <w:t>Liew,</w:t>
      </w:r>
      <w:r>
        <w:rPr>
          <w:spacing w:val="-1"/>
        </w:rPr>
        <w:t> </w:t>
      </w:r>
      <w:r>
        <w:rPr/>
        <w:t>S.</w:t>
      </w:r>
      <w:r>
        <w:rPr>
          <w:spacing w:val="-6"/>
        </w:rPr>
        <w:t> </w:t>
      </w:r>
      <w:r>
        <w:rPr/>
        <w:t>(2002).</w:t>
      </w:r>
      <w:r>
        <w:rPr>
          <w:spacing w:val="-5"/>
        </w:rPr>
        <w:t> </w:t>
      </w:r>
      <w:r>
        <w:rPr/>
        <w:t>Traditional</w:t>
      </w:r>
      <w:r>
        <w:rPr>
          <w:spacing w:val="-7"/>
        </w:rPr>
        <w:t> </w:t>
      </w:r>
      <w:r>
        <w:rPr/>
        <w:t>Chinese</w:t>
      </w:r>
      <w:r>
        <w:rPr>
          <w:spacing w:val="-4"/>
        </w:rPr>
        <w:t> </w:t>
      </w:r>
      <w:r>
        <w:rPr/>
        <w:t>herbal</w:t>
      </w:r>
      <w:r>
        <w:rPr>
          <w:spacing w:val="-2"/>
        </w:rPr>
        <w:t> </w:t>
      </w:r>
      <w:r>
        <w:rPr/>
        <w:t>medicine</w:t>
      </w:r>
      <w:r>
        <w:rPr>
          <w:spacing w:val="-4"/>
        </w:rPr>
        <w:t> </w:t>
      </w:r>
      <w:r>
        <w:rPr/>
        <w:t>and</w:t>
      </w:r>
      <w:r>
        <w:rPr>
          <w:spacing w:val="-2"/>
        </w:rPr>
        <w:t> anaesthesia.</w:t>
      </w:r>
    </w:p>
    <w:p>
      <w:pPr>
        <w:spacing w:before="137"/>
        <w:ind w:left="1748" w:right="0" w:firstLine="0"/>
        <w:jc w:val="left"/>
        <w:rPr>
          <w:sz w:val="24"/>
        </w:rPr>
      </w:pPr>
      <w:r>
        <w:rPr>
          <w:i/>
          <w:sz w:val="24"/>
        </w:rPr>
        <w:t>Anaesthesia</w:t>
      </w:r>
      <w:r>
        <w:rPr>
          <w:sz w:val="24"/>
        </w:rPr>
        <w:t>,</w:t>
      </w:r>
      <w:r>
        <w:rPr>
          <w:spacing w:val="1"/>
          <w:sz w:val="24"/>
        </w:rPr>
        <w:t> </w:t>
      </w:r>
      <w:r>
        <w:rPr>
          <w:sz w:val="24"/>
        </w:rPr>
        <w:t>57:</w:t>
      </w:r>
      <w:r>
        <w:rPr>
          <w:spacing w:val="1"/>
          <w:sz w:val="24"/>
        </w:rPr>
        <w:t> </w:t>
      </w:r>
      <w:r>
        <w:rPr>
          <w:sz w:val="24"/>
        </w:rPr>
        <w:t>1083-</w:t>
      </w:r>
      <w:r>
        <w:rPr>
          <w:spacing w:val="-2"/>
          <w:sz w:val="24"/>
        </w:rPr>
        <w:t>1089.</w:t>
      </w:r>
    </w:p>
    <w:p>
      <w:pPr>
        <w:pStyle w:val="BodyText"/>
        <w:spacing w:before="273"/>
      </w:pPr>
    </w:p>
    <w:p>
      <w:pPr>
        <w:spacing w:line="362" w:lineRule="auto" w:before="1"/>
        <w:ind w:left="1748" w:right="797" w:hanging="721"/>
        <w:jc w:val="both"/>
        <w:rPr>
          <w:sz w:val="24"/>
        </w:rPr>
      </w:pPr>
      <w:r>
        <w:rPr>
          <w:sz w:val="24"/>
        </w:rPr>
        <w:t>Karim, A., Makhfi, H., Ziyyat, A., Legssyer, A. and</w:t>
      </w:r>
      <w:r>
        <w:rPr>
          <w:spacing w:val="-2"/>
          <w:sz w:val="24"/>
        </w:rPr>
        <w:t> </w:t>
      </w:r>
      <w:r>
        <w:rPr>
          <w:sz w:val="24"/>
        </w:rPr>
        <w:t>Bnouham, M. (2010). Antidiahoeal activity of</w:t>
      </w:r>
      <w:r>
        <w:rPr>
          <w:spacing w:val="-1"/>
          <w:sz w:val="24"/>
        </w:rPr>
        <w:t> </w:t>
      </w:r>
      <w:r>
        <w:rPr>
          <w:sz w:val="24"/>
        </w:rPr>
        <w:t>crude aqueous extract of </w:t>
      </w:r>
      <w:r>
        <w:rPr>
          <w:i/>
          <w:sz w:val="24"/>
        </w:rPr>
        <w:t>Rubia Tinctorum l</w:t>
      </w:r>
      <w:r>
        <w:rPr>
          <w:sz w:val="24"/>
        </w:rPr>
        <w:t>. Roots in rodent. </w:t>
      </w:r>
      <w:r>
        <w:rPr>
          <w:i/>
          <w:sz w:val="24"/>
        </w:rPr>
        <w:t>Journal of Smooth Muscle Research</w:t>
      </w:r>
      <w:r>
        <w:rPr>
          <w:sz w:val="24"/>
        </w:rPr>
        <w:t>, 46(2): 119-123.</w:t>
      </w:r>
    </w:p>
    <w:p>
      <w:pPr>
        <w:spacing w:after="0" w:line="362" w:lineRule="auto"/>
        <w:jc w:val="both"/>
        <w:rPr>
          <w:sz w:val="24"/>
        </w:rPr>
        <w:sectPr>
          <w:pgSz w:w="11910" w:h="16840"/>
          <w:pgMar w:header="0" w:footer="1012" w:top="1740" w:bottom="1200" w:left="960" w:right="620"/>
        </w:sectPr>
      </w:pPr>
    </w:p>
    <w:p>
      <w:pPr>
        <w:spacing w:before="79"/>
        <w:ind w:left="525" w:right="306" w:firstLine="0"/>
        <w:jc w:val="center"/>
        <w:rPr>
          <w:i/>
          <w:sz w:val="24"/>
        </w:rPr>
      </w:pPr>
      <w:r>
        <w:rPr>
          <w:sz w:val="24"/>
        </w:rPr>
        <w:t>Keddy,</w:t>
      </w:r>
      <w:r>
        <w:rPr>
          <w:spacing w:val="72"/>
          <w:w w:val="150"/>
          <w:sz w:val="24"/>
        </w:rPr>
        <w:t> </w:t>
      </w:r>
      <w:r>
        <w:rPr>
          <w:sz w:val="24"/>
        </w:rPr>
        <w:t>P.A.</w:t>
      </w:r>
      <w:r>
        <w:rPr>
          <w:spacing w:val="74"/>
          <w:w w:val="150"/>
          <w:sz w:val="24"/>
        </w:rPr>
        <w:t> </w:t>
      </w:r>
      <w:r>
        <w:rPr>
          <w:sz w:val="24"/>
        </w:rPr>
        <w:t>(2007).</w:t>
      </w:r>
      <w:r>
        <w:rPr>
          <w:spacing w:val="74"/>
          <w:w w:val="150"/>
          <w:sz w:val="24"/>
        </w:rPr>
        <w:t> </w:t>
      </w:r>
      <w:hyperlink r:id="rId126">
        <w:r>
          <w:rPr>
            <w:i/>
            <w:sz w:val="24"/>
            <w:u w:val="single"/>
          </w:rPr>
          <w:t>Plants</w:t>
        </w:r>
        <w:r>
          <w:rPr>
            <w:i/>
            <w:spacing w:val="70"/>
            <w:w w:val="150"/>
            <w:sz w:val="24"/>
            <w:u w:val="single"/>
          </w:rPr>
          <w:t> </w:t>
        </w:r>
        <w:r>
          <w:rPr>
            <w:i/>
            <w:sz w:val="24"/>
            <w:u w:val="single"/>
          </w:rPr>
          <w:t>and</w:t>
        </w:r>
        <w:r>
          <w:rPr>
            <w:i/>
            <w:spacing w:val="72"/>
            <w:w w:val="150"/>
            <w:sz w:val="24"/>
            <w:u w:val="single"/>
          </w:rPr>
          <w:t> </w:t>
        </w:r>
        <w:r>
          <w:rPr>
            <w:i/>
            <w:sz w:val="24"/>
            <w:u w:val="single"/>
          </w:rPr>
          <w:t>Vegetation:</w:t>
        </w:r>
        <w:r>
          <w:rPr>
            <w:i/>
            <w:spacing w:val="73"/>
            <w:w w:val="150"/>
            <w:sz w:val="24"/>
            <w:u w:val="single"/>
          </w:rPr>
          <w:t> </w:t>
        </w:r>
        <w:r>
          <w:rPr>
            <w:i/>
            <w:sz w:val="24"/>
            <w:u w:val="single"/>
          </w:rPr>
          <w:t>Origins,</w:t>
        </w:r>
        <w:r>
          <w:rPr>
            <w:i/>
            <w:spacing w:val="74"/>
            <w:w w:val="150"/>
            <w:sz w:val="24"/>
            <w:u w:val="single"/>
          </w:rPr>
          <w:t> </w:t>
        </w:r>
        <w:r>
          <w:rPr>
            <w:i/>
            <w:sz w:val="24"/>
            <w:u w:val="single"/>
          </w:rPr>
          <w:t>Processes,</w:t>
        </w:r>
        <w:r>
          <w:rPr>
            <w:i/>
            <w:spacing w:val="75"/>
            <w:w w:val="150"/>
            <w:sz w:val="24"/>
            <w:u w:val="single"/>
          </w:rPr>
          <w:t> </w:t>
        </w:r>
        <w:r>
          <w:rPr>
            <w:i/>
            <w:spacing w:val="-2"/>
            <w:sz w:val="24"/>
            <w:u w:val="single"/>
          </w:rPr>
          <w:t>Consequences</w:t>
        </w:r>
        <w:r>
          <w:rPr>
            <w:i/>
            <w:spacing w:val="-2"/>
            <w:sz w:val="24"/>
          </w:rPr>
          <w:t>.</w:t>
        </w:r>
      </w:hyperlink>
    </w:p>
    <w:p>
      <w:pPr>
        <w:pStyle w:val="BodyText"/>
        <w:spacing w:before="137"/>
        <w:ind w:left="1748"/>
      </w:pPr>
      <w:r>
        <w:rPr/>
        <w:t>Cambridge</w:t>
      </w:r>
      <w:r>
        <w:rPr>
          <w:spacing w:val="-6"/>
        </w:rPr>
        <w:t> </w:t>
      </w:r>
      <w:r>
        <w:rPr/>
        <w:t>University</w:t>
      </w:r>
      <w:r>
        <w:rPr>
          <w:spacing w:val="-11"/>
        </w:rPr>
        <w:t> </w:t>
      </w:r>
      <w:r>
        <w:rPr/>
        <w:t>Press, Cambridge, UK,</w:t>
      </w:r>
      <w:r>
        <w:rPr>
          <w:spacing w:val="-1"/>
        </w:rPr>
        <w:t> </w:t>
      </w:r>
      <w:r>
        <w:rPr/>
        <w:t>pp.</w:t>
      </w:r>
      <w:r>
        <w:rPr>
          <w:spacing w:val="-4"/>
        </w:rPr>
        <w:t> 666.</w:t>
      </w:r>
    </w:p>
    <w:p>
      <w:pPr>
        <w:pStyle w:val="BodyText"/>
      </w:pPr>
    </w:p>
    <w:p>
      <w:pPr>
        <w:pStyle w:val="BodyText"/>
        <w:spacing w:before="3"/>
      </w:pPr>
    </w:p>
    <w:p>
      <w:pPr>
        <w:pStyle w:val="BodyText"/>
        <w:spacing w:line="360" w:lineRule="auto"/>
        <w:ind w:left="1748" w:right="805" w:hanging="721"/>
        <w:jc w:val="both"/>
      </w:pPr>
      <w:r>
        <w:rPr/>
        <w:t>Kendirim, O.C., Chukwu, O.A. and Achinewhu S.C. (1995). Effect of traditional processing of cassava on the cyanide content of garri and cassava flour. </w:t>
      </w:r>
      <w:r>
        <w:rPr>
          <w:i/>
        </w:rPr>
        <w:t>Plant Foods for Human Nutrition</w:t>
      </w:r>
      <w:r>
        <w:rPr/>
        <w:t>, 48(4): 335-339.</w:t>
      </w:r>
    </w:p>
    <w:p>
      <w:pPr>
        <w:pStyle w:val="BodyText"/>
        <w:spacing w:before="138"/>
      </w:pPr>
    </w:p>
    <w:p>
      <w:pPr>
        <w:pStyle w:val="BodyText"/>
        <w:spacing w:before="1"/>
        <w:ind w:left="525" w:right="307"/>
        <w:jc w:val="center"/>
      </w:pPr>
      <w:r>
        <w:rPr/>
        <w:t>Khan,</w:t>
      </w:r>
      <w:r>
        <w:rPr>
          <w:spacing w:val="38"/>
        </w:rPr>
        <w:t> </w:t>
      </w:r>
      <w:r>
        <w:rPr/>
        <w:t>L.</w:t>
      </w:r>
      <w:r>
        <w:rPr>
          <w:spacing w:val="41"/>
        </w:rPr>
        <w:t> </w:t>
      </w:r>
      <w:r>
        <w:rPr/>
        <w:t>M.</w:t>
      </w:r>
      <w:r>
        <w:rPr>
          <w:spacing w:val="40"/>
        </w:rPr>
        <w:t> </w:t>
      </w:r>
      <w:r>
        <w:rPr/>
        <w:t>and</w:t>
      </w:r>
      <w:r>
        <w:rPr>
          <w:spacing w:val="39"/>
        </w:rPr>
        <w:t> </w:t>
      </w:r>
      <w:r>
        <w:rPr/>
        <w:t>Hanna,</w:t>
      </w:r>
      <w:r>
        <w:rPr>
          <w:spacing w:val="40"/>
        </w:rPr>
        <w:t> </w:t>
      </w:r>
      <w:r>
        <w:rPr/>
        <w:t>M.</w:t>
      </w:r>
      <w:r>
        <w:rPr>
          <w:spacing w:val="41"/>
        </w:rPr>
        <w:t> </w:t>
      </w:r>
      <w:r>
        <w:rPr/>
        <w:t>A.</w:t>
      </w:r>
      <w:r>
        <w:rPr>
          <w:spacing w:val="40"/>
        </w:rPr>
        <w:t> </w:t>
      </w:r>
      <w:r>
        <w:rPr/>
        <w:t>(1983).</w:t>
      </w:r>
      <w:r>
        <w:rPr>
          <w:spacing w:val="41"/>
        </w:rPr>
        <w:t> </w:t>
      </w:r>
      <w:r>
        <w:rPr/>
        <w:t>Expression</w:t>
      </w:r>
      <w:r>
        <w:rPr>
          <w:spacing w:val="33"/>
        </w:rPr>
        <w:t> </w:t>
      </w:r>
      <w:r>
        <w:rPr/>
        <w:t>of</w:t>
      </w:r>
      <w:r>
        <w:rPr>
          <w:spacing w:val="31"/>
        </w:rPr>
        <w:t> </w:t>
      </w:r>
      <w:r>
        <w:rPr/>
        <w:t>oil</w:t>
      </w:r>
      <w:r>
        <w:rPr>
          <w:spacing w:val="40"/>
        </w:rPr>
        <w:t> </w:t>
      </w:r>
      <w:r>
        <w:rPr/>
        <w:t>from</w:t>
      </w:r>
      <w:r>
        <w:rPr>
          <w:spacing w:val="29"/>
        </w:rPr>
        <w:t> </w:t>
      </w:r>
      <w:r>
        <w:rPr/>
        <w:t>oil-seeds:</w:t>
      </w:r>
      <w:r>
        <w:rPr>
          <w:spacing w:val="40"/>
        </w:rPr>
        <w:t> </w:t>
      </w:r>
      <w:r>
        <w:rPr/>
        <w:t>A</w:t>
      </w:r>
      <w:r>
        <w:rPr>
          <w:spacing w:val="34"/>
        </w:rPr>
        <w:t> </w:t>
      </w:r>
      <w:r>
        <w:rPr>
          <w:spacing w:val="-2"/>
        </w:rPr>
        <w:t>review.</w:t>
      </w:r>
    </w:p>
    <w:p>
      <w:pPr>
        <w:spacing w:before="136"/>
        <w:ind w:left="1748" w:right="0" w:firstLine="0"/>
        <w:jc w:val="left"/>
        <w:rPr>
          <w:sz w:val="24"/>
        </w:rPr>
      </w:pPr>
      <w:r>
        <w:rPr>
          <w:i/>
          <w:sz w:val="24"/>
        </w:rPr>
        <w:t>Journal</w:t>
      </w:r>
      <w:r>
        <w:rPr>
          <w:i/>
          <w:spacing w:val="-2"/>
          <w:sz w:val="24"/>
        </w:rPr>
        <w:t> </w:t>
      </w:r>
      <w:r>
        <w:rPr>
          <w:i/>
          <w:sz w:val="24"/>
        </w:rPr>
        <w:t>of</w:t>
      </w:r>
      <w:r>
        <w:rPr>
          <w:i/>
          <w:spacing w:val="-2"/>
          <w:sz w:val="24"/>
        </w:rPr>
        <w:t> </w:t>
      </w:r>
      <w:r>
        <w:rPr>
          <w:i/>
          <w:sz w:val="24"/>
        </w:rPr>
        <w:t>Agricultural</w:t>
      </w:r>
      <w:r>
        <w:rPr>
          <w:i/>
          <w:spacing w:val="-2"/>
          <w:sz w:val="24"/>
        </w:rPr>
        <w:t> </w:t>
      </w:r>
      <w:r>
        <w:rPr>
          <w:i/>
          <w:sz w:val="24"/>
        </w:rPr>
        <w:t>Engineering</w:t>
      </w:r>
      <w:r>
        <w:rPr>
          <w:i/>
          <w:spacing w:val="-2"/>
          <w:sz w:val="24"/>
        </w:rPr>
        <w:t> </w:t>
      </w:r>
      <w:r>
        <w:rPr>
          <w:i/>
          <w:sz w:val="24"/>
        </w:rPr>
        <w:t>Research,</w:t>
      </w:r>
      <w:r>
        <w:rPr>
          <w:i/>
          <w:spacing w:val="3"/>
          <w:sz w:val="24"/>
        </w:rPr>
        <w:t> </w:t>
      </w:r>
      <w:r>
        <w:rPr>
          <w:sz w:val="24"/>
        </w:rPr>
        <w:t>28:</w:t>
      </w:r>
      <w:r>
        <w:rPr>
          <w:spacing w:val="-1"/>
          <w:sz w:val="24"/>
        </w:rPr>
        <w:t> </w:t>
      </w:r>
      <w:r>
        <w:rPr>
          <w:sz w:val="24"/>
        </w:rPr>
        <w:t>495-</w:t>
      </w:r>
      <w:r>
        <w:rPr>
          <w:spacing w:val="-4"/>
          <w:sz w:val="24"/>
        </w:rPr>
        <w:t>503.</w:t>
      </w:r>
    </w:p>
    <w:p>
      <w:pPr>
        <w:pStyle w:val="BodyText"/>
      </w:pPr>
    </w:p>
    <w:p>
      <w:pPr>
        <w:pStyle w:val="BodyText"/>
        <w:spacing w:before="3"/>
      </w:pPr>
    </w:p>
    <w:p>
      <w:pPr>
        <w:spacing w:line="360" w:lineRule="auto" w:before="0"/>
        <w:ind w:left="1748" w:right="803" w:hanging="721"/>
        <w:jc w:val="both"/>
        <w:rPr>
          <w:sz w:val="24"/>
        </w:rPr>
      </w:pPr>
      <w:r>
        <w:rPr>
          <w:sz w:val="24"/>
        </w:rPr>
        <w:t>Khanna, S., Gupta, S.R. and Grover, J.K. (1986). Effect of</w:t>
      </w:r>
      <w:r>
        <w:rPr>
          <w:spacing w:val="-1"/>
          <w:sz w:val="24"/>
        </w:rPr>
        <w:t> </w:t>
      </w:r>
      <w:r>
        <w:rPr>
          <w:sz w:val="24"/>
        </w:rPr>
        <w:t>long term</w:t>
      </w:r>
      <w:r>
        <w:rPr>
          <w:spacing w:val="-2"/>
          <w:sz w:val="24"/>
        </w:rPr>
        <w:t> </w:t>
      </w:r>
      <w:r>
        <w:rPr>
          <w:sz w:val="24"/>
        </w:rPr>
        <w:t>feeding of</w:t>
      </w:r>
      <w:r>
        <w:rPr>
          <w:spacing w:val="-5"/>
          <w:sz w:val="24"/>
        </w:rPr>
        <w:t> </w:t>
      </w:r>
      <w:r>
        <w:rPr>
          <w:sz w:val="24"/>
        </w:rPr>
        <w:t>tulsi</w:t>
      </w:r>
      <w:r>
        <w:rPr>
          <w:spacing w:val="-2"/>
          <w:sz w:val="24"/>
        </w:rPr>
        <w:t> </w:t>
      </w:r>
      <w:r>
        <w:rPr>
          <w:sz w:val="24"/>
        </w:rPr>
        <w:t>on reproductive performance of adult albino rats. </w:t>
      </w:r>
      <w:r>
        <w:rPr>
          <w:i/>
          <w:sz w:val="24"/>
        </w:rPr>
        <w:t>Indian Journal of Experimental Biology</w:t>
      </w:r>
      <w:r>
        <w:rPr>
          <w:sz w:val="24"/>
        </w:rPr>
        <w:t>, 24: 302-304.</w:t>
      </w:r>
    </w:p>
    <w:p>
      <w:pPr>
        <w:pStyle w:val="BodyText"/>
        <w:spacing w:before="134"/>
      </w:pPr>
    </w:p>
    <w:p>
      <w:pPr>
        <w:pStyle w:val="BodyText"/>
        <w:spacing w:line="362" w:lineRule="auto"/>
        <w:ind w:left="1748" w:right="822" w:hanging="721"/>
        <w:jc w:val="both"/>
      </w:pPr>
      <w:r>
        <w:rPr/>
        <w:t>Kellens,</w:t>
      </w:r>
      <w:r>
        <w:rPr>
          <w:spacing w:val="-3"/>
        </w:rPr>
        <w:t> </w:t>
      </w:r>
      <w:r>
        <w:rPr/>
        <w:t>M.</w:t>
      </w:r>
      <w:r>
        <w:rPr>
          <w:spacing w:val="-3"/>
        </w:rPr>
        <w:t> </w:t>
      </w:r>
      <w:r>
        <w:rPr/>
        <w:t>(1997).</w:t>
      </w:r>
      <w:r>
        <w:rPr>
          <w:spacing w:val="-8"/>
        </w:rPr>
        <w:t> </w:t>
      </w:r>
      <w:r>
        <w:rPr/>
        <w:t>Current</w:t>
      </w:r>
      <w:r>
        <w:rPr>
          <w:spacing w:val="-1"/>
        </w:rPr>
        <w:t> </w:t>
      </w:r>
      <w:r>
        <w:rPr/>
        <w:t>developments</w:t>
      </w:r>
      <w:r>
        <w:rPr>
          <w:spacing w:val="-3"/>
        </w:rPr>
        <w:t> </w:t>
      </w:r>
      <w:r>
        <w:rPr/>
        <w:t>in</w:t>
      </w:r>
      <w:r>
        <w:rPr>
          <w:spacing w:val="-10"/>
        </w:rPr>
        <w:t> </w:t>
      </w:r>
      <w:r>
        <w:rPr/>
        <w:t>oil</w:t>
      </w:r>
      <w:r>
        <w:rPr>
          <w:spacing w:val="-13"/>
        </w:rPr>
        <w:t> </w:t>
      </w:r>
      <w:r>
        <w:rPr/>
        <w:t>refining</w:t>
      </w:r>
      <w:r>
        <w:rPr>
          <w:spacing w:val="-5"/>
        </w:rPr>
        <w:t> </w:t>
      </w:r>
      <w:r>
        <w:rPr/>
        <w:t>technology.</w:t>
      </w:r>
      <w:r>
        <w:rPr>
          <w:spacing w:val="-3"/>
        </w:rPr>
        <w:t> </w:t>
      </w:r>
      <w:r>
        <w:rPr/>
        <w:t>Antwerp</w:t>
      </w:r>
      <w:r>
        <w:rPr>
          <w:spacing w:val="-5"/>
        </w:rPr>
        <w:t> </w:t>
      </w:r>
      <w:r>
        <w:rPr/>
        <w:t>Belgium: Technical report De Smet-Belgium. pp. 31-48.</w:t>
      </w:r>
    </w:p>
    <w:p>
      <w:pPr>
        <w:pStyle w:val="BodyText"/>
        <w:spacing w:before="134"/>
      </w:pPr>
    </w:p>
    <w:p>
      <w:pPr>
        <w:spacing w:line="362" w:lineRule="auto" w:before="0"/>
        <w:ind w:left="1748" w:right="811" w:hanging="721"/>
        <w:jc w:val="both"/>
        <w:rPr>
          <w:sz w:val="24"/>
        </w:rPr>
      </w:pPr>
      <w:r>
        <w:rPr>
          <w:sz w:val="24"/>
        </w:rPr>
        <w:t>King, A.J., He, W., Cuevas, J.A., Ramiaramanana, D. and Graham, I.A. (2009). Potential of </w:t>
      </w:r>
      <w:r>
        <w:rPr>
          <w:i/>
          <w:sz w:val="24"/>
        </w:rPr>
        <w:t>Jatropha curcas </w:t>
      </w:r>
      <w:r>
        <w:rPr>
          <w:sz w:val="24"/>
        </w:rPr>
        <w:t>as a source of renewable oil and animal feed: Review paper. </w:t>
      </w:r>
      <w:r>
        <w:rPr>
          <w:i/>
          <w:sz w:val="24"/>
        </w:rPr>
        <w:t>Journal of Experimental Botany</w:t>
      </w:r>
      <w:r>
        <w:rPr>
          <w:sz w:val="24"/>
        </w:rPr>
        <w:t>, 10: 1093.</w:t>
      </w:r>
    </w:p>
    <w:p>
      <w:pPr>
        <w:pStyle w:val="BodyText"/>
        <w:spacing w:before="130"/>
      </w:pPr>
    </w:p>
    <w:p>
      <w:pPr>
        <w:spacing w:before="0"/>
        <w:ind w:left="525" w:right="306" w:firstLine="0"/>
        <w:jc w:val="center"/>
        <w:rPr>
          <w:i/>
          <w:sz w:val="24"/>
        </w:rPr>
      </w:pPr>
      <w:r>
        <w:rPr>
          <w:sz w:val="24"/>
        </w:rPr>
        <w:t>Kingsbury,</w:t>
      </w:r>
      <w:r>
        <w:rPr>
          <w:spacing w:val="71"/>
          <w:w w:val="150"/>
          <w:sz w:val="24"/>
        </w:rPr>
        <w:t> </w:t>
      </w:r>
      <w:r>
        <w:rPr>
          <w:sz w:val="24"/>
        </w:rPr>
        <w:t>J.</w:t>
      </w:r>
      <w:r>
        <w:rPr>
          <w:spacing w:val="74"/>
          <w:w w:val="150"/>
          <w:sz w:val="24"/>
        </w:rPr>
        <w:t> </w:t>
      </w:r>
      <w:r>
        <w:rPr>
          <w:sz w:val="24"/>
        </w:rPr>
        <w:t>M.</w:t>
      </w:r>
      <w:r>
        <w:rPr>
          <w:spacing w:val="73"/>
          <w:w w:val="150"/>
          <w:sz w:val="24"/>
        </w:rPr>
        <w:t> </w:t>
      </w:r>
      <w:r>
        <w:rPr>
          <w:sz w:val="24"/>
        </w:rPr>
        <w:t>(1964).</w:t>
      </w:r>
      <w:r>
        <w:rPr>
          <w:spacing w:val="77"/>
          <w:w w:val="150"/>
          <w:sz w:val="24"/>
        </w:rPr>
        <w:t> </w:t>
      </w:r>
      <w:r>
        <w:rPr>
          <w:i/>
          <w:sz w:val="24"/>
        </w:rPr>
        <w:t>Poisonous</w:t>
      </w:r>
      <w:r>
        <w:rPr>
          <w:i/>
          <w:spacing w:val="68"/>
          <w:w w:val="150"/>
          <w:sz w:val="24"/>
        </w:rPr>
        <w:t> </w:t>
      </w:r>
      <w:r>
        <w:rPr>
          <w:i/>
          <w:sz w:val="24"/>
        </w:rPr>
        <w:t>Plants</w:t>
      </w:r>
      <w:r>
        <w:rPr>
          <w:i/>
          <w:spacing w:val="69"/>
          <w:w w:val="150"/>
          <w:sz w:val="24"/>
        </w:rPr>
        <w:t> </w:t>
      </w:r>
      <w:r>
        <w:rPr>
          <w:i/>
          <w:sz w:val="24"/>
        </w:rPr>
        <w:t>of</w:t>
      </w:r>
      <w:r>
        <w:rPr>
          <w:i/>
          <w:spacing w:val="76"/>
          <w:w w:val="150"/>
          <w:sz w:val="24"/>
        </w:rPr>
        <w:t> </w:t>
      </w:r>
      <w:r>
        <w:rPr>
          <w:i/>
          <w:sz w:val="24"/>
        </w:rPr>
        <w:t>the</w:t>
      </w:r>
      <w:r>
        <w:rPr>
          <w:i/>
          <w:spacing w:val="71"/>
          <w:w w:val="150"/>
          <w:sz w:val="24"/>
        </w:rPr>
        <w:t> </w:t>
      </w:r>
      <w:r>
        <w:rPr>
          <w:i/>
          <w:sz w:val="24"/>
        </w:rPr>
        <w:t>United</w:t>
      </w:r>
      <w:r>
        <w:rPr>
          <w:i/>
          <w:spacing w:val="70"/>
          <w:w w:val="150"/>
          <w:sz w:val="24"/>
        </w:rPr>
        <w:t> </w:t>
      </w:r>
      <w:r>
        <w:rPr>
          <w:i/>
          <w:sz w:val="24"/>
        </w:rPr>
        <w:t>States</w:t>
      </w:r>
      <w:r>
        <w:rPr>
          <w:i/>
          <w:spacing w:val="69"/>
          <w:w w:val="150"/>
          <w:sz w:val="24"/>
        </w:rPr>
        <w:t> </w:t>
      </w:r>
      <w:r>
        <w:rPr>
          <w:i/>
          <w:sz w:val="24"/>
        </w:rPr>
        <w:t>and</w:t>
      </w:r>
      <w:r>
        <w:rPr>
          <w:i/>
          <w:spacing w:val="71"/>
          <w:w w:val="150"/>
          <w:sz w:val="24"/>
        </w:rPr>
        <w:t> </w:t>
      </w:r>
      <w:r>
        <w:rPr>
          <w:i/>
          <w:spacing w:val="-2"/>
          <w:sz w:val="24"/>
        </w:rPr>
        <w:t>Canada.</w:t>
      </w:r>
    </w:p>
    <w:p>
      <w:pPr>
        <w:pStyle w:val="BodyText"/>
        <w:spacing w:before="137"/>
        <w:ind w:left="1748"/>
      </w:pPr>
      <w:r>
        <w:rPr/>
        <w:t>Englewood</w:t>
      </w:r>
      <w:r>
        <w:rPr>
          <w:spacing w:val="-6"/>
        </w:rPr>
        <w:t> </w:t>
      </w:r>
      <w:r>
        <w:rPr/>
        <w:t>Cliffs, Prentice</w:t>
      </w:r>
      <w:r>
        <w:rPr>
          <w:spacing w:val="-2"/>
        </w:rPr>
        <w:t> </w:t>
      </w:r>
      <w:r>
        <w:rPr/>
        <w:t>Hall</w:t>
      </w:r>
      <w:r>
        <w:rPr>
          <w:spacing w:val="-6"/>
        </w:rPr>
        <w:t> </w:t>
      </w:r>
      <w:r>
        <w:rPr/>
        <w:t>Inc.,</w:t>
      </w:r>
      <w:r>
        <w:rPr>
          <w:spacing w:val="1"/>
        </w:rPr>
        <w:t> </w:t>
      </w:r>
      <w:r>
        <w:rPr/>
        <w:t>Englewood</w:t>
      </w:r>
      <w:r>
        <w:rPr>
          <w:spacing w:val="-11"/>
        </w:rPr>
        <w:t> </w:t>
      </w:r>
      <w:r>
        <w:rPr/>
        <w:t>Cliffs,</w:t>
      </w:r>
      <w:r>
        <w:rPr>
          <w:spacing w:val="4"/>
        </w:rPr>
        <w:t> </w:t>
      </w:r>
      <w:r>
        <w:rPr/>
        <w:t>USA,</w:t>
      </w:r>
      <w:r>
        <w:rPr>
          <w:spacing w:val="1"/>
        </w:rPr>
        <w:t> </w:t>
      </w:r>
      <w:r>
        <w:rPr/>
        <w:t>pp.</w:t>
      </w:r>
      <w:r>
        <w:rPr>
          <w:spacing w:val="1"/>
        </w:rPr>
        <w:t> </w:t>
      </w:r>
      <w:r>
        <w:rPr>
          <w:spacing w:val="-4"/>
        </w:rPr>
        <w:t>626.</w:t>
      </w:r>
    </w:p>
    <w:p>
      <w:pPr>
        <w:pStyle w:val="BodyText"/>
      </w:pPr>
    </w:p>
    <w:p>
      <w:pPr>
        <w:pStyle w:val="BodyText"/>
      </w:pPr>
    </w:p>
    <w:p>
      <w:pPr>
        <w:pStyle w:val="BodyText"/>
        <w:spacing w:before="140"/>
      </w:pPr>
    </w:p>
    <w:p>
      <w:pPr>
        <w:spacing w:line="362" w:lineRule="auto" w:before="0"/>
        <w:ind w:left="1748" w:right="803" w:hanging="721"/>
        <w:jc w:val="both"/>
        <w:rPr>
          <w:sz w:val="24"/>
        </w:rPr>
      </w:pPr>
      <w:r>
        <w:rPr>
          <w:sz w:val="24"/>
        </w:rPr>
        <w:t>Kiron, S.S., Nizar, K., Rajagopal, P.L., Saritha, M. and Narayaswamy, V.B. (2012). Analgesic activity study of </w:t>
      </w:r>
      <w:r>
        <w:rPr>
          <w:i/>
          <w:sz w:val="24"/>
        </w:rPr>
        <w:t>Polygonum glabrum </w:t>
      </w:r>
      <w:r>
        <w:rPr>
          <w:sz w:val="24"/>
        </w:rPr>
        <w:t>willd in rodents. </w:t>
      </w:r>
      <w:r>
        <w:rPr>
          <w:i/>
          <w:sz w:val="24"/>
        </w:rPr>
        <w:t>Research Journal of Pharmaceutical, Biological and Chemical Sciences</w:t>
      </w:r>
      <w:r>
        <w:rPr>
          <w:sz w:val="24"/>
        </w:rPr>
        <w:t>, 3(3): 1158.</w:t>
      </w:r>
    </w:p>
    <w:p>
      <w:pPr>
        <w:pStyle w:val="BodyText"/>
        <w:spacing w:before="130"/>
      </w:pPr>
    </w:p>
    <w:p>
      <w:pPr>
        <w:pStyle w:val="BodyText"/>
        <w:spacing w:line="362" w:lineRule="auto"/>
        <w:ind w:left="1748" w:right="804" w:hanging="721"/>
        <w:jc w:val="both"/>
      </w:pPr>
      <w:r>
        <w:rPr/>
        <w:t>Kochhar, S., Singh, S.P. and Kochhar, V.K. (2008). Effect of auxins and associated biochemical changes during clonal propagation of the biofuel plant – </w:t>
      </w:r>
      <w:r>
        <w:rPr>
          <w:i/>
        </w:rPr>
        <w:t>Jatropha curcas</w:t>
      </w:r>
      <w:r>
        <w:rPr/>
        <w:t>. </w:t>
      </w:r>
      <w:r>
        <w:rPr>
          <w:i/>
        </w:rPr>
        <w:t>Biomass and Bioenergy, </w:t>
      </w:r>
      <w:r>
        <w:rPr/>
        <w:t>32: 1136-1143.</w:t>
      </w:r>
    </w:p>
    <w:p>
      <w:pPr>
        <w:spacing w:after="0" w:line="362" w:lineRule="auto"/>
        <w:jc w:val="both"/>
        <w:sectPr>
          <w:pgSz w:w="11910" w:h="16840"/>
          <w:pgMar w:header="0" w:footer="1012" w:top="1320" w:bottom="1200" w:left="960" w:right="620"/>
        </w:sectPr>
      </w:pPr>
    </w:p>
    <w:p>
      <w:pPr>
        <w:pStyle w:val="BodyText"/>
        <w:spacing w:line="360" w:lineRule="auto" w:before="79"/>
        <w:ind w:left="1748" w:right="804" w:hanging="721"/>
        <w:jc w:val="both"/>
      </w:pPr>
      <w:r>
        <w:rPr/>
        <w:t>Kpoviessi, D.S.S., Accrombessi, G.C., Kossouoh, C., Soumanou, M.M. and Moudachirou, M. (2004). Propriétés physico-chimiques et composition de l‟huile non conventionnelle de pourghère (</w:t>
      </w:r>
      <w:r>
        <w:rPr>
          <w:i/>
        </w:rPr>
        <w:t>Jatropha curcas</w:t>
      </w:r>
      <w:r>
        <w:rPr/>
        <w:t>) de différentes régions du Bénin.</w:t>
      </w:r>
      <w:r>
        <w:rPr>
          <w:spacing w:val="40"/>
        </w:rPr>
        <w:t> </w:t>
      </w:r>
      <w:r>
        <w:rPr>
          <w:i/>
        </w:rPr>
        <w:t>Comptes Rendus Chimie</w:t>
      </w:r>
      <w:r>
        <w:rPr/>
        <w:t>, 7: 1007-1012.</w:t>
      </w:r>
    </w:p>
    <w:p>
      <w:pPr>
        <w:pStyle w:val="BodyText"/>
        <w:spacing w:before="138"/>
      </w:pPr>
    </w:p>
    <w:p>
      <w:pPr>
        <w:spacing w:line="362" w:lineRule="auto" w:before="0"/>
        <w:ind w:left="1748" w:right="802" w:hanging="721"/>
        <w:jc w:val="both"/>
        <w:rPr>
          <w:sz w:val="24"/>
        </w:rPr>
      </w:pPr>
      <w:r>
        <w:rPr>
          <w:sz w:val="24"/>
        </w:rPr>
        <w:t>Kulkarni, S.K. (1999). </w:t>
      </w:r>
      <w:r>
        <w:rPr>
          <w:i/>
          <w:sz w:val="24"/>
        </w:rPr>
        <w:t>Hand Book of Experimental Pharmacology</w:t>
      </w:r>
      <w:r>
        <w:rPr>
          <w:sz w:val="24"/>
        </w:rPr>
        <w:t>. (3rd ed), Vallabh Prakashan, New Delhi, India, pp. 115-133.</w:t>
      </w:r>
    </w:p>
    <w:p>
      <w:pPr>
        <w:pStyle w:val="BodyText"/>
        <w:spacing w:before="134"/>
      </w:pPr>
    </w:p>
    <w:p>
      <w:pPr>
        <w:spacing w:line="360" w:lineRule="auto" w:before="0"/>
        <w:ind w:left="1748" w:right="808" w:hanging="721"/>
        <w:jc w:val="both"/>
        <w:rPr>
          <w:sz w:val="24"/>
        </w:rPr>
      </w:pPr>
      <w:r>
        <w:rPr>
          <w:sz w:val="24"/>
        </w:rPr>
        <w:t>Kumar, A. and Sharma, S. (2008). </w:t>
      </w:r>
      <w:r>
        <w:rPr>
          <w:i/>
          <w:sz w:val="24"/>
        </w:rPr>
        <w:t>An Evaluation of Multipurpose Oil Seed Crop Jatropha curcas for Industrial Uses</w:t>
      </w:r>
      <w:r>
        <w:rPr>
          <w:sz w:val="24"/>
        </w:rPr>
        <w:t>. Druck- Beratungs- und VerlagsgesmbH, Geidorfgürtel, Austria, pp. 160-166.</w:t>
      </w:r>
    </w:p>
    <w:p>
      <w:pPr>
        <w:pStyle w:val="BodyText"/>
        <w:spacing w:before="139"/>
      </w:pPr>
    </w:p>
    <w:p>
      <w:pPr>
        <w:spacing w:line="360" w:lineRule="auto" w:before="0"/>
        <w:ind w:left="1748" w:right="806" w:hanging="721"/>
        <w:jc w:val="both"/>
        <w:rPr>
          <w:sz w:val="24"/>
        </w:rPr>
      </w:pPr>
      <w:r>
        <w:rPr>
          <w:sz w:val="24"/>
        </w:rPr>
        <w:t>Laing,</w:t>
      </w:r>
      <w:r>
        <w:rPr>
          <w:spacing w:val="-2"/>
          <w:sz w:val="24"/>
        </w:rPr>
        <w:t> </w:t>
      </w:r>
      <w:r>
        <w:rPr>
          <w:sz w:val="24"/>
        </w:rPr>
        <w:t>I.A.</w:t>
      </w:r>
      <w:r>
        <w:rPr>
          <w:spacing w:val="-2"/>
          <w:sz w:val="24"/>
        </w:rPr>
        <w:t> </w:t>
      </w:r>
      <w:r>
        <w:rPr>
          <w:sz w:val="24"/>
        </w:rPr>
        <w:t>(2002).</w:t>
      </w:r>
      <w:r>
        <w:rPr>
          <w:spacing w:val="-2"/>
          <w:sz w:val="24"/>
        </w:rPr>
        <w:t> </w:t>
      </w:r>
      <w:r>
        <w:rPr>
          <w:sz w:val="24"/>
        </w:rPr>
        <w:t>Hypernatremic</w:t>
      </w:r>
      <w:r>
        <w:rPr>
          <w:spacing w:val="-4"/>
          <w:sz w:val="24"/>
        </w:rPr>
        <w:t> </w:t>
      </w:r>
      <w:r>
        <w:rPr>
          <w:sz w:val="24"/>
        </w:rPr>
        <w:t>dehydration</w:t>
      </w:r>
      <w:r>
        <w:rPr>
          <w:spacing w:val="-3"/>
          <w:sz w:val="24"/>
        </w:rPr>
        <w:t> </w:t>
      </w:r>
      <w:r>
        <w:rPr>
          <w:sz w:val="24"/>
        </w:rPr>
        <w:t>in newborn</w:t>
      </w:r>
      <w:r>
        <w:rPr>
          <w:spacing w:val="-3"/>
          <w:sz w:val="24"/>
        </w:rPr>
        <w:t> </w:t>
      </w:r>
      <w:r>
        <w:rPr>
          <w:sz w:val="24"/>
        </w:rPr>
        <w:t>infants. </w:t>
      </w:r>
      <w:r>
        <w:rPr>
          <w:i/>
          <w:sz w:val="24"/>
        </w:rPr>
        <w:t>Acta</w:t>
      </w:r>
      <w:r>
        <w:rPr>
          <w:i/>
          <w:spacing w:val="-3"/>
          <w:sz w:val="24"/>
        </w:rPr>
        <w:t> </w:t>
      </w:r>
      <w:r>
        <w:rPr>
          <w:i/>
          <w:sz w:val="24"/>
        </w:rPr>
        <w:t>Pharmaceutica Sinica B</w:t>
      </w:r>
      <w:r>
        <w:rPr>
          <w:sz w:val="24"/>
        </w:rPr>
        <w:t>, 23: 48-51.</w:t>
      </w:r>
    </w:p>
    <w:p>
      <w:pPr>
        <w:pStyle w:val="BodyText"/>
        <w:spacing w:before="139"/>
      </w:pPr>
    </w:p>
    <w:p>
      <w:pPr>
        <w:spacing w:line="360" w:lineRule="auto" w:before="0"/>
        <w:ind w:left="1748" w:right="806" w:hanging="721"/>
        <w:jc w:val="both"/>
        <w:rPr>
          <w:sz w:val="24"/>
        </w:rPr>
      </w:pPr>
      <w:r>
        <w:rPr>
          <w:sz w:val="24"/>
        </w:rPr>
        <w:t>Li, C.Y., Devappa, R.K., Liu, J.X., Lv, J.M., Makkar, H.P.S. and Becker, K. (2010). Toxicity of </w:t>
      </w:r>
      <w:r>
        <w:rPr>
          <w:i/>
          <w:sz w:val="24"/>
        </w:rPr>
        <w:t>Jatropha curcas </w:t>
      </w:r>
      <w:r>
        <w:rPr>
          <w:sz w:val="24"/>
        </w:rPr>
        <w:t>phorbol esters in mice. </w:t>
      </w:r>
      <w:r>
        <w:rPr>
          <w:i/>
          <w:sz w:val="24"/>
        </w:rPr>
        <w:t>Food and Chemical Toxicology</w:t>
      </w:r>
      <w:r>
        <w:rPr>
          <w:sz w:val="24"/>
        </w:rPr>
        <w:t>, 48: 620-625.</w:t>
      </w:r>
    </w:p>
    <w:p>
      <w:pPr>
        <w:pStyle w:val="BodyText"/>
        <w:spacing w:before="139"/>
      </w:pPr>
    </w:p>
    <w:p>
      <w:pPr>
        <w:spacing w:line="360" w:lineRule="auto" w:before="0"/>
        <w:ind w:left="1748" w:right="804" w:hanging="721"/>
        <w:jc w:val="both"/>
        <w:rPr>
          <w:sz w:val="24"/>
        </w:rPr>
      </w:pPr>
      <w:r>
        <w:rPr>
          <w:sz w:val="24"/>
        </w:rPr>
        <w:t>Liener, I.E. (1994). Implication</w:t>
      </w:r>
      <w:r>
        <w:rPr>
          <w:spacing w:val="-2"/>
          <w:sz w:val="24"/>
        </w:rPr>
        <w:t> </w:t>
      </w:r>
      <w:r>
        <w:rPr>
          <w:sz w:val="24"/>
        </w:rPr>
        <w:t>of</w:t>
      </w:r>
      <w:r>
        <w:rPr>
          <w:spacing w:val="-5"/>
          <w:sz w:val="24"/>
        </w:rPr>
        <w:t> </w:t>
      </w:r>
      <w:r>
        <w:rPr>
          <w:sz w:val="24"/>
        </w:rPr>
        <w:t>antinutritional</w:t>
      </w:r>
      <w:r>
        <w:rPr>
          <w:spacing w:val="-2"/>
          <w:sz w:val="24"/>
        </w:rPr>
        <w:t> </w:t>
      </w:r>
      <w:r>
        <w:rPr>
          <w:sz w:val="24"/>
        </w:rPr>
        <w:t>components in</w:t>
      </w:r>
      <w:r>
        <w:rPr>
          <w:spacing w:val="-2"/>
          <w:sz w:val="24"/>
        </w:rPr>
        <w:t> </w:t>
      </w:r>
      <w:r>
        <w:rPr>
          <w:sz w:val="24"/>
        </w:rPr>
        <w:t>soyabeans foods. </w:t>
      </w:r>
      <w:r>
        <w:rPr>
          <w:i/>
          <w:sz w:val="24"/>
        </w:rPr>
        <w:t>Food Science and Nutrition</w:t>
      </w:r>
      <w:r>
        <w:rPr>
          <w:sz w:val="24"/>
        </w:rPr>
        <w:t>, 34: 31-64.</w:t>
      </w:r>
    </w:p>
    <w:p>
      <w:pPr>
        <w:pStyle w:val="BodyText"/>
        <w:spacing w:before="134"/>
      </w:pPr>
    </w:p>
    <w:p>
      <w:pPr>
        <w:pStyle w:val="BodyText"/>
        <w:ind w:left="1028"/>
      </w:pPr>
      <w:r>
        <w:rPr/>
        <w:t>Lin,</w:t>
      </w:r>
      <w:r>
        <w:rPr>
          <w:spacing w:val="-2"/>
        </w:rPr>
        <w:t> </w:t>
      </w:r>
      <w:r>
        <w:rPr/>
        <w:t>J.,</w:t>
      </w:r>
      <w:r>
        <w:rPr>
          <w:spacing w:val="1"/>
        </w:rPr>
        <w:t> </w:t>
      </w:r>
      <w:r>
        <w:rPr/>
        <w:t>Yan, F.,</w:t>
      </w:r>
      <w:r>
        <w:rPr>
          <w:spacing w:val="4"/>
        </w:rPr>
        <w:t> </w:t>
      </w:r>
      <w:r>
        <w:rPr/>
        <w:t>Tang,</w:t>
      </w:r>
      <w:r>
        <w:rPr>
          <w:spacing w:val="1"/>
        </w:rPr>
        <w:t> </w:t>
      </w:r>
      <w:r>
        <w:rPr/>
        <w:t>L. and</w:t>
      </w:r>
      <w:r>
        <w:rPr>
          <w:spacing w:val="-1"/>
        </w:rPr>
        <w:t> </w:t>
      </w:r>
      <w:r>
        <w:rPr/>
        <w:t>Chen,</w:t>
      </w:r>
      <w:r>
        <w:rPr>
          <w:spacing w:val="5"/>
        </w:rPr>
        <w:t> </w:t>
      </w:r>
      <w:r>
        <w:rPr/>
        <w:t>F.</w:t>
      </w:r>
      <w:r>
        <w:rPr>
          <w:spacing w:val="1"/>
        </w:rPr>
        <w:t> </w:t>
      </w:r>
      <w:r>
        <w:rPr/>
        <w:t>(2003).</w:t>
      </w:r>
      <w:r>
        <w:rPr>
          <w:spacing w:val="-4"/>
        </w:rPr>
        <w:t> </w:t>
      </w:r>
      <w:r>
        <w:rPr/>
        <w:t>Antitumor effects</w:t>
      </w:r>
      <w:r>
        <w:rPr>
          <w:spacing w:val="-3"/>
        </w:rPr>
        <w:t> </w:t>
      </w:r>
      <w:r>
        <w:rPr/>
        <w:t>of</w:t>
      </w:r>
      <w:r>
        <w:rPr>
          <w:spacing w:val="-9"/>
        </w:rPr>
        <w:t> </w:t>
      </w:r>
      <w:r>
        <w:rPr/>
        <w:t>curcin</w:t>
      </w:r>
      <w:r>
        <w:rPr>
          <w:spacing w:val="-1"/>
        </w:rPr>
        <w:t> </w:t>
      </w:r>
      <w:r>
        <w:rPr/>
        <w:t>from</w:t>
      </w:r>
      <w:r>
        <w:rPr>
          <w:spacing w:val="-6"/>
        </w:rPr>
        <w:t> </w:t>
      </w:r>
      <w:r>
        <w:rPr/>
        <w:t>seeds</w:t>
      </w:r>
      <w:r>
        <w:rPr>
          <w:spacing w:val="-3"/>
        </w:rPr>
        <w:t> </w:t>
      </w:r>
      <w:r>
        <w:rPr>
          <w:spacing w:val="-5"/>
        </w:rPr>
        <w:t>of</w:t>
      </w:r>
    </w:p>
    <w:p>
      <w:pPr>
        <w:spacing w:before="143"/>
        <w:ind w:left="1748" w:right="0" w:firstLine="0"/>
        <w:jc w:val="left"/>
        <w:rPr>
          <w:sz w:val="24"/>
        </w:rPr>
      </w:pPr>
      <w:r>
        <w:rPr>
          <w:i/>
          <w:sz w:val="24"/>
        </w:rPr>
        <w:t>Jatropha</w:t>
      </w:r>
      <w:r>
        <w:rPr>
          <w:i/>
          <w:spacing w:val="-1"/>
          <w:sz w:val="24"/>
        </w:rPr>
        <w:t> </w:t>
      </w:r>
      <w:r>
        <w:rPr>
          <w:i/>
          <w:sz w:val="24"/>
        </w:rPr>
        <w:t>curcas</w:t>
      </w:r>
      <w:r>
        <w:rPr>
          <w:sz w:val="24"/>
        </w:rPr>
        <w:t>.</w:t>
      </w:r>
      <w:r>
        <w:rPr>
          <w:spacing w:val="1"/>
          <w:sz w:val="24"/>
        </w:rPr>
        <w:t> </w:t>
      </w:r>
      <w:r>
        <w:rPr>
          <w:i/>
          <w:sz w:val="24"/>
        </w:rPr>
        <w:t>Acta Pharmacologica</w:t>
      </w:r>
      <w:r>
        <w:rPr>
          <w:i/>
          <w:spacing w:val="-1"/>
          <w:sz w:val="24"/>
        </w:rPr>
        <w:t> </w:t>
      </w:r>
      <w:r>
        <w:rPr>
          <w:i/>
          <w:sz w:val="24"/>
        </w:rPr>
        <w:t>Sinica</w:t>
      </w:r>
      <w:r>
        <w:rPr>
          <w:sz w:val="24"/>
        </w:rPr>
        <w:t>,</w:t>
      </w:r>
      <w:r>
        <w:rPr>
          <w:spacing w:val="2"/>
          <w:sz w:val="24"/>
        </w:rPr>
        <w:t> </w:t>
      </w:r>
      <w:r>
        <w:rPr>
          <w:sz w:val="24"/>
        </w:rPr>
        <w:t>24:</w:t>
      </w:r>
      <w:r>
        <w:rPr>
          <w:spacing w:val="-5"/>
          <w:sz w:val="24"/>
        </w:rPr>
        <w:t> </w:t>
      </w:r>
      <w:r>
        <w:rPr>
          <w:sz w:val="24"/>
        </w:rPr>
        <w:t>241-</w:t>
      </w:r>
      <w:r>
        <w:rPr>
          <w:spacing w:val="-4"/>
          <w:sz w:val="24"/>
        </w:rPr>
        <w:t>246.</w:t>
      </w:r>
    </w:p>
    <w:p>
      <w:pPr>
        <w:pStyle w:val="BodyText"/>
        <w:spacing w:before="273"/>
      </w:pPr>
    </w:p>
    <w:p>
      <w:pPr>
        <w:spacing w:line="362" w:lineRule="auto" w:before="0"/>
        <w:ind w:left="1748" w:right="794" w:hanging="721"/>
        <w:jc w:val="both"/>
        <w:rPr>
          <w:sz w:val="24"/>
        </w:rPr>
      </w:pPr>
      <w:r>
        <w:rPr>
          <w:sz w:val="24"/>
        </w:rPr>
        <w:t>Loretti, A.P., Da Silva, I.M.R. and Ribeiro, R.E. (2003). Accidental fatal</w:t>
      </w:r>
      <w:r>
        <w:rPr>
          <w:spacing w:val="-5"/>
          <w:sz w:val="24"/>
        </w:rPr>
        <w:t> </w:t>
      </w:r>
      <w:r>
        <w:rPr>
          <w:sz w:val="24"/>
        </w:rPr>
        <w:t>poisoning of a dog</w:t>
      </w:r>
      <w:r>
        <w:rPr>
          <w:spacing w:val="-2"/>
          <w:sz w:val="24"/>
        </w:rPr>
        <w:t> </w:t>
      </w:r>
      <w:r>
        <w:rPr>
          <w:sz w:val="24"/>
        </w:rPr>
        <w:t>by</w:t>
      </w:r>
      <w:r>
        <w:rPr>
          <w:spacing w:val="-11"/>
          <w:sz w:val="24"/>
        </w:rPr>
        <w:t> </w:t>
      </w:r>
      <w:r>
        <w:rPr>
          <w:i/>
          <w:sz w:val="24"/>
        </w:rPr>
        <w:t>Dieffenbachia</w:t>
      </w:r>
      <w:r>
        <w:rPr>
          <w:i/>
          <w:spacing w:val="-2"/>
          <w:sz w:val="24"/>
        </w:rPr>
        <w:t> </w:t>
      </w:r>
      <w:r>
        <w:rPr>
          <w:i/>
          <w:sz w:val="24"/>
        </w:rPr>
        <w:t>picta</w:t>
      </w:r>
      <w:r>
        <w:rPr>
          <w:i/>
          <w:spacing w:val="-5"/>
          <w:sz w:val="24"/>
        </w:rPr>
        <w:t> </w:t>
      </w:r>
      <w:r>
        <w:rPr>
          <w:sz w:val="24"/>
        </w:rPr>
        <w:t>(dumb</w:t>
      </w:r>
      <w:r>
        <w:rPr>
          <w:spacing w:val="-7"/>
          <w:sz w:val="24"/>
        </w:rPr>
        <w:t> </w:t>
      </w:r>
      <w:r>
        <w:rPr>
          <w:sz w:val="24"/>
        </w:rPr>
        <w:t>cane). </w:t>
      </w:r>
      <w:r>
        <w:rPr>
          <w:i/>
          <w:sz w:val="24"/>
        </w:rPr>
        <w:t>Veterinary</w:t>
      </w:r>
      <w:r>
        <w:rPr>
          <w:i/>
          <w:spacing w:val="-3"/>
          <w:sz w:val="24"/>
        </w:rPr>
        <w:t> </w:t>
      </w:r>
      <w:r>
        <w:rPr>
          <w:i/>
          <w:sz w:val="24"/>
        </w:rPr>
        <w:t>and</w:t>
      </w:r>
      <w:r>
        <w:rPr>
          <w:i/>
          <w:spacing w:val="-2"/>
          <w:sz w:val="24"/>
        </w:rPr>
        <w:t> </w:t>
      </w:r>
      <w:r>
        <w:rPr>
          <w:i/>
          <w:sz w:val="24"/>
        </w:rPr>
        <w:t>Human</w:t>
      </w:r>
      <w:r>
        <w:rPr>
          <w:i/>
          <w:spacing w:val="-2"/>
          <w:sz w:val="24"/>
        </w:rPr>
        <w:t> </w:t>
      </w:r>
      <w:r>
        <w:rPr>
          <w:i/>
          <w:sz w:val="24"/>
        </w:rPr>
        <w:t>Toxicology, </w:t>
      </w:r>
      <w:r>
        <w:rPr>
          <w:sz w:val="24"/>
        </w:rPr>
        <w:t>45: </w:t>
      </w:r>
      <w:r>
        <w:rPr>
          <w:spacing w:val="-2"/>
          <w:sz w:val="24"/>
        </w:rPr>
        <w:t>233-239.</w:t>
      </w:r>
    </w:p>
    <w:p>
      <w:pPr>
        <w:pStyle w:val="BodyText"/>
        <w:spacing w:before="130"/>
      </w:pPr>
    </w:p>
    <w:p>
      <w:pPr>
        <w:spacing w:line="360" w:lineRule="auto" w:before="1"/>
        <w:ind w:left="1748" w:right="805" w:hanging="721"/>
        <w:jc w:val="both"/>
        <w:rPr>
          <w:sz w:val="24"/>
        </w:rPr>
      </w:pPr>
      <w:r>
        <w:rPr>
          <w:sz w:val="24"/>
        </w:rPr>
        <w:t>Lorke, D. (1983). A new approach to practical acute toxicity testing. </w:t>
      </w:r>
      <w:r>
        <w:rPr>
          <w:i/>
          <w:sz w:val="24"/>
        </w:rPr>
        <w:t>Archives of Toxicology</w:t>
      </w:r>
      <w:r>
        <w:rPr>
          <w:sz w:val="24"/>
        </w:rPr>
        <w:t>, 54(4): 275-87.</w:t>
      </w:r>
    </w:p>
    <w:p>
      <w:pPr>
        <w:pStyle w:val="BodyText"/>
        <w:spacing w:before="139"/>
      </w:pPr>
    </w:p>
    <w:p>
      <w:pPr>
        <w:pStyle w:val="BodyText"/>
        <w:spacing w:line="360" w:lineRule="auto"/>
        <w:ind w:left="1748" w:right="807" w:hanging="721"/>
        <w:jc w:val="both"/>
      </w:pPr>
      <w:r>
        <w:rPr/>
        <w:t>Lucia, B., Nibia, B. and Guillermo, D. (2008). Annual male reproductive cycle of a Hantavirus</w:t>
      </w:r>
      <w:r>
        <w:rPr>
          <w:spacing w:val="6"/>
        </w:rPr>
        <w:t> </w:t>
      </w:r>
      <w:r>
        <w:rPr/>
        <w:t>reservoir,</w:t>
      </w:r>
      <w:r>
        <w:rPr>
          <w:spacing w:val="13"/>
        </w:rPr>
        <w:t> </w:t>
      </w:r>
      <w:r>
        <w:rPr/>
        <w:t>the</w:t>
      </w:r>
      <w:r>
        <w:rPr>
          <w:spacing w:val="14"/>
        </w:rPr>
        <w:t> </w:t>
      </w:r>
      <w:r>
        <w:rPr/>
        <w:t>long-tailed</w:t>
      </w:r>
      <w:r>
        <w:rPr>
          <w:spacing w:val="15"/>
        </w:rPr>
        <w:t> </w:t>
      </w:r>
      <w:r>
        <w:rPr/>
        <w:t>mouse</w:t>
      </w:r>
      <w:r>
        <w:rPr>
          <w:spacing w:val="12"/>
        </w:rPr>
        <w:t> </w:t>
      </w:r>
      <w:r>
        <w:rPr>
          <w:i/>
        </w:rPr>
        <w:t>Oligoryzomys</w:t>
      </w:r>
      <w:r>
        <w:rPr>
          <w:i/>
          <w:spacing w:val="9"/>
        </w:rPr>
        <w:t> </w:t>
      </w:r>
      <w:r>
        <w:rPr>
          <w:i/>
        </w:rPr>
        <w:t>flavescens</w:t>
      </w:r>
      <w:r>
        <w:rPr>
          <w:i/>
          <w:spacing w:val="11"/>
        </w:rPr>
        <w:t> </w:t>
      </w:r>
      <w:r>
        <w:rPr>
          <w:spacing w:val="-2"/>
        </w:rPr>
        <w:t>(Rodentia,</w:t>
      </w:r>
    </w:p>
    <w:p>
      <w:pPr>
        <w:spacing w:after="0" w:line="360" w:lineRule="auto"/>
        <w:jc w:val="both"/>
        <w:sectPr>
          <w:pgSz w:w="11910" w:h="16840"/>
          <w:pgMar w:header="0" w:footer="1012" w:top="1320" w:bottom="1200" w:left="960" w:right="620"/>
        </w:sectPr>
      </w:pPr>
    </w:p>
    <w:p>
      <w:pPr>
        <w:tabs>
          <w:tab w:pos="3100" w:val="left" w:leader="none"/>
          <w:tab w:pos="4888" w:val="left" w:leader="none"/>
          <w:tab w:pos="5604" w:val="left" w:leader="none"/>
          <w:tab w:pos="6766" w:val="left" w:leader="none"/>
          <w:tab w:pos="8446" w:val="left" w:leader="none"/>
        </w:tabs>
        <w:spacing w:line="360" w:lineRule="auto" w:before="79"/>
        <w:ind w:left="1748" w:right="804" w:firstLine="0"/>
        <w:jc w:val="left"/>
        <w:rPr>
          <w:sz w:val="24"/>
        </w:rPr>
      </w:pPr>
      <w:r>
        <w:rPr>
          <w:spacing w:val="-2"/>
          <w:sz w:val="24"/>
        </w:rPr>
        <w:t>Crcentigae,</w:t>
      </w:r>
      <w:r>
        <w:rPr>
          <w:sz w:val="24"/>
        </w:rPr>
        <w:tab/>
      </w:r>
      <w:r>
        <w:rPr>
          <w:spacing w:val="-2"/>
          <w:sz w:val="24"/>
        </w:rPr>
        <w:t>Sigmodontinae)</w:t>
      </w:r>
      <w:r>
        <w:rPr>
          <w:sz w:val="24"/>
        </w:rPr>
        <w:tab/>
      </w:r>
      <w:r>
        <w:rPr>
          <w:spacing w:val="-4"/>
          <w:sz w:val="24"/>
        </w:rPr>
        <w:t>from</w:t>
      </w:r>
      <w:r>
        <w:rPr>
          <w:sz w:val="24"/>
        </w:rPr>
        <w:tab/>
      </w:r>
      <w:r>
        <w:rPr>
          <w:spacing w:val="-2"/>
          <w:sz w:val="24"/>
        </w:rPr>
        <w:t>Uruguay.</w:t>
      </w:r>
      <w:r>
        <w:rPr>
          <w:sz w:val="24"/>
        </w:rPr>
        <w:tab/>
      </w:r>
      <w:r>
        <w:rPr>
          <w:i/>
          <w:spacing w:val="-2"/>
          <w:sz w:val="24"/>
        </w:rPr>
        <w:t>Mastozoologia</w:t>
      </w:r>
      <w:r>
        <w:rPr>
          <w:i/>
          <w:sz w:val="24"/>
        </w:rPr>
        <w:tab/>
      </w:r>
      <w:r>
        <w:rPr>
          <w:i/>
          <w:spacing w:val="-2"/>
          <w:sz w:val="24"/>
        </w:rPr>
        <w:t>Neotropica </w:t>
      </w:r>
      <w:r>
        <w:rPr>
          <w:i/>
          <w:sz w:val="24"/>
        </w:rPr>
        <w:t>Mendoza</w:t>
      </w:r>
      <w:r>
        <w:rPr>
          <w:sz w:val="24"/>
        </w:rPr>
        <w:t>, 15(1): 135-140.</w:t>
      </w:r>
    </w:p>
    <w:p>
      <w:pPr>
        <w:pStyle w:val="BodyText"/>
        <w:spacing w:before="140"/>
      </w:pPr>
    </w:p>
    <w:p>
      <w:pPr>
        <w:spacing w:line="360" w:lineRule="auto" w:before="0"/>
        <w:ind w:left="1748" w:right="801" w:hanging="721"/>
        <w:jc w:val="both"/>
        <w:rPr>
          <w:sz w:val="24"/>
        </w:rPr>
      </w:pPr>
      <w:r>
        <w:rPr>
          <w:sz w:val="24"/>
        </w:rPr>
        <w:t>Luque de Castro, M.D. and Garcia-Ayuso, L.E. (2000). </w:t>
      </w:r>
      <w:r>
        <w:rPr>
          <w:i/>
          <w:sz w:val="24"/>
        </w:rPr>
        <w:t>Environmental Application</w:t>
      </w:r>
      <w:r>
        <w:rPr>
          <w:sz w:val="24"/>
        </w:rPr>
        <w:t>/</w:t>
      </w:r>
      <w:r>
        <w:rPr>
          <w:i/>
          <w:sz w:val="24"/>
        </w:rPr>
        <w:t>Soxhlet Extraction</w:t>
      </w:r>
      <w:r>
        <w:rPr>
          <w:sz w:val="24"/>
        </w:rPr>
        <w:t>. Academic press, Cordoba, Spain, pp. 2701.</w:t>
      </w:r>
    </w:p>
    <w:p>
      <w:pPr>
        <w:pStyle w:val="BodyText"/>
        <w:spacing w:before="139"/>
      </w:pPr>
    </w:p>
    <w:p>
      <w:pPr>
        <w:spacing w:line="360" w:lineRule="auto" w:before="0"/>
        <w:ind w:left="1748" w:right="800" w:hanging="721"/>
        <w:jc w:val="both"/>
        <w:rPr>
          <w:sz w:val="24"/>
        </w:rPr>
      </w:pPr>
      <w:r>
        <w:rPr>
          <w:sz w:val="24"/>
        </w:rPr>
        <w:t>Maga J.A. (1980). Potato alkaloids. </w:t>
      </w:r>
      <w:r>
        <w:rPr>
          <w:i/>
          <w:sz w:val="24"/>
        </w:rPr>
        <w:t>Critical Reviews in Toxicology Journal</w:t>
      </w:r>
      <w:r>
        <w:rPr>
          <w:sz w:val="24"/>
        </w:rPr>
        <w:t>, 12: 371- </w:t>
      </w:r>
      <w:r>
        <w:rPr>
          <w:spacing w:val="-4"/>
          <w:sz w:val="24"/>
        </w:rPr>
        <w:t>405.</w:t>
      </w:r>
    </w:p>
    <w:p>
      <w:pPr>
        <w:pStyle w:val="BodyText"/>
        <w:spacing w:before="135"/>
      </w:pPr>
    </w:p>
    <w:p>
      <w:pPr>
        <w:spacing w:line="360" w:lineRule="auto" w:before="0"/>
        <w:ind w:left="1748" w:right="804" w:hanging="721"/>
        <w:jc w:val="both"/>
        <w:rPr>
          <w:sz w:val="24"/>
        </w:rPr>
      </w:pPr>
      <w:r>
        <w:rPr>
          <w:sz w:val="24"/>
        </w:rPr>
        <w:t>Mahanta, N., Gupta, A. and Khare, S.K. (2008). Production of protease and lipase by solvent tolerance </w:t>
      </w:r>
      <w:r>
        <w:rPr>
          <w:i/>
          <w:sz w:val="24"/>
        </w:rPr>
        <w:t>Pseudomonas aeruginosa </w:t>
      </w:r>
      <w:r>
        <w:rPr>
          <w:sz w:val="24"/>
        </w:rPr>
        <w:t>PseA in solid state fermentation using </w:t>
      </w:r>
      <w:r>
        <w:rPr>
          <w:i/>
          <w:sz w:val="24"/>
        </w:rPr>
        <w:t>Jatropha curcas </w:t>
      </w:r>
      <w:r>
        <w:rPr>
          <w:sz w:val="24"/>
        </w:rPr>
        <w:t>seed cake as substrate. </w:t>
      </w:r>
      <w:r>
        <w:rPr>
          <w:i/>
          <w:sz w:val="24"/>
        </w:rPr>
        <w:t>Bioresource Technology</w:t>
      </w:r>
      <w:r>
        <w:rPr>
          <w:sz w:val="24"/>
        </w:rPr>
        <w:t>, 99:</w:t>
      </w:r>
      <w:r>
        <w:rPr>
          <w:spacing w:val="40"/>
          <w:sz w:val="24"/>
        </w:rPr>
        <w:t> </w:t>
      </w:r>
      <w:r>
        <w:rPr>
          <w:spacing w:val="-2"/>
          <w:sz w:val="24"/>
        </w:rPr>
        <w:t>1729-1735.</w:t>
      </w:r>
    </w:p>
    <w:p>
      <w:pPr>
        <w:pStyle w:val="BodyText"/>
        <w:spacing w:before="138"/>
      </w:pPr>
    </w:p>
    <w:p>
      <w:pPr>
        <w:pStyle w:val="BodyText"/>
        <w:spacing w:line="360" w:lineRule="auto"/>
        <w:ind w:left="1748" w:right="804" w:hanging="721"/>
        <w:jc w:val="both"/>
      </w:pPr>
      <w:r>
        <w:rPr/>
        <w:t>Makkar, H. P. S. and Becker, K. (1997a). Potential of </w:t>
      </w:r>
      <w:r>
        <w:rPr>
          <w:i/>
        </w:rPr>
        <w:t>Jatropha curcas </w:t>
      </w:r>
      <w:r>
        <w:rPr/>
        <w:t>seed meal as a protein supplement to livestock feed, constraints to its utilization and possible strategies to overcome constraints to its utilization. In Proceedings </w:t>
      </w:r>
      <w:r>
        <w:rPr>
          <w:i/>
        </w:rPr>
        <w:t>Jatropha </w:t>
      </w:r>
      <w:r>
        <w:rPr/>
        <w:t>1997: International symposium on Biofuels and Industrial Products from </w:t>
      </w:r>
      <w:r>
        <w:rPr>
          <w:i/>
        </w:rPr>
        <w:t>Jatropha curcas </w:t>
      </w:r>
      <w:r>
        <w:rPr/>
        <w:t>and other tropical oil seed plants, February 23-27, Managua, </w:t>
      </w:r>
      <w:r>
        <w:rPr>
          <w:spacing w:val="-2"/>
        </w:rPr>
        <w:t>Mexico.</w:t>
      </w:r>
    </w:p>
    <w:p>
      <w:pPr>
        <w:pStyle w:val="BodyText"/>
        <w:spacing w:before="140"/>
      </w:pPr>
    </w:p>
    <w:p>
      <w:pPr>
        <w:pStyle w:val="BodyText"/>
        <w:spacing w:line="360" w:lineRule="auto"/>
        <w:ind w:left="1748" w:right="802" w:hanging="721"/>
        <w:jc w:val="both"/>
      </w:pPr>
      <w:r>
        <w:rPr/>
        <w:t>Makkar, H.P.S. and Becker, K. (1997b). Potential of </w:t>
      </w:r>
      <w:r>
        <w:rPr>
          <w:i/>
        </w:rPr>
        <w:t>J</w:t>
      </w:r>
      <w:r>
        <w:rPr/>
        <w:t>. </w:t>
      </w:r>
      <w:r>
        <w:rPr>
          <w:i/>
        </w:rPr>
        <w:t>curcas </w:t>
      </w:r>
      <w:r>
        <w:rPr/>
        <w:t>seed meal as a protein supplement to livestock feed, constraints to its utilisation and possible strategies to overcome constraints. In: Gu¨ bitz, G.M., Mittelbach, M., Trabi, M. (Eds.), Biofuels and Industrial Products from </w:t>
      </w:r>
      <w:r>
        <w:rPr>
          <w:i/>
        </w:rPr>
        <w:t>Jatropha curcas</w:t>
      </w:r>
      <w:r>
        <w:rPr/>
        <w:t>. Dubrovnik Graz, Austria, pp. 190-205.</w:t>
      </w:r>
    </w:p>
    <w:p>
      <w:pPr>
        <w:pStyle w:val="BodyText"/>
        <w:spacing w:before="142"/>
      </w:pPr>
    </w:p>
    <w:p>
      <w:pPr>
        <w:spacing w:line="360" w:lineRule="auto" w:before="0"/>
        <w:ind w:left="1748" w:right="806" w:hanging="721"/>
        <w:jc w:val="both"/>
        <w:rPr>
          <w:sz w:val="24"/>
        </w:rPr>
      </w:pPr>
      <w:r>
        <w:rPr>
          <w:sz w:val="24"/>
        </w:rPr>
        <w:t>Makkar, H. P. S., Becker, K., Sporer, F. and Wink, M. (1997). Studies on nutritive potential and toxic constituents of different provenanaces of </w:t>
      </w:r>
      <w:r>
        <w:rPr>
          <w:i/>
          <w:sz w:val="24"/>
        </w:rPr>
        <w:t>Jatropha curcas</w:t>
      </w:r>
      <w:r>
        <w:rPr>
          <w:sz w:val="24"/>
        </w:rPr>
        <w:t>. </w:t>
      </w:r>
      <w:r>
        <w:rPr>
          <w:i/>
          <w:sz w:val="24"/>
        </w:rPr>
        <w:t>Journal of Agriculture and Food Chemistry</w:t>
      </w:r>
      <w:r>
        <w:rPr>
          <w:sz w:val="24"/>
        </w:rPr>
        <w:t>, 45: 3152-3157.</w:t>
      </w:r>
    </w:p>
    <w:p>
      <w:pPr>
        <w:pStyle w:val="BodyText"/>
        <w:spacing w:before="138"/>
      </w:pPr>
    </w:p>
    <w:p>
      <w:pPr>
        <w:spacing w:line="360" w:lineRule="auto" w:before="0"/>
        <w:ind w:left="1748" w:right="798" w:hanging="721"/>
        <w:jc w:val="both"/>
        <w:rPr>
          <w:sz w:val="24"/>
        </w:rPr>
      </w:pPr>
      <w:r>
        <w:rPr>
          <w:sz w:val="24"/>
        </w:rPr>
        <w:t>Makkar, H. P. S. and Becker, K. (1999). Plant toxins and detoxification methods to improve feed quality of tropical seeds. </w:t>
      </w:r>
      <w:r>
        <w:rPr>
          <w:i/>
          <w:sz w:val="24"/>
        </w:rPr>
        <w:t>Asian-Australian Journal of Animal Science</w:t>
      </w:r>
      <w:r>
        <w:rPr>
          <w:sz w:val="24"/>
        </w:rPr>
        <w:t>, 12(3): 467-480.</w:t>
      </w:r>
    </w:p>
    <w:p>
      <w:pPr>
        <w:spacing w:after="0" w:line="360" w:lineRule="auto"/>
        <w:jc w:val="both"/>
        <w:rPr>
          <w:sz w:val="24"/>
        </w:rPr>
        <w:sectPr>
          <w:pgSz w:w="11910" w:h="16840"/>
          <w:pgMar w:header="0" w:footer="1012" w:top="1320" w:bottom="1200" w:left="960" w:right="620"/>
        </w:sectPr>
      </w:pPr>
    </w:p>
    <w:p>
      <w:pPr>
        <w:spacing w:line="360" w:lineRule="auto" w:before="72"/>
        <w:ind w:left="1748" w:right="797" w:hanging="721"/>
        <w:jc w:val="both"/>
        <w:rPr>
          <w:sz w:val="24"/>
        </w:rPr>
      </w:pPr>
      <w:r>
        <w:rPr>
          <w:sz w:val="24"/>
        </w:rPr>
        <w:t>Maricela, R., Acosta, J.S., Ramirez, R.Z. and Diaz, (2010). Extraction and characterization of oil from three Mexican </w:t>
      </w:r>
      <w:r>
        <w:rPr>
          <w:i/>
          <w:sz w:val="24"/>
        </w:rPr>
        <w:t>Jatropha curcas </w:t>
      </w:r>
      <w:r>
        <w:rPr>
          <w:sz w:val="24"/>
        </w:rPr>
        <w:t>seed oil from Malaysia</w:t>
      </w:r>
      <w:r>
        <w:rPr>
          <w:spacing w:val="-3"/>
          <w:sz w:val="24"/>
        </w:rPr>
        <w:t> </w:t>
      </w:r>
      <w:r>
        <w:rPr>
          <w:sz w:val="24"/>
        </w:rPr>
        <w:t>and its</w:t>
      </w:r>
      <w:r>
        <w:rPr>
          <w:spacing w:val="-4"/>
          <w:sz w:val="24"/>
        </w:rPr>
        <w:t> </w:t>
      </w:r>
      <w:r>
        <w:rPr>
          <w:sz w:val="24"/>
        </w:rPr>
        <w:t>potential</w:t>
      </w:r>
      <w:r>
        <w:rPr>
          <w:spacing w:val="-7"/>
          <w:sz w:val="24"/>
        </w:rPr>
        <w:t> </w:t>
      </w:r>
      <w:r>
        <w:rPr>
          <w:sz w:val="24"/>
        </w:rPr>
        <w:t>as biodiesel</w:t>
      </w:r>
      <w:r>
        <w:rPr>
          <w:spacing w:val="-7"/>
          <w:sz w:val="24"/>
        </w:rPr>
        <w:t> </w:t>
      </w:r>
      <w:r>
        <w:rPr>
          <w:sz w:val="24"/>
        </w:rPr>
        <w:t>feed</w:t>
      </w:r>
      <w:r>
        <w:rPr>
          <w:spacing w:val="-2"/>
          <w:sz w:val="24"/>
        </w:rPr>
        <w:t> </w:t>
      </w:r>
      <w:r>
        <w:rPr>
          <w:sz w:val="24"/>
        </w:rPr>
        <w:t>stock.</w:t>
      </w:r>
      <w:r>
        <w:rPr>
          <w:spacing w:val="-2"/>
          <w:sz w:val="24"/>
        </w:rPr>
        <w:t> </w:t>
      </w:r>
      <w:r>
        <w:rPr>
          <w:i/>
          <w:sz w:val="24"/>
        </w:rPr>
        <w:t>European</w:t>
      </w:r>
      <w:r>
        <w:rPr>
          <w:i/>
          <w:spacing w:val="-2"/>
          <w:sz w:val="24"/>
        </w:rPr>
        <w:t> </w:t>
      </w:r>
      <w:r>
        <w:rPr>
          <w:i/>
          <w:sz w:val="24"/>
        </w:rPr>
        <w:t>Journal</w:t>
      </w:r>
      <w:r>
        <w:rPr>
          <w:i/>
          <w:spacing w:val="-2"/>
          <w:sz w:val="24"/>
        </w:rPr>
        <w:t> </w:t>
      </w:r>
      <w:r>
        <w:rPr>
          <w:i/>
          <w:sz w:val="24"/>
        </w:rPr>
        <w:t>of</w:t>
      </w:r>
      <w:r>
        <w:rPr>
          <w:i/>
          <w:spacing w:val="-2"/>
          <w:sz w:val="24"/>
        </w:rPr>
        <w:t> </w:t>
      </w:r>
      <w:r>
        <w:rPr>
          <w:i/>
          <w:sz w:val="24"/>
        </w:rPr>
        <w:t>Scientific Research</w:t>
      </w:r>
      <w:r>
        <w:rPr>
          <w:sz w:val="24"/>
        </w:rPr>
        <w:t>, 29(3): 89-91.</w:t>
      </w:r>
    </w:p>
    <w:p>
      <w:pPr>
        <w:pStyle w:val="BodyText"/>
        <w:spacing w:before="142"/>
      </w:pPr>
    </w:p>
    <w:p>
      <w:pPr>
        <w:pStyle w:val="BodyText"/>
        <w:spacing w:line="360" w:lineRule="auto"/>
        <w:ind w:left="1748" w:right="806" w:hanging="721"/>
        <w:jc w:val="both"/>
      </w:pPr>
      <w:r>
        <w:rPr/>
        <w:t>Martinez-Herrera, J., Siddhuraju, P., Francis, G., Davila-Ortiz, G. and Becker, K. (2006). Chemical composition, toxic/antimetabolic constituents and effects of different treatments on their levels, in four provenances of </w:t>
      </w:r>
      <w:r>
        <w:rPr>
          <w:i/>
        </w:rPr>
        <w:t>Jatropha curcas </w:t>
      </w:r>
      <w:r>
        <w:rPr/>
        <w:t>L. from Mexico. </w:t>
      </w:r>
      <w:r>
        <w:rPr>
          <w:i/>
        </w:rPr>
        <w:t>Journal of Agricultural and Food Chemistry</w:t>
      </w:r>
      <w:r>
        <w:rPr/>
        <w:t>, 96: 80-89.</w:t>
      </w:r>
    </w:p>
    <w:p>
      <w:pPr>
        <w:pStyle w:val="BodyText"/>
        <w:spacing w:before="138"/>
      </w:pPr>
    </w:p>
    <w:p>
      <w:pPr>
        <w:spacing w:line="360" w:lineRule="auto" w:before="0"/>
        <w:ind w:left="1748" w:right="804" w:hanging="721"/>
        <w:jc w:val="both"/>
        <w:rPr>
          <w:sz w:val="24"/>
        </w:rPr>
      </w:pPr>
      <w:r>
        <w:rPr>
          <w:sz w:val="24"/>
        </w:rPr>
        <w:t>Mattocks,</w:t>
      </w:r>
      <w:r>
        <w:rPr>
          <w:spacing w:val="-2"/>
          <w:sz w:val="24"/>
        </w:rPr>
        <w:t> </w:t>
      </w:r>
      <w:r>
        <w:rPr>
          <w:sz w:val="24"/>
        </w:rPr>
        <w:t>A.R.</w:t>
      </w:r>
      <w:r>
        <w:rPr>
          <w:spacing w:val="-2"/>
          <w:sz w:val="24"/>
        </w:rPr>
        <w:t> </w:t>
      </w:r>
      <w:r>
        <w:rPr>
          <w:sz w:val="24"/>
        </w:rPr>
        <w:t>(1986). </w:t>
      </w:r>
      <w:r>
        <w:rPr>
          <w:i/>
          <w:sz w:val="24"/>
        </w:rPr>
        <w:t>Chemistry</w:t>
      </w:r>
      <w:r>
        <w:rPr>
          <w:i/>
          <w:spacing w:val="-5"/>
          <w:sz w:val="24"/>
        </w:rPr>
        <w:t> </w:t>
      </w:r>
      <w:r>
        <w:rPr>
          <w:i/>
          <w:sz w:val="24"/>
        </w:rPr>
        <w:t>and Toxicology of Pyrrolizidine</w:t>
      </w:r>
      <w:r>
        <w:rPr>
          <w:i/>
          <w:spacing w:val="-1"/>
          <w:sz w:val="24"/>
        </w:rPr>
        <w:t> </w:t>
      </w:r>
      <w:r>
        <w:rPr>
          <w:i/>
          <w:sz w:val="24"/>
        </w:rPr>
        <w:t>Alkaloids. </w:t>
      </w:r>
      <w:r>
        <w:rPr>
          <w:sz w:val="24"/>
        </w:rPr>
        <w:t>Academic Press, London, UK, pp. 393.</w:t>
      </w:r>
    </w:p>
    <w:p>
      <w:pPr>
        <w:pStyle w:val="BodyText"/>
        <w:spacing w:before="135"/>
      </w:pPr>
    </w:p>
    <w:p>
      <w:pPr>
        <w:pStyle w:val="BodyText"/>
        <w:spacing w:line="362" w:lineRule="auto"/>
        <w:ind w:left="1748" w:right="800" w:hanging="721"/>
        <w:jc w:val="both"/>
      </w:pPr>
      <w:r>
        <w:rPr/>
        <w:t>McGraw, L.J. and Eloff, J.N. (2005). Screening of</w:t>
      </w:r>
      <w:r>
        <w:rPr>
          <w:spacing w:val="-3"/>
        </w:rPr>
        <w:t> </w:t>
      </w:r>
      <w:r>
        <w:rPr/>
        <w:t>16 poisonous</w:t>
      </w:r>
      <w:r>
        <w:rPr>
          <w:spacing w:val="-2"/>
        </w:rPr>
        <w:t> </w:t>
      </w:r>
      <w:r>
        <w:rPr/>
        <w:t>plants for antibacterial, anthelmintic</w:t>
      </w:r>
      <w:r>
        <w:rPr>
          <w:spacing w:val="-4"/>
        </w:rPr>
        <w:t> </w:t>
      </w:r>
      <w:r>
        <w:rPr/>
        <w:t>and</w:t>
      </w:r>
      <w:r>
        <w:rPr>
          <w:spacing w:val="-3"/>
        </w:rPr>
        <w:t> </w:t>
      </w:r>
      <w:r>
        <w:rPr/>
        <w:t>cytotoxic</w:t>
      </w:r>
      <w:r>
        <w:rPr>
          <w:spacing w:val="-4"/>
        </w:rPr>
        <w:t> </w:t>
      </w:r>
      <w:r>
        <w:rPr/>
        <w:t>activity</w:t>
      </w:r>
      <w:r>
        <w:rPr>
          <w:spacing w:val="-3"/>
        </w:rPr>
        <w:t> </w:t>
      </w:r>
      <w:r>
        <w:rPr/>
        <w:t>in</w:t>
      </w:r>
      <w:r>
        <w:rPr>
          <w:spacing w:val="-3"/>
        </w:rPr>
        <w:t> </w:t>
      </w:r>
      <w:r>
        <w:rPr/>
        <w:t>vitro. </w:t>
      </w:r>
      <w:r>
        <w:rPr>
          <w:i/>
        </w:rPr>
        <w:t>South</w:t>
      </w:r>
      <w:r>
        <w:rPr>
          <w:i/>
          <w:spacing w:val="-11"/>
        </w:rPr>
        <w:t> </w:t>
      </w:r>
      <w:r>
        <w:rPr>
          <w:i/>
        </w:rPr>
        <w:t>African</w:t>
      </w:r>
      <w:r>
        <w:rPr>
          <w:i/>
          <w:spacing w:val="-3"/>
        </w:rPr>
        <w:t> </w:t>
      </w:r>
      <w:r>
        <w:rPr>
          <w:i/>
        </w:rPr>
        <w:t>Journal</w:t>
      </w:r>
      <w:r>
        <w:rPr>
          <w:i/>
          <w:spacing w:val="-3"/>
        </w:rPr>
        <w:t> </w:t>
      </w:r>
      <w:r>
        <w:rPr>
          <w:i/>
        </w:rPr>
        <w:t>of</w:t>
      </w:r>
      <w:r>
        <w:rPr>
          <w:i/>
          <w:spacing w:val="-3"/>
        </w:rPr>
        <w:t> </w:t>
      </w:r>
      <w:r>
        <w:rPr>
          <w:i/>
        </w:rPr>
        <w:t>Botany</w:t>
      </w:r>
      <w:r>
        <w:rPr/>
        <w:t>,</w:t>
      </w:r>
      <w:r>
        <w:rPr>
          <w:spacing w:val="-1"/>
        </w:rPr>
        <w:t> </w:t>
      </w:r>
      <w:r>
        <w:rPr/>
        <w:t>71: </w:t>
      </w:r>
      <w:r>
        <w:rPr>
          <w:spacing w:val="-2"/>
        </w:rPr>
        <w:t>302-306.</w:t>
      </w:r>
    </w:p>
    <w:p>
      <w:pPr>
        <w:pStyle w:val="BodyText"/>
        <w:spacing w:before="130"/>
      </w:pPr>
    </w:p>
    <w:p>
      <w:pPr>
        <w:pStyle w:val="BodyText"/>
        <w:spacing w:line="362" w:lineRule="auto"/>
        <w:ind w:left="1748" w:right="805" w:hanging="721"/>
        <w:jc w:val="both"/>
      </w:pPr>
      <w:r>
        <w:rPr/>
        <w:t>McMillan,</w:t>
      </w:r>
      <w:r>
        <w:rPr>
          <w:spacing w:val="-1"/>
        </w:rPr>
        <w:t> </w:t>
      </w:r>
      <w:r>
        <w:rPr/>
        <w:t>M.</w:t>
      </w:r>
      <w:r>
        <w:rPr>
          <w:spacing w:val="-1"/>
        </w:rPr>
        <w:t> </w:t>
      </w:r>
      <w:r>
        <w:rPr/>
        <w:t>and</w:t>
      </w:r>
      <w:r>
        <w:rPr>
          <w:spacing w:val="-2"/>
        </w:rPr>
        <w:t> </w:t>
      </w:r>
      <w:r>
        <w:rPr/>
        <w:t>Thompson,</w:t>
      </w:r>
      <w:r>
        <w:rPr>
          <w:spacing w:val="-1"/>
        </w:rPr>
        <w:t> </w:t>
      </w:r>
      <w:r>
        <w:rPr/>
        <w:t>J.C.</w:t>
      </w:r>
      <w:r>
        <w:rPr>
          <w:spacing w:val="-1"/>
        </w:rPr>
        <w:t> </w:t>
      </w:r>
      <w:r>
        <w:rPr/>
        <w:t>(1979).</w:t>
      </w:r>
      <w:r>
        <w:rPr>
          <w:spacing w:val="-1"/>
        </w:rPr>
        <w:t> </w:t>
      </w:r>
      <w:r>
        <w:rPr/>
        <w:t>An</w:t>
      </w:r>
      <w:r>
        <w:rPr>
          <w:spacing w:val="-7"/>
        </w:rPr>
        <w:t> </w:t>
      </w:r>
      <w:r>
        <w:rPr/>
        <w:t>outbreak</w:t>
      </w:r>
      <w:r>
        <w:rPr>
          <w:spacing w:val="-2"/>
        </w:rPr>
        <w:t> </w:t>
      </w:r>
      <w:r>
        <w:rPr/>
        <w:t>of</w:t>
      </w:r>
      <w:r>
        <w:rPr>
          <w:spacing w:val="-10"/>
        </w:rPr>
        <w:t> </w:t>
      </w:r>
      <w:r>
        <w:rPr/>
        <w:t>suspected</w:t>
      </w:r>
      <w:r>
        <w:rPr>
          <w:spacing w:val="-2"/>
        </w:rPr>
        <w:t> </w:t>
      </w:r>
      <w:r>
        <w:rPr/>
        <w:t>solanine poisoning in school</w:t>
      </w:r>
      <w:r>
        <w:rPr>
          <w:spacing w:val="-6"/>
        </w:rPr>
        <w:t> </w:t>
      </w:r>
      <w:r>
        <w:rPr/>
        <w:t>boys:</w:t>
      </w:r>
      <w:r>
        <w:rPr>
          <w:spacing w:val="-1"/>
        </w:rPr>
        <w:t> </w:t>
      </w:r>
      <w:r>
        <w:rPr/>
        <w:t>Examination</w:t>
      </w:r>
      <w:r>
        <w:rPr>
          <w:spacing w:val="-6"/>
        </w:rPr>
        <w:t> </w:t>
      </w:r>
      <w:r>
        <w:rPr/>
        <w:t>of</w:t>
      </w:r>
      <w:r>
        <w:rPr>
          <w:spacing w:val="-8"/>
        </w:rPr>
        <w:t> </w:t>
      </w:r>
      <w:r>
        <w:rPr/>
        <w:t>criteria</w:t>
      </w:r>
      <w:r>
        <w:rPr>
          <w:spacing w:val="-2"/>
        </w:rPr>
        <w:t> </w:t>
      </w:r>
      <w:r>
        <w:rPr/>
        <w:t>of</w:t>
      </w:r>
      <w:r>
        <w:rPr>
          <w:spacing w:val="-4"/>
        </w:rPr>
        <w:t> </w:t>
      </w:r>
      <w:r>
        <w:rPr/>
        <w:t>solanine poisoning. </w:t>
      </w:r>
      <w:r>
        <w:rPr>
          <w:i/>
        </w:rPr>
        <w:t>Quarterly Journal of Medicine</w:t>
      </w:r>
      <w:r>
        <w:rPr/>
        <w:t>, 48: 227-443.</w:t>
      </w:r>
    </w:p>
    <w:p>
      <w:pPr>
        <w:pStyle w:val="BodyText"/>
        <w:spacing w:before="130"/>
      </w:pPr>
    </w:p>
    <w:p>
      <w:pPr>
        <w:pStyle w:val="BodyText"/>
        <w:spacing w:line="364" w:lineRule="auto"/>
        <w:ind w:left="1748" w:right="808" w:hanging="721"/>
        <w:jc w:val="both"/>
      </w:pPr>
      <w:r>
        <w:rPr/>
        <w:t>Melzig, M.F., Bader, G. and Loose, R. (2001). Investigations of the mechanism of membrane</w:t>
      </w:r>
      <w:r>
        <w:rPr>
          <w:spacing w:val="40"/>
        </w:rPr>
        <w:t> </w:t>
      </w:r>
      <w:r>
        <w:rPr/>
        <w:t>activity</w:t>
      </w:r>
      <w:r>
        <w:rPr>
          <w:spacing w:val="-2"/>
        </w:rPr>
        <w:t> </w:t>
      </w:r>
      <w:r>
        <w:rPr/>
        <w:t>of selected triterpenoid saponins. </w:t>
      </w:r>
      <w:r>
        <w:rPr>
          <w:i/>
        </w:rPr>
        <w:t>Planta medica</w:t>
      </w:r>
      <w:r>
        <w:rPr/>
        <w:t>, 67: 43-48.</w:t>
      </w:r>
    </w:p>
    <w:p>
      <w:pPr>
        <w:pStyle w:val="BodyText"/>
        <w:spacing w:before="129"/>
      </w:pPr>
    </w:p>
    <w:p>
      <w:pPr>
        <w:spacing w:line="360" w:lineRule="auto" w:before="0"/>
        <w:ind w:left="1748" w:right="805" w:hanging="721"/>
        <w:jc w:val="both"/>
        <w:rPr>
          <w:sz w:val="24"/>
        </w:rPr>
      </w:pPr>
      <w:r>
        <w:rPr>
          <w:sz w:val="24"/>
        </w:rPr>
        <w:t>Meskin M.S. (2002).</w:t>
      </w:r>
      <w:r>
        <w:rPr>
          <w:spacing w:val="-3"/>
          <w:sz w:val="24"/>
        </w:rPr>
        <w:t> </w:t>
      </w:r>
      <w:hyperlink r:id="rId127">
        <w:r>
          <w:rPr>
            <w:i/>
            <w:sz w:val="24"/>
            <w:u w:val="single"/>
          </w:rPr>
          <w:t>Phytochemicals in Nutrition and Health</w:t>
        </w:r>
      </w:hyperlink>
      <w:r>
        <w:rPr>
          <w:sz w:val="24"/>
        </w:rPr>
        <w:t>. CRC Press, Boca Raton, USA, pp. 123.</w:t>
      </w:r>
    </w:p>
    <w:p>
      <w:pPr>
        <w:pStyle w:val="BodyText"/>
        <w:spacing w:before="140"/>
      </w:pPr>
    </w:p>
    <w:p>
      <w:pPr>
        <w:pStyle w:val="BodyText"/>
        <w:spacing w:line="360" w:lineRule="auto"/>
        <w:ind w:left="1748" w:right="808" w:hanging="721"/>
        <w:jc w:val="both"/>
      </w:pPr>
      <w:r>
        <w:rPr/>
        <w:t>Miyake, K., Tanaka, T. and McNeil, P.L. (2007). Lectin based food poisoning: A new mechanism of protein toxicity. </w:t>
      </w:r>
      <w:hyperlink r:id="rId128">
        <w:r>
          <w:rPr>
            <w:u w:val="single"/>
          </w:rPr>
          <w:t>doi</w:t>
        </w:r>
      </w:hyperlink>
      <w:r>
        <w:rPr/>
        <w:t>:</w:t>
      </w:r>
      <w:hyperlink r:id="rId129">
        <w:r>
          <w:rPr>
            <w:u w:val="single"/>
          </w:rPr>
          <w:t>10.1371/journal.pone.0000687</w:t>
        </w:r>
      </w:hyperlink>
      <w:r>
        <w:rPr/>
        <w:t>.</w:t>
      </w:r>
    </w:p>
    <w:p>
      <w:pPr>
        <w:pStyle w:val="BodyText"/>
        <w:spacing w:before="140"/>
      </w:pPr>
    </w:p>
    <w:p>
      <w:pPr>
        <w:spacing w:line="360" w:lineRule="auto" w:before="0"/>
        <w:ind w:left="1748" w:right="805" w:hanging="721"/>
        <w:jc w:val="both"/>
        <w:rPr>
          <w:sz w:val="24"/>
        </w:rPr>
      </w:pPr>
      <w:r>
        <w:rPr>
          <w:sz w:val="24"/>
        </w:rPr>
        <w:t>Mujumdar, A.M., Upadyhe, A.S. and Misar, A.V. (2000). Studies on antidiarrhoeal activity of </w:t>
      </w:r>
      <w:r>
        <w:rPr>
          <w:i/>
          <w:sz w:val="24"/>
        </w:rPr>
        <w:t>Jatropha curcas </w:t>
      </w:r>
      <w:r>
        <w:rPr>
          <w:sz w:val="24"/>
        </w:rPr>
        <w:t>root extract in albino mice. </w:t>
      </w:r>
      <w:r>
        <w:rPr>
          <w:i/>
          <w:sz w:val="24"/>
        </w:rPr>
        <w:t>Journal of Ethnopharmacology</w:t>
      </w:r>
      <w:r>
        <w:rPr>
          <w:sz w:val="24"/>
        </w:rPr>
        <w:t>, 70: 183-187.</w:t>
      </w:r>
    </w:p>
    <w:p>
      <w:pPr>
        <w:spacing w:after="0" w:line="360" w:lineRule="auto"/>
        <w:jc w:val="both"/>
        <w:rPr>
          <w:sz w:val="24"/>
        </w:rPr>
        <w:sectPr>
          <w:pgSz w:w="11910" w:h="16840"/>
          <w:pgMar w:header="0" w:footer="1012" w:top="1740" w:bottom="1200" w:left="960" w:right="620"/>
        </w:sectPr>
      </w:pPr>
    </w:p>
    <w:p>
      <w:pPr>
        <w:spacing w:line="362" w:lineRule="auto" w:before="72"/>
        <w:ind w:left="1748" w:right="804" w:hanging="721"/>
        <w:jc w:val="both"/>
        <w:rPr>
          <w:sz w:val="24"/>
        </w:rPr>
      </w:pPr>
      <w:r>
        <w:rPr>
          <w:sz w:val="24"/>
        </w:rPr>
        <w:t>Mujumdar, A.M. and Visar, A.V. (2004). Anti-inflammatory activity of </w:t>
      </w:r>
      <w:r>
        <w:rPr>
          <w:i/>
          <w:sz w:val="24"/>
        </w:rPr>
        <w:t>Jatropha</w:t>
      </w:r>
      <w:r>
        <w:rPr>
          <w:i/>
          <w:spacing w:val="40"/>
          <w:sz w:val="24"/>
        </w:rPr>
        <w:t> </w:t>
      </w:r>
      <w:r>
        <w:rPr>
          <w:i/>
          <w:sz w:val="24"/>
        </w:rPr>
        <w:t>curcas </w:t>
      </w:r>
      <w:r>
        <w:rPr>
          <w:sz w:val="24"/>
        </w:rPr>
        <w:t>roots in mice and rats</w:t>
      </w:r>
      <w:r>
        <w:rPr>
          <w:i/>
          <w:sz w:val="24"/>
        </w:rPr>
        <w:t>. Journal of Ethnopharmacology, </w:t>
      </w:r>
      <w:r>
        <w:rPr>
          <w:sz w:val="24"/>
        </w:rPr>
        <w:t>90: 11-15.</w:t>
      </w:r>
    </w:p>
    <w:p>
      <w:pPr>
        <w:pStyle w:val="BodyText"/>
        <w:spacing w:before="134"/>
      </w:pPr>
    </w:p>
    <w:p>
      <w:pPr>
        <w:spacing w:line="360" w:lineRule="auto" w:before="0"/>
        <w:ind w:left="1748" w:right="796" w:hanging="721"/>
        <w:jc w:val="both"/>
        <w:rPr>
          <w:sz w:val="24"/>
        </w:rPr>
      </w:pPr>
      <w:r>
        <w:rPr>
          <w:sz w:val="24"/>
        </w:rPr>
        <w:t>Mukherjee,</w:t>
      </w:r>
      <w:r>
        <w:rPr>
          <w:spacing w:val="-1"/>
          <w:sz w:val="24"/>
        </w:rPr>
        <w:t> </w:t>
      </w:r>
      <w:r>
        <w:rPr>
          <w:sz w:val="24"/>
        </w:rPr>
        <w:t>P.K., Das, J.,</w:t>
      </w:r>
      <w:r>
        <w:rPr>
          <w:spacing w:val="-1"/>
          <w:sz w:val="24"/>
        </w:rPr>
        <w:t> </w:t>
      </w:r>
      <w:r>
        <w:rPr>
          <w:sz w:val="24"/>
        </w:rPr>
        <w:t>Balasubramanian, R., Saha, K.,</w:t>
      </w:r>
      <w:r>
        <w:rPr>
          <w:spacing w:val="-1"/>
          <w:sz w:val="24"/>
        </w:rPr>
        <w:t> </w:t>
      </w:r>
      <w:r>
        <w:rPr>
          <w:sz w:val="24"/>
        </w:rPr>
        <w:t>Pal,</w:t>
      </w:r>
      <w:r>
        <w:rPr>
          <w:spacing w:val="-1"/>
          <w:sz w:val="24"/>
        </w:rPr>
        <w:t> </w:t>
      </w:r>
      <w:r>
        <w:rPr>
          <w:sz w:val="24"/>
        </w:rPr>
        <w:t>M.</w:t>
      </w:r>
      <w:r>
        <w:rPr>
          <w:spacing w:val="-1"/>
          <w:sz w:val="24"/>
        </w:rPr>
        <w:t> </w:t>
      </w:r>
      <w:r>
        <w:rPr>
          <w:sz w:val="24"/>
        </w:rPr>
        <w:t>and</w:t>
      </w:r>
      <w:r>
        <w:rPr>
          <w:spacing w:val="-1"/>
          <w:sz w:val="24"/>
        </w:rPr>
        <w:t> </w:t>
      </w:r>
      <w:r>
        <w:rPr>
          <w:sz w:val="24"/>
        </w:rPr>
        <w:t>Saha, B.P. (1995). Antidiarrhoeal evaluation of </w:t>
      </w:r>
      <w:r>
        <w:rPr>
          <w:i/>
          <w:sz w:val="24"/>
        </w:rPr>
        <w:t>Nelumbo nucifera </w:t>
      </w:r>
      <w:r>
        <w:rPr>
          <w:sz w:val="24"/>
        </w:rPr>
        <w:t>rhizome extract. </w:t>
      </w:r>
      <w:r>
        <w:rPr>
          <w:i/>
          <w:sz w:val="24"/>
        </w:rPr>
        <w:t>Indian Journal Pharmacology</w:t>
      </w:r>
      <w:r>
        <w:rPr>
          <w:sz w:val="24"/>
        </w:rPr>
        <w:t>, 27: 262-264.</w:t>
      </w:r>
    </w:p>
    <w:p>
      <w:pPr>
        <w:pStyle w:val="BodyText"/>
        <w:spacing w:before="139"/>
      </w:pPr>
    </w:p>
    <w:p>
      <w:pPr>
        <w:pStyle w:val="BodyText"/>
        <w:spacing w:line="360" w:lineRule="auto"/>
        <w:ind w:left="1748" w:right="808" w:hanging="721"/>
        <w:jc w:val="both"/>
      </w:pPr>
      <w:r>
        <w:rPr/>
        <w:t>Mutschler, E., Geisslinger, H., Kroemer, H.K., Ruth, P. and Schäfer-Korting, M.</w:t>
      </w:r>
      <w:r>
        <w:rPr>
          <w:spacing w:val="40"/>
        </w:rPr>
        <w:t> </w:t>
      </w:r>
      <w:r>
        <w:rPr/>
        <w:t>(2008). </w:t>
      </w:r>
      <w:r>
        <w:rPr>
          <w:i/>
        </w:rPr>
        <w:t>Mutschler-Arzneimittelwirkungen</w:t>
      </w:r>
      <w:r>
        <w:rPr/>
        <w:t>. Lehrbuch der Pharmakologie und Toxikologie, Stuttgart. Retrieved from </w:t>
      </w:r>
      <w:hyperlink r:id="rId130">
        <w:r>
          <w:rPr>
            <w:u w:val="single"/>
          </w:rPr>
          <w:t>http://www.amazon.de/Mutschle-</w:t>
        </w:r>
      </w:hyperlink>
      <w:r>
        <w:rPr/>
        <w:t> Arzneimittel wirkungen-Pharmakologie-Klinische-Toxikologie/dp/3804728987.</w:t>
      </w:r>
    </w:p>
    <w:p>
      <w:pPr>
        <w:pStyle w:val="BodyText"/>
        <w:spacing w:before="137"/>
      </w:pPr>
    </w:p>
    <w:p>
      <w:pPr>
        <w:spacing w:line="360" w:lineRule="auto" w:before="1"/>
        <w:ind w:left="1748" w:right="804" w:hanging="721"/>
        <w:jc w:val="both"/>
        <w:rPr>
          <w:sz w:val="24"/>
        </w:rPr>
      </w:pPr>
      <w:r>
        <w:rPr>
          <w:sz w:val="24"/>
        </w:rPr>
        <w:t>Nabil, A.E.A., Neveen, A. E., Eman, E. E. and Eman, A.E. (2011). Chemical and Pathological evaluation of </w:t>
      </w:r>
      <w:r>
        <w:rPr>
          <w:i/>
          <w:sz w:val="24"/>
        </w:rPr>
        <w:t>Jatropha curcas </w:t>
      </w:r>
      <w:r>
        <w:rPr>
          <w:sz w:val="24"/>
        </w:rPr>
        <w:t>seed meal toxicity with or without heat and chemical treatment. </w:t>
      </w:r>
      <w:r>
        <w:rPr>
          <w:i/>
          <w:sz w:val="24"/>
        </w:rPr>
        <w:t>Australian Journal </w:t>
      </w:r>
      <w:r>
        <w:rPr>
          <w:sz w:val="24"/>
        </w:rPr>
        <w:t>of </w:t>
      </w:r>
      <w:r>
        <w:rPr>
          <w:i/>
          <w:sz w:val="24"/>
        </w:rPr>
        <w:t>Basic </w:t>
      </w:r>
      <w:r>
        <w:rPr>
          <w:sz w:val="24"/>
        </w:rPr>
        <w:t>and </w:t>
      </w:r>
      <w:r>
        <w:rPr>
          <w:i/>
          <w:sz w:val="24"/>
        </w:rPr>
        <w:t>Applied Sciences</w:t>
      </w:r>
      <w:r>
        <w:rPr>
          <w:sz w:val="24"/>
        </w:rPr>
        <w:t>, 5(12):</w:t>
      </w:r>
      <w:r>
        <w:rPr>
          <w:spacing w:val="40"/>
          <w:sz w:val="24"/>
        </w:rPr>
        <w:t> </w:t>
      </w:r>
      <w:r>
        <w:rPr>
          <w:sz w:val="24"/>
        </w:rPr>
        <w:t>49-59.</w:t>
      </w:r>
    </w:p>
    <w:p>
      <w:pPr>
        <w:pStyle w:val="BodyText"/>
        <w:spacing w:before="137"/>
      </w:pPr>
    </w:p>
    <w:p>
      <w:pPr>
        <w:spacing w:line="360" w:lineRule="auto" w:before="0"/>
        <w:ind w:left="1748" w:right="794" w:hanging="721"/>
        <w:jc w:val="both"/>
        <w:rPr>
          <w:sz w:val="24"/>
        </w:rPr>
      </w:pPr>
      <w:r>
        <w:rPr>
          <w:sz w:val="24"/>
        </w:rPr>
        <w:t>Norhani, A., Azhar, N., Wan, Z.S., Syahida, A., Ehsan, O., Farida, A. and Youssuf, G. (2014). Detoxification of toxic phorbol esters from </w:t>
      </w:r>
      <w:r>
        <w:rPr>
          <w:i/>
          <w:sz w:val="24"/>
        </w:rPr>
        <w:t>Jatropha curcas </w:t>
      </w:r>
      <w:r>
        <w:rPr>
          <w:sz w:val="24"/>
        </w:rPr>
        <w:t>Linn. by </w:t>
      </w:r>
      <w:r>
        <w:rPr>
          <w:i/>
          <w:sz w:val="24"/>
        </w:rPr>
        <w:t>Tricoderma </w:t>
      </w:r>
      <w:r>
        <w:rPr>
          <w:sz w:val="24"/>
        </w:rPr>
        <w:t>species and endophytic fungi. </w:t>
      </w:r>
      <w:r>
        <w:rPr>
          <w:i/>
          <w:sz w:val="24"/>
        </w:rPr>
        <w:t>International Journal of Molecular Sciences</w:t>
      </w:r>
      <w:r>
        <w:rPr>
          <w:sz w:val="24"/>
        </w:rPr>
        <w:t>, 15: 2274-2288.</w:t>
      </w:r>
    </w:p>
    <w:p>
      <w:pPr>
        <w:pStyle w:val="BodyText"/>
        <w:spacing w:before="142"/>
      </w:pPr>
    </w:p>
    <w:p>
      <w:pPr>
        <w:spacing w:line="360" w:lineRule="auto" w:before="1"/>
        <w:ind w:left="1748" w:right="804" w:hanging="721"/>
        <w:jc w:val="both"/>
        <w:rPr>
          <w:sz w:val="24"/>
        </w:rPr>
      </w:pPr>
      <w:r>
        <w:rPr>
          <w:sz w:val="24"/>
        </w:rPr>
        <w:t>Norris, F. A. (1964). </w:t>
      </w:r>
      <w:r>
        <w:rPr>
          <w:i/>
          <w:sz w:val="24"/>
        </w:rPr>
        <w:t>Extraction of Fats and Oils. Baily’s Industrial Oil and Fat Products</w:t>
      </w:r>
      <w:r>
        <w:rPr>
          <w:sz w:val="24"/>
        </w:rPr>
        <w:t>. John Wiley and Sons, NY, pp. 40.</w:t>
      </w:r>
    </w:p>
    <w:p>
      <w:pPr>
        <w:pStyle w:val="BodyText"/>
        <w:spacing w:before="134"/>
      </w:pPr>
    </w:p>
    <w:p>
      <w:pPr>
        <w:spacing w:line="362" w:lineRule="auto" w:before="0"/>
        <w:ind w:left="1748" w:right="813" w:hanging="721"/>
        <w:jc w:val="both"/>
        <w:rPr>
          <w:sz w:val="24"/>
        </w:rPr>
      </w:pPr>
      <w:r>
        <w:rPr>
          <w:sz w:val="24"/>
        </w:rPr>
        <w:t>Norton, G. (1991). Proteinase inhibitors. In: D‟Mello, F.J.P., Duffus, C.M. and Duffus, J.H</w:t>
      </w:r>
      <w:r>
        <w:rPr>
          <w:i/>
          <w:sz w:val="24"/>
        </w:rPr>
        <w:t>.,</w:t>
      </w:r>
      <w:r>
        <w:rPr>
          <w:i/>
          <w:spacing w:val="7"/>
          <w:sz w:val="24"/>
        </w:rPr>
        <w:t> </w:t>
      </w:r>
      <w:r>
        <w:rPr>
          <w:i/>
          <w:sz w:val="24"/>
        </w:rPr>
        <w:t>Toxic</w:t>
      </w:r>
      <w:r>
        <w:rPr>
          <w:i/>
          <w:spacing w:val="6"/>
          <w:sz w:val="24"/>
        </w:rPr>
        <w:t> </w:t>
      </w:r>
      <w:r>
        <w:rPr>
          <w:i/>
          <w:sz w:val="24"/>
        </w:rPr>
        <w:t>Substances</w:t>
      </w:r>
      <w:r>
        <w:rPr>
          <w:i/>
          <w:spacing w:val="9"/>
          <w:sz w:val="24"/>
        </w:rPr>
        <w:t> </w:t>
      </w:r>
      <w:r>
        <w:rPr>
          <w:i/>
          <w:sz w:val="24"/>
        </w:rPr>
        <w:t>in</w:t>
      </w:r>
      <w:r>
        <w:rPr>
          <w:i/>
          <w:spacing w:val="7"/>
          <w:sz w:val="24"/>
        </w:rPr>
        <w:t> </w:t>
      </w:r>
      <w:r>
        <w:rPr>
          <w:i/>
          <w:sz w:val="24"/>
        </w:rPr>
        <w:t>Crop</w:t>
      </w:r>
      <w:r>
        <w:rPr>
          <w:i/>
          <w:spacing w:val="11"/>
          <w:sz w:val="24"/>
        </w:rPr>
        <w:t> </w:t>
      </w:r>
      <w:r>
        <w:rPr>
          <w:i/>
          <w:sz w:val="24"/>
        </w:rPr>
        <w:t>Plants</w:t>
      </w:r>
      <w:r>
        <w:rPr>
          <w:sz w:val="24"/>
        </w:rPr>
        <w:t>.</w:t>
      </w:r>
      <w:r>
        <w:rPr>
          <w:spacing w:val="9"/>
          <w:sz w:val="24"/>
        </w:rPr>
        <w:t> </w:t>
      </w:r>
      <w:r>
        <w:rPr>
          <w:sz w:val="24"/>
        </w:rPr>
        <w:t>Royal</w:t>
      </w:r>
      <w:r>
        <w:rPr>
          <w:spacing w:val="2"/>
          <w:sz w:val="24"/>
        </w:rPr>
        <w:t> </w:t>
      </w:r>
      <w:r>
        <w:rPr>
          <w:sz w:val="24"/>
        </w:rPr>
        <w:t>Society</w:t>
      </w:r>
      <w:r>
        <w:rPr>
          <w:spacing w:val="2"/>
          <w:sz w:val="24"/>
        </w:rPr>
        <w:t> </w:t>
      </w:r>
      <w:r>
        <w:rPr>
          <w:sz w:val="24"/>
        </w:rPr>
        <w:t>of</w:t>
      </w:r>
      <w:r>
        <w:rPr>
          <w:spacing w:val="3"/>
          <w:sz w:val="24"/>
        </w:rPr>
        <w:t> </w:t>
      </w:r>
      <w:r>
        <w:rPr>
          <w:sz w:val="24"/>
        </w:rPr>
        <w:t>Chemistry,</w:t>
      </w:r>
      <w:r>
        <w:rPr>
          <w:spacing w:val="10"/>
          <w:sz w:val="24"/>
        </w:rPr>
        <w:t> </w:t>
      </w:r>
      <w:r>
        <w:rPr>
          <w:spacing w:val="-2"/>
          <w:sz w:val="24"/>
        </w:rPr>
        <w:t>Cambridge.</w:t>
      </w:r>
    </w:p>
    <w:p>
      <w:pPr>
        <w:pStyle w:val="BodyText"/>
        <w:spacing w:line="273" w:lineRule="exact"/>
        <w:ind w:left="1748"/>
      </w:pPr>
      <w:r>
        <w:rPr/>
        <w:t>pp.</w:t>
      </w:r>
      <w:r>
        <w:rPr>
          <w:spacing w:val="3"/>
        </w:rPr>
        <w:t> </w:t>
      </w:r>
      <w:r>
        <w:rPr/>
        <w:t>68-</w:t>
      </w:r>
      <w:r>
        <w:rPr>
          <w:spacing w:val="-4"/>
        </w:rPr>
        <w:t>106.</w:t>
      </w:r>
    </w:p>
    <w:p>
      <w:pPr>
        <w:pStyle w:val="BodyText"/>
        <w:spacing w:before="274"/>
      </w:pPr>
    </w:p>
    <w:p>
      <w:pPr>
        <w:pStyle w:val="BodyText"/>
        <w:spacing w:line="362" w:lineRule="auto"/>
        <w:ind w:left="1748" w:right="800" w:hanging="721"/>
        <w:jc w:val="both"/>
      </w:pPr>
      <w:r>
        <w:rPr/>
        <w:t>Nzikou, J.M., Matos, L., Mbemba, F., Ndangui, C.B., Pambou-Tobi, N.P.G., Kimbonguila, A., Silou, T.H., Linder, M. and Desobry, S. (2009).</w:t>
      </w:r>
      <w:r>
        <w:rPr>
          <w:spacing w:val="40"/>
        </w:rPr>
        <w:t> </w:t>
      </w:r>
      <w:r>
        <w:rPr/>
        <w:t>Characteristics</w:t>
      </w:r>
      <w:r>
        <w:rPr>
          <w:spacing w:val="66"/>
          <w:w w:val="150"/>
        </w:rPr>
        <w:t> </w:t>
      </w:r>
      <w:r>
        <w:rPr/>
        <w:t>and</w:t>
      </w:r>
      <w:r>
        <w:rPr>
          <w:spacing w:val="75"/>
          <w:w w:val="150"/>
        </w:rPr>
        <w:t> </w:t>
      </w:r>
      <w:r>
        <w:rPr/>
        <w:t>composition</w:t>
      </w:r>
      <w:r>
        <w:rPr>
          <w:spacing w:val="66"/>
          <w:w w:val="150"/>
        </w:rPr>
        <w:t> </w:t>
      </w:r>
      <w:r>
        <w:rPr/>
        <w:t>of</w:t>
      </w:r>
      <w:r>
        <w:rPr>
          <w:spacing w:val="65"/>
          <w:w w:val="150"/>
        </w:rPr>
        <w:t> </w:t>
      </w:r>
      <w:r>
        <w:rPr>
          <w:i/>
        </w:rPr>
        <w:t>Jatropha</w:t>
      </w:r>
      <w:r>
        <w:rPr>
          <w:i/>
          <w:spacing w:val="75"/>
          <w:w w:val="150"/>
        </w:rPr>
        <w:t> </w:t>
      </w:r>
      <w:r>
        <w:rPr>
          <w:i/>
        </w:rPr>
        <w:t>curcas</w:t>
      </w:r>
      <w:r>
        <w:rPr>
          <w:i/>
          <w:spacing w:val="74"/>
          <w:w w:val="150"/>
        </w:rPr>
        <w:t> </w:t>
      </w:r>
      <w:r>
        <w:rPr/>
        <w:t>oils</w:t>
      </w:r>
      <w:r>
        <w:rPr>
          <w:spacing w:val="78"/>
          <w:w w:val="150"/>
        </w:rPr>
        <w:t> </w:t>
      </w:r>
      <w:r>
        <w:rPr/>
        <w:t>variety,</w:t>
      </w:r>
      <w:r>
        <w:rPr>
          <w:spacing w:val="73"/>
          <w:w w:val="150"/>
        </w:rPr>
        <w:t> </w:t>
      </w:r>
      <w:r>
        <w:rPr>
          <w:spacing w:val="-2"/>
        </w:rPr>
        <w:t>Congo-</w:t>
      </w:r>
    </w:p>
    <w:p>
      <w:pPr>
        <w:spacing w:after="0" w:line="362" w:lineRule="auto"/>
        <w:jc w:val="both"/>
        <w:sectPr>
          <w:pgSz w:w="11910" w:h="16840"/>
          <w:pgMar w:header="0" w:footer="1012" w:top="1740" w:bottom="1200" w:left="960" w:right="620"/>
        </w:sectPr>
      </w:pPr>
    </w:p>
    <w:p>
      <w:pPr>
        <w:tabs>
          <w:tab w:pos="3126" w:val="left" w:leader="none"/>
          <w:tab w:pos="4248" w:val="left" w:leader="none"/>
          <w:tab w:pos="5227" w:val="left" w:leader="none"/>
          <w:tab w:pos="5649" w:val="left" w:leader="none"/>
          <w:tab w:pos="6622" w:val="left" w:leader="none"/>
          <w:tab w:pos="7735" w:val="left" w:leader="none"/>
          <w:tab w:pos="9150" w:val="left" w:leader="none"/>
        </w:tabs>
        <w:spacing w:line="360" w:lineRule="auto" w:before="79"/>
        <w:ind w:left="1748" w:right="811" w:firstLine="0"/>
        <w:jc w:val="left"/>
        <w:rPr>
          <w:sz w:val="24"/>
        </w:rPr>
      </w:pPr>
      <w:r>
        <w:rPr>
          <w:spacing w:val="-2"/>
          <w:sz w:val="24"/>
        </w:rPr>
        <w:t>Brazzaville,</w:t>
      </w:r>
      <w:r>
        <w:rPr>
          <w:sz w:val="24"/>
        </w:rPr>
        <w:tab/>
      </w:r>
      <w:r>
        <w:rPr>
          <w:i/>
          <w:spacing w:val="-2"/>
          <w:sz w:val="24"/>
        </w:rPr>
        <w:t>Research</w:t>
      </w:r>
      <w:r>
        <w:rPr>
          <w:i/>
          <w:sz w:val="24"/>
        </w:rPr>
        <w:tab/>
      </w:r>
      <w:r>
        <w:rPr>
          <w:i/>
          <w:spacing w:val="-2"/>
          <w:sz w:val="24"/>
        </w:rPr>
        <w:t>Journal</w:t>
      </w:r>
      <w:r>
        <w:rPr>
          <w:i/>
          <w:sz w:val="24"/>
        </w:rPr>
        <w:tab/>
      </w:r>
      <w:r>
        <w:rPr>
          <w:i/>
          <w:spacing w:val="-6"/>
          <w:sz w:val="24"/>
        </w:rPr>
        <w:t>of</w:t>
      </w:r>
      <w:r>
        <w:rPr>
          <w:i/>
          <w:sz w:val="24"/>
        </w:rPr>
        <w:tab/>
      </w:r>
      <w:r>
        <w:rPr>
          <w:i/>
          <w:spacing w:val="-2"/>
          <w:sz w:val="24"/>
        </w:rPr>
        <w:t>Applied</w:t>
      </w:r>
      <w:r>
        <w:rPr>
          <w:i/>
          <w:sz w:val="24"/>
        </w:rPr>
        <w:tab/>
      </w:r>
      <w:r>
        <w:rPr>
          <w:i/>
          <w:spacing w:val="-2"/>
          <w:sz w:val="24"/>
        </w:rPr>
        <w:t>Sciences,</w:t>
      </w:r>
      <w:r>
        <w:rPr>
          <w:i/>
          <w:sz w:val="24"/>
        </w:rPr>
        <w:tab/>
      </w:r>
      <w:r>
        <w:rPr>
          <w:i/>
          <w:spacing w:val="-2"/>
          <w:sz w:val="24"/>
        </w:rPr>
        <w:t>Engineering</w:t>
      </w:r>
      <w:r>
        <w:rPr>
          <w:i/>
          <w:sz w:val="24"/>
        </w:rPr>
        <w:tab/>
      </w:r>
      <w:r>
        <w:rPr>
          <w:i/>
          <w:spacing w:val="-4"/>
          <w:sz w:val="24"/>
        </w:rPr>
        <w:t>and </w:t>
      </w:r>
      <w:r>
        <w:rPr>
          <w:i/>
          <w:sz w:val="24"/>
        </w:rPr>
        <w:t>Technology</w:t>
      </w:r>
      <w:r>
        <w:rPr>
          <w:sz w:val="24"/>
        </w:rPr>
        <w:t>, 1(3): 154-159.</w:t>
      </w:r>
    </w:p>
    <w:p>
      <w:pPr>
        <w:pStyle w:val="BodyText"/>
        <w:spacing w:before="140"/>
      </w:pPr>
    </w:p>
    <w:p>
      <w:pPr>
        <w:spacing w:before="0"/>
        <w:ind w:left="1028" w:right="0" w:firstLine="0"/>
        <w:jc w:val="left"/>
        <w:rPr>
          <w:sz w:val="24"/>
        </w:rPr>
      </w:pPr>
      <w:r>
        <w:rPr>
          <w:sz w:val="24"/>
        </w:rPr>
        <w:t>O‟Brian,</w:t>
      </w:r>
      <w:r>
        <w:rPr>
          <w:spacing w:val="51"/>
          <w:sz w:val="24"/>
        </w:rPr>
        <w:t> </w:t>
      </w:r>
      <w:r>
        <w:rPr>
          <w:sz w:val="24"/>
        </w:rPr>
        <w:t>R.D.</w:t>
      </w:r>
      <w:r>
        <w:rPr>
          <w:spacing w:val="51"/>
          <w:sz w:val="24"/>
        </w:rPr>
        <w:t> </w:t>
      </w:r>
      <w:r>
        <w:rPr>
          <w:sz w:val="24"/>
        </w:rPr>
        <w:t>(1998).</w:t>
      </w:r>
      <w:r>
        <w:rPr>
          <w:spacing w:val="54"/>
          <w:sz w:val="24"/>
        </w:rPr>
        <w:t> </w:t>
      </w:r>
      <w:r>
        <w:rPr>
          <w:i/>
          <w:sz w:val="24"/>
        </w:rPr>
        <w:t>Fats</w:t>
      </w:r>
      <w:r>
        <w:rPr>
          <w:i/>
          <w:spacing w:val="48"/>
          <w:sz w:val="24"/>
        </w:rPr>
        <w:t> </w:t>
      </w:r>
      <w:r>
        <w:rPr>
          <w:i/>
          <w:sz w:val="24"/>
        </w:rPr>
        <w:t>and</w:t>
      </w:r>
      <w:r>
        <w:rPr>
          <w:i/>
          <w:spacing w:val="49"/>
          <w:sz w:val="24"/>
        </w:rPr>
        <w:t> </w:t>
      </w:r>
      <w:r>
        <w:rPr>
          <w:i/>
          <w:sz w:val="24"/>
        </w:rPr>
        <w:t>Oils:Formulating</w:t>
      </w:r>
      <w:r>
        <w:rPr>
          <w:i/>
          <w:spacing w:val="49"/>
          <w:sz w:val="24"/>
        </w:rPr>
        <w:t> </w:t>
      </w:r>
      <w:r>
        <w:rPr>
          <w:i/>
          <w:sz w:val="24"/>
        </w:rPr>
        <w:t>and</w:t>
      </w:r>
      <w:r>
        <w:rPr>
          <w:i/>
          <w:spacing w:val="49"/>
          <w:sz w:val="24"/>
        </w:rPr>
        <w:t> </w:t>
      </w:r>
      <w:r>
        <w:rPr>
          <w:i/>
          <w:sz w:val="24"/>
        </w:rPr>
        <w:t>Processing</w:t>
      </w:r>
      <w:r>
        <w:rPr>
          <w:i/>
          <w:spacing w:val="50"/>
          <w:sz w:val="24"/>
        </w:rPr>
        <w:t> </w:t>
      </w:r>
      <w:r>
        <w:rPr>
          <w:i/>
          <w:sz w:val="24"/>
        </w:rPr>
        <w:t>for</w:t>
      </w:r>
      <w:r>
        <w:rPr>
          <w:i/>
          <w:spacing w:val="47"/>
          <w:sz w:val="24"/>
        </w:rPr>
        <w:t> </w:t>
      </w:r>
      <w:r>
        <w:rPr>
          <w:i/>
          <w:spacing w:val="-2"/>
          <w:sz w:val="24"/>
        </w:rPr>
        <w:t>Applications</w:t>
      </w:r>
      <w:r>
        <w:rPr>
          <w:spacing w:val="-2"/>
          <w:sz w:val="24"/>
        </w:rPr>
        <w:t>.</w:t>
      </w:r>
    </w:p>
    <w:p>
      <w:pPr>
        <w:pStyle w:val="BodyText"/>
        <w:spacing w:before="137"/>
        <w:ind w:left="1748"/>
      </w:pPr>
      <w:r>
        <w:rPr/>
        <w:t>Technomic,</w:t>
      </w:r>
      <w:r>
        <w:rPr>
          <w:spacing w:val="-5"/>
        </w:rPr>
        <w:t> </w:t>
      </w:r>
      <w:r>
        <w:rPr/>
        <w:t>Lancaster,</w:t>
      </w:r>
      <w:r>
        <w:rPr>
          <w:spacing w:val="-3"/>
        </w:rPr>
        <w:t> </w:t>
      </w:r>
      <w:r>
        <w:rPr/>
        <w:t>England.</w:t>
      </w:r>
      <w:r>
        <w:rPr>
          <w:spacing w:val="1"/>
        </w:rPr>
        <w:t> </w:t>
      </w:r>
      <w:r>
        <w:rPr/>
        <w:t>Pp.</w:t>
      </w:r>
      <w:r>
        <w:rPr>
          <w:spacing w:val="-2"/>
        </w:rPr>
        <w:t> </w:t>
      </w:r>
      <w:r>
        <w:rPr/>
        <w:t>78-</w:t>
      </w:r>
      <w:r>
        <w:rPr>
          <w:spacing w:val="-4"/>
        </w:rPr>
        <w:t>113.</w:t>
      </w:r>
    </w:p>
    <w:p>
      <w:pPr>
        <w:pStyle w:val="BodyText"/>
      </w:pPr>
    </w:p>
    <w:p>
      <w:pPr>
        <w:pStyle w:val="BodyText"/>
        <w:spacing w:before="2"/>
      </w:pPr>
    </w:p>
    <w:p>
      <w:pPr>
        <w:spacing w:line="360" w:lineRule="auto" w:before="0"/>
        <w:ind w:left="1748" w:right="799" w:hanging="721"/>
        <w:jc w:val="both"/>
        <w:rPr>
          <w:sz w:val="24"/>
        </w:rPr>
      </w:pPr>
      <w:r>
        <w:rPr>
          <w:sz w:val="24"/>
        </w:rPr>
        <w:t>O‟Brien, R. D.</w:t>
      </w:r>
      <w:r>
        <w:rPr>
          <w:spacing w:val="-3"/>
          <w:sz w:val="24"/>
        </w:rPr>
        <w:t> </w:t>
      </w:r>
      <w:r>
        <w:rPr>
          <w:sz w:val="24"/>
        </w:rPr>
        <w:t>(2009). </w:t>
      </w:r>
      <w:r>
        <w:rPr>
          <w:i/>
          <w:sz w:val="24"/>
        </w:rPr>
        <w:t>Fat and Oils: Formulating</w:t>
      </w:r>
      <w:r>
        <w:rPr>
          <w:i/>
          <w:spacing w:val="-4"/>
          <w:sz w:val="24"/>
        </w:rPr>
        <w:t> </w:t>
      </w:r>
      <w:r>
        <w:rPr>
          <w:i/>
          <w:sz w:val="24"/>
        </w:rPr>
        <w:t>and Processing for</w:t>
      </w:r>
      <w:r>
        <w:rPr>
          <w:i/>
          <w:spacing w:val="-2"/>
          <w:sz w:val="24"/>
        </w:rPr>
        <w:t> </w:t>
      </w:r>
      <w:r>
        <w:rPr>
          <w:i/>
          <w:sz w:val="24"/>
        </w:rPr>
        <w:t>Applications </w:t>
      </w:r>
      <w:r>
        <w:rPr>
          <w:sz w:val="24"/>
        </w:rPr>
        <w:t>(3rd ed). CRC press, Boca Raton, USA, pp. 83-109.</w:t>
      </w:r>
    </w:p>
    <w:p>
      <w:pPr>
        <w:pStyle w:val="BodyText"/>
        <w:spacing w:before="135"/>
      </w:pPr>
    </w:p>
    <w:p>
      <w:pPr>
        <w:spacing w:line="362" w:lineRule="auto" w:before="0"/>
        <w:ind w:left="1748" w:right="803" w:hanging="721"/>
        <w:jc w:val="both"/>
        <w:rPr>
          <w:sz w:val="24"/>
        </w:rPr>
      </w:pPr>
      <w:r>
        <w:rPr>
          <w:sz w:val="24"/>
        </w:rPr>
        <w:t>Obilie, E.M., Tano-Debrah, K. and Amoa-Awua, W.K. (2004). Souring and breakdown of cyanogenic glucosides during the processing of cassava into akyeke. </w:t>
      </w:r>
      <w:r>
        <w:rPr>
          <w:i/>
          <w:sz w:val="24"/>
        </w:rPr>
        <w:t>International Journal of Food Microbiology</w:t>
      </w:r>
      <w:r>
        <w:rPr>
          <w:sz w:val="24"/>
        </w:rPr>
        <w:t>, 93: 115-121.</w:t>
      </w:r>
    </w:p>
    <w:p>
      <w:pPr>
        <w:pStyle w:val="BodyText"/>
        <w:spacing w:before="131"/>
      </w:pPr>
    </w:p>
    <w:p>
      <w:pPr>
        <w:pStyle w:val="BodyText"/>
        <w:spacing w:line="362" w:lineRule="auto"/>
        <w:ind w:left="1748" w:right="804" w:hanging="721"/>
        <w:jc w:val="both"/>
      </w:pPr>
      <w:r>
        <w:rPr/>
        <w:t>Olabanji, I.O., Oluyemi, E.A. and Ajayi, O.S. (2012). Metal analyses of ash derived alkalis from banana and plantain peels (</w:t>
      </w:r>
      <w:r>
        <w:rPr>
          <w:i/>
        </w:rPr>
        <w:t>Musa </w:t>
      </w:r>
      <w:r>
        <w:rPr/>
        <w:t>spp.) in soap making. </w:t>
      </w:r>
      <w:r>
        <w:rPr>
          <w:i/>
        </w:rPr>
        <w:t>African Journal of Biotechnology</w:t>
      </w:r>
      <w:r>
        <w:rPr/>
        <w:t>, 11(99): 16512-16518.</w:t>
      </w:r>
    </w:p>
    <w:p>
      <w:pPr>
        <w:pStyle w:val="BodyText"/>
        <w:spacing w:before="130"/>
      </w:pPr>
    </w:p>
    <w:p>
      <w:pPr>
        <w:spacing w:line="360" w:lineRule="auto" w:before="0"/>
        <w:ind w:left="1748" w:right="805" w:hanging="721"/>
        <w:jc w:val="both"/>
        <w:rPr>
          <w:sz w:val="24"/>
        </w:rPr>
      </w:pPr>
      <w:r>
        <w:rPr>
          <w:sz w:val="24"/>
        </w:rPr>
        <w:t>Omaye S.T. (2004). </w:t>
      </w:r>
      <w:r>
        <w:rPr>
          <w:i/>
          <w:sz w:val="24"/>
        </w:rPr>
        <w:t>Animal Toxins and Plant Toxicants: Food and Nutritional Toxicology</w:t>
      </w:r>
      <w:r>
        <w:rPr>
          <w:sz w:val="24"/>
        </w:rPr>
        <w:t>. CRC press, Boca Raton, USA, pp. 205-213.</w:t>
      </w:r>
    </w:p>
    <w:p>
      <w:pPr>
        <w:pStyle w:val="BodyText"/>
        <w:spacing w:before="140"/>
      </w:pPr>
    </w:p>
    <w:p>
      <w:pPr>
        <w:spacing w:line="360" w:lineRule="auto" w:before="0"/>
        <w:ind w:left="1748" w:right="806" w:hanging="721"/>
        <w:jc w:val="both"/>
        <w:rPr>
          <w:sz w:val="24"/>
        </w:rPr>
      </w:pPr>
      <w:r>
        <w:rPr>
          <w:sz w:val="24"/>
        </w:rPr>
        <w:t>Onabolu, A.O., Oluwale, O.S. and Bokanga, M. (2002). Loss</w:t>
      </w:r>
      <w:r>
        <w:rPr>
          <w:spacing w:val="-3"/>
          <w:sz w:val="24"/>
        </w:rPr>
        <w:t> </w:t>
      </w:r>
      <w:r>
        <w:rPr>
          <w:sz w:val="24"/>
        </w:rPr>
        <w:t>of</w:t>
      </w:r>
      <w:r>
        <w:rPr>
          <w:spacing w:val="-9"/>
          <w:sz w:val="24"/>
        </w:rPr>
        <w:t> </w:t>
      </w:r>
      <w:r>
        <w:rPr>
          <w:sz w:val="24"/>
        </w:rPr>
        <w:t>residual</w:t>
      </w:r>
      <w:r>
        <w:rPr>
          <w:spacing w:val="-1"/>
          <w:sz w:val="24"/>
        </w:rPr>
        <w:t> </w:t>
      </w:r>
      <w:r>
        <w:rPr>
          <w:sz w:val="24"/>
        </w:rPr>
        <w:t>cyanogens in a cassava food during short-term storage. </w:t>
      </w:r>
      <w:r>
        <w:rPr>
          <w:i/>
          <w:sz w:val="24"/>
        </w:rPr>
        <w:t>International Journal of Food Science and Nutrition</w:t>
      </w:r>
      <w:r>
        <w:rPr>
          <w:sz w:val="24"/>
        </w:rPr>
        <w:t>, 53(4): 343-349.</w:t>
      </w:r>
    </w:p>
    <w:p>
      <w:pPr>
        <w:pStyle w:val="BodyText"/>
        <w:spacing w:before="138"/>
      </w:pPr>
    </w:p>
    <w:p>
      <w:pPr>
        <w:spacing w:line="360" w:lineRule="auto" w:before="0"/>
        <w:ind w:left="1748" w:right="802" w:hanging="721"/>
        <w:jc w:val="both"/>
        <w:rPr>
          <w:sz w:val="24"/>
        </w:rPr>
      </w:pPr>
      <w:r>
        <w:rPr>
          <w:sz w:val="24"/>
        </w:rPr>
        <w:t>Onyegbado, C.O., Iyagba, E.T. and Offor, O.J. (2002). Solid soap production using plantain peel ash as source of alkali. </w:t>
      </w:r>
      <w:r>
        <w:rPr>
          <w:i/>
          <w:sz w:val="24"/>
        </w:rPr>
        <w:t>Journal of Applied Science and Environmental Management</w:t>
      </w:r>
      <w:r>
        <w:rPr>
          <w:sz w:val="24"/>
        </w:rPr>
        <w:t>, 6(1): 73-74.</w:t>
      </w:r>
    </w:p>
    <w:p>
      <w:pPr>
        <w:pStyle w:val="BodyText"/>
        <w:spacing w:before="139"/>
      </w:pPr>
    </w:p>
    <w:p>
      <w:pPr>
        <w:pStyle w:val="BodyText"/>
        <w:spacing w:line="360" w:lineRule="auto"/>
        <w:ind w:left="1748" w:right="796" w:hanging="721"/>
        <w:jc w:val="both"/>
      </w:pPr>
      <w:r>
        <w:rPr/>
        <w:t>Ojediran, T.K. and Emiola, I.A. (2014). Toxicological impact of processed </w:t>
      </w:r>
      <w:r>
        <w:rPr>
          <w:i/>
        </w:rPr>
        <w:t>J</w:t>
      </w:r>
      <w:r>
        <w:rPr/>
        <w:t>. </w:t>
      </w:r>
      <w:r>
        <w:rPr>
          <w:i/>
        </w:rPr>
        <w:t>curcas </w:t>
      </w:r>
      <w:r>
        <w:rPr/>
        <w:t>kernel meals on the gut morphology and kidney of broiler chicks. </w:t>
      </w:r>
      <w:r>
        <w:rPr>
          <w:i/>
        </w:rPr>
        <w:t>Journal </w:t>
      </w:r>
      <w:r>
        <w:rPr/>
        <w:t>of </w:t>
      </w:r>
      <w:r>
        <w:rPr>
          <w:i/>
        </w:rPr>
        <w:t>Scientific Advances</w:t>
      </w:r>
      <w:r>
        <w:rPr/>
        <w:t>, 4(11): 1122-1131.</w:t>
      </w:r>
    </w:p>
    <w:p>
      <w:pPr>
        <w:pStyle w:val="BodyText"/>
        <w:spacing w:before="138"/>
      </w:pPr>
    </w:p>
    <w:p>
      <w:pPr>
        <w:spacing w:line="360" w:lineRule="auto" w:before="1"/>
        <w:ind w:left="1748" w:right="806" w:hanging="721"/>
        <w:jc w:val="both"/>
        <w:rPr>
          <w:sz w:val="24"/>
        </w:rPr>
      </w:pPr>
      <w:r>
        <w:rPr>
          <w:sz w:val="24"/>
        </w:rPr>
        <w:t>Panter, K.E., Keeler, R.F. and Baker, D.C. (1988). Toxicoses in livestock from the hemlocks (</w:t>
      </w:r>
      <w:r>
        <w:rPr>
          <w:i/>
          <w:sz w:val="24"/>
        </w:rPr>
        <w:t>Conium </w:t>
      </w:r>
      <w:r>
        <w:rPr>
          <w:sz w:val="24"/>
        </w:rPr>
        <w:t>and </w:t>
      </w:r>
      <w:r>
        <w:rPr>
          <w:i/>
          <w:sz w:val="24"/>
        </w:rPr>
        <w:t>Cicuta </w:t>
      </w:r>
      <w:r>
        <w:rPr>
          <w:sz w:val="24"/>
        </w:rPr>
        <w:t>spp.). </w:t>
      </w:r>
      <w:r>
        <w:rPr>
          <w:i/>
          <w:sz w:val="24"/>
        </w:rPr>
        <w:t>Journal of Animal Science</w:t>
      </w:r>
      <w:r>
        <w:rPr>
          <w:sz w:val="24"/>
        </w:rPr>
        <w:t>, 66:</w:t>
      </w:r>
      <w:r>
        <w:rPr>
          <w:spacing w:val="-3"/>
          <w:sz w:val="24"/>
        </w:rPr>
        <w:t> </w:t>
      </w:r>
      <w:r>
        <w:rPr>
          <w:sz w:val="24"/>
        </w:rPr>
        <w:t>2407-2413.</w:t>
      </w:r>
    </w:p>
    <w:p>
      <w:pPr>
        <w:spacing w:after="0" w:line="360" w:lineRule="auto"/>
        <w:jc w:val="both"/>
        <w:rPr>
          <w:sz w:val="24"/>
        </w:rPr>
        <w:sectPr>
          <w:pgSz w:w="11910" w:h="16840"/>
          <w:pgMar w:header="0" w:footer="1012" w:top="1320" w:bottom="1200" w:left="960" w:right="620"/>
        </w:sectPr>
      </w:pPr>
    </w:p>
    <w:p>
      <w:pPr>
        <w:spacing w:line="362" w:lineRule="auto" w:before="72"/>
        <w:ind w:left="1748" w:right="806" w:hanging="721"/>
        <w:jc w:val="both"/>
        <w:rPr>
          <w:sz w:val="24"/>
        </w:rPr>
      </w:pPr>
      <w:r>
        <w:rPr>
          <w:sz w:val="24"/>
        </w:rPr>
        <w:t>Parton, K. (2000). Onion toxicity in farmed animals. </w:t>
      </w:r>
      <w:r>
        <w:rPr>
          <w:i/>
          <w:sz w:val="24"/>
        </w:rPr>
        <w:t>New Zealand Veterinary Journal</w:t>
      </w:r>
      <w:r>
        <w:rPr>
          <w:sz w:val="24"/>
        </w:rPr>
        <w:t>, 48: 89.</w:t>
      </w:r>
    </w:p>
    <w:p>
      <w:pPr>
        <w:pStyle w:val="BodyText"/>
        <w:spacing w:before="134"/>
      </w:pPr>
    </w:p>
    <w:p>
      <w:pPr>
        <w:pStyle w:val="BodyText"/>
        <w:spacing w:line="360" w:lineRule="auto"/>
        <w:ind w:left="1748" w:right="808" w:hanging="721"/>
        <w:jc w:val="both"/>
      </w:pPr>
      <w:r>
        <w:rPr/>
        <w:t>Pedraza, C., Villafañe, F. and Torrenegra, R.D. (1983). Hematuria vesical bovina y su relación con algunas especies vegetales. </w:t>
      </w:r>
      <w:r>
        <w:rPr>
          <w:i/>
        </w:rPr>
        <w:t>Revista Acovez</w:t>
      </w:r>
      <w:r>
        <w:rPr/>
        <w:t>, 7: 11-19.</w:t>
      </w:r>
    </w:p>
    <w:p>
      <w:pPr>
        <w:pStyle w:val="BodyText"/>
        <w:spacing w:before="140"/>
      </w:pPr>
    </w:p>
    <w:p>
      <w:pPr>
        <w:spacing w:line="360" w:lineRule="auto" w:before="0"/>
        <w:ind w:left="1748" w:right="806" w:hanging="721"/>
        <w:jc w:val="both"/>
        <w:rPr>
          <w:sz w:val="24"/>
        </w:rPr>
      </w:pPr>
      <w:r>
        <w:rPr>
          <w:sz w:val="24"/>
        </w:rPr>
        <w:t>Pérez-Arbeláez, E. (1931). Plantas venenosas de Colombia. </w:t>
      </w:r>
      <w:r>
        <w:rPr>
          <w:i/>
          <w:sz w:val="24"/>
        </w:rPr>
        <w:t>Revista de Medicina Veterinaria</w:t>
      </w:r>
      <w:r>
        <w:rPr>
          <w:sz w:val="24"/>
        </w:rPr>
        <w:t>, 3: 189-198.</w:t>
      </w:r>
    </w:p>
    <w:p>
      <w:pPr>
        <w:pStyle w:val="BodyText"/>
        <w:spacing w:before="139"/>
      </w:pPr>
    </w:p>
    <w:p>
      <w:pPr>
        <w:pStyle w:val="BodyText"/>
        <w:spacing w:line="360" w:lineRule="auto"/>
        <w:ind w:left="1748" w:right="797" w:hanging="721"/>
        <w:jc w:val="both"/>
      </w:pPr>
      <w:r>
        <w:rPr/>
        <w:t>Petterson, D.S., Harris, D.J. and Allen D.G. (1991). Alkaloids. In: D‟Mello J.P.F., Duffus C.M. and Duffus J.H. (Ed) </w:t>
      </w:r>
      <w:r>
        <w:rPr>
          <w:i/>
        </w:rPr>
        <w:t>Toxic Substances in Crop Plants</w:t>
      </w:r>
      <w:r>
        <w:rPr/>
        <w:t>. The Royal Society of Chemistry, Cambridge, pp.148-149.</w:t>
      </w:r>
    </w:p>
    <w:p>
      <w:pPr>
        <w:pStyle w:val="BodyText"/>
        <w:spacing w:before="134"/>
      </w:pPr>
    </w:p>
    <w:p>
      <w:pPr>
        <w:pStyle w:val="BodyText"/>
        <w:spacing w:line="362" w:lineRule="auto"/>
        <w:ind w:left="1748" w:right="802" w:hanging="721"/>
        <w:jc w:val="both"/>
      </w:pPr>
      <w:r>
        <w:rPr/>
        <w:t>Pierce, N.F., Carpentor, C.C.J., Ellior, H. and Greenough, W.B. (1971). Effect of prostaglandin, theophyllin and cholera exotoxin upon transmucosal water and electrolyte movement in canine jejunum. </w:t>
      </w:r>
      <w:r>
        <w:rPr>
          <w:i/>
        </w:rPr>
        <w:t>Gastroenterology</w:t>
      </w:r>
      <w:r>
        <w:rPr/>
        <w:t>, 60: 22-32.</w:t>
      </w:r>
    </w:p>
    <w:p>
      <w:pPr>
        <w:pStyle w:val="BodyText"/>
        <w:spacing w:before="130"/>
      </w:pPr>
    </w:p>
    <w:p>
      <w:pPr>
        <w:pStyle w:val="BodyText"/>
        <w:spacing w:line="360" w:lineRule="auto" w:before="1"/>
        <w:ind w:left="1748" w:right="802" w:hanging="721"/>
        <w:jc w:val="both"/>
      </w:pPr>
      <w:r>
        <w:rPr/>
        <w:t>Poindexter, B. W., Feng, A., Dasgupta and Bick, R. (2007). Oleandrin produces</w:t>
      </w:r>
      <w:r>
        <w:rPr>
          <w:spacing w:val="40"/>
        </w:rPr>
        <w:t> </w:t>
      </w:r>
      <w:r>
        <w:rPr/>
        <w:t>changes in intracellular calcium levels in isolated cardiomyocytes, a real-time fluorescence imaging study comparing adult to neonatal cardiomyocytes. </w:t>
      </w:r>
      <w:r>
        <w:rPr>
          <w:i/>
        </w:rPr>
        <w:t>Journal of Toxicology and Environmental Health</w:t>
      </w:r>
      <w:r>
        <w:rPr/>
        <w:t>, 70: 568-574.</w:t>
      </w:r>
    </w:p>
    <w:p>
      <w:pPr>
        <w:pStyle w:val="BodyText"/>
        <w:spacing w:before="142"/>
      </w:pPr>
    </w:p>
    <w:p>
      <w:pPr>
        <w:spacing w:line="360" w:lineRule="auto" w:before="0"/>
        <w:ind w:left="1748" w:right="670" w:hanging="721"/>
        <w:jc w:val="left"/>
        <w:rPr>
          <w:sz w:val="24"/>
        </w:rPr>
      </w:pPr>
      <w:r>
        <w:rPr>
          <w:sz w:val="24"/>
        </w:rPr>
        <w:t>Prasad, R. D. M., Izam, A. and Khan, M.D. (2012). </w:t>
      </w:r>
      <w:r>
        <w:rPr>
          <w:i/>
          <w:sz w:val="24"/>
        </w:rPr>
        <w:t>Jatropha curcas</w:t>
      </w:r>
      <w:r>
        <w:rPr>
          <w:sz w:val="24"/>
        </w:rPr>
        <w:t>: Plant of medical benefits. </w:t>
      </w:r>
      <w:r>
        <w:rPr>
          <w:i/>
          <w:sz w:val="24"/>
        </w:rPr>
        <w:t>Journal of Medicinal Plant Research</w:t>
      </w:r>
      <w:r>
        <w:rPr>
          <w:sz w:val="24"/>
        </w:rPr>
        <w:t>, 6(14): 2691-2699.</w:t>
      </w:r>
    </w:p>
    <w:p>
      <w:pPr>
        <w:spacing w:line="360" w:lineRule="auto" w:before="0"/>
        <w:ind w:left="1748" w:right="858" w:hanging="721"/>
        <w:jc w:val="left"/>
        <w:rPr>
          <w:sz w:val="24"/>
        </w:rPr>
      </w:pPr>
      <w:r>
        <w:rPr>
          <w:sz w:val="24"/>
        </w:rPr>
        <w:t>Radominska-Pandya,</w:t>
      </w:r>
      <w:r>
        <w:rPr>
          <w:spacing w:val="-3"/>
          <w:sz w:val="24"/>
        </w:rPr>
        <w:t> </w:t>
      </w:r>
      <w:r>
        <w:rPr>
          <w:sz w:val="24"/>
        </w:rPr>
        <w:t>A.</w:t>
      </w:r>
      <w:r>
        <w:rPr>
          <w:spacing w:val="-2"/>
          <w:sz w:val="24"/>
        </w:rPr>
        <w:t> </w:t>
      </w:r>
      <w:r>
        <w:rPr>
          <w:sz w:val="24"/>
        </w:rPr>
        <w:t>(2010).</w:t>
      </w:r>
      <w:r>
        <w:rPr>
          <w:spacing w:val="-7"/>
          <w:sz w:val="24"/>
        </w:rPr>
        <w:t> </w:t>
      </w:r>
      <w:r>
        <w:rPr>
          <w:sz w:val="24"/>
        </w:rPr>
        <w:t>Invited</w:t>
      </w:r>
      <w:r>
        <w:rPr>
          <w:spacing w:val="-5"/>
          <w:sz w:val="24"/>
        </w:rPr>
        <w:t> </w:t>
      </w:r>
      <w:r>
        <w:rPr>
          <w:sz w:val="24"/>
        </w:rPr>
        <w:t>speakers.</w:t>
      </w:r>
      <w:r>
        <w:rPr>
          <w:spacing w:val="-1"/>
          <w:sz w:val="24"/>
        </w:rPr>
        <w:t> </w:t>
      </w:r>
      <w:r>
        <w:rPr>
          <w:i/>
          <w:sz w:val="24"/>
        </w:rPr>
        <w:t>Drug</w:t>
      </w:r>
      <w:r>
        <w:rPr>
          <w:i/>
          <w:spacing w:val="-5"/>
          <w:sz w:val="24"/>
        </w:rPr>
        <w:t> </w:t>
      </w:r>
      <w:r>
        <w:rPr>
          <w:i/>
          <w:sz w:val="24"/>
        </w:rPr>
        <w:t>Metabolism</w:t>
      </w:r>
      <w:r>
        <w:rPr>
          <w:i/>
          <w:spacing w:val="-4"/>
          <w:sz w:val="24"/>
        </w:rPr>
        <w:t> </w:t>
      </w:r>
      <w:r>
        <w:rPr>
          <w:i/>
          <w:sz w:val="24"/>
        </w:rPr>
        <w:t>Reviews</w:t>
      </w:r>
      <w:r>
        <w:rPr>
          <w:sz w:val="24"/>
        </w:rPr>
        <w:t>,</w:t>
      </w:r>
      <w:r>
        <w:rPr>
          <w:spacing w:val="-3"/>
          <w:sz w:val="24"/>
        </w:rPr>
        <w:t> </w:t>
      </w:r>
      <w:r>
        <w:rPr>
          <w:sz w:val="24"/>
        </w:rPr>
        <w:t>42(1):</w:t>
      </w:r>
      <w:r>
        <w:rPr>
          <w:spacing w:val="-5"/>
          <w:sz w:val="24"/>
        </w:rPr>
        <w:t> </w:t>
      </w:r>
      <w:r>
        <w:rPr>
          <w:sz w:val="24"/>
        </w:rPr>
        <w:t>1- </w:t>
      </w:r>
      <w:r>
        <w:rPr>
          <w:spacing w:val="-6"/>
          <w:sz w:val="24"/>
        </w:rPr>
        <w:t>2.</w:t>
      </w:r>
    </w:p>
    <w:p>
      <w:pPr>
        <w:pStyle w:val="BodyText"/>
        <w:spacing w:before="138"/>
      </w:pPr>
    </w:p>
    <w:p>
      <w:pPr>
        <w:spacing w:line="360" w:lineRule="auto" w:before="0"/>
        <w:ind w:left="1748" w:right="670" w:hanging="721"/>
        <w:jc w:val="left"/>
        <w:rPr>
          <w:sz w:val="24"/>
        </w:rPr>
      </w:pPr>
      <w:r>
        <w:rPr>
          <w:sz w:val="24"/>
        </w:rPr>
        <w:t>Rae,</w:t>
      </w:r>
      <w:r>
        <w:rPr>
          <w:spacing w:val="67"/>
          <w:sz w:val="24"/>
        </w:rPr>
        <w:t> </w:t>
      </w:r>
      <w:r>
        <w:rPr>
          <w:sz w:val="24"/>
        </w:rPr>
        <w:t>H.A.</w:t>
      </w:r>
      <w:r>
        <w:rPr>
          <w:spacing w:val="67"/>
          <w:sz w:val="24"/>
        </w:rPr>
        <w:t> </w:t>
      </w:r>
      <w:r>
        <w:rPr>
          <w:sz w:val="24"/>
        </w:rPr>
        <w:t>(1999).</w:t>
      </w:r>
      <w:r>
        <w:rPr>
          <w:spacing w:val="67"/>
          <w:sz w:val="24"/>
        </w:rPr>
        <w:t> </w:t>
      </w:r>
      <w:r>
        <w:rPr>
          <w:sz w:val="24"/>
        </w:rPr>
        <w:t>Onion</w:t>
      </w:r>
      <w:r>
        <w:rPr>
          <w:spacing w:val="40"/>
          <w:sz w:val="24"/>
        </w:rPr>
        <w:t> </w:t>
      </w:r>
      <w:r>
        <w:rPr>
          <w:sz w:val="24"/>
        </w:rPr>
        <w:t>toxicosis</w:t>
      </w:r>
      <w:r>
        <w:rPr>
          <w:spacing w:val="68"/>
          <w:sz w:val="24"/>
        </w:rPr>
        <w:t> </w:t>
      </w:r>
      <w:r>
        <w:rPr>
          <w:sz w:val="24"/>
        </w:rPr>
        <w:t>in</w:t>
      </w:r>
      <w:r>
        <w:rPr>
          <w:spacing w:val="70"/>
          <w:sz w:val="24"/>
        </w:rPr>
        <w:t> </w:t>
      </w:r>
      <w:r>
        <w:rPr>
          <w:sz w:val="24"/>
        </w:rPr>
        <w:t>a</w:t>
      </w:r>
      <w:r>
        <w:rPr>
          <w:spacing w:val="69"/>
          <w:sz w:val="24"/>
        </w:rPr>
        <w:t> </w:t>
      </w:r>
      <w:r>
        <w:rPr>
          <w:sz w:val="24"/>
        </w:rPr>
        <w:t>herd</w:t>
      </w:r>
      <w:r>
        <w:rPr>
          <w:spacing w:val="74"/>
          <w:sz w:val="24"/>
        </w:rPr>
        <w:t> </w:t>
      </w:r>
      <w:r>
        <w:rPr>
          <w:sz w:val="24"/>
        </w:rPr>
        <w:t>of</w:t>
      </w:r>
      <w:r>
        <w:rPr>
          <w:spacing w:val="40"/>
          <w:sz w:val="24"/>
        </w:rPr>
        <w:t> </w:t>
      </w:r>
      <w:r>
        <w:rPr>
          <w:sz w:val="24"/>
        </w:rPr>
        <w:t>beef</w:t>
      </w:r>
      <w:r>
        <w:rPr>
          <w:spacing w:val="67"/>
          <w:sz w:val="24"/>
        </w:rPr>
        <w:t> </w:t>
      </w:r>
      <w:r>
        <w:rPr>
          <w:sz w:val="24"/>
        </w:rPr>
        <w:t>cows.</w:t>
      </w:r>
      <w:r>
        <w:rPr>
          <w:spacing w:val="77"/>
          <w:sz w:val="24"/>
        </w:rPr>
        <w:t> </w:t>
      </w:r>
      <w:r>
        <w:rPr>
          <w:i/>
          <w:sz w:val="24"/>
        </w:rPr>
        <w:t>Canadian</w:t>
      </w:r>
      <w:r>
        <w:rPr>
          <w:i/>
          <w:spacing w:val="70"/>
          <w:sz w:val="24"/>
        </w:rPr>
        <w:t> </w:t>
      </w:r>
      <w:r>
        <w:rPr>
          <w:i/>
          <w:sz w:val="24"/>
        </w:rPr>
        <w:t>Veterinary Journal</w:t>
      </w:r>
      <w:r>
        <w:rPr>
          <w:sz w:val="24"/>
        </w:rPr>
        <w:t>, 40: 55-57.</w:t>
      </w:r>
    </w:p>
    <w:p>
      <w:pPr>
        <w:pStyle w:val="BodyText"/>
        <w:spacing w:before="139"/>
      </w:pPr>
    </w:p>
    <w:p>
      <w:pPr>
        <w:pStyle w:val="BodyText"/>
        <w:spacing w:line="360" w:lineRule="auto" w:before="1"/>
        <w:ind w:left="1748" w:right="1109" w:hanging="721"/>
        <w:jc w:val="both"/>
      </w:pPr>
      <w:r>
        <w:rPr/>
        <w:t>Raju, A.J.S.</w:t>
      </w:r>
      <w:r>
        <w:rPr>
          <w:spacing w:val="-3"/>
        </w:rPr>
        <w:t> </w:t>
      </w:r>
      <w:r>
        <w:rPr/>
        <w:t>and</w:t>
      </w:r>
      <w:r>
        <w:rPr>
          <w:spacing w:val="-5"/>
        </w:rPr>
        <w:t> </w:t>
      </w:r>
      <w:r>
        <w:rPr/>
        <w:t>Ezradanam,</w:t>
      </w:r>
      <w:r>
        <w:rPr>
          <w:spacing w:val="-3"/>
        </w:rPr>
        <w:t> </w:t>
      </w:r>
      <w:r>
        <w:rPr/>
        <w:t>V.</w:t>
      </w:r>
      <w:r>
        <w:rPr>
          <w:spacing w:val="-4"/>
        </w:rPr>
        <w:t> </w:t>
      </w:r>
      <w:r>
        <w:rPr/>
        <w:t>(2002).</w:t>
      </w:r>
      <w:r>
        <w:rPr>
          <w:spacing w:val="-8"/>
        </w:rPr>
        <w:t> </w:t>
      </w:r>
      <w:r>
        <w:rPr/>
        <w:t>Pollination</w:t>
      </w:r>
      <w:r>
        <w:rPr>
          <w:spacing w:val="-9"/>
        </w:rPr>
        <w:t> </w:t>
      </w:r>
      <w:r>
        <w:rPr/>
        <w:t>ecology</w:t>
      </w:r>
      <w:r>
        <w:rPr>
          <w:spacing w:val="-14"/>
        </w:rPr>
        <w:t> </w:t>
      </w:r>
      <w:r>
        <w:rPr/>
        <w:t>and</w:t>
      </w:r>
      <w:r>
        <w:rPr>
          <w:spacing w:val="-1"/>
        </w:rPr>
        <w:t> </w:t>
      </w:r>
      <w:r>
        <w:rPr/>
        <w:t>fruiting</w:t>
      </w:r>
      <w:r>
        <w:rPr>
          <w:spacing w:val="-5"/>
        </w:rPr>
        <w:t> </w:t>
      </w:r>
      <w:r>
        <w:rPr/>
        <w:t>behaviour in a monoecious</w:t>
      </w:r>
      <w:r>
        <w:rPr>
          <w:spacing w:val="-1"/>
        </w:rPr>
        <w:t> </w:t>
      </w:r>
      <w:r>
        <w:rPr/>
        <w:t>species, </w:t>
      </w:r>
      <w:r>
        <w:rPr>
          <w:i/>
        </w:rPr>
        <w:t>Jatropha curcas </w:t>
      </w:r>
      <w:r>
        <w:rPr/>
        <w:t>L. (Euphorbiaceae). </w:t>
      </w:r>
      <w:r>
        <w:rPr>
          <w:i/>
        </w:rPr>
        <w:t>Current Science</w:t>
      </w:r>
      <w:r>
        <w:rPr/>
        <w:t>, 83, 1395-1398.</w:t>
      </w:r>
    </w:p>
    <w:p>
      <w:pPr>
        <w:spacing w:after="0" w:line="360" w:lineRule="auto"/>
        <w:jc w:val="both"/>
        <w:sectPr>
          <w:pgSz w:w="11910" w:h="16840"/>
          <w:pgMar w:header="0" w:footer="1012" w:top="1740" w:bottom="1200" w:left="960" w:right="620"/>
        </w:sectPr>
      </w:pPr>
    </w:p>
    <w:p>
      <w:pPr>
        <w:spacing w:line="362" w:lineRule="auto" w:before="72"/>
        <w:ind w:left="1748" w:right="816" w:hanging="721"/>
        <w:jc w:val="both"/>
        <w:rPr>
          <w:sz w:val="24"/>
        </w:rPr>
      </w:pPr>
      <w:r>
        <w:rPr>
          <w:sz w:val="24"/>
        </w:rPr>
        <w:t>Rao, A.V. and Gurfinkel, D.M. (2000). The bioactivity of saponins: triterpenoid and steroid glycosides. </w:t>
      </w:r>
      <w:r>
        <w:rPr>
          <w:i/>
          <w:sz w:val="24"/>
        </w:rPr>
        <w:t>Drug Metabolism and Drug Interaction</w:t>
      </w:r>
      <w:r>
        <w:rPr>
          <w:sz w:val="24"/>
        </w:rPr>
        <w:t>, 17: 211-235.</w:t>
      </w:r>
    </w:p>
    <w:p>
      <w:pPr>
        <w:pStyle w:val="BodyText"/>
        <w:spacing w:before="134"/>
      </w:pPr>
    </w:p>
    <w:p>
      <w:pPr>
        <w:pStyle w:val="BodyText"/>
        <w:spacing w:line="360" w:lineRule="auto"/>
        <w:ind w:left="1748" w:right="796" w:hanging="721"/>
        <w:jc w:val="both"/>
      </w:pPr>
      <w:r>
        <w:rPr/>
        <w:t>Rehm, S. and Espig, G. (1991). The Cultivated Plants of the Tropics and Subtropics. Cultivation, Economic Value, Utilization, Margraf Scientific books, CTA, pp. </w:t>
      </w:r>
      <w:r>
        <w:rPr>
          <w:spacing w:val="-2"/>
        </w:rPr>
        <w:t>522-528.</w:t>
      </w:r>
    </w:p>
    <w:p>
      <w:pPr>
        <w:pStyle w:val="BodyText"/>
        <w:spacing w:before="139"/>
      </w:pPr>
    </w:p>
    <w:p>
      <w:pPr>
        <w:pStyle w:val="BodyText"/>
        <w:spacing w:line="360" w:lineRule="auto"/>
        <w:ind w:left="1748" w:right="804" w:hanging="721"/>
        <w:jc w:val="both"/>
      </w:pPr>
      <w:r>
        <w:rPr/>
        <w:t>Rhee, K.C., Carter, C.M. and Matill, K.F. (1972). Simultaneous recovery</w:t>
      </w:r>
      <w:r>
        <w:rPr>
          <w:spacing w:val="-7"/>
        </w:rPr>
        <w:t> </w:t>
      </w:r>
      <w:r>
        <w:rPr/>
        <w:t>of</w:t>
      </w:r>
      <w:r>
        <w:rPr>
          <w:spacing w:val="-5"/>
        </w:rPr>
        <w:t> </w:t>
      </w:r>
      <w:r>
        <w:rPr/>
        <w:t>protein</w:t>
      </w:r>
      <w:r>
        <w:rPr>
          <w:spacing w:val="-2"/>
        </w:rPr>
        <w:t> </w:t>
      </w:r>
      <w:r>
        <w:rPr/>
        <w:t>and oil from raw peanuts for separation of major constituents. </w:t>
      </w:r>
      <w:r>
        <w:rPr>
          <w:i/>
        </w:rPr>
        <w:t>Journal of American Chemical Society</w:t>
      </w:r>
      <w:r>
        <w:rPr/>
        <w:t>, 37: 90-93.</w:t>
      </w:r>
    </w:p>
    <w:p>
      <w:pPr>
        <w:pStyle w:val="BodyText"/>
        <w:spacing w:before="138"/>
      </w:pPr>
    </w:p>
    <w:p>
      <w:pPr>
        <w:spacing w:line="360" w:lineRule="auto" w:before="1"/>
        <w:ind w:left="1748" w:right="858" w:hanging="721"/>
        <w:jc w:val="left"/>
        <w:rPr>
          <w:sz w:val="24"/>
        </w:rPr>
      </w:pPr>
      <w:r>
        <w:rPr>
          <w:sz w:val="24"/>
        </w:rPr>
        <w:t>Rice, E.L. (1995). </w:t>
      </w:r>
      <w:r>
        <w:rPr>
          <w:i/>
          <w:sz w:val="24"/>
        </w:rPr>
        <w:t>Biological Control of Weeds and Plant Diseases; Advances in Applied</w:t>
      </w:r>
      <w:r>
        <w:rPr>
          <w:i/>
          <w:spacing w:val="-3"/>
          <w:sz w:val="24"/>
        </w:rPr>
        <w:t> </w:t>
      </w:r>
      <w:r>
        <w:rPr>
          <w:i/>
          <w:sz w:val="24"/>
        </w:rPr>
        <w:t>Allelopathy</w:t>
      </w:r>
      <w:r>
        <w:rPr>
          <w:sz w:val="24"/>
        </w:rPr>
        <w:t>.</w:t>
      </w:r>
      <w:r>
        <w:rPr>
          <w:spacing w:val="-5"/>
          <w:sz w:val="24"/>
        </w:rPr>
        <w:t> </w:t>
      </w:r>
      <w:r>
        <w:rPr>
          <w:sz w:val="24"/>
        </w:rPr>
        <w:t>University</w:t>
      </w:r>
      <w:r>
        <w:rPr>
          <w:spacing w:val="-13"/>
          <w:sz w:val="24"/>
        </w:rPr>
        <w:t> </w:t>
      </w:r>
      <w:r>
        <w:rPr>
          <w:sz w:val="24"/>
        </w:rPr>
        <w:t>of</w:t>
      </w:r>
      <w:r>
        <w:rPr>
          <w:spacing w:val="-11"/>
          <w:sz w:val="24"/>
        </w:rPr>
        <w:t> </w:t>
      </w:r>
      <w:r>
        <w:rPr>
          <w:sz w:val="24"/>
        </w:rPr>
        <w:t>Oklahoma</w:t>
      </w:r>
      <w:r>
        <w:rPr>
          <w:spacing w:val="-4"/>
          <w:sz w:val="24"/>
        </w:rPr>
        <w:t> </w:t>
      </w:r>
      <w:r>
        <w:rPr>
          <w:sz w:val="24"/>
        </w:rPr>
        <w:t>Press,</w:t>
      </w:r>
      <w:r>
        <w:rPr>
          <w:spacing w:val="-2"/>
          <w:sz w:val="24"/>
        </w:rPr>
        <w:t> </w:t>
      </w:r>
      <w:r>
        <w:rPr>
          <w:sz w:val="24"/>
        </w:rPr>
        <w:t>Norman,</w:t>
      </w:r>
      <w:r>
        <w:rPr>
          <w:spacing w:val="-2"/>
          <w:sz w:val="24"/>
        </w:rPr>
        <w:t> </w:t>
      </w:r>
      <w:r>
        <w:rPr>
          <w:sz w:val="24"/>
        </w:rPr>
        <w:t>USA,</w:t>
      </w:r>
      <w:r>
        <w:rPr>
          <w:spacing w:val="-2"/>
          <w:sz w:val="24"/>
        </w:rPr>
        <w:t> </w:t>
      </w:r>
      <w:r>
        <w:rPr>
          <w:sz w:val="24"/>
        </w:rPr>
        <w:t>pp.</w:t>
      </w:r>
      <w:r>
        <w:rPr>
          <w:spacing w:val="-2"/>
          <w:sz w:val="24"/>
        </w:rPr>
        <w:t> </w:t>
      </w:r>
      <w:r>
        <w:rPr>
          <w:sz w:val="24"/>
        </w:rPr>
        <w:t>439.</w:t>
      </w:r>
    </w:p>
    <w:p>
      <w:pPr>
        <w:pStyle w:val="BodyText"/>
        <w:spacing w:before="139"/>
      </w:pPr>
    </w:p>
    <w:p>
      <w:pPr>
        <w:pStyle w:val="BodyText"/>
        <w:spacing w:line="360" w:lineRule="auto"/>
        <w:ind w:left="1748" w:right="819" w:hanging="721"/>
        <w:jc w:val="both"/>
      </w:pPr>
      <w:r>
        <w:rPr/>
        <w:t>Rietjens, I.M., Martena, M.J., Boersma, M.G., Spiegelenberg, W. and Alink, G.M. (2005). Molecular mechanisms of toxicity of important food borne phytotoxins. </w:t>
      </w:r>
      <w:r>
        <w:rPr>
          <w:i/>
        </w:rPr>
        <w:t>Molecular Nutrition and Food Research</w:t>
      </w:r>
      <w:r>
        <w:rPr/>
        <w:t>, 49: 131-158.</w:t>
      </w:r>
    </w:p>
    <w:p>
      <w:pPr>
        <w:pStyle w:val="BodyText"/>
        <w:spacing w:before="139"/>
      </w:pPr>
    </w:p>
    <w:p>
      <w:pPr>
        <w:pStyle w:val="BodyText"/>
        <w:spacing w:line="360" w:lineRule="auto"/>
        <w:ind w:left="1748" w:right="806" w:hanging="721"/>
        <w:jc w:val="both"/>
      </w:pPr>
      <w:r>
        <w:rPr/>
        <w:t>Rungapamestry, V., Duncan, A.J., Fuller, Z. and Ratcliffe, B. (2007). Effect of</w:t>
      </w:r>
      <w:r>
        <w:rPr>
          <w:spacing w:val="-6"/>
        </w:rPr>
        <w:t> </w:t>
      </w:r>
      <w:r>
        <w:rPr/>
        <w:t>cooking Brassica vegetables on the subsequent hydrolysis and metabolic fate of glucosinolates.</w:t>
      </w:r>
      <w:r>
        <w:rPr>
          <w:spacing w:val="40"/>
        </w:rPr>
        <w:t> </w:t>
      </w:r>
      <w:r>
        <w:rPr>
          <w:i/>
        </w:rPr>
        <w:t>Nutrition Society</w:t>
      </w:r>
      <w:r>
        <w:rPr/>
        <w:t>, 66 (1): 69-81.</w:t>
      </w:r>
    </w:p>
    <w:p>
      <w:pPr>
        <w:pStyle w:val="BodyText"/>
        <w:spacing w:before="138"/>
      </w:pPr>
    </w:p>
    <w:p>
      <w:pPr>
        <w:spacing w:line="360" w:lineRule="auto" w:before="1"/>
        <w:ind w:left="1748" w:right="800" w:hanging="721"/>
        <w:jc w:val="both"/>
        <w:rPr>
          <w:sz w:val="24"/>
        </w:rPr>
      </w:pPr>
      <w:r>
        <w:rPr>
          <w:sz w:val="24"/>
        </w:rPr>
        <w:t>Saidu, Y. Nwachukwu, F.C. Bilbis, L.S. Faruk, U.Z. and Abbas, A.Y. (2010). Toxicity studies of the crude aqueous root extract of </w:t>
      </w:r>
      <w:r>
        <w:rPr>
          <w:i/>
          <w:sz w:val="24"/>
        </w:rPr>
        <w:t>Albizzia chevalieri </w:t>
      </w:r>
      <w:r>
        <w:rPr>
          <w:sz w:val="24"/>
        </w:rPr>
        <w:t>harms in albino rats. </w:t>
      </w:r>
      <w:r>
        <w:rPr>
          <w:i/>
          <w:sz w:val="24"/>
        </w:rPr>
        <w:t>Nigerian Journal of Basic and Applied Science</w:t>
      </w:r>
      <w:r>
        <w:rPr>
          <w:sz w:val="24"/>
        </w:rPr>
        <w:t>, 18(2): 308-314.</w:t>
      </w:r>
    </w:p>
    <w:p>
      <w:pPr>
        <w:pStyle w:val="BodyText"/>
        <w:spacing w:before="138"/>
      </w:pPr>
    </w:p>
    <w:p>
      <w:pPr>
        <w:spacing w:line="360" w:lineRule="auto" w:before="0"/>
        <w:ind w:left="1748" w:right="802" w:hanging="721"/>
        <w:jc w:val="both"/>
        <w:rPr>
          <w:sz w:val="24"/>
        </w:rPr>
      </w:pPr>
      <w:r>
        <w:rPr>
          <w:sz w:val="24"/>
        </w:rPr>
        <w:t>Setty, M.M., Laxane, S.N., Swarnkar, S., Mruthunjaya, K. and Zanwar, S. (2013). </w:t>
      </w:r>
      <w:r>
        <w:rPr>
          <w:i/>
          <w:sz w:val="24"/>
        </w:rPr>
        <w:t>Jatropha curcas</w:t>
      </w:r>
      <w:r>
        <w:rPr>
          <w:sz w:val="24"/>
        </w:rPr>
        <w:t>: A systemic review on pharmacological, phytochemical, toxicological profiles and commercial applications. </w:t>
      </w:r>
      <w:r>
        <w:rPr>
          <w:i/>
          <w:sz w:val="24"/>
        </w:rPr>
        <w:t>Research Journal of Pharmaceutical, Biological and Chemical Research</w:t>
      </w:r>
      <w:r>
        <w:rPr>
          <w:sz w:val="24"/>
        </w:rPr>
        <w:t>, 4(1): 989.</w:t>
      </w:r>
    </w:p>
    <w:p>
      <w:pPr>
        <w:pStyle w:val="BodyText"/>
        <w:spacing w:before="137"/>
      </w:pPr>
    </w:p>
    <w:p>
      <w:pPr>
        <w:spacing w:line="360" w:lineRule="auto" w:before="1"/>
        <w:ind w:left="1748" w:right="858" w:hanging="721"/>
        <w:jc w:val="left"/>
        <w:rPr>
          <w:sz w:val="24"/>
        </w:rPr>
      </w:pPr>
      <w:r>
        <w:rPr>
          <w:sz w:val="24"/>
        </w:rPr>
        <w:t>Sharma, A., Khare, S.K. and Gupta, M.N. (2002). Enzyme assisted aqueous extraction of Peanut oil. </w:t>
      </w:r>
      <w:r>
        <w:rPr>
          <w:i/>
          <w:sz w:val="24"/>
        </w:rPr>
        <w:t>Journal of American Chemical Society</w:t>
      </w:r>
      <w:r>
        <w:rPr>
          <w:sz w:val="24"/>
        </w:rPr>
        <w:t>. 79: 215-218.</w:t>
      </w:r>
    </w:p>
    <w:p>
      <w:pPr>
        <w:spacing w:after="0" w:line="360" w:lineRule="auto"/>
        <w:jc w:val="left"/>
        <w:rPr>
          <w:sz w:val="24"/>
        </w:rPr>
        <w:sectPr>
          <w:pgSz w:w="11910" w:h="16840"/>
          <w:pgMar w:header="0" w:footer="1012" w:top="1740" w:bottom="1200" w:left="960" w:right="620"/>
        </w:sectPr>
      </w:pPr>
    </w:p>
    <w:p>
      <w:pPr>
        <w:spacing w:line="362" w:lineRule="auto" w:before="72"/>
        <w:ind w:left="1748" w:right="800" w:hanging="721"/>
        <w:jc w:val="both"/>
        <w:rPr>
          <w:sz w:val="24"/>
        </w:rPr>
      </w:pPr>
      <w:r>
        <w:rPr>
          <w:sz w:val="24"/>
        </w:rPr>
        <w:t>Sharma, O.P. and Sharma, S. (2007). A review of the hepatotoxic plant </w:t>
      </w:r>
      <w:r>
        <w:rPr>
          <w:i/>
          <w:sz w:val="24"/>
        </w:rPr>
        <w:t>Lantana camara</w:t>
      </w:r>
      <w:r>
        <w:rPr>
          <w:sz w:val="24"/>
        </w:rPr>
        <w:t>. </w:t>
      </w:r>
      <w:r>
        <w:rPr>
          <w:i/>
          <w:sz w:val="24"/>
        </w:rPr>
        <w:t>Critical Reviews in Toxicology</w:t>
      </w:r>
      <w:r>
        <w:rPr>
          <w:sz w:val="24"/>
        </w:rPr>
        <w:t>, 37: 313-352.</w:t>
      </w:r>
    </w:p>
    <w:p>
      <w:pPr>
        <w:pStyle w:val="BodyText"/>
        <w:spacing w:before="134"/>
      </w:pPr>
    </w:p>
    <w:p>
      <w:pPr>
        <w:pStyle w:val="BodyText"/>
        <w:spacing w:line="360" w:lineRule="auto"/>
        <w:ind w:left="1748" w:right="812" w:hanging="721"/>
        <w:jc w:val="both"/>
      </w:pPr>
      <w:r>
        <w:rPr/>
        <w:t>Shibata, M., Ohkubo, T., Takahashi, H. and Inoki, R. (1989). Modified formalin test; characteristic biphasic pain response. </w:t>
      </w:r>
      <w:r>
        <w:rPr>
          <w:i/>
        </w:rPr>
        <w:t>Pain</w:t>
      </w:r>
      <w:r>
        <w:rPr/>
        <w:t>, 38: 347-352.</w:t>
      </w:r>
    </w:p>
    <w:p>
      <w:pPr>
        <w:pStyle w:val="BodyText"/>
        <w:spacing w:before="140"/>
      </w:pPr>
    </w:p>
    <w:p>
      <w:pPr>
        <w:pStyle w:val="BodyText"/>
        <w:spacing w:line="360" w:lineRule="auto"/>
        <w:ind w:left="1748" w:right="803" w:hanging="721"/>
        <w:jc w:val="both"/>
      </w:pPr>
      <w:r>
        <w:rPr/>
        <w:t>Smith, B.L. (1997).</w:t>
      </w:r>
      <w:r>
        <w:rPr>
          <w:spacing w:val="-4"/>
        </w:rPr>
        <w:t> </w:t>
      </w:r>
      <w:r>
        <w:rPr/>
        <w:t>The</w:t>
      </w:r>
      <w:r>
        <w:rPr>
          <w:spacing w:val="-2"/>
        </w:rPr>
        <w:t> </w:t>
      </w:r>
      <w:r>
        <w:rPr/>
        <w:t>Toxicity</w:t>
      </w:r>
      <w:r>
        <w:rPr>
          <w:spacing w:val="-11"/>
        </w:rPr>
        <w:t> </w:t>
      </w:r>
      <w:r>
        <w:rPr/>
        <w:t>of</w:t>
      </w:r>
      <w:r>
        <w:rPr>
          <w:spacing w:val="-9"/>
        </w:rPr>
        <w:t> </w:t>
      </w:r>
      <w:r>
        <w:rPr/>
        <w:t>Bracken</w:t>
      </w:r>
      <w:r>
        <w:rPr>
          <w:spacing w:val="-6"/>
        </w:rPr>
        <w:t> </w:t>
      </w:r>
      <w:r>
        <w:rPr/>
        <w:t>Fern</w:t>
      </w:r>
      <w:r>
        <w:rPr>
          <w:spacing w:val="-1"/>
        </w:rPr>
        <w:t> </w:t>
      </w:r>
      <w:r>
        <w:rPr/>
        <w:t>(Genus </w:t>
      </w:r>
      <w:r>
        <w:rPr>
          <w:i/>
        </w:rPr>
        <w:t>Pteridium</w:t>
      </w:r>
      <w:r>
        <w:rPr/>
        <w:t>) to</w:t>
      </w:r>
      <w:r>
        <w:rPr>
          <w:spacing w:val="-1"/>
        </w:rPr>
        <w:t> </w:t>
      </w:r>
      <w:r>
        <w:rPr/>
        <w:t>Animals</w:t>
      </w:r>
      <w:r>
        <w:rPr>
          <w:spacing w:val="-3"/>
        </w:rPr>
        <w:t> </w:t>
      </w:r>
      <w:r>
        <w:rPr/>
        <w:t>and</w:t>
      </w:r>
      <w:r>
        <w:rPr>
          <w:spacing w:val="-1"/>
        </w:rPr>
        <w:t> </w:t>
      </w:r>
      <w:r>
        <w:rPr/>
        <w:t>Its Relevance to Man. In:</w:t>
      </w:r>
      <w:r>
        <w:rPr>
          <w:spacing w:val="40"/>
        </w:rPr>
        <w:t> </w:t>
      </w:r>
      <w:r>
        <w:rPr/>
        <w:t>D‟Mello, J.P.F. (Ed) </w:t>
      </w:r>
      <w:r>
        <w:rPr>
          <w:i/>
        </w:rPr>
        <w:t>Plant and Fungal Toxicants</w:t>
      </w:r>
      <w:r>
        <w:rPr/>
        <w:t>, CRC Press, New York, USA, pp. 63-76.</w:t>
      </w:r>
    </w:p>
    <w:p>
      <w:pPr>
        <w:pStyle w:val="BodyText"/>
        <w:spacing w:before="139"/>
      </w:pPr>
    </w:p>
    <w:p>
      <w:pPr>
        <w:spacing w:line="360" w:lineRule="auto" w:before="0"/>
        <w:ind w:left="1748" w:right="804" w:hanging="721"/>
        <w:jc w:val="both"/>
        <w:rPr>
          <w:sz w:val="24"/>
        </w:rPr>
      </w:pPr>
      <w:r>
        <w:rPr>
          <w:sz w:val="24"/>
        </w:rPr>
        <w:t>Sonavane, G., Sarveiya, V., Kasture, V. and Kasture, S.B. (2001). Behavioural actions of </w:t>
      </w:r>
      <w:r>
        <w:rPr>
          <w:i/>
          <w:sz w:val="24"/>
        </w:rPr>
        <w:t>Myristica fragrans </w:t>
      </w:r>
      <w:r>
        <w:rPr>
          <w:sz w:val="24"/>
        </w:rPr>
        <w:t>seeds. </w:t>
      </w:r>
      <w:r>
        <w:rPr>
          <w:i/>
          <w:sz w:val="24"/>
        </w:rPr>
        <w:t>Indian Journal of Pharmacology</w:t>
      </w:r>
      <w:r>
        <w:rPr>
          <w:sz w:val="24"/>
        </w:rPr>
        <w:t>, 33(6): 417-424.</w:t>
      </w:r>
    </w:p>
    <w:p>
      <w:pPr>
        <w:pStyle w:val="BodyText"/>
        <w:spacing w:before="134"/>
      </w:pPr>
    </w:p>
    <w:p>
      <w:pPr>
        <w:pStyle w:val="BodyText"/>
        <w:spacing w:line="362" w:lineRule="auto"/>
        <w:ind w:left="1748" w:right="804" w:hanging="721"/>
        <w:jc w:val="both"/>
      </w:pPr>
      <w:hyperlink r:id="rId131">
        <w:r>
          <w:rPr>
            <w:u w:val="single"/>
          </w:rPr>
          <w:t>Tapsell,</w:t>
        </w:r>
        <w:r>
          <w:rPr>
            <w:spacing w:val="40"/>
            <w:u w:val="single"/>
          </w:rPr>
          <w:t> </w:t>
        </w:r>
        <w:r>
          <w:rPr>
            <w:u w:val="single"/>
          </w:rPr>
          <w:t>L.C</w:t>
        </w:r>
      </w:hyperlink>
      <w:r>
        <w:rPr/>
        <w:t>.,</w:t>
      </w:r>
      <w:r>
        <w:rPr>
          <w:spacing w:val="-1"/>
        </w:rPr>
        <w:t> </w:t>
      </w:r>
      <w:hyperlink r:id="rId132">
        <w:r>
          <w:rPr>
            <w:u w:val="single"/>
          </w:rPr>
          <w:t>Hemphill,</w:t>
        </w:r>
        <w:r>
          <w:rPr>
            <w:spacing w:val="40"/>
            <w:u w:val="single"/>
          </w:rPr>
          <w:t> </w:t>
        </w:r>
        <w:r>
          <w:rPr>
            <w:u w:val="single"/>
          </w:rPr>
          <w:t>I</w:t>
        </w:r>
      </w:hyperlink>
      <w:r>
        <w:rPr/>
        <w:t>.,</w:t>
      </w:r>
      <w:r>
        <w:rPr>
          <w:spacing w:val="-1"/>
        </w:rPr>
        <w:t> </w:t>
      </w:r>
      <w:hyperlink r:id="rId133">
        <w:r>
          <w:rPr>
            <w:u w:val="single"/>
          </w:rPr>
          <w:t>Cobiac,</w:t>
        </w:r>
        <w:r>
          <w:rPr>
            <w:spacing w:val="40"/>
            <w:u w:val="single"/>
          </w:rPr>
          <w:t> </w:t>
        </w:r>
        <w:r>
          <w:rPr>
            <w:u w:val="single"/>
          </w:rPr>
          <w:t>L</w:t>
        </w:r>
      </w:hyperlink>
      <w:r>
        <w:rPr/>
        <w:t>.,</w:t>
      </w:r>
      <w:r>
        <w:rPr>
          <w:spacing w:val="-1"/>
        </w:rPr>
        <w:t> </w:t>
      </w:r>
      <w:hyperlink r:id="rId134">
        <w:r>
          <w:rPr>
            <w:u w:val="single"/>
          </w:rPr>
          <w:t>Patch,</w:t>
        </w:r>
        <w:r>
          <w:rPr>
            <w:spacing w:val="40"/>
            <w:u w:val="single"/>
          </w:rPr>
          <w:t> </w:t>
        </w:r>
        <w:r>
          <w:rPr>
            <w:u w:val="single"/>
          </w:rPr>
          <w:t>C.S</w:t>
        </w:r>
      </w:hyperlink>
      <w:r>
        <w:rPr/>
        <w:t>.,</w:t>
      </w:r>
      <w:r>
        <w:rPr>
          <w:spacing w:val="-1"/>
        </w:rPr>
        <w:t> </w:t>
      </w:r>
      <w:hyperlink r:id="rId135">
        <w:r>
          <w:rPr>
            <w:u w:val="single"/>
          </w:rPr>
          <w:t>Sullivan,</w:t>
        </w:r>
        <w:r>
          <w:rPr>
            <w:spacing w:val="40"/>
            <w:u w:val="single"/>
          </w:rPr>
          <w:t> </w:t>
        </w:r>
        <w:r>
          <w:rPr>
            <w:u w:val="single"/>
          </w:rPr>
          <w:t>D.R</w:t>
        </w:r>
      </w:hyperlink>
      <w:r>
        <w:rPr/>
        <w:t>.,</w:t>
      </w:r>
      <w:r>
        <w:rPr>
          <w:spacing w:val="-1"/>
        </w:rPr>
        <w:t> </w:t>
      </w:r>
      <w:hyperlink r:id="rId136">
        <w:r>
          <w:rPr>
            <w:u w:val="single"/>
          </w:rPr>
          <w:t>Fenech,</w:t>
        </w:r>
        <w:r>
          <w:rPr>
            <w:spacing w:val="40"/>
            <w:u w:val="single"/>
          </w:rPr>
          <w:t> </w:t>
        </w:r>
        <w:r>
          <w:rPr>
            <w:u w:val="single"/>
          </w:rPr>
          <w:t>M</w:t>
        </w:r>
      </w:hyperlink>
      <w:r>
        <w:rPr/>
        <w:t>.,</w:t>
      </w:r>
      <w:r>
        <w:rPr>
          <w:spacing w:val="40"/>
        </w:rPr>
        <w:t> </w:t>
      </w:r>
      <w:r>
        <w:rPr/>
        <w:t>and </w:t>
      </w:r>
      <w:hyperlink r:id="rId137">
        <w:r>
          <w:rPr>
            <w:u w:val="single"/>
          </w:rPr>
          <w:t>Inge, K.E</w:t>
        </w:r>
        <w:r>
          <w:rPr/>
          <w:t>.</w:t>
        </w:r>
      </w:hyperlink>
      <w:r>
        <w:rPr/>
        <w:t> (2006). Health benefits of</w:t>
      </w:r>
      <w:r>
        <w:rPr>
          <w:spacing w:val="-3"/>
        </w:rPr>
        <w:t> </w:t>
      </w:r>
      <w:r>
        <w:rPr/>
        <w:t>herbs and spices: The past, the present, the future. </w:t>
      </w:r>
      <w:r>
        <w:rPr>
          <w:i/>
        </w:rPr>
        <w:t>Medical Journal of Australia</w:t>
      </w:r>
      <w:r>
        <w:rPr/>
        <w:t>, 185(4): 4-24.</w:t>
      </w:r>
    </w:p>
    <w:p>
      <w:pPr>
        <w:pStyle w:val="BodyText"/>
        <w:spacing w:before="130"/>
      </w:pPr>
    </w:p>
    <w:p>
      <w:pPr>
        <w:pStyle w:val="BodyText"/>
        <w:spacing w:line="362" w:lineRule="auto" w:before="1"/>
        <w:ind w:left="1748" w:right="800" w:hanging="721"/>
        <w:jc w:val="both"/>
      </w:pPr>
      <w:r>
        <w:rPr/>
        <w:t>Toma W., Graciosa J.S., Hiruma-Lima C.A., Andrade F.D.P., Vilegas W., and Souza- Brita A.R.M., (2003). Evaluation of the analgesic and antimutagenic activities</w:t>
      </w:r>
      <w:r>
        <w:rPr>
          <w:spacing w:val="80"/>
        </w:rPr>
        <w:t> </w:t>
      </w:r>
      <w:r>
        <w:rPr/>
        <w:t>of </w:t>
      </w:r>
      <w:r>
        <w:rPr>
          <w:i/>
        </w:rPr>
        <w:t>Quassia amara </w:t>
      </w:r>
      <w:r>
        <w:rPr/>
        <w:t>bark extract. </w:t>
      </w:r>
      <w:r>
        <w:rPr>
          <w:i/>
        </w:rPr>
        <w:t>Journal </w:t>
      </w:r>
      <w:r>
        <w:rPr/>
        <w:t>of </w:t>
      </w:r>
      <w:r>
        <w:rPr>
          <w:i/>
        </w:rPr>
        <w:t>Ethnopharmacology</w:t>
      </w:r>
      <w:r>
        <w:rPr/>
        <w:t>, 95: 19-23.</w:t>
      </w:r>
    </w:p>
    <w:p>
      <w:pPr>
        <w:pStyle w:val="BodyText"/>
        <w:spacing w:before="130"/>
      </w:pPr>
    </w:p>
    <w:p>
      <w:pPr>
        <w:pStyle w:val="BodyText"/>
        <w:spacing w:line="360" w:lineRule="auto"/>
        <w:ind w:left="1748" w:right="802" w:hanging="721"/>
        <w:jc w:val="both"/>
      </w:pPr>
      <w:r>
        <w:rPr/>
        <w:t>Trabi, M., Gubitz, G.M., Steiner, W. and Foidi, N. (1997). Toxicity</w:t>
      </w:r>
      <w:r>
        <w:rPr>
          <w:spacing w:val="-2"/>
        </w:rPr>
        <w:t> </w:t>
      </w:r>
      <w:r>
        <w:rPr/>
        <w:t>of </w:t>
      </w:r>
      <w:r>
        <w:rPr>
          <w:i/>
        </w:rPr>
        <w:t>Jatropha curcas </w:t>
      </w:r>
      <w:r>
        <w:rPr/>
        <w:t>seeds. Biofuel and Industrial products from </w:t>
      </w:r>
      <w:r>
        <w:rPr>
          <w:i/>
        </w:rPr>
        <w:t>Jatropha curcas</w:t>
      </w:r>
      <w:r>
        <w:rPr/>
        <w:t>. Proceeding of a symposium held in Managua, Nicaragua, Technical University of Graz, Uhlandgasse, Graz, Austria.</w:t>
      </w:r>
    </w:p>
    <w:p>
      <w:pPr>
        <w:pStyle w:val="BodyText"/>
        <w:spacing w:before="142"/>
      </w:pPr>
    </w:p>
    <w:p>
      <w:pPr>
        <w:pStyle w:val="BodyText"/>
        <w:spacing w:before="1"/>
        <w:ind w:left="1028"/>
      </w:pPr>
      <w:r>
        <w:rPr/>
        <w:t>Trease</w:t>
      </w:r>
      <w:r>
        <w:rPr>
          <w:spacing w:val="2"/>
        </w:rPr>
        <w:t> </w:t>
      </w:r>
      <w:r>
        <w:rPr/>
        <w:t>GE,</w:t>
      </w:r>
      <w:r>
        <w:rPr>
          <w:spacing w:val="7"/>
        </w:rPr>
        <w:t> </w:t>
      </w:r>
      <w:r>
        <w:rPr/>
        <w:t>Evans</w:t>
      </w:r>
      <w:r>
        <w:rPr>
          <w:spacing w:val="7"/>
        </w:rPr>
        <w:t> </w:t>
      </w:r>
      <w:r>
        <w:rPr/>
        <w:t>WC</w:t>
      </w:r>
      <w:r>
        <w:rPr>
          <w:spacing w:val="3"/>
        </w:rPr>
        <w:t> </w:t>
      </w:r>
      <w:r>
        <w:rPr/>
        <w:t>(1996).</w:t>
      </w:r>
      <w:r>
        <w:rPr>
          <w:spacing w:val="11"/>
        </w:rPr>
        <w:t> </w:t>
      </w:r>
      <w:r>
        <w:rPr>
          <w:i/>
        </w:rPr>
        <w:t>Pharmacognosy</w:t>
      </w:r>
      <w:r>
        <w:rPr/>
        <w:t>.</w:t>
      </w:r>
      <w:r>
        <w:rPr>
          <w:spacing w:val="10"/>
        </w:rPr>
        <w:t> </w:t>
      </w:r>
      <w:r>
        <w:rPr/>
        <w:t>Alden</w:t>
      </w:r>
      <w:r>
        <w:rPr>
          <w:spacing w:val="1"/>
        </w:rPr>
        <w:t> </w:t>
      </w:r>
      <w:r>
        <w:rPr/>
        <w:t>Press,</w:t>
      </w:r>
      <w:r>
        <w:rPr>
          <w:spacing w:val="7"/>
        </w:rPr>
        <w:t> </w:t>
      </w:r>
      <w:r>
        <w:rPr/>
        <w:t>Oxford,</w:t>
      </w:r>
      <w:r>
        <w:rPr>
          <w:spacing w:val="7"/>
        </w:rPr>
        <w:t> </w:t>
      </w:r>
      <w:r>
        <w:rPr/>
        <w:t>England,</w:t>
      </w:r>
      <w:r>
        <w:rPr>
          <w:spacing w:val="12"/>
        </w:rPr>
        <w:t> </w:t>
      </w:r>
      <w:r>
        <w:rPr/>
        <w:t>pp.</w:t>
      </w:r>
      <w:r>
        <w:rPr>
          <w:spacing w:val="7"/>
        </w:rPr>
        <w:t> </w:t>
      </w:r>
      <w:r>
        <w:rPr>
          <w:spacing w:val="-5"/>
        </w:rPr>
        <w:t>213</w:t>
      </w:r>
    </w:p>
    <w:p>
      <w:pPr>
        <w:pStyle w:val="BodyText"/>
        <w:spacing w:before="136"/>
        <w:ind w:left="1748"/>
      </w:pPr>
      <w:r>
        <w:rPr/>
        <w:t>-</w:t>
      </w:r>
      <w:r>
        <w:rPr>
          <w:spacing w:val="-4"/>
        </w:rPr>
        <w:t>232.</w:t>
      </w:r>
    </w:p>
    <w:p>
      <w:pPr>
        <w:pStyle w:val="BodyText"/>
        <w:spacing w:before="274"/>
      </w:pPr>
    </w:p>
    <w:p>
      <w:pPr>
        <w:pStyle w:val="BodyText"/>
        <w:spacing w:line="364" w:lineRule="auto"/>
        <w:ind w:left="1748" w:right="810" w:hanging="721"/>
        <w:jc w:val="both"/>
      </w:pPr>
      <w:r>
        <w:rPr/>
        <w:t>Trease, G. E. and Evans W. C. (1989). </w:t>
      </w:r>
      <w:r>
        <w:rPr>
          <w:i/>
        </w:rPr>
        <w:t>Pharmacognosy</w:t>
      </w:r>
      <w:r>
        <w:rPr/>
        <w:t>, 13th. Braillière Tindall, London, UK, pp. 290.</w:t>
      </w:r>
    </w:p>
    <w:p>
      <w:pPr>
        <w:spacing w:after="0" w:line="364" w:lineRule="auto"/>
        <w:jc w:val="both"/>
        <w:sectPr>
          <w:pgSz w:w="11910" w:h="16840"/>
          <w:pgMar w:header="0" w:footer="1012" w:top="1740" w:bottom="1200" w:left="960" w:right="620"/>
        </w:sectPr>
      </w:pPr>
    </w:p>
    <w:p>
      <w:pPr>
        <w:pStyle w:val="BodyText"/>
        <w:spacing w:line="360" w:lineRule="auto" w:before="79"/>
        <w:ind w:left="1748" w:right="803" w:hanging="721"/>
        <w:jc w:val="both"/>
      </w:pPr>
      <w:r>
        <w:rPr/>
        <w:t>Tjolsen, A., Berger, O.G., Hunskaar, S., Rosland, J.H. and Hole, K. (1992). The formalin test: An evaluation of the method. </w:t>
      </w:r>
      <w:r>
        <w:rPr>
          <w:i/>
        </w:rPr>
        <w:t>Pain</w:t>
      </w:r>
      <w:r>
        <w:rPr/>
        <w:t>, 51: 5-17.</w:t>
      </w:r>
    </w:p>
    <w:p>
      <w:pPr>
        <w:pStyle w:val="BodyText"/>
        <w:spacing w:before="140"/>
      </w:pPr>
    </w:p>
    <w:p>
      <w:pPr>
        <w:spacing w:line="360" w:lineRule="auto" w:before="0"/>
        <w:ind w:left="1748" w:right="802" w:hanging="721"/>
        <w:jc w:val="both"/>
        <w:rPr>
          <w:sz w:val="24"/>
        </w:rPr>
      </w:pPr>
      <w:r>
        <w:rPr>
          <w:sz w:val="24"/>
        </w:rPr>
        <w:t>Umaru, M. and Aberuagba, F. (2012). Characteristics of a typical Nigerian </w:t>
      </w:r>
      <w:r>
        <w:rPr>
          <w:i/>
          <w:sz w:val="24"/>
        </w:rPr>
        <w:t>Jatropha curcas </w:t>
      </w:r>
      <w:r>
        <w:rPr>
          <w:sz w:val="24"/>
        </w:rPr>
        <w:t>oil Seeds for biodiesel production. </w:t>
      </w:r>
      <w:r>
        <w:rPr>
          <w:i/>
          <w:sz w:val="24"/>
        </w:rPr>
        <w:t>Research Journal of Chemical Sciences</w:t>
      </w:r>
      <w:r>
        <w:rPr>
          <w:sz w:val="24"/>
        </w:rPr>
        <w:t>, 2(10): 7-12.</w:t>
      </w:r>
    </w:p>
    <w:p>
      <w:pPr>
        <w:pStyle w:val="BodyText"/>
        <w:spacing w:before="138"/>
      </w:pPr>
    </w:p>
    <w:p>
      <w:pPr>
        <w:spacing w:line="360" w:lineRule="auto" w:before="1"/>
        <w:ind w:left="1748" w:right="800" w:hanging="721"/>
        <w:jc w:val="both"/>
        <w:rPr>
          <w:sz w:val="24"/>
        </w:rPr>
      </w:pPr>
      <w:r>
        <w:rPr>
          <w:sz w:val="24"/>
        </w:rPr>
        <w:t>UNIFEM, (1993).</w:t>
      </w:r>
      <w:r>
        <w:rPr>
          <w:spacing w:val="-1"/>
          <w:sz w:val="24"/>
        </w:rPr>
        <w:t> </w:t>
      </w:r>
      <w:r>
        <w:rPr>
          <w:sz w:val="24"/>
        </w:rPr>
        <w:t>United</w:t>
      </w:r>
      <w:r>
        <w:rPr>
          <w:spacing w:val="-3"/>
          <w:sz w:val="24"/>
        </w:rPr>
        <w:t> </w:t>
      </w:r>
      <w:r>
        <w:rPr>
          <w:sz w:val="24"/>
        </w:rPr>
        <w:t>Nations</w:t>
      </w:r>
      <w:r>
        <w:rPr>
          <w:spacing w:val="-5"/>
          <w:sz w:val="24"/>
        </w:rPr>
        <w:t> </w:t>
      </w:r>
      <w:r>
        <w:rPr>
          <w:sz w:val="24"/>
        </w:rPr>
        <w:t>Development Fund for</w:t>
      </w:r>
      <w:r>
        <w:rPr>
          <w:spacing w:val="-2"/>
          <w:sz w:val="24"/>
        </w:rPr>
        <w:t> </w:t>
      </w:r>
      <w:r>
        <w:rPr>
          <w:sz w:val="24"/>
        </w:rPr>
        <w:t>Women:</w:t>
      </w:r>
      <w:r>
        <w:rPr>
          <w:spacing w:val="-3"/>
          <w:sz w:val="24"/>
        </w:rPr>
        <w:t> </w:t>
      </w:r>
      <w:r>
        <w:rPr>
          <w:sz w:val="24"/>
        </w:rPr>
        <w:t>Oil</w:t>
      </w:r>
      <w:r>
        <w:rPr>
          <w:spacing w:val="-7"/>
          <w:sz w:val="24"/>
        </w:rPr>
        <w:t> </w:t>
      </w:r>
      <w:r>
        <w:rPr>
          <w:sz w:val="24"/>
        </w:rPr>
        <w:t>Processing, Food Cycle, Technology Source Books. </w:t>
      </w:r>
      <w:r>
        <w:rPr>
          <w:i/>
          <w:sz w:val="24"/>
        </w:rPr>
        <w:t>International Technological Proceedings</w:t>
      </w:r>
      <w:r>
        <w:rPr>
          <w:sz w:val="24"/>
        </w:rPr>
        <w:t>, </w:t>
      </w:r>
      <w:r>
        <w:rPr>
          <w:spacing w:val="-2"/>
          <w:sz w:val="24"/>
        </w:rPr>
        <w:t>London.</w:t>
      </w:r>
    </w:p>
    <w:p>
      <w:pPr>
        <w:pStyle w:val="BodyText"/>
        <w:spacing w:before="138"/>
      </w:pPr>
    </w:p>
    <w:p>
      <w:pPr>
        <w:spacing w:line="360" w:lineRule="auto" w:before="0"/>
        <w:ind w:left="1748" w:right="805" w:hanging="721"/>
        <w:jc w:val="both"/>
        <w:rPr>
          <w:sz w:val="24"/>
        </w:rPr>
      </w:pPr>
      <w:r>
        <w:rPr>
          <w:sz w:val="24"/>
        </w:rPr>
        <w:t>Vetter, J. (2004). Poison hemlock (</w:t>
      </w:r>
      <w:r>
        <w:rPr>
          <w:i/>
          <w:sz w:val="24"/>
        </w:rPr>
        <w:t>Conium maculatum </w:t>
      </w:r>
      <w:r>
        <w:rPr>
          <w:sz w:val="24"/>
        </w:rPr>
        <w:t>L.) – Review. </w:t>
      </w:r>
      <w:r>
        <w:rPr>
          <w:i/>
          <w:sz w:val="24"/>
        </w:rPr>
        <w:t>Food and Chemical Toxicology</w:t>
      </w:r>
      <w:r>
        <w:rPr>
          <w:sz w:val="24"/>
        </w:rPr>
        <w:t>, 42: 1373-1382.</w:t>
      </w:r>
    </w:p>
    <w:p>
      <w:pPr>
        <w:pStyle w:val="BodyText"/>
        <w:spacing w:before="135"/>
      </w:pPr>
    </w:p>
    <w:p>
      <w:pPr>
        <w:pStyle w:val="BodyText"/>
        <w:spacing w:line="360" w:lineRule="auto"/>
        <w:ind w:left="1748" w:right="800" w:hanging="721"/>
        <w:jc w:val="both"/>
      </w:pPr>
      <w:r>
        <w:rPr/>
        <w:t>Volden, J., Borge, G.I.A., Hansen, M., Wicklund, T. and Bengtsson, G.B. (2009). Processing (blanching, boiling, steaming) effects on the content of</w:t>
      </w:r>
      <w:r>
        <w:rPr>
          <w:spacing w:val="40"/>
        </w:rPr>
        <w:t> </w:t>
      </w:r>
      <w:r>
        <w:rPr/>
        <w:t>glucosinolates and antioxidant-related parameters in cauliflower (Brassica oleracea L. ssp. botrytis). </w:t>
      </w:r>
      <w:r>
        <w:rPr>
          <w:i/>
        </w:rPr>
        <w:t>Food Science and Technology</w:t>
      </w:r>
      <w:r>
        <w:rPr/>
        <w:t>, 42(753): 63-73.</w:t>
      </w:r>
    </w:p>
    <w:p>
      <w:pPr>
        <w:pStyle w:val="BodyText"/>
        <w:spacing w:before="142"/>
      </w:pPr>
    </w:p>
    <w:p>
      <w:pPr>
        <w:pStyle w:val="BodyText"/>
        <w:ind w:left="1028"/>
      </w:pPr>
      <w:r>
        <w:rPr/>
        <w:t>Ward,</w:t>
      </w:r>
      <w:r>
        <w:rPr>
          <w:spacing w:val="46"/>
        </w:rPr>
        <w:t> </w:t>
      </w:r>
      <w:r>
        <w:rPr/>
        <w:t>J.</w:t>
      </w:r>
      <w:r>
        <w:rPr>
          <w:spacing w:val="48"/>
        </w:rPr>
        <w:t> </w:t>
      </w:r>
      <w:r>
        <w:rPr/>
        <w:t>A.</w:t>
      </w:r>
      <w:r>
        <w:rPr>
          <w:spacing w:val="48"/>
        </w:rPr>
        <w:t> </w:t>
      </w:r>
      <w:r>
        <w:rPr/>
        <w:t>(1976).</w:t>
      </w:r>
      <w:r>
        <w:rPr>
          <w:spacing w:val="49"/>
        </w:rPr>
        <w:t> </w:t>
      </w:r>
      <w:r>
        <w:rPr/>
        <w:t>Processing</w:t>
      </w:r>
      <w:r>
        <w:rPr>
          <w:spacing w:val="50"/>
        </w:rPr>
        <w:t> </w:t>
      </w:r>
      <w:r>
        <w:rPr/>
        <w:t>high</w:t>
      </w:r>
      <w:r>
        <w:rPr>
          <w:spacing w:val="41"/>
        </w:rPr>
        <w:t> </w:t>
      </w:r>
      <w:r>
        <w:rPr/>
        <w:t>oil</w:t>
      </w:r>
      <w:r>
        <w:rPr>
          <w:spacing w:val="42"/>
        </w:rPr>
        <w:t> </w:t>
      </w:r>
      <w:r>
        <w:rPr/>
        <w:t>content</w:t>
      </w:r>
      <w:r>
        <w:rPr>
          <w:spacing w:val="51"/>
        </w:rPr>
        <w:t> </w:t>
      </w:r>
      <w:r>
        <w:rPr/>
        <w:t>seeds</w:t>
      </w:r>
      <w:r>
        <w:rPr>
          <w:spacing w:val="48"/>
        </w:rPr>
        <w:t> </w:t>
      </w:r>
      <w:r>
        <w:rPr/>
        <w:t>in</w:t>
      </w:r>
      <w:r>
        <w:rPr>
          <w:spacing w:val="47"/>
        </w:rPr>
        <w:t> </w:t>
      </w:r>
      <w:r>
        <w:rPr/>
        <w:t>continuous</w:t>
      </w:r>
      <w:r>
        <w:rPr>
          <w:spacing w:val="44"/>
        </w:rPr>
        <w:t> </w:t>
      </w:r>
      <w:r>
        <w:rPr/>
        <w:t>screw</w:t>
      </w:r>
      <w:r>
        <w:rPr>
          <w:spacing w:val="46"/>
        </w:rPr>
        <w:t> </w:t>
      </w:r>
      <w:r>
        <w:rPr>
          <w:spacing w:val="-2"/>
        </w:rPr>
        <w:t>presses.</w:t>
      </w:r>
    </w:p>
    <w:p>
      <w:pPr>
        <w:spacing w:before="137"/>
        <w:ind w:left="1748" w:right="0" w:firstLine="0"/>
        <w:jc w:val="left"/>
        <w:rPr>
          <w:sz w:val="24"/>
        </w:rPr>
      </w:pPr>
      <w:r>
        <w:rPr>
          <w:i/>
          <w:sz w:val="24"/>
        </w:rPr>
        <w:t>American Journal</w:t>
      </w:r>
      <w:r>
        <w:rPr>
          <w:i/>
          <w:spacing w:val="1"/>
          <w:sz w:val="24"/>
        </w:rPr>
        <w:t> </w:t>
      </w:r>
      <w:r>
        <w:rPr>
          <w:i/>
          <w:sz w:val="24"/>
        </w:rPr>
        <w:t>of</w:t>
      </w:r>
      <w:r>
        <w:rPr>
          <w:i/>
          <w:spacing w:val="2"/>
          <w:sz w:val="24"/>
        </w:rPr>
        <w:t> </w:t>
      </w:r>
      <w:r>
        <w:rPr>
          <w:i/>
          <w:sz w:val="24"/>
        </w:rPr>
        <w:t>Oil</w:t>
      </w:r>
      <w:r>
        <w:rPr>
          <w:i/>
          <w:spacing w:val="1"/>
          <w:sz w:val="24"/>
        </w:rPr>
        <w:t> </w:t>
      </w:r>
      <w:r>
        <w:rPr>
          <w:i/>
          <w:sz w:val="24"/>
        </w:rPr>
        <w:t>and</w:t>
      </w:r>
      <w:r>
        <w:rPr>
          <w:i/>
          <w:spacing w:val="-3"/>
          <w:sz w:val="24"/>
        </w:rPr>
        <w:t> </w:t>
      </w:r>
      <w:r>
        <w:rPr>
          <w:i/>
          <w:sz w:val="24"/>
        </w:rPr>
        <w:t>Chemical</w:t>
      </w:r>
      <w:r>
        <w:rPr>
          <w:i/>
          <w:spacing w:val="1"/>
          <w:sz w:val="24"/>
        </w:rPr>
        <w:t> </w:t>
      </w:r>
      <w:r>
        <w:rPr>
          <w:i/>
          <w:sz w:val="24"/>
        </w:rPr>
        <w:t>Society</w:t>
      </w:r>
      <w:r>
        <w:rPr>
          <w:sz w:val="24"/>
        </w:rPr>
        <w:t>,</w:t>
      </w:r>
      <w:r>
        <w:rPr>
          <w:spacing w:val="4"/>
          <w:sz w:val="24"/>
        </w:rPr>
        <w:t> </w:t>
      </w:r>
      <w:r>
        <w:rPr>
          <w:sz w:val="24"/>
        </w:rPr>
        <w:t>53</w:t>
      </w:r>
      <w:r>
        <w:rPr>
          <w:spacing w:val="-4"/>
          <w:sz w:val="24"/>
        </w:rPr>
        <w:t> </w:t>
      </w:r>
      <w:r>
        <w:rPr>
          <w:sz w:val="24"/>
        </w:rPr>
        <w:t>(1):</w:t>
      </w:r>
      <w:r>
        <w:rPr>
          <w:spacing w:val="-3"/>
          <w:sz w:val="24"/>
        </w:rPr>
        <w:t> </w:t>
      </w:r>
      <w:r>
        <w:rPr>
          <w:sz w:val="24"/>
        </w:rPr>
        <w:t>261-</w:t>
      </w:r>
      <w:r>
        <w:rPr>
          <w:spacing w:val="-4"/>
          <w:sz w:val="24"/>
        </w:rPr>
        <w:t>264.</w:t>
      </w:r>
    </w:p>
    <w:p>
      <w:pPr>
        <w:pStyle w:val="BodyText"/>
        <w:spacing w:before="274"/>
      </w:pPr>
    </w:p>
    <w:p>
      <w:pPr>
        <w:spacing w:line="364" w:lineRule="auto" w:before="0"/>
        <w:ind w:left="1748" w:right="805" w:hanging="721"/>
        <w:jc w:val="both"/>
        <w:rPr>
          <w:sz w:val="24"/>
        </w:rPr>
      </w:pPr>
      <w:r>
        <w:rPr>
          <w:sz w:val="24"/>
        </w:rPr>
        <w:t>Weaver, C.M. (2001). Calcium. In: Bowman, B.A. and Russell R.M. (Ed.) </w:t>
      </w:r>
      <w:r>
        <w:rPr>
          <w:i/>
          <w:sz w:val="24"/>
        </w:rPr>
        <w:t>Present Knowledge in Nutrition </w:t>
      </w:r>
      <w:r>
        <w:rPr>
          <w:sz w:val="24"/>
        </w:rPr>
        <w:t>(8th ed). ILSI Press, Washington, DC, pp. 273-280.</w:t>
      </w:r>
    </w:p>
    <w:p>
      <w:pPr>
        <w:pStyle w:val="BodyText"/>
        <w:spacing w:before="129"/>
      </w:pPr>
    </w:p>
    <w:p>
      <w:pPr>
        <w:spacing w:line="360" w:lineRule="auto" w:before="0"/>
        <w:ind w:left="1748" w:right="802" w:hanging="721"/>
        <w:jc w:val="both"/>
        <w:rPr>
          <w:sz w:val="24"/>
        </w:rPr>
      </w:pPr>
      <w:r>
        <w:rPr>
          <w:sz w:val="24"/>
        </w:rPr>
        <w:t>Weike, C., Qi, Z., Xingchun, C., Kexiu, W., Ying, X., Lin, T., …Fang, C. (2006). Chemical modification of </w:t>
      </w:r>
      <w:r>
        <w:rPr>
          <w:i/>
          <w:sz w:val="24"/>
        </w:rPr>
        <w:t>Jatropha curcas </w:t>
      </w:r>
      <w:r>
        <w:rPr>
          <w:sz w:val="24"/>
        </w:rPr>
        <w:t>RIPs (curcin) and effect of the modification on relative activity of curcin. </w:t>
      </w:r>
      <w:r>
        <w:rPr>
          <w:i/>
          <w:sz w:val="24"/>
        </w:rPr>
        <w:t>Chinese Journal of Applied Environmental Biology, </w:t>
      </w:r>
      <w:r>
        <w:rPr>
          <w:sz w:val="24"/>
        </w:rPr>
        <w:t>12: 329-333.</w:t>
      </w:r>
    </w:p>
    <w:p>
      <w:pPr>
        <w:pStyle w:val="BodyText"/>
        <w:spacing w:before="137"/>
      </w:pPr>
    </w:p>
    <w:p>
      <w:pPr>
        <w:pStyle w:val="BodyText"/>
        <w:spacing w:line="362" w:lineRule="auto"/>
        <w:ind w:left="1748" w:right="804" w:hanging="721"/>
        <w:jc w:val="both"/>
      </w:pPr>
      <w:r>
        <w:rPr/>
        <w:t>Widrig, R., Suter, A., Saller, R. and Melzer, J. (2007). Choosing between NSAID and arnica for topical treatment of hand osteoarthritis in a randomised, double-blind study. </w:t>
      </w:r>
      <w:r>
        <w:rPr>
          <w:i/>
        </w:rPr>
        <w:t>Rheumatology International</w:t>
      </w:r>
      <w:r>
        <w:rPr/>
        <w:t>, 27(6): 585-91.</w:t>
      </w:r>
    </w:p>
    <w:p>
      <w:pPr>
        <w:spacing w:after="0" w:line="362" w:lineRule="auto"/>
        <w:jc w:val="both"/>
        <w:sectPr>
          <w:pgSz w:w="11910" w:h="16840"/>
          <w:pgMar w:header="0" w:footer="1012" w:top="1320" w:bottom="1200" w:left="960" w:right="620"/>
        </w:sectPr>
      </w:pPr>
    </w:p>
    <w:p>
      <w:pPr>
        <w:pStyle w:val="BodyText"/>
        <w:spacing w:line="360" w:lineRule="auto" w:before="79"/>
        <w:ind w:left="1748" w:right="805" w:hanging="721"/>
        <w:jc w:val="both"/>
      </w:pPr>
      <w:r>
        <w:rPr/>
        <w:t>Wink, M. (1988). Plant breeding: Importance of secondary metabolites for protection against pathogens and herbivores. </w:t>
      </w:r>
      <w:r>
        <w:rPr>
          <w:i/>
        </w:rPr>
        <w:t>Theoretical and Applied Genetics</w:t>
      </w:r>
      <w:r>
        <w:rPr/>
        <w:t>, 75: 225- </w:t>
      </w:r>
      <w:r>
        <w:rPr>
          <w:spacing w:val="-4"/>
        </w:rPr>
        <w:t>233.</w:t>
      </w:r>
    </w:p>
    <w:p>
      <w:pPr>
        <w:pStyle w:val="BodyText"/>
        <w:spacing w:before="139"/>
      </w:pPr>
    </w:p>
    <w:p>
      <w:pPr>
        <w:spacing w:line="360" w:lineRule="auto" w:before="0"/>
        <w:ind w:left="1748" w:right="799" w:hanging="721"/>
        <w:jc w:val="both"/>
        <w:rPr>
          <w:sz w:val="24"/>
        </w:rPr>
      </w:pPr>
      <w:r>
        <w:rPr>
          <w:sz w:val="24"/>
        </w:rPr>
        <w:t>Wink, M. (2007). Importance of Plant Secondary Metabolites for Protection Against Insects and Microbial Infections. In: Carpinella, C., Rai, M., </w:t>
      </w:r>
      <w:r>
        <w:rPr>
          <w:i/>
          <w:sz w:val="24"/>
        </w:rPr>
        <w:t>Naturally Occurring Bioactive Compounds: A New and Safe Alternative for Control of Pests and Diseases</w:t>
      </w:r>
      <w:r>
        <w:rPr>
          <w:sz w:val="24"/>
        </w:rPr>
        <w:t>. pp. 251-268.</w:t>
      </w:r>
    </w:p>
    <w:p>
      <w:pPr>
        <w:pStyle w:val="BodyText"/>
        <w:spacing w:before="137"/>
      </w:pPr>
    </w:p>
    <w:p>
      <w:pPr>
        <w:pStyle w:val="BodyText"/>
        <w:spacing w:line="362" w:lineRule="auto"/>
        <w:ind w:left="1748" w:right="800" w:hanging="721"/>
        <w:jc w:val="both"/>
      </w:pPr>
      <w:r>
        <w:rPr/>
        <w:t>Wink, M. (2008). Evolutionary advantage and molecular modes of action of multicomponent</w:t>
      </w:r>
      <w:r>
        <w:rPr>
          <w:spacing w:val="40"/>
        </w:rPr>
        <w:t> </w:t>
      </w:r>
      <w:r>
        <w:rPr/>
        <w:t>mixtures in phytomedicine. </w:t>
      </w:r>
      <w:r>
        <w:rPr>
          <w:i/>
        </w:rPr>
        <w:t>Current Drug Metabolism, </w:t>
      </w:r>
      <w:r>
        <w:rPr/>
        <w:t>9: 996- </w:t>
      </w:r>
      <w:r>
        <w:rPr>
          <w:spacing w:val="-2"/>
        </w:rPr>
        <w:t>1009.</w:t>
      </w:r>
    </w:p>
    <w:p>
      <w:pPr>
        <w:pStyle w:val="BodyText"/>
        <w:spacing w:before="131"/>
      </w:pPr>
    </w:p>
    <w:p>
      <w:pPr>
        <w:spacing w:line="360" w:lineRule="auto" w:before="0"/>
        <w:ind w:left="1748" w:right="801" w:hanging="721"/>
        <w:jc w:val="both"/>
        <w:rPr>
          <w:sz w:val="24"/>
        </w:rPr>
      </w:pPr>
      <w:r>
        <w:rPr>
          <w:sz w:val="24"/>
        </w:rPr>
        <w:t>Wink, M., Koschmieder, C., Sauerwein, M. and Sporer, F. (1997). Phorbol Esters of </w:t>
      </w:r>
      <w:r>
        <w:rPr>
          <w:i/>
          <w:sz w:val="24"/>
        </w:rPr>
        <w:t>J</w:t>
      </w:r>
      <w:r>
        <w:rPr>
          <w:sz w:val="24"/>
        </w:rPr>
        <w:t>. </w:t>
      </w:r>
      <w:r>
        <w:rPr>
          <w:i/>
          <w:sz w:val="24"/>
        </w:rPr>
        <w:t>curcas</w:t>
      </w:r>
      <w:r>
        <w:rPr>
          <w:sz w:val="24"/>
        </w:rPr>
        <w:t>- Biological Activities and Potential Applications. In: Gubitz, G.M., Mittelbach, M. and Trabi, M. (Ed) </w:t>
      </w:r>
      <w:r>
        <w:rPr>
          <w:i/>
          <w:sz w:val="24"/>
        </w:rPr>
        <w:t>Biofuels and Industrial Products from Biofuels</w:t>
      </w:r>
      <w:r>
        <w:rPr>
          <w:i/>
          <w:spacing w:val="-3"/>
          <w:sz w:val="24"/>
        </w:rPr>
        <w:t> </w:t>
      </w:r>
      <w:r>
        <w:rPr>
          <w:i/>
          <w:sz w:val="24"/>
        </w:rPr>
        <w:t>and</w:t>
      </w:r>
      <w:r>
        <w:rPr>
          <w:i/>
          <w:spacing w:val="-5"/>
          <w:sz w:val="24"/>
        </w:rPr>
        <w:t> </w:t>
      </w:r>
      <w:r>
        <w:rPr>
          <w:i/>
          <w:sz w:val="24"/>
        </w:rPr>
        <w:t>Industrial</w:t>
      </w:r>
      <w:r>
        <w:rPr>
          <w:i/>
          <w:spacing w:val="3"/>
          <w:sz w:val="24"/>
        </w:rPr>
        <w:t> </w:t>
      </w:r>
      <w:r>
        <w:rPr>
          <w:i/>
          <w:sz w:val="24"/>
        </w:rPr>
        <w:t>Products</w:t>
      </w:r>
      <w:r>
        <w:rPr>
          <w:i/>
          <w:spacing w:val="-2"/>
          <w:sz w:val="24"/>
        </w:rPr>
        <w:t> </w:t>
      </w:r>
      <w:r>
        <w:rPr>
          <w:i/>
          <w:sz w:val="24"/>
        </w:rPr>
        <w:t>from</w:t>
      </w:r>
      <w:r>
        <w:rPr>
          <w:i/>
          <w:spacing w:val="-1"/>
          <w:sz w:val="24"/>
        </w:rPr>
        <w:t> </w:t>
      </w:r>
      <w:r>
        <w:rPr>
          <w:i/>
          <w:sz w:val="24"/>
        </w:rPr>
        <w:t>Jatropha</w:t>
      </w:r>
      <w:r>
        <w:rPr>
          <w:i/>
          <w:spacing w:val="-1"/>
          <w:sz w:val="24"/>
        </w:rPr>
        <w:t> </w:t>
      </w:r>
      <w:r>
        <w:rPr>
          <w:i/>
          <w:sz w:val="24"/>
        </w:rPr>
        <w:t>curcas.</w:t>
      </w:r>
      <w:r>
        <w:rPr>
          <w:i/>
          <w:spacing w:val="5"/>
          <w:sz w:val="24"/>
        </w:rPr>
        <w:t> </w:t>
      </w:r>
      <w:r>
        <w:rPr>
          <w:sz w:val="24"/>
        </w:rPr>
        <w:t>DBV</w:t>
      </w:r>
      <w:r>
        <w:rPr>
          <w:spacing w:val="-1"/>
          <w:sz w:val="24"/>
        </w:rPr>
        <w:t> </w:t>
      </w:r>
      <w:r>
        <w:rPr>
          <w:sz w:val="24"/>
        </w:rPr>
        <w:t>Graz,</w:t>
      </w:r>
      <w:r>
        <w:rPr>
          <w:spacing w:val="2"/>
          <w:sz w:val="24"/>
        </w:rPr>
        <w:t> </w:t>
      </w:r>
      <w:r>
        <w:rPr>
          <w:sz w:val="24"/>
        </w:rPr>
        <w:t>pp.</w:t>
      </w:r>
      <w:r>
        <w:rPr>
          <w:spacing w:val="-3"/>
          <w:sz w:val="24"/>
        </w:rPr>
        <w:t> </w:t>
      </w:r>
      <w:r>
        <w:rPr>
          <w:sz w:val="24"/>
        </w:rPr>
        <w:t>160-</w:t>
      </w:r>
      <w:r>
        <w:rPr>
          <w:spacing w:val="-4"/>
          <w:sz w:val="24"/>
        </w:rPr>
        <w:t>166.</w:t>
      </w:r>
    </w:p>
    <w:p>
      <w:pPr>
        <w:pStyle w:val="BodyText"/>
        <w:spacing w:before="137"/>
      </w:pPr>
    </w:p>
    <w:p>
      <w:pPr>
        <w:tabs>
          <w:tab w:pos="3500" w:val="left" w:leader="none"/>
          <w:tab w:pos="4917" w:val="left" w:leader="none"/>
          <w:tab w:pos="6884" w:val="left" w:leader="none"/>
          <w:tab w:pos="8991" w:val="left" w:leader="none"/>
        </w:tabs>
        <w:spacing w:line="362" w:lineRule="auto" w:before="0"/>
        <w:ind w:left="1748" w:right="806" w:hanging="721"/>
        <w:jc w:val="both"/>
        <w:rPr>
          <w:sz w:val="24"/>
        </w:rPr>
      </w:pPr>
      <w:r>
        <w:rPr>
          <w:sz w:val="24"/>
        </w:rPr>
        <w:t>World Health Organization (1993). </w:t>
      </w:r>
      <w:r>
        <w:rPr>
          <w:i/>
          <w:sz w:val="24"/>
        </w:rPr>
        <w:t>Cyanogenic Glycosides. Toxicological additives </w:t>
      </w:r>
      <w:r>
        <w:rPr>
          <w:i/>
          <w:spacing w:val="-2"/>
          <w:sz w:val="24"/>
        </w:rPr>
        <w:t>Series</w:t>
      </w:r>
      <w:r>
        <w:rPr>
          <w:i/>
          <w:sz w:val="24"/>
        </w:rPr>
        <w:tab/>
      </w:r>
      <w:r>
        <w:rPr>
          <w:i/>
          <w:spacing w:val="-6"/>
          <w:sz w:val="24"/>
        </w:rPr>
        <w:t>30</w:t>
      </w:r>
      <w:r>
        <w:rPr>
          <w:i/>
          <w:sz w:val="24"/>
        </w:rPr>
        <w:tab/>
      </w:r>
      <w:r>
        <w:rPr>
          <w:spacing w:val="-2"/>
          <w:sz w:val="24"/>
        </w:rPr>
        <w:t>Geneva,</w:t>
      </w:r>
      <w:r>
        <w:rPr>
          <w:sz w:val="24"/>
        </w:rPr>
        <w:tab/>
      </w:r>
      <w:r>
        <w:rPr>
          <w:spacing w:val="-2"/>
          <w:sz w:val="24"/>
        </w:rPr>
        <w:t>Retrieved</w:t>
      </w:r>
      <w:r>
        <w:rPr>
          <w:sz w:val="24"/>
        </w:rPr>
        <w:tab/>
      </w:r>
      <w:r>
        <w:rPr>
          <w:spacing w:val="-4"/>
          <w:sz w:val="24"/>
        </w:rPr>
        <w:t>from: </w:t>
      </w:r>
      <w:hyperlink r:id="rId138">
        <w:r>
          <w:rPr>
            <w:spacing w:val="-2"/>
            <w:sz w:val="24"/>
            <w:u w:val="single"/>
          </w:rPr>
          <w:t>http://www.inchem.org/documents/jecfa/jecmono/v30je18htm</w:t>
        </w:r>
      </w:hyperlink>
    </w:p>
    <w:p>
      <w:pPr>
        <w:pStyle w:val="BodyText"/>
        <w:spacing w:before="130"/>
      </w:pPr>
    </w:p>
    <w:p>
      <w:pPr>
        <w:tabs>
          <w:tab w:pos="3625" w:val="left" w:leader="none"/>
          <w:tab w:pos="5037" w:val="left" w:leader="none"/>
          <w:tab w:pos="6942" w:val="left" w:leader="none"/>
          <w:tab w:pos="8986" w:val="left" w:leader="none"/>
        </w:tabs>
        <w:spacing w:line="362" w:lineRule="auto" w:before="0"/>
        <w:ind w:left="1748" w:right="808" w:hanging="721"/>
        <w:jc w:val="both"/>
        <w:rPr>
          <w:sz w:val="24"/>
        </w:rPr>
      </w:pPr>
      <w:r>
        <w:rPr>
          <w:sz w:val="24"/>
        </w:rPr>
        <w:t>World Health Organization. (1988). </w:t>
      </w:r>
      <w:r>
        <w:rPr>
          <w:i/>
          <w:sz w:val="24"/>
        </w:rPr>
        <w:t>Pyrrolizidine Alkaloids, Environmental Health </w:t>
      </w:r>
      <w:r>
        <w:rPr>
          <w:i/>
          <w:spacing w:val="-2"/>
          <w:sz w:val="24"/>
        </w:rPr>
        <w:t>Criteria</w:t>
      </w:r>
      <w:r>
        <w:rPr>
          <w:i/>
          <w:sz w:val="24"/>
        </w:rPr>
        <w:tab/>
      </w:r>
      <w:r>
        <w:rPr>
          <w:spacing w:val="-4"/>
          <w:sz w:val="24"/>
        </w:rPr>
        <w:t>80.</w:t>
      </w:r>
      <w:r>
        <w:rPr>
          <w:sz w:val="24"/>
        </w:rPr>
        <w:tab/>
      </w:r>
      <w:r>
        <w:rPr>
          <w:spacing w:val="-2"/>
          <w:sz w:val="24"/>
        </w:rPr>
        <w:t>Geneva,</w:t>
      </w:r>
      <w:r>
        <w:rPr>
          <w:sz w:val="24"/>
        </w:rPr>
        <w:tab/>
      </w:r>
      <w:r>
        <w:rPr>
          <w:spacing w:val="-2"/>
          <w:sz w:val="24"/>
        </w:rPr>
        <w:t>Retrieved</w:t>
      </w:r>
      <w:r>
        <w:rPr>
          <w:sz w:val="24"/>
        </w:rPr>
        <w:tab/>
      </w:r>
      <w:r>
        <w:rPr>
          <w:spacing w:val="-2"/>
          <w:sz w:val="24"/>
        </w:rPr>
        <w:t>from: </w:t>
      </w:r>
      <w:hyperlink r:id="rId139">
        <w:r>
          <w:rPr>
            <w:spacing w:val="-2"/>
            <w:sz w:val="24"/>
          </w:rPr>
          <w:t>http://www.inchem.org/documents/ehc/ehc/ehc080.htm</w:t>
        </w:r>
      </w:hyperlink>
    </w:p>
    <w:p>
      <w:pPr>
        <w:pStyle w:val="BodyText"/>
        <w:spacing w:before="131"/>
      </w:pPr>
    </w:p>
    <w:p>
      <w:pPr>
        <w:pStyle w:val="BodyText"/>
        <w:spacing w:line="362" w:lineRule="auto"/>
        <w:ind w:left="1748" w:right="804" w:hanging="721"/>
        <w:jc w:val="both"/>
      </w:pPr>
      <w:r>
        <w:rPr/>
        <w:t>Zanzi, R., Perez, J.A.S. and Soler P.B. (2008). Production of Biodiesel from</w:t>
      </w:r>
      <w:r>
        <w:rPr>
          <w:spacing w:val="-5"/>
        </w:rPr>
        <w:t> </w:t>
      </w:r>
      <w:r>
        <w:rPr>
          <w:i/>
        </w:rPr>
        <w:t>Jatropha curcas </w:t>
      </w:r>
      <w:r>
        <w:rPr/>
        <w:t>in the Region of Guantanamo in Cuba. In: Proceedings of the 3rd International congress University-Industry cooperation, Ubatuba, Brazil.</w:t>
      </w:r>
    </w:p>
    <w:p>
      <w:pPr>
        <w:spacing w:after="0" w:line="362" w:lineRule="auto"/>
        <w:jc w:val="both"/>
        <w:sectPr>
          <w:pgSz w:w="11910" w:h="16840"/>
          <w:pgMar w:header="0" w:footer="1012" w:top="1320" w:bottom="1200" w:left="960" w:right="620"/>
        </w:sectPr>
      </w:pPr>
    </w:p>
    <w:p>
      <w:pPr>
        <w:pStyle w:val="BodyText"/>
        <w:spacing w:before="79"/>
        <w:ind w:left="3806" w:right="3586"/>
        <w:jc w:val="center"/>
      </w:pPr>
      <w:r>
        <w:rPr/>
        <w:t>APPENDIX</w:t>
      </w:r>
      <w:r>
        <w:rPr>
          <w:spacing w:val="-4"/>
        </w:rPr>
        <w:t> </w:t>
      </w:r>
      <w:r>
        <w:rPr>
          <w:spacing w:val="-10"/>
        </w:rPr>
        <w:t>1</w:t>
      </w:r>
    </w:p>
    <w:p>
      <w:pPr>
        <w:pStyle w:val="BodyText"/>
      </w:pPr>
    </w:p>
    <w:p>
      <w:pPr>
        <w:pStyle w:val="BodyText"/>
      </w:pPr>
    </w:p>
    <w:p>
      <w:pPr>
        <w:pStyle w:val="BodyText"/>
        <w:spacing w:before="1"/>
      </w:pPr>
    </w:p>
    <w:p>
      <w:pPr>
        <w:pStyle w:val="BodyText"/>
        <w:ind w:left="1028"/>
      </w:pPr>
      <w:r>
        <w:rPr/>
        <w:t>Range</w:t>
      </w:r>
      <w:r>
        <w:rPr>
          <w:spacing w:val="-3"/>
        </w:rPr>
        <w:t> </w:t>
      </w:r>
      <w:r>
        <w:rPr/>
        <w:t>of</w:t>
      </w:r>
      <w:r>
        <w:rPr>
          <w:spacing w:val="-8"/>
        </w:rPr>
        <w:t> </w:t>
      </w:r>
      <w:r>
        <w:rPr/>
        <w:t>doses</w:t>
      </w:r>
      <w:r>
        <w:rPr>
          <w:spacing w:val="1"/>
        </w:rPr>
        <w:t> </w:t>
      </w:r>
      <w:r>
        <w:rPr/>
        <w:t>for</w:t>
      </w:r>
      <w:r>
        <w:rPr>
          <w:spacing w:val="1"/>
        </w:rPr>
        <w:t> </w:t>
      </w:r>
      <w:r>
        <w:rPr/>
        <w:t>first</w:t>
      </w:r>
      <w:r>
        <w:rPr>
          <w:spacing w:val="5"/>
        </w:rPr>
        <w:t> </w:t>
      </w:r>
      <w:r>
        <w:rPr/>
        <w:t>and</w:t>
      </w:r>
      <w:r>
        <w:rPr>
          <w:spacing w:val="-1"/>
        </w:rPr>
        <w:t> </w:t>
      </w:r>
      <w:r>
        <w:rPr/>
        <w:t>second phases</w:t>
      </w:r>
      <w:r>
        <w:rPr>
          <w:spacing w:val="-2"/>
        </w:rPr>
        <w:t> </w:t>
      </w:r>
      <w:r>
        <w:rPr/>
        <w:t>of</w:t>
      </w:r>
      <w:r>
        <w:rPr>
          <w:spacing w:val="52"/>
        </w:rPr>
        <w:t> </w:t>
      </w:r>
      <w:r>
        <w:rPr/>
        <w:t>LD</w:t>
      </w:r>
      <w:r>
        <w:rPr>
          <w:vertAlign w:val="subscript"/>
        </w:rPr>
        <w:t>50</w:t>
      </w:r>
      <w:r>
        <w:rPr>
          <w:spacing w:val="-20"/>
          <w:vertAlign w:val="baseline"/>
        </w:rPr>
        <w:t> </w:t>
      </w:r>
      <w:r>
        <w:rPr>
          <w:vertAlign w:val="baseline"/>
        </w:rPr>
        <w:t>determination</w:t>
      </w:r>
      <w:r>
        <w:rPr>
          <w:spacing w:val="-5"/>
          <w:vertAlign w:val="baseline"/>
        </w:rPr>
        <w:t> </w:t>
      </w:r>
      <w:r>
        <w:rPr>
          <w:vertAlign w:val="baseline"/>
        </w:rPr>
        <w:t>(Lorke</w:t>
      </w:r>
      <w:r>
        <w:rPr>
          <w:spacing w:val="-2"/>
          <w:vertAlign w:val="baseline"/>
        </w:rPr>
        <w:t> 1983)</w:t>
      </w:r>
    </w:p>
    <w:p>
      <w:pPr>
        <w:pStyle w:val="BodyText"/>
        <w:rPr>
          <w:sz w:val="20"/>
        </w:rPr>
      </w:pPr>
    </w:p>
    <w:p>
      <w:pPr>
        <w:pStyle w:val="BodyText"/>
        <w:rPr>
          <w:sz w:val="20"/>
        </w:rPr>
      </w:pPr>
    </w:p>
    <w:p>
      <w:pPr>
        <w:pStyle w:val="BodyText"/>
        <w:spacing w:before="146"/>
        <w:rPr>
          <w:sz w:val="20"/>
        </w:rPr>
      </w:pPr>
    </w:p>
    <w:tbl>
      <w:tblPr>
        <w:tblW w:w="0" w:type="auto"/>
        <w:jc w:val="left"/>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6"/>
        <w:gridCol w:w="1271"/>
        <w:gridCol w:w="1739"/>
        <w:gridCol w:w="629"/>
        <w:gridCol w:w="692"/>
        <w:gridCol w:w="1037"/>
        <w:gridCol w:w="1126"/>
        <w:gridCol w:w="1338"/>
      </w:tblGrid>
      <w:tr>
        <w:trPr>
          <w:trHeight w:val="672" w:hRule="atLeast"/>
        </w:trPr>
        <w:tc>
          <w:tcPr>
            <w:tcW w:w="8718" w:type="dxa"/>
            <w:gridSpan w:val="8"/>
            <w:tcBorders>
              <w:top w:val="single" w:sz="4" w:space="0" w:color="000000"/>
            </w:tcBorders>
          </w:tcPr>
          <w:p>
            <w:pPr>
              <w:pStyle w:val="TableParagraph"/>
              <w:tabs>
                <w:tab w:pos="4768" w:val="left" w:leader="none"/>
              </w:tabs>
              <w:spacing w:before="111"/>
              <w:ind w:left="110"/>
              <w:rPr>
                <w:sz w:val="24"/>
              </w:rPr>
            </w:pPr>
            <w:r>
              <w:rPr>
                <w:sz w:val="24"/>
              </w:rPr>
              <w:t>Doses in</w:t>
            </w:r>
            <w:r>
              <w:rPr>
                <w:spacing w:val="-2"/>
                <w:sz w:val="24"/>
              </w:rPr>
              <w:t> </w:t>
            </w:r>
            <w:r>
              <w:rPr>
                <w:sz w:val="24"/>
              </w:rPr>
              <w:t>mg/kg</w:t>
            </w:r>
            <w:r>
              <w:rPr>
                <w:spacing w:val="-2"/>
                <w:sz w:val="24"/>
              </w:rPr>
              <w:t> </w:t>
            </w:r>
            <w:r>
              <w:rPr>
                <w:sz w:val="24"/>
              </w:rPr>
              <w:t>and</w:t>
            </w:r>
            <w:r>
              <w:rPr>
                <w:spacing w:val="-1"/>
                <w:sz w:val="24"/>
              </w:rPr>
              <w:t> </w:t>
            </w:r>
            <w:r>
              <w:rPr>
                <w:sz w:val="24"/>
              </w:rPr>
              <w:t>results</w:t>
            </w:r>
            <w:r>
              <w:rPr>
                <w:spacing w:val="-4"/>
                <w:sz w:val="24"/>
              </w:rPr>
              <w:t> </w:t>
            </w:r>
            <w:r>
              <w:rPr>
                <w:sz w:val="24"/>
              </w:rPr>
              <w:t>of</w:t>
            </w:r>
            <w:r>
              <w:rPr>
                <w:spacing w:val="-4"/>
                <w:sz w:val="24"/>
              </w:rPr>
              <w:t> </w:t>
            </w:r>
            <w:r>
              <w:rPr>
                <w:sz w:val="24"/>
              </w:rPr>
              <w:t>initial</w:t>
            </w:r>
            <w:r>
              <w:rPr>
                <w:spacing w:val="-10"/>
                <w:sz w:val="24"/>
              </w:rPr>
              <w:t> </w:t>
            </w:r>
            <w:r>
              <w:rPr>
                <w:spacing w:val="-4"/>
                <w:sz w:val="24"/>
              </w:rPr>
              <w:t>test</w:t>
            </w:r>
            <w:r>
              <w:rPr>
                <w:sz w:val="24"/>
              </w:rPr>
              <w:tab/>
              <w:t>Doses</w:t>
            </w:r>
            <w:r>
              <w:rPr>
                <w:spacing w:val="-5"/>
                <w:sz w:val="24"/>
              </w:rPr>
              <w:t> </w:t>
            </w:r>
            <w:r>
              <w:rPr>
                <w:sz w:val="24"/>
              </w:rPr>
              <w:t>chosen</w:t>
            </w:r>
            <w:r>
              <w:rPr>
                <w:spacing w:val="-2"/>
                <w:sz w:val="24"/>
              </w:rPr>
              <w:t> </w:t>
            </w:r>
            <w:r>
              <w:rPr>
                <w:sz w:val="24"/>
              </w:rPr>
              <w:t>for</w:t>
            </w:r>
            <w:r>
              <w:rPr>
                <w:spacing w:val="-2"/>
                <w:sz w:val="24"/>
              </w:rPr>
              <w:t> </w:t>
            </w:r>
            <w:r>
              <w:rPr>
                <w:sz w:val="24"/>
              </w:rPr>
              <w:t>the</w:t>
            </w:r>
            <w:r>
              <w:rPr>
                <w:spacing w:val="-3"/>
                <w:sz w:val="24"/>
              </w:rPr>
              <w:t> </w:t>
            </w:r>
            <w:r>
              <w:rPr>
                <w:sz w:val="24"/>
              </w:rPr>
              <w:t>second</w:t>
            </w:r>
            <w:r>
              <w:rPr>
                <w:spacing w:val="-7"/>
                <w:sz w:val="24"/>
              </w:rPr>
              <w:t> </w:t>
            </w:r>
            <w:r>
              <w:rPr>
                <w:spacing w:val="-4"/>
                <w:sz w:val="24"/>
              </w:rPr>
              <w:t>test</w:t>
            </w:r>
          </w:p>
        </w:tc>
      </w:tr>
      <w:tr>
        <w:trPr>
          <w:trHeight w:val="671" w:hRule="atLeast"/>
        </w:trPr>
        <w:tc>
          <w:tcPr>
            <w:tcW w:w="886" w:type="dxa"/>
            <w:tcBorders>
              <w:top w:val="single" w:sz="4" w:space="0" w:color="000000"/>
              <w:bottom w:val="single" w:sz="4" w:space="0" w:color="000000"/>
            </w:tcBorders>
          </w:tcPr>
          <w:p>
            <w:pPr>
              <w:pStyle w:val="TableParagraph"/>
              <w:spacing w:before="111"/>
              <w:ind w:left="110"/>
              <w:rPr>
                <w:sz w:val="24"/>
              </w:rPr>
            </w:pPr>
            <w:r>
              <w:rPr>
                <w:spacing w:val="-5"/>
                <w:sz w:val="24"/>
              </w:rPr>
              <w:t>10</w:t>
            </w:r>
          </w:p>
        </w:tc>
        <w:tc>
          <w:tcPr>
            <w:tcW w:w="1271" w:type="dxa"/>
            <w:tcBorders>
              <w:top w:val="single" w:sz="4" w:space="0" w:color="000000"/>
              <w:bottom w:val="single" w:sz="4" w:space="0" w:color="000000"/>
            </w:tcBorders>
          </w:tcPr>
          <w:p>
            <w:pPr>
              <w:pStyle w:val="TableParagraph"/>
              <w:spacing w:before="111"/>
              <w:ind w:left="51" w:right="26"/>
              <w:jc w:val="center"/>
              <w:rPr>
                <w:sz w:val="24"/>
              </w:rPr>
            </w:pPr>
            <w:r>
              <w:rPr>
                <w:spacing w:val="-5"/>
                <w:sz w:val="24"/>
              </w:rPr>
              <w:t>100</w:t>
            </w:r>
          </w:p>
        </w:tc>
        <w:tc>
          <w:tcPr>
            <w:tcW w:w="1739" w:type="dxa"/>
            <w:tcBorders>
              <w:top w:val="single" w:sz="4" w:space="0" w:color="000000"/>
              <w:bottom w:val="single" w:sz="4" w:space="0" w:color="000000"/>
            </w:tcBorders>
          </w:tcPr>
          <w:p>
            <w:pPr>
              <w:pStyle w:val="TableParagraph"/>
              <w:spacing w:before="111"/>
              <w:ind w:left="440"/>
              <w:rPr>
                <w:sz w:val="24"/>
              </w:rPr>
            </w:pPr>
            <w:r>
              <w:rPr>
                <w:spacing w:val="-4"/>
                <w:sz w:val="24"/>
              </w:rPr>
              <w:t>1,000</w:t>
            </w:r>
          </w:p>
        </w:tc>
        <w:tc>
          <w:tcPr>
            <w:tcW w:w="629" w:type="dxa"/>
          </w:tcPr>
          <w:p>
            <w:pPr>
              <w:pStyle w:val="TableParagraph"/>
              <w:rPr>
                <w:sz w:val="22"/>
              </w:rPr>
            </w:pPr>
          </w:p>
        </w:tc>
        <w:tc>
          <w:tcPr>
            <w:tcW w:w="692" w:type="dxa"/>
            <w:tcBorders>
              <w:top w:val="single" w:sz="4" w:space="0" w:color="000000"/>
            </w:tcBorders>
          </w:tcPr>
          <w:p>
            <w:pPr>
              <w:pStyle w:val="TableParagraph"/>
              <w:rPr>
                <w:sz w:val="22"/>
              </w:rPr>
            </w:pPr>
          </w:p>
        </w:tc>
        <w:tc>
          <w:tcPr>
            <w:tcW w:w="1037" w:type="dxa"/>
            <w:tcBorders>
              <w:top w:val="single" w:sz="4" w:space="0" w:color="000000"/>
            </w:tcBorders>
          </w:tcPr>
          <w:p>
            <w:pPr>
              <w:pStyle w:val="TableParagraph"/>
              <w:rPr>
                <w:sz w:val="22"/>
              </w:rPr>
            </w:pPr>
          </w:p>
        </w:tc>
        <w:tc>
          <w:tcPr>
            <w:tcW w:w="1126" w:type="dxa"/>
            <w:tcBorders>
              <w:top w:val="single" w:sz="4" w:space="0" w:color="000000"/>
            </w:tcBorders>
          </w:tcPr>
          <w:p>
            <w:pPr>
              <w:pStyle w:val="TableParagraph"/>
              <w:rPr>
                <w:sz w:val="22"/>
              </w:rPr>
            </w:pPr>
          </w:p>
        </w:tc>
        <w:tc>
          <w:tcPr>
            <w:tcW w:w="1338" w:type="dxa"/>
            <w:tcBorders>
              <w:top w:val="single" w:sz="4" w:space="0" w:color="000000"/>
            </w:tcBorders>
          </w:tcPr>
          <w:p>
            <w:pPr>
              <w:pStyle w:val="TableParagraph"/>
              <w:rPr>
                <w:sz w:val="22"/>
              </w:rPr>
            </w:pPr>
          </w:p>
        </w:tc>
      </w:tr>
      <w:tr>
        <w:trPr>
          <w:trHeight w:val="531" w:hRule="atLeast"/>
        </w:trPr>
        <w:tc>
          <w:tcPr>
            <w:tcW w:w="886" w:type="dxa"/>
            <w:tcBorders>
              <w:top w:val="single" w:sz="4" w:space="0" w:color="000000"/>
            </w:tcBorders>
          </w:tcPr>
          <w:p>
            <w:pPr>
              <w:pStyle w:val="TableParagraph"/>
              <w:spacing w:before="111"/>
              <w:ind w:left="110"/>
              <w:rPr>
                <w:sz w:val="24"/>
              </w:rPr>
            </w:pPr>
            <w:r>
              <w:rPr>
                <w:spacing w:val="-5"/>
                <w:sz w:val="24"/>
              </w:rPr>
              <w:t>0/3</w:t>
            </w:r>
          </w:p>
        </w:tc>
        <w:tc>
          <w:tcPr>
            <w:tcW w:w="1271" w:type="dxa"/>
            <w:tcBorders>
              <w:top w:val="single" w:sz="4" w:space="0" w:color="000000"/>
            </w:tcBorders>
          </w:tcPr>
          <w:p>
            <w:pPr>
              <w:pStyle w:val="TableParagraph"/>
              <w:spacing w:before="111"/>
              <w:ind w:left="25" w:right="51"/>
              <w:jc w:val="center"/>
              <w:rPr>
                <w:sz w:val="24"/>
              </w:rPr>
            </w:pPr>
            <w:r>
              <w:rPr>
                <w:spacing w:val="-5"/>
                <w:sz w:val="24"/>
              </w:rPr>
              <w:t>0/3</w:t>
            </w:r>
          </w:p>
        </w:tc>
        <w:tc>
          <w:tcPr>
            <w:tcW w:w="1739" w:type="dxa"/>
            <w:tcBorders>
              <w:top w:val="single" w:sz="4" w:space="0" w:color="000000"/>
            </w:tcBorders>
          </w:tcPr>
          <w:p>
            <w:pPr>
              <w:pStyle w:val="TableParagraph"/>
              <w:spacing w:before="111"/>
              <w:ind w:left="440"/>
              <w:rPr>
                <w:sz w:val="24"/>
              </w:rPr>
            </w:pPr>
            <w:r>
              <w:rPr>
                <w:spacing w:val="-5"/>
                <w:sz w:val="24"/>
              </w:rPr>
              <w:t>0/3</w:t>
            </w:r>
          </w:p>
        </w:tc>
        <w:tc>
          <w:tcPr>
            <w:tcW w:w="629" w:type="dxa"/>
          </w:tcPr>
          <w:p>
            <w:pPr>
              <w:pStyle w:val="TableParagraph"/>
              <w:rPr>
                <w:sz w:val="22"/>
              </w:rPr>
            </w:pPr>
          </w:p>
        </w:tc>
        <w:tc>
          <w:tcPr>
            <w:tcW w:w="692" w:type="dxa"/>
          </w:tcPr>
          <w:p>
            <w:pPr>
              <w:pStyle w:val="TableParagraph"/>
              <w:rPr>
                <w:sz w:val="22"/>
              </w:rPr>
            </w:pPr>
          </w:p>
        </w:tc>
        <w:tc>
          <w:tcPr>
            <w:tcW w:w="1037" w:type="dxa"/>
          </w:tcPr>
          <w:p>
            <w:pPr>
              <w:pStyle w:val="TableParagraph"/>
              <w:spacing w:before="111"/>
              <w:ind w:left="223"/>
              <w:rPr>
                <w:sz w:val="24"/>
              </w:rPr>
            </w:pPr>
            <w:r>
              <w:rPr>
                <w:spacing w:val="-4"/>
                <w:sz w:val="24"/>
              </w:rPr>
              <w:t>1,600</w:t>
            </w:r>
          </w:p>
        </w:tc>
        <w:tc>
          <w:tcPr>
            <w:tcW w:w="1126" w:type="dxa"/>
          </w:tcPr>
          <w:p>
            <w:pPr>
              <w:pStyle w:val="TableParagraph"/>
              <w:spacing w:before="111"/>
              <w:ind w:left="266"/>
              <w:rPr>
                <w:sz w:val="24"/>
              </w:rPr>
            </w:pPr>
            <w:r>
              <w:rPr>
                <w:spacing w:val="-4"/>
                <w:sz w:val="24"/>
              </w:rPr>
              <w:t>2,900</w:t>
            </w:r>
          </w:p>
        </w:tc>
        <w:tc>
          <w:tcPr>
            <w:tcW w:w="1338" w:type="dxa"/>
          </w:tcPr>
          <w:p>
            <w:pPr>
              <w:pStyle w:val="TableParagraph"/>
              <w:spacing w:before="111"/>
              <w:ind w:left="312"/>
              <w:rPr>
                <w:sz w:val="24"/>
              </w:rPr>
            </w:pPr>
            <w:r>
              <w:rPr>
                <w:spacing w:val="-4"/>
                <w:sz w:val="24"/>
              </w:rPr>
              <w:t>5,000</w:t>
            </w:r>
          </w:p>
        </w:tc>
      </w:tr>
      <w:tr>
        <w:trPr>
          <w:trHeight w:val="552"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0/3</w:t>
            </w:r>
          </w:p>
        </w:tc>
        <w:tc>
          <w:tcPr>
            <w:tcW w:w="1739" w:type="dxa"/>
          </w:tcPr>
          <w:p>
            <w:pPr>
              <w:pStyle w:val="TableParagraph"/>
              <w:spacing w:before="133"/>
              <w:ind w:left="440"/>
              <w:rPr>
                <w:sz w:val="24"/>
              </w:rPr>
            </w:pPr>
            <w:r>
              <w:rPr>
                <w:spacing w:val="-5"/>
                <w:sz w:val="24"/>
              </w:rPr>
              <w:t>1/3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600</w:t>
            </w:r>
          </w:p>
        </w:tc>
        <w:tc>
          <w:tcPr>
            <w:tcW w:w="1037" w:type="dxa"/>
          </w:tcPr>
          <w:p>
            <w:pPr>
              <w:pStyle w:val="TableParagraph"/>
              <w:spacing w:before="133"/>
              <w:ind w:left="223"/>
              <w:rPr>
                <w:sz w:val="24"/>
              </w:rPr>
            </w:pPr>
            <w:r>
              <w:rPr>
                <w:spacing w:val="-4"/>
                <w:sz w:val="24"/>
              </w:rPr>
              <w:t>1,000</w:t>
            </w:r>
          </w:p>
        </w:tc>
        <w:tc>
          <w:tcPr>
            <w:tcW w:w="1126" w:type="dxa"/>
          </w:tcPr>
          <w:p>
            <w:pPr>
              <w:pStyle w:val="TableParagraph"/>
              <w:spacing w:before="133"/>
              <w:ind w:left="266"/>
              <w:rPr>
                <w:sz w:val="24"/>
              </w:rPr>
            </w:pPr>
            <w:r>
              <w:rPr>
                <w:spacing w:val="-4"/>
                <w:sz w:val="24"/>
              </w:rPr>
              <w:t>1,600</w:t>
            </w:r>
          </w:p>
        </w:tc>
        <w:tc>
          <w:tcPr>
            <w:tcW w:w="1338" w:type="dxa"/>
          </w:tcPr>
          <w:p>
            <w:pPr>
              <w:pStyle w:val="TableParagraph"/>
              <w:spacing w:before="133"/>
              <w:ind w:left="312"/>
              <w:rPr>
                <w:sz w:val="24"/>
              </w:rPr>
            </w:pPr>
            <w:r>
              <w:rPr>
                <w:spacing w:val="-4"/>
                <w:sz w:val="24"/>
              </w:rPr>
              <w:t>2,900</w:t>
            </w:r>
          </w:p>
        </w:tc>
      </w:tr>
      <w:tr>
        <w:trPr>
          <w:trHeight w:val="551"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0/3</w:t>
            </w:r>
          </w:p>
        </w:tc>
        <w:tc>
          <w:tcPr>
            <w:tcW w:w="1739" w:type="dxa"/>
          </w:tcPr>
          <w:p>
            <w:pPr>
              <w:pStyle w:val="TableParagraph"/>
              <w:spacing w:before="133"/>
              <w:ind w:left="440"/>
              <w:rPr>
                <w:sz w:val="24"/>
              </w:rPr>
            </w:pPr>
            <w:r>
              <w:rPr>
                <w:spacing w:val="-5"/>
                <w:sz w:val="24"/>
              </w:rPr>
              <w:t>2/3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200</w:t>
            </w:r>
          </w:p>
        </w:tc>
        <w:tc>
          <w:tcPr>
            <w:tcW w:w="1037" w:type="dxa"/>
          </w:tcPr>
          <w:p>
            <w:pPr>
              <w:pStyle w:val="TableParagraph"/>
              <w:spacing w:before="133"/>
              <w:ind w:left="223"/>
              <w:rPr>
                <w:sz w:val="24"/>
              </w:rPr>
            </w:pPr>
            <w:r>
              <w:rPr>
                <w:spacing w:val="-5"/>
                <w:sz w:val="24"/>
              </w:rPr>
              <w:t>400</w:t>
            </w:r>
          </w:p>
        </w:tc>
        <w:tc>
          <w:tcPr>
            <w:tcW w:w="1126" w:type="dxa"/>
          </w:tcPr>
          <w:p>
            <w:pPr>
              <w:pStyle w:val="TableParagraph"/>
              <w:spacing w:before="133"/>
              <w:ind w:left="266"/>
              <w:rPr>
                <w:sz w:val="24"/>
              </w:rPr>
            </w:pPr>
            <w:r>
              <w:rPr>
                <w:spacing w:val="-5"/>
                <w:sz w:val="24"/>
              </w:rPr>
              <w:t>800</w:t>
            </w:r>
          </w:p>
        </w:tc>
        <w:tc>
          <w:tcPr>
            <w:tcW w:w="1338" w:type="dxa"/>
          </w:tcPr>
          <w:p>
            <w:pPr>
              <w:pStyle w:val="TableParagraph"/>
              <w:spacing w:before="133"/>
              <w:ind w:left="312"/>
              <w:rPr>
                <w:sz w:val="24"/>
              </w:rPr>
            </w:pPr>
            <w:r>
              <w:rPr>
                <w:spacing w:val="-4"/>
                <w:sz w:val="24"/>
              </w:rPr>
              <w:t>1,600</w:t>
            </w:r>
          </w:p>
        </w:tc>
      </w:tr>
      <w:tr>
        <w:trPr>
          <w:trHeight w:val="552"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0/3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140</w:t>
            </w:r>
          </w:p>
        </w:tc>
        <w:tc>
          <w:tcPr>
            <w:tcW w:w="1037" w:type="dxa"/>
          </w:tcPr>
          <w:p>
            <w:pPr>
              <w:pStyle w:val="TableParagraph"/>
              <w:spacing w:before="133"/>
              <w:ind w:left="223"/>
              <w:rPr>
                <w:sz w:val="24"/>
              </w:rPr>
            </w:pPr>
            <w:r>
              <w:rPr>
                <w:spacing w:val="-5"/>
                <w:sz w:val="24"/>
              </w:rPr>
              <w:t>225</w:t>
            </w:r>
          </w:p>
        </w:tc>
        <w:tc>
          <w:tcPr>
            <w:tcW w:w="1126" w:type="dxa"/>
          </w:tcPr>
          <w:p>
            <w:pPr>
              <w:pStyle w:val="TableParagraph"/>
              <w:spacing w:before="133"/>
              <w:ind w:left="266"/>
              <w:rPr>
                <w:sz w:val="24"/>
              </w:rPr>
            </w:pPr>
            <w:r>
              <w:rPr>
                <w:spacing w:val="-5"/>
                <w:sz w:val="24"/>
              </w:rPr>
              <w:t>370</w:t>
            </w:r>
          </w:p>
        </w:tc>
        <w:tc>
          <w:tcPr>
            <w:tcW w:w="1338" w:type="dxa"/>
          </w:tcPr>
          <w:p>
            <w:pPr>
              <w:pStyle w:val="TableParagraph"/>
              <w:spacing w:before="133"/>
              <w:ind w:left="312"/>
              <w:rPr>
                <w:sz w:val="24"/>
              </w:rPr>
            </w:pPr>
            <w:r>
              <w:rPr>
                <w:spacing w:val="-5"/>
                <w:sz w:val="24"/>
              </w:rPr>
              <w:t>600</w:t>
            </w:r>
          </w:p>
        </w:tc>
      </w:tr>
      <w:tr>
        <w:trPr>
          <w:trHeight w:val="552"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1/3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50</w:t>
            </w:r>
          </w:p>
        </w:tc>
        <w:tc>
          <w:tcPr>
            <w:tcW w:w="1037" w:type="dxa"/>
          </w:tcPr>
          <w:p>
            <w:pPr>
              <w:pStyle w:val="TableParagraph"/>
              <w:spacing w:before="133"/>
              <w:ind w:left="223"/>
              <w:rPr>
                <w:sz w:val="24"/>
              </w:rPr>
            </w:pPr>
            <w:r>
              <w:rPr>
                <w:spacing w:val="-5"/>
                <w:sz w:val="24"/>
              </w:rPr>
              <w:t>100</w:t>
            </w:r>
          </w:p>
        </w:tc>
        <w:tc>
          <w:tcPr>
            <w:tcW w:w="1126" w:type="dxa"/>
          </w:tcPr>
          <w:p>
            <w:pPr>
              <w:pStyle w:val="TableParagraph"/>
              <w:spacing w:before="133"/>
              <w:ind w:left="266"/>
              <w:rPr>
                <w:sz w:val="24"/>
              </w:rPr>
            </w:pPr>
            <w:r>
              <w:rPr>
                <w:spacing w:val="-5"/>
                <w:sz w:val="24"/>
              </w:rPr>
              <w:t>200</w:t>
            </w:r>
          </w:p>
        </w:tc>
        <w:tc>
          <w:tcPr>
            <w:tcW w:w="1338" w:type="dxa"/>
          </w:tcPr>
          <w:p>
            <w:pPr>
              <w:pStyle w:val="TableParagraph"/>
              <w:spacing w:before="133"/>
              <w:ind w:left="312"/>
              <w:rPr>
                <w:sz w:val="24"/>
              </w:rPr>
            </w:pPr>
            <w:r>
              <w:rPr>
                <w:spacing w:val="-5"/>
                <w:sz w:val="24"/>
              </w:rPr>
              <w:t>400</w:t>
            </w:r>
          </w:p>
        </w:tc>
      </w:tr>
      <w:tr>
        <w:trPr>
          <w:trHeight w:val="552"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2/3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20</w:t>
            </w:r>
          </w:p>
        </w:tc>
        <w:tc>
          <w:tcPr>
            <w:tcW w:w="1037" w:type="dxa"/>
          </w:tcPr>
          <w:p>
            <w:pPr>
              <w:pStyle w:val="TableParagraph"/>
              <w:spacing w:before="133"/>
              <w:ind w:left="223"/>
              <w:rPr>
                <w:sz w:val="24"/>
              </w:rPr>
            </w:pPr>
            <w:r>
              <w:rPr>
                <w:spacing w:val="-5"/>
                <w:sz w:val="24"/>
              </w:rPr>
              <w:t>40</w:t>
            </w:r>
          </w:p>
        </w:tc>
        <w:tc>
          <w:tcPr>
            <w:tcW w:w="1126" w:type="dxa"/>
          </w:tcPr>
          <w:p>
            <w:pPr>
              <w:pStyle w:val="TableParagraph"/>
              <w:spacing w:before="133"/>
              <w:ind w:left="266"/>
              <w:rPr>
                <w:sz w:val="24"/>
              </w:rPr>
            </w:pPr>
            <w:r>
              <w:rPr>
                <w:spacing w:val="-5"/>
                <w:sz w:val="24"/>
              </w:rPr>
              <w:t>80</w:t>
            </w:r>
          </w:p>
        </w:tc>
        <w:tc>
          <w:tcPr>
            <w:tcW w:w="1338" w:type="dxa"/>
          </w:tcPr>
          <w:p>
            <w:pPr>
              <w:pStyle w:val="TableParagraph"/>
              <w:spacing w:before="133"/>
              <w:ind w:left="312"/>
              <w:rPr>
                <w:sz w:val="24"/>
              </w:rPr>
            </w:pPr>
            <w:r>
              <w:rPr>
                <w:spacing w:val="-5"/>
                <w:sz w:val="24"/>
              </w:rPr>
              <w:t>160</w:t>
            </w:r>
          </w:p>
        </w:tc>
      </w:tr>
      <w:tr>
        <w:trPr>
          <w:trHeight w:val="552" w:hRule="atLeast"/>
        </w:trPr>
        <w:tc>
          <w:tcPr>
            <w:tcW w:w="886" w:type="dxa"/>
          </w:tcPr>
          <w:p>
            <w:pPr>
              <w:pStyle w:val="TableParagraph"/>
              <w:spacing w:before="133"/>
              <w:ind w:left="110"/>
              <w:rPr>
                <w:sz w:val="24"/>
              </w:rPr>
            </w:pPr>
            <w:r>
              <w:rPr>
                <w:spacing w:val="-5"/>
                <w:sz w:val="24"/>
              </w:rPr>
              <w:t>0/3</w:t>
            </w:r>
          </w:p>
        </w:tc>
        <w:tc>
          <w:tcPr>
            <w:tcW w:w="1271" w:type="dxa"/>
          </w:tcPr>
          <w:p>
            <w:pPr>
              <w:pStyle w:val="TableParagraph"/>
              <w:spacing w:before="133"/>
              <w:ind w:left="25" w:right="51"/>
              <w:jc w:val="center"/>
              <w:rPr>
                <w:sz w:val="24"/>
              </w:rPr>
            </w:pPr>
            <w:r>
              <w:rPr>
                <w:spacing w:val="-5"/>
                <w:sz w:val="24"/>
              </w:rPr>
              <w:t>3/3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5"/>
                <w:sz w:val="24"/>
              </w:rPr>
              <w:t>15</w:t>
            </w:r>
          </w:p>
        </w:tc>
        <w:tc>
          <w:tcPr>
            <w:tcW w:w="1037" w:type="dxa"/>
          </w:tcPr>
          <w:p>
            <w:pPr>
              <w:pStyle w:val="TableParagraph"/>
              <w:spacing w:before="133"/>
              <w:ind w:left="223"/>
              <w:rPr>
                <w:sz w:val="24"/>
              </w:rPr>
            </w:pPr>
            <w:r>
              <w:rPr>
                <w:spacing w:val="-5"/>
                <w:sz w:val="24"/>
              </w:rPr>
              <w:t>25</w:t>
            </w:r>
          </w:p>
        </w:tc>
        <w:tc>
          <w:tcPr>
            <w:tcW w:w="1126" w:type="dxa"/>
          </w:tcPr>
          <w:p>
            <w:pPr>
              <w:pStyle w:val="TableParagraph"/>
              <w:spacing w:before="133"/>
              <w:ind w:left="266"/>
              <w:rPr>
                <w:sz w:val="24"/>
              </w:rPr>
            </w:pPr>
            <w:r>
              <w:rPr>
                <w:spacing w:val="-5"/>
                <w:sz w:val="24"/>
              </w:rPr>
              <w:t>40</w:t>
            </w:r>
          </w:p>
        </w:tc>
        <w:tc>
          <w:tcPr>
            <w:tcW w:w="1338" w:type="dxa"/>
          </w:tcPr>
          <w:p>
            <w:pPr>
              <w:pStyle w:val="TableParagraph"/>
              <w:spacing w:before="133"/>
              <w:ind w:left="312"/>
              <w:rPr>
                <w:sz w:val="24"/>
              </w:rPr>
            </w:pPr>
            <w:r>
              <w:rPr>
                <w:spacing w:val="-5"/>
                <w:sz w:val="24"/>
              </w:rPr>
              <w:t>60</w:t>
            </w:r>
          </w:p>
        </w:tc>
      </w:tr>
      <w:tr>
        <w:trPr>
          <w:trHeight w:val="552" w:hRule="atLeast"/>
        </w:trPr>
        <w:tc>
          <w:tcPr>
            <w:tcW w:w="886" w:type="dxa"/>
          </w:tcPr>
          <w:p>
            <w:pPr>
              <w:pStyle w:val="TableParagraph"/>
              <w:spacing w:before="133"/>
              <w:ind w:left="110"/>
              <w:rPr>
                <w:sz w:val="24"/>
              </w:rPr>
            </w:pPr>
            <w:r>
              <w:rPr>
                <w:spacing w:val="-5"/>
                <w:sz w:val="24"/>
              </w:rPr>
              <w:t>1/3</w:t>
            </w:r>
          </w:p>
        </w:tc>
        <w:tc>
          <w:tcPr>
            <w:tcW w:w="1271" w:type="dxa"/>
          </w:tcPr>
          <w:p>
            <w:pPr>
              <w:pStyle w:val="TableParagraph"/>
              <w:spacing w:before="133"/>
              <w:ind w:left="25" w:right="51"/>
              <w:jc w:val="center"/>
              <w:rPr>
                <w:sz w:val="24"/>
              </w:rPr>
            </w:pPr>
            <w:r>
              <w:rPr>
                <w:spacing w:val="-5"/>
                <w:sz w:val="24"/>
              </w:rPr>
              <w:t>3/3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10"/>
                <w:sz w:val="24"/>
              </w:rPr>
              <w:t>5</w:t>
            </w:r>
          </w:p>
        </w:tc>
        <w:tc>
          <w:tcPr>
            <w:tcW w:w="1037" w:type="dxa"/>
          </w:tcPr>
          <w:p>
            <w:pPr>
              <w:pStyle w:val="TableParagraph"/>
              <w:spacing w:before="133"/>
              <w:ind w:left="223"/>
              <w:rPr>
                <w:sz w:val="24"/>
              </w:rPr>
            </w:pPr>
            <w:r>
              <w:rPr>
                <w:spacing w:val="-5"/>
                <w:sz w:val="24"/>
              </w:rPr>
              <w:t>10</w:t>
            </w:r>
          </w:p>
        </w:tc>
        <w:tc>
          <w:tcPr>
            <w:tcW w:w="1126" w:type="dxa"/>
          </w:tcPr>
          <w:p>
            <w:pPr>
              <w:pStyle w:val="TableParagraph"/>
              <w:spacing w:before="133"/>
              <w:ind w:left="266"/>
              <w:rPr>
                <w:sz w:val="24"/>
              </w:rPr>
            </w:pPr>
            <w:r>
              <w:rPr>
                <w:spacing w:val="-5"/>
                <w:sz w:val="24"/>
              </w:rPr>
              <w:t>20</w:t>
            </w:r>
          </w:p>
        </w:tc>
        <w:tc>
          <w:tcPr>
            <w:tcW w:w="1338" w:type="dxa"/>
          </w:tcPr>
          <w:p>
            <w:pPr>
              <w:pStyle w:val="TableParagraph"/>
              <w:spacing w:before="133"/>
              <w:ind w:left="312"/>
              <w:rPr>
                <w:sz w:val="24"/>
              </w:rPr>
            </w:pPr>
            <w:r>
              <w:rPr>
                <w:spacing w:val="-5"/>
                <w:sz w:val="24"/>
              </w:rPr>
              <w:t>40</w:t>
            </w:r>
          </w:p>
        </w:tc>
      </w:tr>
      <w:tr>
        <w:trPr>
          <w:trHeight w:val="551" w:hRule="atLeast"/>
        </w:trPr>
        <w:tc>
          <w:tcPr>
            <w:tcW w:w="886" w:type="dxa"/>
          </w:tcPr>
          <w:p>
            <w:pPr>
              <w:pStyle w:val="TableParagraph"/>
              <w:spacing w:before="133"/>
              <w:ind w:left="110"/>
              <w:rPr>
                <w:sz w:val="24"/>
              </w:rPr>
            </w:pPr>
            <w:r>
              <w:rPr>
                <w:spacing w:val="-5"/>
                <w:sz w:val="24"/>
              </w:rPr>
              <w:t>2/3</w:t>
            </w:r>
          </w:p>
        </w:tc>
        <w:tc>
          <w:tcPr>
            <w:tcW w:w="1271" w:type="dxa"/>
          </w:tcPr>
          <w:p>
            <w:pPr>
              <w:pStyle w:val="TableParagraph"/>
              <w:spacing w:before="133"/>
              <w:ind w:left="25" w:right="51"/>
              <w:jc w:val="center"/>
              <w:rPr>
                <w:sz w:val="24"/>
              </w:rPr>
            </w:pPr>
            <w:r>
              <w:rPr>
                <w:spacing w:val="-5"/>
                <w:sz w:val="24"/>
              </w:rPr>
              <w:t>3/3</w:t>
            </w:r>
          </w:p>
        </w:tc>
        <w:tc>
          <w:tcPr>
            <w:tcW w:w="1739" w:type="dxa"/>
          </w:tcPr>
          <w:p>
            <w:pPr>
              <w:pStyle w:val="TableParagraph"/>
              <w:spacing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before="133"/>
              <w:ind w:left="104"/>
              <w:rPr>
                <w:sz w:val="24"/>
              </w:rPr>
            </w:pPr>
            <w:r>
              <w:rPr>
                <w:spacing w:val="-10"/>
                <w:sz w:val="24"/>
              </w:rPr>
              <w:t>2</w:t>
            </w:r>
          </w:p>
        </w:tc>
        <w:tc>
          <w:tcPr>
            <w:tcW w:w="1037" w:type="dxa"/>
          </w:tcPr>
          <w:p>
            <w:pPr>
              <w:pStyle w:val="TableParagraph"/>
              <w:spacing w:before="133"/>
              <w:ind w:left="223"/>
              <w:rPr>
                <w:sz w:val="24"/>
              </w:rPr>
            </w:pPr>
            <w:r>
              <w:rPr>
                <w:spacing w:val="-10"/>
                <w:sz w:val="24"/>
              </w:rPr>
              <w:t>4</w:t>
            </w:r>
          </w:p>
        </w:tc>
        <w:tc>
          <w:tcPr>
            <w:tcW w:w="1126" w:type="dxa"/>
          </w:tcPr>
          <w:p>
            <w:pPr>
              <w:pStyle w:val="TableParagraph"/>
              <w:spacing w:before="133"/>
              <w:ind w:left="266"/>
              <w:rPr>
                <w:sz w:val="24"/>
              </w:rPr>
            </w:pPr>
            <w:r>
              <w:rPr>
                <w:spacing w:val="-10"/>
                <w:sz w:val="24"/>
              </w:rPr>
              <w:t>8</w:t>
            </w:r>
          </w:p>
        </w:tc>
        <w:tc>
          <w:tcPr>
            <w:tcW w:w="1338" w:type="dxa"/>
          </w:tcPr>
          <w:p>
            <w:pPr>
              <w:pStyle w:val="TableParagraph"/>
              <w:spacing w:before="133"/>
              <w:ind w:left="312"/>
              <w:rPr>
                <w:sz w:val="24"/>
              </w:rPr>
            </w:pPr>
            <w:r>
              <w:rPr>
                <w:spacing w:val="-5"/>
                <w:sz w:val="24"/>
              </w:rPr>
              <w:t>16</w:t>
            </w:r>
          </w:p>
        </w:tc>
      </w:tr>
      <w:tr>
        <w:trPr>
          <w:trHeight w:val="408" w:hRule="atLeast"/>
        </w:trPr>
        <w:tc>
          <w:tcPr>
            <w:tcW w:w="886" w:type="dxa"/>
          </w:tcPr>
          <w:p>
            <w:pPr>
              <w:pStyle w:val="TableParagraph"/>
              <w:spacing w:line="256" w:lineRule="exact" w:before="133"/>
              <w:ind w:left="110"/>
              <w:rPr>
                <w:sz w:val="24"/>
              </w:rPr>
            </w:pPr>
            <w:r>
              <w:rPr>
                <w:spacing w:val="-5"/>
                <w:sz w:val="24"/>
              </w:rPr>
              <w:t>3/3</w:t>
            </w:r>
          </w:p>
        </w:tc>
        <w:tc>
          <w:tcPr>
            <w:tcW w:w="1271" w:type="dxa"/>
          </w:tcPr>
          <w:p>
            <w:pPr>
              <w:pStyle w:val="TableParagraph"/>
              <w:spacing w:line="256" w:lineRule="exact" w:before="133"/>
              <w:ind w:left="25" w:right="51"/>
              <w:jc w:val="center"/>
              <w:rPr>
                <w:sz w:val="24"/>
              </w:rPr>
            </w:pPr>
            <w:r>
              <w:rPr>
                <w:spacing w:val="-5"/>
                <w:sz w:val="24"/>
              </w:rPr>
              <w:t>3/3</w:t>
            </w:r>
          </w:p>
        </w:tc>
        <w:tc>
          <w:tcPr>
            <w:tcW w:w="1739" w:type="dxa"/>
          </w:tcPr>
          <w:p>
            <w:pPr>
              <w:pStyle w:val="TableParagraph"/>
              <w:spacing w:line="256" w:lineRule="exact" w:before="133"/>
              <w:ind w:left="440"/>
              <w:rPr>
                <w:sz w:val="24"/>
              </w:rPr>
            </w:pPr>
            <w:r>
              <w:rPr>
                <w:spacing w:val="-5"/>
                <w:sz w:val="24"/>
              </w:rPr>
              <w:t>3/3</w:t>
            </w:r>
          </w:p>
        </w:tc>
        <w:tc>
          <w:tcPr>
            <w:tcW w:w="629" w:type="dxa"/>
          </w:tcPr>
          <w:p>
            <w:pPr>
              <w:pStyle w:val="TableParagraph"/>
              <w:rPr>
                <w:sz w:val="22"/>
              </w:rPr>
            </w:pPr>
          </w:p>
        </w:tc>
        <w:tc>
          <w:tcPr>
            <w:tcW w:w="692" w:type="dxa"/>
          </w:tcPr>
          <w:p>
            <w:pPr>
              <w:pStyle w:val="TableParagraph"/>
              <w:spacing w:line="256" w:lineRule="exact" w:before="133"/>
              <w:ind w:left="104"/>
              <w:rPr>
                <w:sz w:val="24"/>
              </w:rPr>
            </w:pPr>
            <w:r>
              <w:rPr>
                <w:spacing w:val="-10"/>
                <w:sz w:val="24"/>
              </w:rPr>
              <w:t>1</w:t>
            </w:r>
          </w:p>
        </w:tc>
        <w:tc>
          <w:tcPr>
            <w:tcW w:w="1037" w:type="dxa"/>
          </w:tcPr>
          <w:p>
            <w:pPr>
              <w:pStyle w:val="TableParagraph"/>
              <w:spacing w:line="256" w:lineRule="exact" w:before="133"/>
              <w:ind w:left="223"/>
              <w:rPr>
                <w:sz w:val="24"/>
              </w:rPr>
            </w:pPr>
            <w:r>
              <w:rPr>
                <w:spacing w:val="-10"/>
                <w:sz w:val="24"/>
              </w:rPr>
              <w:t>2</w:t>
            </w:r>
          </w:p>
        </w:tc>
        <w:tc>
          <w:tcPr>
            <w:tcW w:w="1126" w:type="dxa"/>
          </w:tcPr>
          <w:p>
            <w:pPr>
              <w:pStyle w:val="TableParagraph"/>
              <w:spacing w:line="256" w:lineRule="exact" w:before="133"/>
              <w:ind w:left="266"/>
              <w:rPr>
                <w:sz w:val="24"/>
              </w:rPr>
            </w:pPr>
            <w:r>
              <w:rPr>
                <w:spacing w:val="-10"/>
                <w:sz w:val="24"/>
              </w:rPr>
              <w:t>4</w:t>
            </w:r>
          </w:p>
        </w:tc>
        <w:tc>
          <w:tcPr>
            <w:tcW w:w="1338" w:type="dxa"/>
          </w:tcPr>
          <w:p>
            <w:pPr>
              <w:pStyle w:val="TableParagraph"/>
              <w:spacing w:line="256" w:lineRule="exact" w:before="133"/>
              <w:ind w:left="312"/>
              <w:rPr>
                <w:sz w:val="24"/>
              </w:rPr>
            </w:pPr>
            <w:r>
              <w:rPr>
                <w:spacing w:val="-10"/>
                <w:sz w:val="24"/>
              </w:rPr>
              <w:t>8</w:t>
            </w:r>
          </w:p>
        </w:tc>
      </w:tr>
    </w:tbl>
    <w:p>
      <w:pPr>
        <w:pStyle w:val="BodyText"/>
        <w:spacing w:before="34"/>
        <w:rPr>
          <w:sz w:val="20"/>
        </w:rPr>
      </w:pPr>
      <w:r>
        <w:rPr/>
        <mc:AlternateContent>
          <mc:Choice Requires="wps">
            <w:drawing>
              <wp:anchor distT="0" distB="0" distL="0" distR="0" allowOverlap="1" layoutInCell="1" locked="0" behindDoc="1" simplePos="0" relativeHeight="487630336">
                <wp:simplePos x="0" y="0"/>
                <wp:positionH relativeFrom="page">
                  <wp:posOffset>1183233</wp:posOffset>
                </wp:positionH>
                <wp:positionV relativeFrom="paragraph">
                  <wp:posOffset>182867</wp:posOffset>
                </wp:positionV>
                <wp:extent cx="5543550" cy="635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5543550" cy="6350"/>
                        </a:xfrm>
                        <a:custGeom>
                          <a:avLst/>
                          <a:gdLst/>
                          <a:ahLst/>
                          <a:cxnLst/>
                          <a:rect l="l" t="t" r="r" b="b"/>
                          <a:pathLst>
                            <a:path w="5543550" h="6350">
                              <a:moveTo>
                                <a:pt x="5543372" y="0"/>
                              </a:moveTo>
                              <a:lnTo>
                                <a:pt x="5543372" y="0"/>
                              </a:lnTo>
                              <a:lnTo>
                                <a:pt x="0" y="0"/>
                              </a:lnTo>
                              <a:lnTo>
                                <a:pt x="0" y="6096"/>
                              </a:lnTo>
                              <a:lnTo>
                                <a:pt x="5543372" y="6096"/>
                              </a:lnTo>
                              <a:lnTo>
                                <a:pt x="5543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68007pt;margin-top:14.399049pt;width:436.486021pt;height:.48pt;mso-position-horizontal-relative:page;mso-position-vertical-relative:paragraph;z-index:-15686144;mso-wrap-distance-left:0;mso-wrap-distance-right:0" id="docshape118" filled="true" fillcolor="#000000" stroked="false">
                <v:fill type="solid"/>
                <w10:wrap type="topAndBottom"/>
              </v:rect>
            </w:pict>
          </mc:Fallback>
        </mc:AlternateContent>
      </w:r>
    </w:p>
    <w:sectPr>
      <w:pgSz w:w="11910" w:h="16840"/>
      <w:pgMar w:header="0" w:footer="1012" w:top="1320" w:bottom="1200" w:left="9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11456">
              <wp:simplePos x="0" y="0"/>
              <wp:positionH relativeFrom="page">
                <wp:posOffset>3916679</wp:posOffset>
              </wp:positionH>
              <wp:positionV relativeFrom="page">
                <wp:posOffset>9275774</wp:posOffset>
              </wp:positionV>
              <wp:extent cx="30988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9880"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399994pt;margin-top:730.375977pt;width:24.4pt;height:13.05pt;mso-position-horizontal-relative:page;mso-position-vertical-relative:page;z-index:-18305024" type="#_x0000_t202" id="docshape1"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11968">
              <wp:simplePos x="0" y="0"/>
              <wp:positionH relativeFrom="page">
                <wp:posOffset>3816096</wp:posOffset>
              </wp:positionH>
              <wp:positionV relativeFrom="page">
                <wp:posOffset>9909758</wp:posOffset>
              </wp:positionV>
              <wp:extent cx="299720" cy="1657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0.480011pt;margin-top:780.295959pt;width:23.6pt;height:13.05pt;mso-position-horizontal-relative:page;mso-position-vertical-relative:page;z-index:-18304512"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lowerRoman"/>
      <w:lvlText w:val="%1)"/>
      <w:lvlJc w:val="left"/>
      <w:pPr>
        <w:ind w:left="1810" w:hanging="783"/>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0"/>
      <w:numFmt w:val="bullet"/>
      <w:lvlText w:val="•"/>
      <w:lvlJc w:val="left"/>
      <w:pPr>
        <w:ind w:left="2670" w:hanging="783"/>
      </w:pPr>
      <w:rPr>
        <w:rFonts w:hint="default"/>
        <w:lang w:val="en-US" w:eastAsia="en-US" w:bidi="ar-SA"/>
      </w:rPr>
    </w:lvl>
    <w:lvl w:ilvl="2">
      <w:start w:val="0"/>
      <w:numFmt w:val="bullet"/>
      <w:lvlText w:val="•"/>
      <w:lvlJc w:val="left"/>
      <w:pPr>
        <w:ind w:left="3521" w:hanging="783"/>
      </w:pPr>
      <w:rPr>
        <w:rFonts w:hint="default"/>
        <w:lang w:val="en-US" w:eastAsia="en-US" w:bidi="ar-SA"/>
      </w:rPr>
    </w:lvl>
    <w:lvl w:ilvl="3">
      <w:start w:val="0"/>
      <w:numFmt w:val="bullet"/>
      <w:lvlText w:val="•"/>
      <w:lvlJc w:val="left"/>
      <w:pPr>
        <w:ind w:left="4372" w:hanging="783"/>
      </w:pPr>
      <w:rPr>
        <w:rFonts w:hint="default"/>
        <w:lang w:val="en-US" w:eastAsia="en-US" w:bidi="ar-SA"/>
      </w:rPr>
    </w:lvl>
    <w:lvl w:ilvl="4">
      <w:start w:val="0"/>
      <w:numFmt w:val="bullet"/>
      <w:lvlText w:val="•"/>
      <w:lvlJc w:val="left"/>
      <w:pPr>
        <w:ind w:left="5223" w:hanging="783"/>
      </w:pPr>
      <w:rPr>
        <w:rFonts w:hint="default"/>
        <w:lang w:val="en-US" w:eastAsia="en-US" w:bidi="ar-SA"/>
      </w:rPr>
    </w:lvl>
    <w:lvl w:ilvl="5">
      <w:start w:val="0"/>
      <w:numFmt w:val="bullet"/>
      <w:lvlText w:val="•"/>
      <w:lvlJc w:val="left"/>
      <w:pPr>
        <w:ind w:left="6074" w:hanging="783"/>
      </w:pPr>
      <w:rPr>
        <w:rFonts w:hint="default"/>
        <w:lang w:val="en-US" w:eastAsia="en-US" w:bidi="ar-SA"/>
      </w:rPr>
    </w:lvl>
    <w:lvl w:ilvl="6">
      <w:start w:val="0"/>
      <w:numFmt w:val="bullet"/>
      <w:lvlText w:val="•"/>
      <w:lvlJc w:val="left"/>
      <w:pPr>
        <w:ind w:left="6925" w:hanging="783"/>
      </w:pPr>
      <w:rPr>
        <w:rFonts w:hint="default"/>
        <w:lang w:val="en-US" w:eastAsia="en-US" w:bidi="ar-SA"/>
      </w:rPr>
    </w:lvl>
    <w:lvl w:ilvl="7">
      <w:start w:val="0"/>
      <w:numFmt w:val="bullet"/>
      <w:lvlText w:val="•"/>
      <w:lvlJc w:val="left"/>
      <w:pPr>
        <w:ind w:left="7776" w:hanging="783"/>
      </w:pPr>
      <w:rPr>
        <w:rFonts w:hint="default"/>
        <w:lang w:val="en-US" w:eastAsia="en-US" w:bidi="ar-SA"/>
      </w:rPr>
    </w:lvl>
    <w:lvl w:ilvl="8">
      <w:start w:val="0"/>
      <w:numFmt w:val="bullet"/>
      <w:lvlText w:val="•"/>
      <w:lvlJc w:val="left"/>
      <w:pPr>
        <w:ind w:left="8627" w:hanging="783"/>
      </w:pPr>
      <w:rPr>
        <w:rFonts w:hint="default"/>
        <w:lang w:val="en-US" w:eastAsia="en-US" w:bidi="ar-SA"/>
      </w:rPr>
    </w:lvl>
  </w:abstractNum>
  <w:abstractNum w:abstractNumId="24">
    <w:multiLevelType w:val="hybridMultilevel"/>
    <w:lvl w:ilvl="0">
      <w:start w:val="1"/>
      <w:numFmt w:val="decimal"/>
      <w:lvlText w:val="%1."/>
      <w:lvlJc w:val="left"/>
      <w:pPr>
        <w:ind w:left="1028"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50" w:hanging="721"/>
      </w:pPr>
      <w:rPr>
        <w:rFonts w:hint="default"/>
        <w:lang w:val="en-US" w:eastAsia="en-US" w:bidi="ar-SA"/>
      </w:rPr>
    </w:lvl>
    <w:lvl w:ilvl="2">
      <w:start w:val="0"/>
      <w:numFmt w:val="bullet"/>
      <w:lvlText w:val="•"/>
      <w:lvlJc w:val="left"/>
      <w:pPr>
        <w:ind w:left="2881" w:hanging="721"/>
      </w:pPr>
      <w:rPr>
        <w:rFonts w:hint="default"/>
        <w:lang w:val="en-US" w:eastAsia="en-US" w:bidi="ar-SA"/>
      </w:rPr>
    </w:lvl>
    <w:lvl w:ilvl="3">
      <w:start w:val="0"/>
      <w:numFmt w:val="bullet"/>
      <w:lvlText w:val="•"/>
      <w:lvlJc w:val="left"/>
      <w:pPr>
        <w:ind w:left="3812" w:hanging="721"/>
      </w:pPr>
      <w:rPr>
        <w:rFonts w:hint="default"/>
        <w:lang w:val="en-US" w:eastAsia="en-US" w:bidi="ar-SA"/>
      </w:rPr>
    </w:lvl>
    <w:lvl w:ilvl="4">
      <w:start w:val="0"/>
      <w:numFmt w:val="bullet"/>
      <w:lvlText w:val="•"/>
      <w:lvlJc w:val="left"/>
      <w:pPr>
        <w:ind w:left="4743" w:hanging="721"/>
      </w:pPr>
      <w:rPr>
        <w:rFonts w:hint="default"/>
        <w:lang w:val="en-US" w:eastAsia="en-US" w:bidi="ar-SA"/>
      </w:rPr>
    </w:lvl>
    <w:lvl w:ilvl="5">
      <w:start w:val="0"/>
      <w:numFmt w:val="bullet"/>
      <w:lvlText w:val="•"/>
      <w:lvlJc w:val="left"/>
      <w:pPr>
        <w:ind w:left="5674" w:hanging="721"/>
      </w:pPr>
      <w:rPr>
        <w:rFonts w:hint="default"/>
        <w:lang w:val="en-US" w:eastAsia="en-US" w:bidi="ar-SA"/>
      </w:rPr>
    </w:lvl>
    <w:lvl w:ilvl="6">
      <w:start w:val="0"/>
      <w:numFmt w:val="bullet"/>
      <w:lvlText w:val="•"/>
      <w:lvlJc w:val="left"/>
      <w:pPr>
        <w:ind w:left="6605" w:hanging="721"/>
      </w:pPr>
      <w:rPr>
        <w:rFonts w:hint="default"/>
        <w:lang w:val="en-US" w:eastAsia="en-US" w:bidi="ar-SA"/>
      </w:rPr>
    </w:lvl>
    <w:lvl w:ilvl="7">
      <w:start w:val="0"/>
      <w:numFmt w:val="bullet"/>
      <w:lvlText w:val="•"/>
      <w:lvlJc w:val="left"/>
      <w:pPr>
        <w:ind w:left="7536" w:hanging="721"/>
      </w:pPr>
      <w:rPr>
        <w:rFonts w:hint="default"/>
        <w:lang w:val="en-US" w:eastAsia="en-US" w:bidi="ar-SA"/>
      </w:rPr>
    </w:lvl>
    <w:lvl w:ilvl="8">
      <w:start w:val="0"/>
      <w:numFmt w:val="bullet"/>
      <w:lvlText w:val="•"/>
      <w:lvlJc w:val="left"/>
      <w:pPr>
        <w:ind w:left="8467" w:hanging="721"/>
      </w:pPr>
      <w:rPr>
        <w:rFonts w:hint="default"/>
        <w:lang w:val="en-US" w:eastAsia="en-US" w:bidi="ar-SA"/>
      </w:rPr>
    </w:lvl>
  </w:abstractNum>
  <w:abstractNum w:abstractNumId="23">
    <w:multiLevelType w:val="hybridMultilevel"/>
    <w:lvl w:ilvl="0">
      <w:start w:val="6"/>
      <w:numFmt w:val="decimal"/>
      <w:lvlText w:val="%1"/>
      <w:lvlJc w:val="left"/>
      <w:pPr>
        <w:ind w:left="1748" w:hanging="721"/>
        <w:jc w:val="left"/>
      </w:pPr>
      <w:rPr>
        <w:rFonts w:hint="default"/>
        <w:lang w:val="en-US" w:eastAsia="en-US" w:bidi="ar-SA"/>
      </w:rPr>
    </w:lvl>
    <w:lvl w:ilvl="1">
      <w:start w:val="0"/>
      <w:numFmt w:val="decimal"/>
      <w:lvlText w:val="%1.%2"/>
      <w:lvlJc w:val="left"/>
      <w:pPr>
        <w:ind w:left="1748"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457" w:hanging="721"/>
      </w:pPr>
      <w:rPr>
        <w:rFonts w:hint="default"/>
        <w:lang w:val="en-US" w:eastAsia="en-US" w:bidi="ar-SA"/>
      </w:rPr>
    </w:lvl>
    <w:lvl w:ilvl="3">
      <w:start w:val="0"/>
      <w:numFmt w:val="bullet"/>
      <w:lvlText w:val="•"/>
      <w:lvlJc w:val="left"/>
      <w:pPr>
        <w:ind w:left="4316" w:hanging="721"/>
      </w:pPr>
      <w:rPr>
        <w:rFonts w:hint="default"/>
        <w:lang w:val="en-US" w:eastAsia="en-US" w:bidi="ar-SA"/>
      </w:rPr>
    </w:lvl>
    <w:lvl w:ilvl="4">
      <w:start w:val="0"/>
      <w:numFmt w:val="bullet"/>
      <w:lvlText w:val="•"/>
      <w:lvlJc w:val="left"/>
      <w:pPr>
        <w:ind w:left="5175" w:hanging="721"/>
      </w:pPr>
      <w:rPr>
        <w:rFonts w:hint="default"/>
        <w:lang w:val="en-US" w:eastAsia="en-US" w:bidi="ar-SA"/>
      </w:rPr>
    </w:lvl>
    <w:lvl w:ilvl="5">
      <w:start w:val="0"/>
      <w:numFmt w:val="bullet"/>
      <w:lvlText w:val="•"/>
      <w:lvlJc w:val="left"/>
      <w:pPr>
        <w:ind w:left="6034" w:hanging="721"/>
      </w:pPr>
      <w:rPr>
        <w:rFonts w:hint="default"/>
        <w:lang w:val="en-US" w:eastAsia="en-US" w:bidi="ar-SA"/>
      </w:rPr>
    </w:lvl>
    <w:lvl w:ilvl="6">
      <w:start w:val="0"/>
      <w:numFmt w:val="bullet"/>
      <w:lvlText w:val="•"/>
      <w:lvlJc w:val="left"/>
      <w:pPr>
        <w:ind w:left="6893" w:hanging="721"/>
      </w:pPr>
      <w:rPr>
        <w:rFonts w:hint="default"/>
        <w:lang w:val="en-US" w:eastAsia="en-US" w:bidi="ar-SA"/>
      </w:rPr>
    </w:lvl>
    <w:lvl w:ilvl="7">
      <w:start w:val="0"/>
      <w:numFmt w:val="bullet"/>
      <w:lvlText w:val="•"/>
      <w:lvlJc w:val="left"/>
      <w:pPr>
        <w:ind w:left="7752" w:hanging="721"/>
      </w:pPr>
      <w:rPr>
        <w:rFonts w:hint="default"/>
        <w:lang w:val="en-US" w:eastAsia="en-US" w:bidi="ar-SA"/>
      </w:rPr>
    </w:lvl>
    <w:lvl w:ilvl="8">
      <w:start w:val="0"/>
      <w:numFmt w:val="bullet"/>
      <w:lvlText w:val="•"/>
      <w:lvlJc w:val="left"/>
      <w:pPr>
        <w:ind w:left="8611" w:hanging="721"/>
      </w:pPr>
      <w:rPr>
        <w:rFonts w:hint="default"/>
        <w:lang w:val="en-US" w:eastAsia="en-US" w:bidi="ar-SA"/>
      </w:rPr>
    </w:lvl>
  </w:abstractNum>
  <w:abstractNum w:abstractNumId="22">
    <w:multiLevelType w:val="hybridMultilevel"/>
    <w:lvl w:ilvl="0">
      <w:start w:val="4"/>
      <w:numFmt w:val="decimal"/>
      <w:lvlText w:val="%1"/>
      <w:lvlJc w:val="left"/>
      <w:pPr>
        <w:ind w:left="1028" w:hanging="721"/>
        <w:jc w:val="left"/>
      </w:pPr>
      <w:rPr>
        <w:rFonts w:hint="default"/>
        <w:lang w:val="en-US" w:eastAsia="en-US" w:bidi="ar-SA"/>
      </w:rPr>
    </w:lvl>
    <w:lvl w:ilvl="1">
      <w:start w:val="20"/>
      <w:numFmt w:val="decimal"/>
      <w:lvlText w:val="%1.%2"/>
      <w:lvlJc w:val="left"/>
      <w:pPr>
        <w:ind w:left="1028" w:hanging="721"/>
        <w:jc w:val="left"/>
      </w:pPr>
      <w:rPr>
        <w:rFonts w:hint="default"/>
        <w:lang w:val="en-US" w:eastAsia="en-US" w:bidi="ar-SA"/>
      </w:rPr>
    </w:lvl>
    <w:lvl w:ilvl="2">
      <w:start w:val="1"/>
      <w:numFmt w:val="decimal"/>
      <w:lvlText w:val="%1.%2.%3"/>
      <w:lvlJc w:val="left"/>
      <w:pPr>
        <w:ind w:left="1028" w:hanging="721"/>
        <w:jc w:val="left"/>
      </w:pPr>
      <w:rPr>
        <w:rFonts w:hint="default" w:ascii="Times New Roman" w:hAnsi="Times New Roman" w:eastAsia="Times New Roman" w:cs="Times New Roman"/>
        <w:b/>
        <w:bCs/>
        <w:i w:val="0"/>
        <w:iCs w:val="0"/>
        <w:spacing w:val="0"/>
        <w:w w:val="100"/>
        <w:sz w:val="23"/>
        <w:szCs w:val="23"/>
        <w:lang w:val="en-US" w:eastAsia="en-US" w:bidi="ar-SA"/>
      </w:rPr>
    </w:lvl>
    <w:lvl w:ilvl="3">
      <w:start w:val="0"/>
      <w:numFmt w:val="bullet"/>
      <w:lvlText w:val="•"/>
      <w:lvlJc w:val="left"/>
      <w:pPr>
        <w:ind w:left="3812" w:hanging="721"/>
      </w:pPr>
      <w:rPr>
        <w:rFonts w:hint="default"/>
        <w:lang w:val="en-US" w:eastAsia="en-US" w:bidi="ar-SA"/>
      </w:rPr>
    </w:lvl>
    <w:lvl w:ilvl="4">
      <w:start w:val="0"/>
      <w:numFmt w:val="bullet"/>
      <w:lvlText w:val="•"/>
      <w:lvlJc w:val="left"/>
      <w:pPr>
        <w:ind w:left="4743" w:hanging="721"/>
      </w:pPr>
      <w:rPr>
        <w:rFonts w:hint="default"/>
        <w:lang w:val="en-US" w:eastAsia="en-US" w:bidi="ar-SA"/>
      </w:rPr>
    </w:lvl>
    <w:lvl w:ilvl="5">
      <w:start w:val="0"/>
      <w:numFmt w:val="bullet"/>
      <w:lvlText w:val="•"/>
      <w:lvlJc w:val="left"/>
      <w:pPr>
        <w:ind w:left="5674" w:hanging="721"/>
      </w:pPr>
      <w:rPr>
        <w:rFonts w:hint="default"/>
        <w:lang w:val="en-US" w:eastAsia="en-US" w:bidi="ar-SA"/>
      </w:rPr>
    </w:lvl>
    <w:lvl w:ilvl="6">
      <w:start w:val="0"/>
      <w:numFmt w:val="bullet"/>
      <w:lvlText w:val="•"/>
      <w:lvlJc w:val="left"/>
      <w:pPr>
        <w:ind w:left="6605" w:hanging="721"/>
      </w:pPr>
      <w:rPr>
        <w:rFonts w:hint="default"/>
        <w:lang w:val="en-US" w:eastAsia="en-US" w:bidi="ar-SA"/>
      </w:rPr>
    </w:lvl>
    <w:lvl w:ilvl="7">
      <w:start w:val="0"/>
      <w:numFmt w:val="bullet"/>
      <w:lvlText w:val="•"/>
      <w:lvlJc w:val="left"/>
      <w:pPr>
        <w:ind w:left="7536" w:hanging="721"/>
      </w:pPr>
      <w:rPr>
        <w:rFonts w:hint="default"/>
        <w:lang w:val="en-US" w:eastAsia="en-US" w:bidi="ar-SA"/>
      </w:rPr>
    </w:lvl>
    <w:lvl w:ilvl="8">
      <w:start w:val="0"/>
      <w:numFmt w:val="bullet"/>
      <w:lvlText w:val="•"/>
      <w:lvlJc w:val="left"/>
      <w:pPr>
        <w:ind w:left="8467" w:hanging="721"/>
      </w:pPr>
      <w:rPr>
        <w:rFonts w:hint="default"/>
        <w:lang w:val="en-US" w:eastAsia="en-US" w:bidi="ar-SA"/>
      </w:rPr>
    </w:lvl>
  </w:abstractNum>
  <w:abstractNum w:abstractNumId="21">
    <w:multiLevelType w:val="hybridMultilevel"/>
    <w:lvl w:ilvl="0">
      <w:start w:val="4"/>
      <w:numFmt w:val="decimal"/>
      <w:lvlText w:val="%1"/>
      <w:lvlJc w:val="left"/>
      <w:pPr>
        <w:ind w:left="1028" w:hanging="721"/>
        <w:jc w:val="left"/>
      </w:pPr>
      <w:rPr>
        <w:rFonts w:hint="default"/>
        <w:lang w:val="en-US" w:eastAsia="en-US" w:bidi="ar-SA"/>
      </w:rPr>
    </w:lvl>
    <w:lvl w:ilvl="1">
      <w:start w:val="19"/>
      <w:numFmt w:val="decimal"/>
      <w:lvlText w:val="%1.%2"/>
      <w:lvlJc w:val="left"/>
      <w:pPr>
        <w:ind w:left="1028" w:hanging="721"/>
        <w:jc w:val="left"/>
      </w:pPr>
      <w:rPr>
        <w:rFonts w:hint="default"/>
        <w:lang w:val="en-US" w:eastAsia="en-US" w:bidi="ar-SA"/>
      </w:rPr>
    </w:lvl>
    <w:lvl w:ilvl="2">
      <w:start w:val="1"/>
      <w:numFmt w:val="decimal"/>
      <w:lvlText w:val="%1.%2.%3"/>
      <w:lvlJc w:val="left"/>
      <w:pPr>
        <w:ind w:left="1028" w:hanging="721"/>
        <w:jc w:val="left"/>
      </w:pPr>
      <w:rPr>
        <w:rFonts w:hint="default" w:ascii="Times New Roman" w:hAnsi="Times New Roman" w:eastAsia="Times New Roman" w:cs="Times New Roman"/>
        <w:b/>
        <w:bCs/>
        <w:i w:val="0"/>
        <w:iCs w:val="0"/>
        <w:spacing w:val="0"/>
        <w:w w:val="100"/>
        <w:sz w:val="23"/>
        <w:szCs w:val="23"/>
        <w:lang w:val="en-US" w:eastAsia="en-US" w:bidi="ar-SA"/>
      </w:rPr>
    </w:lvl>
    <w:lvl w:ilvl="3">
      <w:start w:val="0"/>
      <w:numFmt w:val="bullet"/>
      <w:lvlText w:val="•"/>
      <w:lvlJc w:val="left"/>
      <w:pPr>
        <w:ind w:left="3812" w:hanging="721"/>
      </w:pPr>
      <w:rPr>
        <w:rFonts w:hint="default"/>
        <w:lang w:val="en-US" w:eastAsia="en-US" w:bidi="ar-SA"/>
      </w:rPr>
    </w:lvl>
    <w:lvl w:ilvl="4">
      <w:start w:val="0"/>
      <w:numFmt w:val="bullet"/>
      <w:lvlText w:val="•"/>
      <w:lvlJc w:val="left"/>
      <w:pPr>
        <w:ind w:left="4743" w:hanging="721"/>
      </w:pPr>
      <w:rPr>
        <w:rFonts w:hint="default"/>
        <w:lang w:val="en-US" w:eastAsia="en-US" w:bidi="ar-SA"/>
      </w:rPr>
    </w:lvl>
    <w:lvl w:ilvl="5">
      <w:start w:val="0"/>
      <w:numFmt w:val="bullet"/>
      <w:lvlText w:val="•"/>
      <w:lvlJc w:val="left"/>
      <w:pPr>
        <w:ind w:left="5674" w:hanging="721"/>
      </w:pPr>
      <w:rPr>
        <w:rFonts w:hint="default"/>
        <w:lang w:val="en-US" w:eastAsia="en-US" w:bidi="ar-SA"/>
      </w:rPr>
    </w:lvl>
    <w:lvl w:ilvl="6">
      <w:start w:val="0"/>
      <w:numFmt w:val="bullet"/>
      <w:lvlText w:val="•"/>
      <w:lvlJc w:val="left"/>
      <w:pPr>
        <w:ind w:left="6605" w:hanging="721"/>
      </w:pPr>
      <w:rPr>
        <w:rFonts w:hint="default"/>
        <w:lang w:val="en-US" w:eastAsia="en-US" w:bidi="ar-SA"/>
      </w:rPr>
    </w:lvl>
    <w:lvl w:ilvl="7">
      <w:start w:val="0"/>
      <w:numFmt w:val="bullet"/>
      <w:lvlText w:val="•"/>
      <w:lvlJc w:val="left"/>
      <w:pPr>
        <w:ind w:left="7536" w:hanging="721"/>
      </w:pPr>
      <w:rPr>
        <w:rFonts w:hint="default"/>
        <w:lang w:val="en-US" w:eastAsia="en-US" w:bidi="ar-SA"/>
      </w:rPr>
    </w:lvl>
    <w:lvl w:ilvl="8">
      <w:start w:val="0"/>
      <w:numFmt w:val="bullet"/>
      <w:lvlText w:val="•"/>
      <w:lvlJc w:val="left"/>
      <w:pPr>
        <w:ind w:left="8467" w:hanging="721"/>
      </w:pPr>
      <w:rPr>
        <w:rFonts w:hint="default"/>
        <w:lang w:val="en-US" w:eastAsia="en-US" w:bidi="ar-SA"/>
      </w:rPr>
    </w:lvl>
  </w:abstractNum>
  <w:abstractNum w:abstractNumId="20">
    <w:multiLevelType w:val="hybridMultilevel"/>
    <w:lvl w:ilvl="0">
      <w:start w:val="4"/>
      <w:numFmt w:val="decimal"/>
      <w:lvlText w:val="%1"/>
      <w:lvlJc w:val="left"/>
      <w:pPr>
        <w:ind w:left="1028" w:hanging="668"/>
        <w:jc w:val="left"/>
      </w:pPr>
      <w:rPr>
        <w:rFonts w:hint="default"/>
        <w:lang w:val="en-US" w:eastAsia="en-US" w:bidi="ar-SA"/>
      </w:rPr>
    </w:lvl>
    <w:lvl w:ilvl="1">
      <w:start w:val="18"/>
      <w:numFmt w:val="decimal"/>
      <w:lvlText w:val="%1.%2"/>
      <w:lvlJc w:val="left"/>
      <w:pPr>
        <w:ind w:left="1028" w:hanging="668"/>
        <w:jc w:val="left"/>
      </w:pPr>
      <w:rPr>
        <w:rFonts w:hint="default"/>
        <w:lang w:val="en-US" w:eastAsia="en-US" w:bidi="ar-SA"/>
      </w:rPr>
    </w:lvl>
    <w:lvl w:ilvl="2">
      <w:start w:val="1"/>
      <w:numFmt w:val="decimal"/>
      <w:lvlText w:val="%1.%2.%3"/>
      <w:lvlJc w:val="left"/>
      <w:pPr>
        <w:ind w:left="1028" w:hanging="668"/>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12" w:hanging="668"/>
      </w:pPr>
      <w:rPr>
        <w:rFonts w:hint="default"/>
        <w:lang w:val="en-US" w:eastAsia="en-US" w:bidi="ar-SA"/>
      </w:rPr>
    </w:lvl>
    <w:lvl w:ilvl="4">
      <w:start w:val="0"/>
      <w:numFmt w:val="bullet"/>
      <w:lvlText w:val="•"/>
      <w:lvlJc w:val="left"/>
      <w:pPr>
        <w:ind w:left="4743" w:hanging="668"/>
      </w:pPr>
      <w:rPr>
        <w:rFonts w:hint="default"/>
        <w:lang w:val="en-US" w:eastAsia="en-US" w:bidi="ar-SA"/>
      </w:rPr>
    </w:lvl>
    <w:lvl w:ilvl="5">
      <w:start w:val="0"/>
      <w:numFmt w:val="bullet"/>
      <w:lvlText w:val="•"/>
      <w:lvlJc w:val="left"/>
      <w:pPr>
        <w:ind w:left="5674" w:hanging="668"/>
      </w:pPr>
      <w:rPr>
        <w:rFonts w:hint="default"/>
        <w:lang w:val="en-US" w:eastAsia="en-US" w:bidi="ar-SA"/>
      </w:rPr>
    </w:lvl>
    <w:lvl w:ilvl="6">
      <w:start w:val="0"/>
      <w:numFmt w:val="bullet"/>
      <w:lvlText w:val="•"/>
      <w:lvlJc w:val="left"/>
      <w:pPr>
        <w:ind w:left="6605" w:hanging="668"/>
      </w:pPr>
      <w:rPr>
        <w:rFonts w:hint="default"/>
        <w:lang w:val="en-US" w:eastAsia="en-US" w:bidi="ar-SA"/>
      </w:rPr>
    </w:lvl>
    <w:lvl w:ilvl="7">
      <w:start w:val="0"/>
      <w:numFmt w:val="bullet"/>
      <w:lvlText w:val="•"/>
      <w:lvlJc w:val="left"/>
      <w:pPr>
        <w:ind w:left="7536" w:hanging="668"/>
      </w:pPr>
      <w:rPr>
        <w:rFonts w:hint="default"/>
        <w:lang w:val="en-US" w:eastAsia="en-US" w:bidi="ar-SA"/>
      </w:rPr>
    </w:lvl>
    <w:lvl w:ilvl="8">
      <w:start w:val="0"/>
      <w:numFmt w:val="bullet"/>
      <w:lvlText w:val="•"/>
      <w:lvlJc w:val="left"/>
      <w:pPr>
        <w:ind w:left="8467" w:hanging="668"/>
      </w:pPr>
      <w:rPr>
        <w:rFonts w:hint="default"/>
        <w:lang w:val="en-US" w:eastAsia="en-US" w:bidi="ar-SA"/>
      </w:rPr>
    </w:lvl>
  </w:abstractNum>
  <w:abstractNum w:abstractNumId="19">
    <w:multiLevelType w:val="hybridMultilevel"/>
    <w:lvl w:ilvl="0">
      <w:start w:val="4"/>
      <w:numFmt w:val="decimal"/>
      <w:lvlText w:val="%1"/>
      <w:lvlJc w:val="left"/>
      <w:pPr>
        <w:ind w:left="1748" w:hanging="721"/>
        <w:jc w:val="left"/>
      </w:pPr>
      <w:rPr>
        <w:rFonts w:hint="default"/>
        <w:lang w:val="en-US" w:eastAsia="en-US" w:bidi="ar-SA"/>
      </w:rPr>
    </w:lvl>
    <w:lvl w:ilvl="1">
      <w:start w:val="1"/>
      <w:numFmt w:val="decimal"/>
      <w:lvlText w:val="%1.%2"/>
      <w:lvlJc w:val="left"/>
      <w:pPr>
        <w:ind w:left="174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457" w:hanging="721"/>
      </w:pPr>
      <w:rPr>
        <w:rFonts w:hint="default"/>
        <w:lang w:val="en-US" w:eastAsia="en-US" w:bidi="ar-SA"/>
      </w:rPr>
    </w:lvl>
    <w:lvl w:ilvl="3">
      <w:start w:val="0"/>
      <w:numFmt w:val="bullet"/>
      <w:lvlText w:val="•"/>
      <w:lvlJc w:val="left"/>
      <w:pPr>
        <w:ind w:left="4316" w:hanging="721"/>
      </w:pPr>
      <w:rPr>
        <w:rFonts w:hint="default"/>
        <w:lang w:val="en-US" w:eastAsia="en-US" w:bidi="ar-SA"/>
      </w:rPr>
    </w:lvl>
    <w:lvl w:ilvl="4">
      <w:start w:val="0"/>
      <w:numFmt w:val="bullet"/>
      <w:lvlText w:val="•"/>
      <w:lvlJc w:val="left"/>
      <w:pPr>
        <w:ind w:left="5175" w:hanging="721"/>
      </w:pPr>
      <w:rPr>
        <w:rFonts w:hint="default"/>
        <w:lang w:val="en-US" w:eastAsia="en-US" w:bidi="ar-SA"/>
      </w:rPr>
    </w:lvl>
    <w:lvl w:ilvl="5">
      <w:start w:val="0"/>
      <w:numFmt w:val="bullet"/>
      <w:lvlText w:val="•"/>
      <w:lvlJc w:val="left"/>
      <w:pPr>
        <w:ind w:left="6034" w:hanging="721"/>
      </w:pPr>
      <w:rPr>
        <w:rFonts w:hint="default"/>
        <w:lang w:val="en-US" w:eastAsia="en-US" w:bidi="ar-SA"/>
      </w:rPr>
    </w:lvl>
    <w:lvl w:ilvl="6">
      <w:start w:val="0"/>
      <w:numFmt w:val="bullet"/>
      <w:lvlText w:val="•"/>
      <w:lvlJc w:val="left"/>
      <w:pPr>
        <w:ind w:left="6893" w:hanging="721"/>
      </w:pPr>
      <w:rPr>
        <w:rFonts w:hint="default"/>
        <w:lang w:val="en-US" w:eastAsia="en-US" w:bidi="ar-SA"/>
      </w:rPr>
    </w:lvl>
    <w:lvl w:ilvl="7">
      <w:start w:val="0"/>
      <w:numFmt w:val="bullet"/>
      <w:lvlText w:val="•"/>
      <w:lvlJc w:val="left"/>
      <w:pPr>
        <w:ind w:left="7752" w:hanging="721"/>
      </w:pPr>
      <w:rPr>
        <w:rFonts w:hint="default"/>
        <w:lang w:val="en-US" w:eastAsia="en-US" w:bidi="ar-SA"/>
      </w:rPr>
    </w:lvl>
    <w:lvl w:ilvl="8">
      <w:start w:val="0"/>
      <w:numFmt w:val="bullet"/>
      <w:lvlText w:val="•"/>
      <w:lvlJc w:val="left"/>
      <w:pPr>
        <w:ind w:left="8611" w:hanging="721"/>
      </w:pPr>
      <w:rPr>
        <w:rFonts w:hint="default"/>
        <w:lang w:val="en-US" w:eastAsia="en-US" w:bidi="ar-SA"/>
      </w:rPr>
    </w:lvl>
  </w:abstractNum>
  <w:abstractNum w:abstractNumId="18">
    <w:multiLevelType w:val="hybridMultilevel"/>
    <w:lvl w:ilvl="0">
      <w:start w:val="1"/>
      <w:numFmt w:val="lowerLetter"/>
      <w:lvlText w:val="%1)."/>
      <w:lvlJc w:val="left"/>
      <w:pPr>
        <w:ind w:left="1028"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50" w:hanging="721"/>
      </w:pPr>
      <w:rPr>
        <w:rFonts w:hint="default"/>
        <w:lang w:val="en-US" w:eastAsia="en-US" w:bidi="ar-SA"/>
      </w:rPr>
    </w:lvl>
    <w:lvl w:ilvl="2">
      <w:start w:val="0"/>
      <w:numFmt w:val="bullet"/>
      <w:lvlText w:val="•"/>
      <w:lvlJc w:val="left"/>
      <w:pPr>
        <w:ind w:left="2881" w:hanging="721"/>
      </w:pPr>
      <w:rPr>
        <w:rFonts w:hint="default"/>
        <w:lang w:val="en-US" w:eastAsia="en-US" w:bidi="ar-SA"/>
      </w:rPr>
    </w:lvl>
    <w:lvl w:ilvl="3">
      <w:start w:val="0"/>
      <w:numFmt w:val="bullet"/>
      <w:lvlText w:val="•"/>
      <w:lvlJc w:val="left"/>
      <w:pPr>
        <w:ind w:left="3812" w:hanging="721"/>
      </w:pPr>
      <w:rPr>
        <w:rFonts w:hint="default"/>
        <w:lang w:val="en-US" w:eastAsia="en-US" w:bidi="ar-SA"/>
      </w:rPr>
    </w:lvl>
    <w:lvl w:ilvl="4">
      <w:start w:val="0"/>
      <w:numFmt w:val="bullet"/>
      <w:lvlText w:val="•"/>
      <w:lvlJc w:val="left"/>
      <w:pPr>
        <w:ind w:left="4743" w:hanging="721"/>
      </w:pPr>
      <w:rPr>
        <w:rFonts w:hint="default"/>
        <w:lang w:val="en-US" w:eastAsia="en-US" w:bidi="ar-SA"/>
      </w:rPr>
    </w:lvl>
    <w:lvl w:ilvl="5">
      <w:start w:val="0"/>
      <w:numFmt w:val="bullet"/>
      <w:lvlText w:val="•"/>
      <w:lvlJc w:val="left"/>
      <w:pPr>
        <w:ind w:left="5674" w:hanging="721"/>
      </w:pPr>
      <w:rPr>
        <w:rFonts w:hint="default"/>
        <w:lang w:val="en-US" w:eastAsia="en-US" w:bidi="ar-SA"/>
      </w:rPr>
    </w:lvl>
    <w:lvl w:ilvl="6">
      <w:start w:val="0"/>
      <w:numFmt w:val="bullet"/>
      <w:lvlText w:val="•"/>
      <w:lvlJc w:val="left"/>
      <w:pPr>
        <w:ind w:left="6605" w:hanging="721"/>
      </w:pPr>
      <w:rPr>
        <w:rFonts w:hint="default"/>
        <w:lang w:val="en-US" w:eastAsia="en-US" w:bidi="ar-SA"/>
      </w:rPr>
    </w:lvl>
    <w:lvl w:ilvl="7">
      <w:start w:val="0"/>
      <w:numFmt w:val="bullet"/>
      <w:lvlText w:val="•"/>
      <w:lvlJc w:val="left"/>
      <w:pPr>
        <w:ind w:left="7536" w:hanging="721"/>
      </w:pPr>
      <w:rPr>
        <w:rFonts w:hint="default"/>
        <w:lang w:val="en-US" w:eastAsia="en-US" w:bidi="ar-SA"/>
      </w:rPr>
    </w:lvl>
    <w:lvl w:ilvl="8">
      <w:start w:val="0"/>
      <w:numFmt w:val="bullet"/>
      <w:lvlText w:val="•"/>
      <w:lvlJc w:val="left"/>
      <w:pPr>
        <w:ind w:left="8467" w:hanging="721"/>
      </w:pPr>
      <w:rPr>
        <w:rFonts w:hint="default"/>
        <w:lang w:val="en-US" w:eastAsia="en-US" w:bidi="ar-SA"/>
      </w:rPr>
    </w:lvl>
  </w:abstractNum>
  <w:abstractNum w:abstractNumId="17">
    <w:multiLevelType w:val="hybridMultilevel"/>
    <w:lvl w:ilvl="0">
      <w:start w:val="1"/>
      <w:numFmt w:val="lowerLetter"/>
      <w:lvlText w:val="%1)."/>
      <w:lvlJc w:val="left"/>
      <w:pPr>
        <w:ind w:left="1028"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950" w:hanging="721"/>
      </w:pPr>
      <w:rPr>
        <w:rFonts w:hint="default"/>
        <w:lang w:val="en-US" w:eastAsia="en-US" w:bidi="ar-SA"/>
      </w:rPr>
    </w:lvl>
    <w:lvl w:ilvl="2">
      <w:start w:val="0"/>
      <w:numFmt w:val="bullet"/>
      <w:lvlText w:val="•"/>
      <w:lvlJc w:val="left"/>
      <w:pPr>
        <w:ind w:left="2881" w:hanging="721"/>
      </w:pPr>
      <w:rPr>
        <w:rFonts w:hint="default"/>
        <w:lang w:val="en-US" w:eastAsia="en-US" w:bidi="ar-SA"/>
      </w:rPr>
    </w:lvl>
    <w:lvl w:ilvl="3">
      <w:start w:val="0"/>
      <w:numFmt w:val="bullet"/>
      <w:lvlText w:val="•"/>
      <w:lvlJc w:val="left"/>
      <w:pPr>
        <w:ind w:left="3812" w:hanging="721"/>
      </w:pPr>
      <w:rPr>
        <w:rFonts w:hint="default"/>
        <w:lang w:val="en-US" w:eastAsia="en-US" w:bidi="ar-SA"/>
      </w:rPr>
    </w:lvl>
    <w:lvl w:ilvl="4">
      <w:start w:val="0"/>
      <w:numFmt w:val="bullet"/>
      <w:lvlText w:val="•"/>
      <w:lvlJc w:val="left"/>
      <w:pPr>
        <w:ind w:left="4743" w:hanging="721"/>
      </w:pPr>
      <w:rPr>
        <w:rFonts w:hint="default"/>
        <w:lang w:val="en-US" w:eastAsia="en-US" w:bidi="ar-SA"/>
      </w:rPr>
    </w:lvl>
    <w:lvl w:ilvl="5">
      <w:start w:val="0"/>
      <w:numFmt w:val="bullet"/>
      <w:lvlText w:val="•"/>
      <w:lvlJc w:val="left"/>
      <w:pPr>
        <w:ind w:left="5674" w:hanging="721"/>
      </w:pPr>
      <w:rPr>
        <w:rFonts w:hint="default"/>
        <w:lang w:val="en-US" w:eastAsia="en-US" w:bidi="ar-SA"/>
      </w:rPr>
    </w:lvl>
    <w:lvl w:ilvl="6">
      <w:start w:val="0"/>
      <w:numFmt w:val="bullet"/>
      <w:lvlText w:val="•"/>
      <w:lvlJc w:val="left"/>
      <w:pPr>
        <w:ind w:left="6605" w:hanging="721"/>
      </w:pPr>
      <w:rPr>
        <w:rFonts w:hint="default"/>
        <w:lang w:val="en-US" w:eastAsia="en-US" w:bidi="ar-SA"/>
      </w:rPr>
    </w:lvl>
    <w:lvl w:ilvl="7">
      <w:start w:val="0"/>
      <w:numFmt w:val="bullet"/>
      <w:lvlText w:val="•"/>
      <w:lvlJc w:val="left"/>
      <w:pPr>
        <w:ind w:left="7536" w:hanging="721"/>
      </w:pPr>
      <w:rPr>
        <w:rFonts w:hint="default"/>
        <w:lang w:val="en-US" w:eastAsia="en-US" w:bidi="ar-SA"/>
      </w:rPr>
    </w:lvl>
    <w:lvl w:ilvl="8">
      <w:start w:val="0"/>
      <w:numFmt w:val="bullet"/>
      <w:lvlText w:val="•"/>
      <w:lvlJc w:val="left"/>
      <w:pPr>
        <w:ind w:left="8467" w:hanging="721"/>
      </w:pPr>
      <w:rPr>
        <w:rFonts w:hint="default"/>
        <w:lang w:val="en-US" w:eastAsia="en-US" w:bidi="ar-SA"/>
      </w:rPr>
    </w:lvl>
  </w:abstractNum>
  <w:abstractNum w:abstractNumId="16">
    <w:multiLevelType w:val="hybridMultilevel"/>
    <w:lvl w:ilvl="0">
      <w:start w:val="3"/>
      <w:numFmt w:val="decimal"/>
      <w:lvlText w:val="%1"/>
      <w:lvlJc w:val="left"/>
      <w:pPr>
        <w:ind w:left="5143" w:hanging="720"/>
        <w:jc w:val="left"/>
      </w:pPr>
      <w:rPr>
        <w:rFonts w:hint="default"/>
        <w:lang w:val="en-US" w:eastAsia="en-US" w:bidi="ar-SA"/>
      </w:rPr>
    </w:lvl>
    <w:lvl w:ilvl="1">
      <w:start w:val="1"/>
      <w:numFmt w:val="decimal"/>
      <w:lvlText w:val="%1.%2"/>
      <w:lvlJc w:val="left"/>
      <w:pPr>
        <w:ind w:left="5143"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4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48" w:hanging="721"/>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6869" w:hanging="721"/>
      </w:pPr>
      <w:rPr>
        <w:rFonts w:hint="default"/>
        <w:lang w:val="en-US" w:eastAsia="en-US" w:bidi="ar-SA"/>
      </w:rPr>
    </w:lvl>
    <w:lvl w:ilvl="5">
      <w:start w:val="0"/>
      <w:numFmt w:val="bullet"/>
      <w:lvlText w:val="•"/>
      <w:lvlJc w:val="left"/>
      <w:pPr>
        <w:ind w:left="7446" w:hanging="721"/>
      </w:pPr>
      <w:rPr>
        <w:rFonts w:hint="default"/>
        <w:lang w:val="en-US" w:eastAsia="en-US" w:bidi="ar-SA"/>
      </w:rPr>
    </w:lvl>
    <w:lvl w:ilvl="6">
      <w:start w:val="0"/>
      <w:numFmt w:val="bullet"/>
      <w:lvlText w:val="•"/>
      <w:lvlJc w:val="left"/>
      <w:pPr>
        <w:ind w:left="8022" w:hanging="721"/>
      </w:pPr>
      <w:rPr>
        <w:rFonts w:hint="default"/>
        <w:lang w:val="en-US" w:eastAsia="en-US" w:bidi="ar-SA"/>
      </w:rPr>
    </w:lvl>
    <w:lvl w:ilvl="7">
      <w:start w:val="0"/>
      <w:numFmt w:val="bullet"/>
      <w:lvlText w:val="•"/>
      <w:lvlJc w:val="left"/>
      <w:pPr>
        <w:ind w:left="8599" w:hanging="721"/>
      </w:pPr>
      <w:rPr>
        <w:rFonts w:hint="default"/>
        <w:lang w:val="en-US" w:eastAsia="en-US" w:bidi="ar-SA"/>
      </w:rPr>
    </w:lvl>
    <w:lvl w:ilvl="8">
      <w:start w:val="0"/>
      <w:numFmt w:val="bullet"/>
      <w:lvlText w:val="•"/>
      <w:lvlJc w:val="left"/>
      <w:pPr>
        <w:ind w:left="9175" w:hanging="721"/>
      </w:pPr>
      <w:rPr>
        <w:rFonts w:hint="default"/>
        <w:lang w:val="en-US" w:eastAsia="en-US" w:bidi="ar-SA"/>
      </w:rPr>
    </w:lvl>
  </w:abstractNum>
  <w:abstractNum w:abstractNumId="15">
    <w:multiLevelType w:val="hybridMultilevel"/>
    <w:lvl w:ilvl="0">
      <w:start w:val="2"/>
      <w:numFmt w:val="decimal"/>
      <w:lvlText w:val="%1"/>
      <w:lvlJc w:val="left"/>
      <w:pPr>
        <w:ind w:left="1748" w:hanging="721"/>
        <w:jc w:val="left"/>
      </w:pPr>
      <w:rPr>
        <w:rFonts w:hint="default"/>
        <w:lang w:val="en-US" w:eastAsia="en-US" w:bidi="ar-SA"/>
      </w:rPr>
    </w:lvl>
    <w:lvl w:ilvl="1">
      <w:start w:val="1"/>
      <w:numFmt w:val="decimal"/>
      <w:lvlText w:val="%1.%2"/>
      <w:lvlJc w:val="left"/>
      <w:pPr>
        <w:ind w:left="1748" w:hanging="721"/>
        <w:jc w:val="left"/>
      </w:pPr>
      <w:rPr>
        <w:rFonts w:hint="default"/>
        <w:spacing w:val="0"/>
        <w:w w:val="100"/>
        <w:lang w:val="en-US" w:eastAsia="en-US" w:bidi="ar-SA"/>
      </w:rPr>
    </w:lvl>
    <w:lvl w:ilvl="2">
      <w:start w:val="1"/>
      <w:numFmt w:val="decimal"/>
      <w:lvlText w:val="%1.%2.%3"/>
      <w:lvlJc w:val="left"/>
      <w:pPr>
        <w:ind w:left="174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48" w:hanging="721"/>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4">
      <w:start w:val="0"/>
      <w:numFmt w:val="bullet"/>
      <w:lvlText w:val="•"/>
      <w:lvlJc w:val="left"/>
      <w:pPr>
        <w:ind w:left="4427" w:hanging="721"/>
      </w:pPr>
      <w:rPr>
        <w:rFonts w:hint="default"/>
        <w:lang w:val="en-US" w:eastAsia="en-US" w:bidi="ar-SA"/>
      </w:rPr>
    </w:lvl>
    <w:lvl w:ilvl="5">
      <w:start w:val="0"/>
      <w:numFmt w:val="bullet"/>
      <w:lvlText w:val="•"/>
      <w:lvlJc w:val="left"/>
      <w:pPr>
        <w:ind w:left="5410" w:hanging="721"/>
      </w:pPr>
      <w:rPr>
        <w:rFonts w:hint="default"/>
        <w:lang w:val="en-US" w:eastAsia="en-US" w:bidi="ar-SA"/>
      </w:rPr>
    </w:lvl>
    <w:lvl w:ilvl="6">
      <w:start w:val="0"/>
      <w:numFmt w:val="bullet"/>
      <w:lvlText w:val="•"/>
      <w:lvlJc w:val="left"/>
      <w:pPr>
        <w:ind w:left="6394" w:hanging="721"/>
      </w:pPr>
      <w:rPr>
        <w:rFonts w:hint="default"/>
        <w:lang w:val="en-US" w:eastAsia="en-US" w:bidi="ar-SA"/>
      </w:rPr>
    </w:lvl>
    <w:lvl w:ilvl="7">
      <w:start w:val="0"/>
      <w:numFmt w:val="bullet"/>
      <w:lvlText w:val="•"/>
      <w:lvlJc w:val="left"/>
      <w:pPr>
        <w:ind w:left="7378" w:hanging="721"/>
      </w:pPr>
      <w:rPr>
        <w:rFonts w:hint="default"/>
        <w:lang w:val="en-US" w:eastAsia="en-US" w:bidi="ar-SA"/>
      </w:rPr>
    </w:lvl>
    <w:lvl w:ilvl="8">
      <w:start w:val="0"/>
      <w:numFmt w:val="bullet"/>
      <w:lvlText w:val="•"/>
      <w:lvlJc w:val="left"/>
      <w:pPr>
        <w:ind w:left="8361" w:hanging="721"/>
      </w:pPr>
      <w:rPr>
        <w:rFonts w:hint="default"/>
        <w:lang w:val="en-US" w:eastAsia="en-US" w:bidi="ar-SA"/>
      </w:rPr>
    </w:lvl>
  </w:abstractNum>
  <w:abstractNum w:abstractNumId="14">
    <w:multiLevelType w:val="hybridMultilevel"/>
    <w:lvl w:ilvl="0">
      <w:start w:val="1"/>
      <w:numFmt w:val="decimal"/>
      <w:lvlText w:val="%1"/>
      <w:lvlJc w:val="left"/>
      <w:pPr>
        <w:ind w:left="1748" w:hanging="721"/>
        <w:jc w:val="left"/>
      </w:pPr>
      <w:rPr>
        <w:rFonts w:hint="default"/>
        <w:lang w:val="en-US" w:eastAsia="en-US" w:bidi="ar-SA"/>
      </w:rPr>
    </w:lvl>
    <w:lvl w:ilvl="1">
      <w:start w:val="1"/>
      <w:numFmt w:val="decimal"/>
      <w:lvlText w:val="%1.%2"/>
      <w:lvlJc w:val="left"/>
      <w:pPr>
        <w:ind w:left="1748" w:hanging="721"/>
        <w:jc w:val="right"/>
      </w:pPr>
      <w:rPr>
        <w:rFonts w:hint="default"/>
        <w:spacing w:val="0"/>
        <w:w w:val="100"/>
        <w:lang w:val="en-US" w:eastAsia="en-US" w:bidi="ar-SA"/>
      </w:rPr>
    </w:lvl>
    <w:lvl w:ilvl="2">
      <w:start w:val="1"/>
      <w:numFmt w:val="decimal"/>
      <w:lvlText w:val="%1.%2.%3"/>
      <w:lvlJc w:val="left"/>
      <w:pPr>
        <w:ind w:left="1748"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74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175" w:hanging="360"/>
      </w:pPr>
      <w:rPr>
        <w:rFonts w:hint="default"/>
        <w:lang w:val="en-US" w:eastAsia="en-US" w:bidi="ar-SA"/>
      </w:rPr>
    </w:lvl>
    <w:lvl w:ilvl="5">
      <w:start w:val="0"/>
      <w:numFmt w:val="bullet"/>
      <w:lvlText w:val="•"/>
      <w:lvlJc w:val="left"/>
      <w:pPr>
        <w:ind w:left="6034" w:hanging="360"/>
      </w:pPr>
      <w:rPr>
        <w:rFonts w:hint="default"/>
        <w:lang w:val="en-US" w:eastAsia="en-US" w:bidi="ar-SA"/>
      </w:rPr>
    </w:lvl>
    <w:lvl w:ilvl="6">
      <w:start w:val="0"/>
      <w:numFmt w:val="bullet"/>
      <w:lvlText w:val="•"/>
      <w:lvlJc w:val="left"/>
      <w:pPr>
        <w:ind w:left="6893" w:hanging="360"/>
      </w:pPr>
      <w:rPr>
        <w:rFonts w:hint="default"/>
        <w:lang w:val="en-US" w:eastAsia="en-US" w:bidi="ar-SA"/>
      </w:rPr>
    </w:lvl>
    <w:lvl w:ilvl="7">
      <w:start w:val="0"/>
      <w:numFmt w:val="bullet"/>
      <w:lvlText w:val="•"/>
      <w:lvlJc w:val="left"/>
      <w:pPr>
        <w:ind w:left="7752" w:hanging="360"/>
      </w:pPr>
      <w:rPr>
        <w:rFonts w:hint="default"/>
        <w:lang w:val="en-US" w:eastAsia="en-US" w:bidi="ar-SA"/>
      </w:rPr>
    </w:lvl>
    <w:lvl w:ilvl="8">
      <w:start w:val="0"/>
      <w:numFmt w:val="bullet"/>
      <w:lvlText w:val="•"/>
      <w:lvlJc w:val="left"/>
      <w:pPr>
        <w:ind w:left="8611" w:hanging="360"/>
      </w:pPr>
      <w:rPr>
        <w:rFonts w:hint="default"/>
        <w:lang w:val="en-US" w:eastAsia="en-US" w:bidi="ar-SA"/>
      </w:rPr>
    </w:lvl>
  </w:abstractNum>
  <w:abstractNum w:abstractNumId="13">
    <w:multiLevelType w:val="hybridMultilevel"/>
    <w:lvl w:ilvl="0">
      <w:start w:val="4"/>
      <w:numFmt w:val="decimal"/>
      <w:lvlText w:val="%1"/>
      <w:lvlJc w:val="left"/>
      <w:pPr>
        <w:ind w:left="618" w:hanging="365"/>
        <w:jc w:val="left"/>
      </w:pPr>
      <w:rPr>
        <w:rFonts w:hint="default"/>
        <w:lang w:val="en-US" w:eastAsia="en-US" w:bidi="ar-SA"/>
      </w:rPr>
    </w:lvl>
    <w:lvl w:ilvl="1">
      <w:start w:val="1"/>
      <w:numFmt w:val="decimal"/>
      <w:lvlText w:val="%1.%2"/>
      <w:lvlJc w:val="left"/>
      <w:pPr>
        <w:ind w:left="618" w:hanging="365"/>
        <w:jc w:val="left"/>
      </w:pPr>
      <w:rPr>
        <w:rFonts w:hint="default" w:ascii="Times New Roman" w:hAnsi="Times New Roman" w:eastAsia="Times New Roman" w:cs="Times New Roman"/>
        <w:b w:val="0"/>
        <w:bCs w:val="0"/>
        <w:i w:val="0"/>
        <w:iCs w:val="0"/>
        <w:spacing w:val="0"/>
        <w:w w:val="94"/>
        <w:sz w:val="24"/>
        <w:szCs w:val="24"/>
        <w:lang w:val="en-US" w:eastAsia="en-US" w:bidi="ar-SA"/>
      </w:rPr>
    </w:lvl>
    <w:lvl w:ilvl="2">
      <w:start w:val="0"/>
      <w:numFmt w:val="bullet"/>
      <w:lvlText w:val="•"/>
      <w:lvlJc w:val="left"/>
      <w:pPr>
        <w:ind w:left="2340" w:hanging="365"/>
      </w:pPr>
      <w:rPr>
        <w:rFonts w:hint="default"/>
        <w:lang w:val="en-US" w:eastAsia="en-US" w:bidi="ar-SA"/>
      </w:rPr>
    </w:lvl>
    <w:lvl w:ilvl="3">
      <w:start w:val="0"/>
      <w:numFmt w:val="bullet"/>
      <w:lvlText w:val="•"/>
      <w:lvlJc w:val="left"/>
      <w:pPr>
        <w:ind w:left="3200" w:hanging="365"/>
      </w:pPr>
      <w:rPr>
        <w:rFonts w:hint="default"/>
        <w:lang w:val="en-US" w:eastAsia="en-US" w:bidi="ar-SA"/>
      </w:rPr>
    </w:lvl>
    <w:lvl w:ilvl="4">
      <w:start w:val="0"/>
      <w:numFmt w:val="bullet"/>
      <w:lvlText w:val="•"/>
      <w:lvlJc w:val="left"/>
      <w:pPr>
        <w:ind w:left="4060" w:hanging="365"/>
      </w:pPr>
      <w:rPr>
        <w:rFonts w:hint="default"/>
        <w:lang w:val="en-US" w:eastAsia="en-US" w:bidi="ar-SA"/>
      </w:rPr>
    </w:lvl>
    <w:lvl w:ilvl="5">
      <w:start w:val="0"/>
      <w:numFmt w:val="bullet"/>
      <w:lvlText w:val="•"/>
      <w:lvlJc w:val="left"/>
      <w:pPr>
        <w:ind w:left="4920" w:hanging="365"/>
      </w:pPr>
      <w:rPr>
        <w:rFonts w:hint="default"/>
        <w:lang w:val="en-US" w:eastAsia="en-US" w:bidi="ar-SA"/>
      </w:rPr>
    </w:lvl>
    <w:lvl w:ilvl="6">
      <w:start w:val="0"/>
      <w:numFmt w:val="bullet"/>
      <w:lvlText w:val="•"/>
      <w:lvlJc w:val="left"/>
      <w:pPr>
        <w:ind w:left="5780" w:hanging="365"/>
      </w:pPr>
      <w:rPr>
        <w:rFonts w:hint="default"/>
        <w:lang w:val="en-US" w:eastAsia="en-US" w:bidi="ar-SA"/>
      </w:rPr>
    </w:lvl>
    <w:lvl w:ilvl="7">
      <w:start w:val="0"/>
      <w:numFmt w:val="bullet"/>
      <w:lvlText w:val="•"/>
      <w:lvlJc w:val="left"/>
      <w:pPr>
        <w:ind w:left="6640" w:hanging="365"/>
      </w:pPr>
      <w:rPr>
        <w:rFonts w:hint="default"/>
        <w:lang w:val="en-US" w:eastAsia="en-US" w:bidi="ar-SA"/>
      </w:rPr>
    </w:lvl>
    <w:lvl w:ilvl="8">
      <w:start w:val="0"/>
      <w:numFmt w:val="bullet"/>
      <w:lvlText w:val="•"/>
      <w:lvlJc w:val="left"/>
      <w:pPr>
        <w:ind w:left="7500" w:hanging="365"/>
      </w:pPr>
      <w:rPr>
        <w:rFonts w:hint="default"/>
        <w:lang w:val="en-US" w:eastAsia="en-US" w:bidi="ar-SA"/>
      </w:rPr>
    </w:lvl>
  </w:abstractNum>
  <w:abstractNum w:abstractNumId="12">
    <w:multiLevelType w:val="hybridMultilevel"/>
    <w:lvl w:ilvl="0">
      <w:start w:val="4"/>
      <w:numFmt w:val="decimal"/>
      <w:lvlText w:val="%1"/>
      <w:lvlJc w:val="left"/>
      <w:pPr>
        <w:ind w:left="253" w:hanging="304"/>
        <w:jc w:val="left"/>
      </w:pPr>
      <w:rPr>
        <w:rFonts w:hint="default"/>
        <w:lang w:val="en-US" w:eastAsia="en-US" w:bidi="ar-SA"/>
      </w:rPr>
    </w:lvl>
    <w:lvl w:ilvl="1">
      <w:start w:val="1"/>
      <w:numFmt w:val="decimal"/>
      <w:lvlText w:val="%1.%2"/>
      <w:lvlJc w:val="left"/>
      <w:pPr>
        <w:ind w:left="253" w:hanging="304"/>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052" w:hanging="304"/>
      </w:pPr>
      <w:rPr>
        <w:rFonts w:hint="default"/>
        <w:lang w:val="en-US" w:eastAsia="en-US" w:bidi="ar-SA"/>
      </w:rPr>
    </w:lvl>
    <w:lvl w:ilvl="3">
      <w:start w:val="0"/>
      <w:numFmt w:val="bullet"/>
      <w:lvlText w:val="•"/>
      <w:lvlJc w:val="left"/>
      <w:pPr>
        <w:ind w:left="2948" w:hanging="304"/>
      </w:pPr>
      <w:rPr>
        <w:rFonts w:hint="default"/>
        <w:lang w:val="en-US" w:eastAsia="en-US" w:bidi="ar-SA"/>
      </w:rPr>
    </w:lvl>
    <w:lvl w:ilvl="4">
      <w:start w:val="0"/>
      <w:numFmt w:val="bullet"/>
      <w:lvlText w:val="•"/>
      <w:lvlJc w:val="left"/>
      <w:pPr>
        <w:ind w:left="3844" w:hanging="304"/>
      </w:pPr>
      <w:rPr>
        <w:rFonts w:hint="default"/>
        <w:lang w:val="en-US" w:eastAsia="en-US" w:bidi="ar-SA"/>
      </w:rPr>
    </w:lvl>
    <w:lvl w:ilvl="5">
      <w:start w:val="0"/>
      <w:numFmt w:val="bullet"/>
      <w:lvlText w:val="•"/>
      <w:lvlJc w:val="left"/>
      <w:pPr>
        <w:ind w:left="4740" w:hanging="304"/>
      </w:pPr>
      <w:rPr>
        <w:rFonts w:hint="default"/>
        <w:lang w:val="en-US" w:eastAsia="en-US" w:bidi="ar-SA"/>
      </w:rPr>
    </w:lvl>
    <w:lvl w:ilvl="6">
      <w:start w:val="0"/>
      <w:numFmt w:val="bullet"/>
      <w:lvlText w:val="•"/>
      <w:lvlJc w:val="left"/>
      <w:pPr>
        <w:ind w:left="5636" w:hanging="304"/>
      </w:pPr>
      <w:rPr>
        <w:rFonts w:hint="default"/>
        <w:lang w:val="en-US" w:eastAsia="en-US" w:bidi="ar-SA"/>
      </w:rPr>
    </w:lvl>
    <w:lvl w:ilvl="7">
      <w:start w:val="0"/>
      <w:numFmt w:val="bullet"/>
      <w:lvlText w:val="•"/>
      <w:lvlJc w:val="left"/>
      <w:pPr>
        <w:ind w:left="6532" w:hanging="304"/>
      </w:pPr>
      <w:rPr>
        <w:rFonts w:hint="default"/>
        <w:lang w:val="en-US" w:eastAsia="en-US" w:bidi="ar-SA"/>
      </w:rPr>
    </w:lvl>
    <w:lvl w:ilvl="8">
      <w:start w:val="0"/>
      <w:numFmt w:val="bullet"/>
      <w:lvlText w:val="•"/>
      <w:lvlJc w:val="left"/>
      <w:pPr>
        <w:ind w:left="7428" w:hanging="304"/>
      </w:pPr>
      <w:rPr>
        <w:rFonts w:hint="default"/>
        <w:lang w:val="en-US" w:eastAsia="en-US" w:bidi="ar-SA"/>
      </w:rPr>
    </w:lvl>
  </w:abstractNum>
  <w:abstractNum w:abstractNumId="11">
    <w:multiLevelType w:val="hybridMultilevel"/>
    <w:lvl w:ilvl="0">
      <w:start w:val="2"/>
      <w:numFmt w:val="decimal"/>
      <w:lvlText w:val="%1"/>
      <w:lvlJc w:val="left"/>
      <w:pPr>
        <w:ind w:left="556" w:hanging="304"/>
        <w:jc w:val="left"/>
      </w:pPr>
      <w:rPr>
        <w:rFonts w:hint="default"/>
        <w:lang w:val="en-US" w:eastAsia="en-US" w:bidi="ar-SA"/>
      </w:rPr>
    </w:lvl>
    <w:lvl w:ilvl="1">
      <w:start w:val="1"/>
      <w:numFmt w:val="decimal"/>
      <w:lvlText w:val="%1.%2"/>
      <w:lvlJc w:val="left"/>
      <w:pPr>
        <w:ind w:left="556" w:hanging="304"/>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292" w:hanging="304"/>
      </w:pPr>
      <w:rPr>
        <w:rFonts w:hint="default"/>
        <w:lang w:val="en-US" w:eastAsia="en-US" w:bidi="ar-SA"/>
      </w:rPr>
    </w:lvl>
    <w:lvl w:ilvl="3">
      <w:start w:val="0"/>
      <w:numFmt w:val="bullet"/>
      <w:lvlText w:val="•"/>
      <w:lvlJc w:val="left"/>
      <w:pPr>
        <w:ind w:left="3158" w:hanging="304"/>
      </w:pPr>
      <w:rPr>
        <w:rFonts w:hint="default"/>
        <w:lang w:val="en-US" w:eastAsia="en-US" w:bidi="ar-SA"/>
      </w:rPr>
    </w:lvl>
    <w:lvl w:ilvl="4">
      <w:start w:val="0"/>
      <w:numFmt w:val="bullet"/>
      <w:lvlText w:val="•"/>
      <w:lvlJc w:val="left"/>
      <w:pPr>
        <w:ind w:left="4024" w:hanging="304"/>
      </w:pPr>
      <w:rPr>
        <w:rFonts w:hint="default"/>
        <w:lang w:val="en-US" w:eastAsia="en-US" w:bidi="ar-SA"/>
      </w:rPr>
    </w:lvl>
    <w:lvl w:ilvl="5">
      <w:start w:val="0"/>
      <w:numFmt w:val="bullet"/>
      <w:lvlText w:val="•"/>
      <w:lvlJc w:val="left"/>
      <w:pPr>
        <w:ind w:left="4890" w:hanging="304"/>
      </w:pPr>
      <w:rPr>
        <w:rFonts w:hint="default"/>
        <w:lang w:val="en-US" w:eastAsia="en-US" w:bidi="ar-SA"/>
      </w:rPr>
    </w:lvl>
    <w:lvl w:ilvl="6">
      <w:start w:val="0"/>
      <w:numFmt w:val="bullet"/>
      <w:lvlText w:val="•"/>
      <w:lvlJc w:val="left"/>
      <w:pPr>
        <w:ind w:left="5756" w:hanging="304"/>
      </w:pPr>
      <w:rPr>
        <w:rFonts w:hint="default"/>
        <w:lang w:val="en-US" w:eastAsia="en-US" w:bidi="ar-SA"/>
      </w:rPr>
    </w:lvl>
    <w:lvl w:ilvl="7">
      <w:start w:val="0"/>
      <w:numFmt w:val="bullet"/>
      <w:lvlText w:val="•"/>
      <w:lvlJc w:val="left"/>
      <w:pPr>
        <w:ind w:left="6622" w:hanging="304"/>
      </w:pPr>
      <w:rPr>
        <w:rFonts w:hint="default"/>
        <w:lang w:val="en-US" w:eastAsia="en-US" w:bidi="ar-SA"/>
      </w:rPr>
    </w:lvl>
    <w:lvl w:ilvl="8">
      <w:start w:val="0"/>
      <w:numFmt w:val="bullet"/>
      <w:lvlText w:val="•"/>
      <w:lvlJc w:val="left"/>
      <w:pPr>
        <w:ind w:left="7488" w:hanging="304"/>
      </w:pPr>
      <w:rPr>
        <w:rFonts w:hint="default"/>
        <w:lang w:val="en-US" w:eastAsia="en-US" w:bidi="ar-SA"/>
      </w:rPr>
    </w:lvl>
  </w:abstractNum>
  <w:abstractNum w:abstractNumId="10">
    <w:multiLevelType w:val="hybridMultilevel"/>
    <w:lvl w:ilvl="0">
      <w:start w:val="5"/>
      <w:numFmt w:val="decimal"/>
      <w:lvlText w:val="%1.0"/>
      <w:lvlJc w:val="left"/>
      <w:pPr>
        <w:ind w:left="97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804" w:hanging="721"/>
      </w:pPr>
      <w:rPr>
        <w:rFonts w:hint="default"/>
        <w:lang w:val="en-US" w:eastAsia="en-US" w:bidi="ar-SA"/>
      </w:rPr>
    </w:lvl>
    <w:lvl w:ilvl="2">
      <w:start w:val="0"/>
      <w:numFmt w:val="bullet"/>
      <w:lvlText w:val="•"/>
      <w:lvlJc w:val="left"/>
      <w:pPr>
        <w:ind w:left="2628" w:hanging="721"/>
      </w:pPr>
      <w:rPr>
        <w:rFonts w:hint="default"/>
        <w:lang w:val="en-US" w:eastAsia="en-US" w:bidi="ar-SA"/>
      </w:rPr>
    </w:lvl>
    <w:lvl w:ilvl="3">
      <w:start w:val="0"/>
      <w:numFmt w:val="bullet"/>
      <w:lvlText w:val="•"/>
      <w:lvlJc w:val="left"/>
      <w:pPr>
        <w:ind w:left="3452" w:hanging="721"/>
      </w:pPr>
      <w:rPr>
        <w:rFonts w:hint="default"/>
        <w:lang w:val="en-US" w:eastAsia="en-US" w:bidi="ar-SA"/>
      </w:rPr>
    </w:lvl>
    <w:lvl w:ilvl="4">
      <w:start w:val="0"/>
      <w:numFmt w:val="bullet"/>
      <w:lvlText w:val="•"/>
      <w:lvlJc w:val="left"/>
      <w:pPr>
        <w:ind w:left="4276" w:hanging="721"/>
      </w:pPr>
      <w:rPr>
        <w:rFonts w:hint="default"/>
        <w:lang w:val="en-US" w:eastAsia="en-US" w:bidi="ar-SA"/>
      </w:rPr>
    </w:lvl>
    <w:lvl w:ilvl="5">
      <w:start w:val="0"/>
      <w:numFmt w:val="bullet"/>
      <w:lvlText w:val="•"/>
      <w:lvlJc w:val="left"/>
      <w:pPr>
        <w:ind w:left="5100" w:hanging="721"/>
      </w:pPr>
      <w:rPr>
        <w:rFonts w:hint="default"/>
        <w:lang w:val="en-US" w:eastAsia="en-US" w:bidi="ar-SA"/>
      </w:rPr>
    </w:lvl>
    <w:lvl w:ilvl="6">
      <w:start w:val="0"/>
      <w:numFmt w:val="bullet"/>
      <w:lvlText w:val="•"/>
      <w:lvlJc w:val="left"/>
      <w:pPr>
        <w:ind w:left="5924" w:hanging="721"/>
      </w:pPr>
      <w:rPr>
        <w:rFonts w:hint="default"/>
        <w:lang w:val="en-US" w:eastAsia="en-US" w:bidi="ar-SA"/>
      </w:rPr>
    </w:lvl>
    <w:lvl w:ilvl="7">
      <w:start w:val="0"/>
      <w:numFmt w:val="bullet"/>
      <w:lvlText w:val="•"/>
      <w:lvlJc w:val="left"/>
      <w:pPr>
        <w:ind w:left="6748" w:hanging="721"/>
      </w:pPr>
      <w:rPr>
        <w:rFonts w:hint="default"/>
        <w:lang w:val="en-US" w:eastAsia="en-US" w:bidi="ar-SA"/>
      </w:rPr>
    </w:lvl>
    <w:lvl w:ilvl="8">
      <w:start w:val="0"/>
      <w:numFmt w:val="bullet"/>
      <w:lvlText w:val="•"/>
      <w:lvlJc w:val="left"/>
      <w:pPr>
        <w:ind w:left="7572" w:hanging="721"/>
      </w:pPr>
      <w:rPr>
        <w:rFonts w:hint="default"/>
        <w:lang w:val="en-US" w:eastAsia="en-US" w:bidi="ar-SA"/>
      </w:rPr>
    </w:lvl>
  </w:abstractNum>
  <w:abstractNum w:abstractNumId="9">
    <w:multiLevelType w:val="hybridMultilevel"/>
    <w:lvl w:ilvl="0">
      <w:start w:val="4"/>
      <w:numFmt w:val="decimal"/>
      <w:lvlText w:val="%1"/>
      <w:lvlJc w:val="left"/>
      <w:pPr>
        <w:ind w:left="915" w:hanging="662"/>
        <w:jc w:val="left"/>
      </w:pPr>
      <w:rPr>
        <w:rFonts w:hint="default"/>
        <w:lang w:val="en-US" w:eastAsia="en-US" w:bidi="ar-SA"/>
      </w:rPr>
    </w:lvl>
    <w:lvl w:ilvl="1">
      <w:start w:val="20"/>
      <w:numFmt w:val="decimal"/>
      <w:lvlText w:val="%1.%2"/>
      <w:lvlJc w:val="left"/>
      <w:pPr>
        <w:ind w:left="915" w:hanging="662"/>
        <w:jc w:val="left"/>
      </w:pPr>
      <w:rPr>
        <w:rFonts w:hint="default"/>
        <w:lang w:val="en-US" w:eastAsia="en-US" w:bidi="ar-SA"/>
      </w:rPr>
    </w:lvl>
    <w:lvl w:ilvl="2">
      <w:start w:val="3"/>
      <w:numFmt w:val="decimal"/>
      <w:lvlText w:val="%1.%2.%3"/>
      <w:lvlJc w:val="left"/>
      <w:pPr>
        <w:ind w:left="915" w:hanging="6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10" w:hanging="662"/>
      </w:pPr>
      <w:rPr>
        <w:rFonts w:hint="default"/>
        <w:lang w:val="en-US" w:eastAsia="en-US" w:bidi="ar-SA"/>
      </w:rPr>
    </w:lvl>
    <w:lvl w:ilvl="4">
      <w:start w:val="0"/>
      <w:numFmt w:val="bullet"/>
      <w:lvlText w:val="•"/>
      <w:lvlJc w:val="left"/>
      <w:pPr>
        <w:ind w:left="4240" w:hanging="662"/>
      </w:pPr>
      <w:rPr>
        <w:rFonts w:hint="default"/>
        <w:lang w:val="en-US" w:eastAsia="en-US" w:bidi="ar-SA"/>
      </w:rPr>
    </w:lvl>
    <w:lvl w:ilvl="5">
      <w:start w:val="0"/>
      <w:numFmt w:val="bullet"/>
      <w:lvlText w:val="•"/>
      <w:lvlJc w:val="left"/>
      <w:pPr>
        <w:ind w:left="5070" w:hanging="662"/>
      </w:pPr>
      <w:rPr>
        <w:rFonts w:hint="default"/>
        <w:lang w:val="en-US" w:eastAsia="en-US" w:bidi="ar-SA"/>
      </w:rPr>
    </w:lvl>
    <w:lvl w:ilvl="6">
      <w:start w:val="0"/>
      <w:numFmt w:val="bullet"/>
      <w:lvlText w:val="•"/>
      <w:lvlJc w:val="left"/>
      <w:pPr>
        <w:ind w:left="5900" w:hanging="662"/>
      </w:pPr>
      <w:rPr>
        <w:rFonts w:hint="default"/>
        <w:lang w:val="en-US" w:eastAsia="en-US" w:bidi="ar-SA"/>
      </w:rPr>
    </w:lvl>
    <w:lvl w:ilvl="7">
      <w:start w:val="0"/>
      <w:numFmt w:val="bullet"/>
      <w:lvlText w:val="•"/>
      <w:lvlJc w:val="left"/>
      <w:pPr>
        <w:ind w:left="6730" w:hanging="662"/>
      </w:pPr>
      <w:rPr>
        <w:rFonts w:hint="default"/>
        <w:lang w:val="en-US" w:eastAsia="en-US" w:bidi="ar-SA"/>
      </w:rPr>
    </w:lvl>
    <w:lvl w:ilvl="8">
      <w:start w:val="0"/>
      <w:numFmt w:val="bullet"/>
      <w:lvlText w:val="•"/>
      <w:lvlJc w:val="left"/>
      <w:pPr>
        <w:ind w:left="7560" w:hanging="662"/>
      </w:pPr>
      <w:rPr>
        <w:rFonts w:hint="default"/>
        <w:lang w:val="en-US" w:eastAsia="en-US" w:bidi="ar-SA"/>
      </w:rPr>
    </w:lvl>
  </w:abstractNum>
  <w:abstractNum w:abstractNumId="8">
    <w:multiLevelType w:val="hybridMultilevel"/>
    <w:lvl w:ilvl="0">
      <w:start w:val="4"/>
      <w:numFmt w:val="decimal"/>
      <w:lvlText w:val="%1"/>
      <w:lvlJc w:val="left"/>
      <w:pPr>
        <w:ind w:left="916" w:hanging="663"/>
        <w:jc w:val="left"/>
      </w:pPr>
      <w:rPr>
        <w:rFonts w:hint="default"/>
        <w:lang w:val="en-US" w:eastAsia="en-US" w:bidi="ar-SA"/>
      </w:rPr>
    </w:lvl>
    <w:lvl w:ilvl="1">
      <w:start w:val="19"/>
      <w:numFmt w:val="decimal"/>
      <w:lvlText w:val="%1.%2"/>
      <w:lvlJc w:val="left"/>
      <w:pPr>
        <w:ind w:left="916" w:hanging="663"/>
        <w:jc w:val="left"/>
      </w:pPr>
      <w:rPr>
        <w:rFonts w:hint="default"/>
        <w:lang w:val="en-US" w:eastAsia="en-US" w:bidi="ar-SA"/>
      </w:rPr>
    </w:lvl>
    <w:lvl w:ilvl="2">
      <w:start w:val="1"/>
      <w:numFmt w:val="decimal"/>
      <w:lvlText w:val="%1.%2.%3"/>
      <w:lvlJc w:val="left"/>
      <w:pPr>
        <w:ind w:left="916" w:hanging="6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10" w:hanging="663"/>
      </w:pPr>
      <w:rPr>
        <w:rFonts w:hint="default"/>
        <w:lang w:val="en-US" w:eastAsia="en-US" w:bidi="ar-SA"/>
      </w:rPr>
    </w:lvl>
    <w:lvl w:ilvl="4">
      <w:start w:val="0"/>
      <w:numFmt w:val="bullet"/>
      <w:lvlText w:val="•"/>
      <w:lvlJc w:val="left"/>
      <w:pPr>
        <w:ind w:left="4240" w:hanging="663"/>
      </w:pPr>
      <w:rPr>
        <w:rFonts w:hint="default"/>
        <w:lang w:val="en-US" w:eastAsia="en-US" w:bidi="ar-SA"/>
      </w:rPr>
    </w:lvl>
    <w:lvl w:ilvl="5">
      <w:start w:val="0"/>
      <w:numFmt w:val="bullet"/>
      <w:lvlText w:val="•"/>
      <w:lvlJc w:val="left"/>
      <w:pPr>
        <w:ind w:left="5070" w:hanging="663"/>
      </w:pPr>
      <w:rPr>
        <w:rFonts w:hint="default"/>
        <w:lang w:val="en-US" w:eastAsia="en-US" w:bidi="ar-SA"/>
      </w:rPr>
    </w:lvl>
    <w:lvl w:ilvl="6">
      <w:start w:val="0"/>
      <w:numFmt w:val="bullet"/>
      <w:lvlText w:val="•"/>
      <w:lvlJc w:val="left"/>
      <w:pPr>
        <w:ind w:left="5900" w:hanging="663"/>
      </w:pPr>
      <w:rPr>
        <w:rFonts w:hint="default"/>
        <w:lang w:val="en-US" w:eastAsia="en-US" w:bidi="ar-SA"/>
      </w:rPr>
    </w:lvl>
    <w:lvl w:ilvl="7">
      <w:start w:val="0"/>
      <w:numFmt w:val="bullet"/>
      <w:lvlText w:val="•"/>
      <w:lvlJc w:val="left"/>
      <w:pPr>
        <w:ind w:left="6730" w:hanging="663"/>
      </w:pPr>
      <w:rPr>
        <w:rFonts w:hint="default"/>
        <w:lang w:val="en-US" w:eastAsia="en-US" w:bidi="ar-SA"/>
      </w:rPr>
    </w:lvl>
    <w:lvl w:ilvl="8">
      <w:start w:val="0"/>
      <w:numFmt w:val="bullet"/>
      <w:lvlText w:val="•"/>
      <w:lvlJc w:val="left"/>
      <w:pPr>
        <w:ind w:left="7560" w:hanging="663"/>
      </w:pPr>
      <w:rPr>
        <w:rFonts w:hint="default"/>
        <w:lang w:val="en-US" w:eastAsia="en-US" w:bidi="ar-SA"/>
      </w:rPr>
    </w:lvl>
  </w:abstractNum>
  <w:abstractNum w:abstractNumId="7">
    <w:multiLevelType w:val="hybridMultilevel"/>
    <w:lvl w:ilvl="0">
      <w:start w:val="4"/>
      <w:numFmt w:val="decimal"/>
      <w:lvlText w:val="%1"/>
      <w:lvlJc w:val="left"/>
      <w:pPr>
        <w:ind w:left="973" w:hanging="721"/>
        <w:jc w:val="left"/>
      </w:pPr>
      <w:rPr>
        <w:rFonts w:hint="default"/>
        <w:lang w:val="en-US" w:eastAsia="en-US" w:bidi="ar-SA"/>
      </w:rPr>
    </w:lvl>
    <w:lvl w:ilvl="1">
      <w:start w:val="0"/>
      <w:numFmt w:val="decimal"/>
      <w:lvlText w:val="%1.%2"/>
      <w:lvlJc w:val="left"/>
      <w:pPr>
        <w:ind w:left="97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15" w:hanging="66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11" w:hanging="662"/>
      </w:pPr>
      <w:rPr>
        <w:rFonts w:hint="default"/>
        <w:lang w:val="en-US" w:eastAsia="en-US" w:bidi="ar-SA"/>
      </w:rPr>
    </w:lvl>
    <w:lvl w:ilvl="4">
      <w:start w:val="0"/>
      <w:numFmt w:val="bullet"/>
      <w:lvlText w:val="•"/>
      <w:lvlJc w:val="left"/>
      <w:pPr>
        <w:ind w:left="3726" w:hanging="662"/>
      </w:pPr>
      <w:rPr>
        <w:rFonts w:hint="default"/>
        <w:lang w:val="en-US" w:eastAsia="en-US" w:bidi="ar-SA"/>
      </w:rPr>
    </w:lvl>
    <w:lvl w:ilvl="5">
      <w:start w:val="0"/>
      <w:numFmt w:val="bullet"/>
      <w:lvlText w:val="•"/>
      <w:lvlJc w:val="left"/>
      <w:pPr>
        <w:ind w:left="4642" w:hanging="662"/>
      </w:pPr>
      <w:rPr>
        <w:rFonts w:hint="default"/>
        <w:lang w:val="en-US" w:eastAsia="en-US" w:bidi="ar-SA"/>
      </w:rPr>
    </w:lvl>
    <w:lvl w:ilvl="6">
      <w:start w:val="0"/>
      <w:numFmt w:val="bullet"/>
      <w:lvlText w:val="•"/>
      <w:lvlJc w:val="left"/>
      <w:pPr>
        <w:ind w:left="5557" w:hanging="662"/>
      </w:pPr>
      <w:rPr>
        <w:rFonts w:hint="default"/>
        <w:lang w:val="en-US" w:eastAsia="en-US" w:bidi="ar-SA"/>
      </w:rPr>
    </w:lvl>
    <w:lvl w:ilvl="7">
      <w:start w:val="0"/>
      <w:numFmt w:val="bullet"/>
      <w:lvlText w:val="•"/>
      <w:lvlJc w:val="left"/>
      <w:pPr>
        <w:ind w:left="6473" w:hanging="662"/>
      </w:pPr>
      <w:rPr>
        <w:rFonts w:hint="default"/>
        <w:lang w:val="en-US" w:eastAsia="en-US" w:bidi="ar-SA"/>
      </w:rPr>
    </w:lvl>
    <w:lvl w:ilvl="8">
      <w:start w:val="0"/>
      <w:numFmt w:val="bullet"/>
      <w:lvlText w:val="•"/>
      <w:lvlJc w:val="left"/>
      <w:pPr>
        <w:ind w:left="7388" w:hanging="662"/>
      </w:pPr>
      <w:rPr>
        <w:rFonts w:hint="default"/>
        <w:lang w:val="en-US" w:eastAsia="en-US" w:bidi="ar-SA"/>
      </w:rPr>
    </w:lvl>
  </w:abstractNum>
  <w:abstractNum w:abstractNumId="6">
    <w:multiLevelType w:val="hybridMultilevel"/>
    <w:lvl w:ilvl="0">
      <w:start w:val="3"/>
      <w:numFmt w:val="decimal"/>
      <w:lvlText w:val="%1"/>
      <w:lvlJc w:val="left"/>
      <w:pPr>
        <w:ind w:left="973" w:hanging="721"/>
        <w:jc w:val="left"/>
      </w:pPr>
      <w:rPr>
        <w:rFonts w:hint="default"/>
        <w:lang w:val="en-US" w:eastAsia="en-US" w:bidi="ar-SA"/>
      </w:rPr>
    </w:lvl>
    <w:lvl w:ilvl="1">
      <w:start w:val="0"/>
      <w:numFmt w:val="decimal"/>
      <w:lvlText w:val="%1.%2"/>
      <w:lvlJc w:val="left"/>
      <w:pPr>
        <w:ind w:left="97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95"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11" w:hanging="542"/>
      </w:pPr>
      <w:rPr>
        <w:rFonts w:hint="default"/>
        <w:lang w:val="en-US" w:eastAsia="en-US" w:bidi="ar-SA"/>
      </w:rPr>
    </w:lvl>
    <w:lvl w:ilvl="4">
      <w:start w:val="0"/>
      <w:numFmt w:val="bullet"/>
      <w:lvlText w:val="•"/>
      <w:lvlJc w:val="left"/>
      <w:pPr>
        <w:ind w:left="3726" w:hanging="542"/>
      </w:pPr>
      <w:rPr>
        <w:rFonts w:hint="default"/>
        <w:lang w:val="en-US" w:eastAsia="en-US" w:bidi="ar-SA"/>
      </w:rPr>
    </w:lvl>
    <w:lvl w:ilvl="5">
      <w:start w:val="0"/>
      <w:numFmt w:val="bullet"/>
      <w:lvlText w:val="•"/>
      <w:lvlJc w:val="left"/>
      <w:pPr>
        <w:ind w:left="4642" w:hanging="542"/>
      </w:pPr>
      <w:rPr>
        <w:rFonts w:hint="default"/>
        <w:lang w:val="en-US" w:eastAsia="en-US" w:bidi="ar-SA"/>
      </w:rPr>
    </w:lvl>
    <w:lvl w:ilvl="6">
      <w:start w:val="0"/>
      <w:numFmt w:val="bullet"/>
      <w:lvlText w:val="•"/>
      <w:lvlJc w:val="left"/>
      <w:pPr>
        <w:ind w:left="5557" w:hanging="542"/>
      </w:pPr>
      <w:rPr>
        <w:rFonts w:hint="default"/>
        <w:lang w:val="en-US" w:eastAsia="en-US" w:bidi="ar-SA"/>
      </w:rPr>
    </w:lvl>
    <w:lvl w:ilvl="7">
      <w:start w:val="0"/>
      <w:numFmt w:val="bullet"/>
      <w:lvlText w:val="•"/>
      <w:lvlJc w:val="left"/>
      <w:pPr>
        <w:ind w:left="6473" w:hanging="542"/>
      </w:pPr>
      <w:rPr>
        <w:rFonts w:hint="default"/>
        <w:lang w:val="en-US" w:eastAsia="en-US" w:bidi="ar-SA"/>
      </w:rPr>
    </w:lvl>
    <w:lvl w:ilvl="8">
      <w:start w:val="0"/>
      <w:numFmt w:val="bullet"/>
      <w:lvlText w:val="•"/>
      <w:lvlJc w:val="left"/>
      <w:pPr>
        <w:ind w:left="7388" w:hanging="542"/>
      </w:pPr>
      <w:rPr>
        <w:rFonts w:hint="default"/>
        <w:lang w:val="en-US" w:eastAsia="en-US" w:bidi="ar-SA"/>
      </w:rPr>
    </w:lvl>
  </w:abstractNum>
  <w:abstractNum w:abstractNumId="5">
    <w:multiLevelType w:val="hybridMultilevel"/>
    <w:lvl w:ilvl="0">
      <w:start w:val="2"/>
      <w:numFmt w:val="decimal"/>
      <w:lvlText w:val="%1"/>
      <w:lvlJc w:val="left"/>
      <w:pPr>
        <w:ind w:left="795" w:hanging="542"/>
        <w:jc w:val="left"/>
      </w:pPr>
      <w:rPr>
        <w:rFonts w:hint="default"/>
        <w:lang w:val="en-US" w:eastAsia="en-US" w:bidi="ar-SA"/>
      </w:rPr>
    </w:lvl>
    <w:lvl w:ilvl="1">
      <w:start w:val="4"/>
      <w:numFmt w:val="decimal"/>
      <w:lvlText w:val="%1.%2"/>
      <w:lvlJc w:val="left"/>
      <w:pPr>
        <w:ind w:left="795" w:hanging="542"/>
        <w:jc w:val="left"/>
      </w:pPr>
      <w:rPr>
        <w:rFonts w:hint="default"/>
        <w:lang w:val="en-US" w:eastAsia="en-US" w:bidi="ar-SA"/>
      </w:rPr>
    </w:lvl>
    <w:lvl w:ilvl="2">
      <w:start w:val="6"/>
      <w:numFmt w:val="decimal"/>
      <w:lvlText w:val="%1.%2.%3"/>
      <w:lvlJc w:val="left"/>
      <w:pPr>
        <w:ind w:left="795"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326" w:hanging="542"/>
      </w:pPr>
      <w:rPr>
        <w:rFonts w:hint="default"/>
        <w:lang w:val="en-US" w:eastAsia="en-US" w:bidi="ar-SA"/>
      </w:rPr>
    </w:lvl>
    <w:lvl w:ilvl="4">
      <w:start w:val="0"/>
      <w:numFmt w:val="bullet"/>
      <w:lvlText w:val="•"/>
      <w:lvlJc w:val="left"/>
      <w:pPr>
        <w:ind w:left="4168" w:hanging="542"/>
      </w:pPr>
      <w:rPr>
        <w:rFonts w:hint="default"/>
        <w:lang w:val="en-US" w:eastAsia="en-US" w:bidi="ar-SA"/>
      </w:rPr>
    </w:lvl>
    <w:lvl w:ilvl="5">
      <w:start w:val="0"/>
      <w:numFmt w:val="bullet"/>
      <w:lvlText w:val="•"/>
      <w:lvlJc w:val="left"/>
      <w:pPr>
        <w:ind w:left="5010" w:hanging="542"/>
      </w:pPr>
      <w:rPr>
        <w:rFonts w:hint="default"/>
        <w:lang w:val="en-US" w:eastAsia="en-US" w:bidi="ar-SA"/>
      </w:rPr>
    </w:lvl>
    <w:lvl w:ilvl="6">
      <w:start w:val="0"/>
      <w:numFmt w:val="bullet"/>
      <w:lvlText w:val="•"/>
      <w:lvlJc w:val="left"/>
      <w:pPr>
        <w:ind w:left="5852" w:hanging="542"/>
      </w:pPr>
      <w:rPr>
        <w:rFonts w:hint="default"/>
        <w:lang w:val="en-US" w:eastAsia="en-US" w:bidi="ar-SA"/>
      </w:rPr>
    </w:lvl>
    <w:lvl w:ilvl="7">
      <w:start w:val="0"/>
      <w:numFmt w:val="bullet"/>
      <w:lvlText w:val="•"/>
      <w:lvlJc w:val="left"/>
      <w:pPr>
        <w:ind w:left="6694" w:hanging="542"/>
      </w:pPr>
      <w:rPr>
        <w:rFonts w:hint="default"/>
        <w:lang w:val="en-US" w:eastAsia="en-US" w:bidi="ar-SA"/>
      </w:rPr>
    </w:lvl>
    <w:lvl w:ilvl="8">
      <w:start w:val="0"/>
      <w:numFmt w:val="bullet"/>
      <w:lvlText w:val="•"/>
      <w:lvlJc w:val="left"/>
      <w:pPr>
        <w:ind w:left="7536" w:hanging="542"/>
      </w:pPr>
      <w:rPr>
        <w:rFonts w:hint="default"/>
        <w:lang w:val="en-US" w:eastAsia="en-US" w:bidi="ar-SA"/>
      </w:rPr>
    </w:lvl>
  </w:abstractNum>
  <w:abstractNum w:abstractNumId="4">
    <w:multiLevelType w:val="hybridMultilevel"/>
    <w:lvl w:ilvl="0">
      <w:start w:val="2"/>
      <w:numFmt w:val="decimal"/>
      <w:lvlText w:val="%1."/>
      <w:lvlJc w:val="left"/>
      <w:pPr>
        <w:ind w:left="498"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72" w:hanging="245"/>
      </w:pPr>
      <w:rPr>
        <w:rFonts w:hint="default"/>
        <w:lang w:val="en-US" w:eastAsia="en-US" w:bidi="ar-SA"/>
      </w:rPr>
    </w:lvl>
    <w:lvl w:ilvl="2">
      <w:start w:val="0"/>
      <w:numFmt w:val="bullet"/>
      <w:lvlText w:val="•"/>
      <w:lvlJc w:val="left"/>
      <w:pPr>
        <w:ind w:left="2244" w:hanging="245"/>
      </w:pPr>
      <w:rPr>
        <w:rFonts w:hint="default"/>
        <w:lang w:val="en-US" w:eastAsia="en-US" w:bidi="ar-SA"/>
      </w:rPr>
    </w:lvl>
    <w:lvl w:ilvl="3">
      <w:start w:val="0"/>
      <w:numFmt w:val="bullet"/>
      <w:lvlText w:val="•"/>
      <w:lvlJc w:val="left"/>
      <w:pPr>
        <w:ind w:left="3116" w:hanging="245"/>
      </w:pPr>
      <w:rPr>
        <w:rFonts w:hint="default"/>
        <w:lang w:val="en-US" w:eastAsia="en-US" w:bidi="ar-SA"/>
      </w:rPr>
    </w:lvl>
    <w:lvl w:ilvl="4">
      <w:start w:val="0"/>
      <w:numFmt w:val="bullet"/>
      <w:lvlText w:val="•"/>
      <w:lvlJc w:val="left"/>
      <w:pPr>
        <w:ind w:left="3988" w:hanging="245"/>
      </w:pPr>
      <w:rPr>
        <w:rFonts w:hint="default"/>
        <w:lang w:val="en-US" w:eastAsia="en-US" w:bidi="ar-SA"/>
      </w:rPr>
    </w:lvl>
    <w:lvl w:ilvl="5">
      <w:start w:val="0"/>
      <w:numFmt w:val="bullet"/>
      <w:lvlText w:val="•"/>
      <w:lvlJc w:val="left"/>
      <w:pPr>
        <w:ind w:left="4860" w:hanging="245"/>
      </w:pPr>
      <w:rPr>
        <w:rFonts w:hint="default"/>
        <w:lang w:val="en-US" w:eastAsia="en-US" w:bidi="ar-SA"/>
      </w:rPr>
    </w:lvl>
    <w:lvl w:ilvl="6">
      <w:start w:val="0"/>
      <w:numFmt w:val="bullet"/>
      <w:lvlText w:val="•"/>
      <w:lvlJc w:val="left"/>
      <w:pPr>
        <w:ind w:left="5732" w:hanging="245"/>
      </w:pPr>
      <w:rPr>
        <w:rFonts w:hint="default"/>
        <w:lang w:val="en-US" w:eastAsia="en-US" w:bidi="ar-SA"/>
      </w:rPr>
    </w:lvl>
    <w:lvl w:ilvl="7">
      <w:start w:val="0"/>
      <w:numFmt w:val="bullet"/>
      <w:lvlText w:val="•"/>
      <w:lvlJc w:val="left"/>
      <w:pPr>
        <w:ind w:left="6604" w:hanging="245"/>
      </w:pPr>
      <w:rPr>
        <w:rFonts w:hint="default"/>
        <w:lang w:val="en-US" w:eastAsia="en-US" w:bidi="ar-SA"/>
      </w:rPr>
    </w:lvl>
    <w:lvl w:ilvl="8">
      <w:start w:val="0"/>
      <w:numFmt w:val="bullet"/>
      <w:lvlText w:val="•"/>
      <w:lvlJc w:val="left"/>
      <w:pPr>
        <w:ind w:left="7476" w:hanging="245"/>
      </w:pPr>
      <w:rPr>
        <w:rFonts w:hint="default"/>
        <w:lang w:val="en-US" w:eastAsia="en-US" w:bidi="ar-SA"/>
      </w:rPr>
    </w:lvl>
  </w:abstractNum>
  <w:abstractNum w:abstractNumId="3">
    <w:multiLevelType w:val="hybridMultilevel"/>
    <w:lvl w:ilvl="0">
      <w:start w:val="2"/>
      <w:numFmt w:val="decimal"/>
      <w:lvlText w:val="%1"/>
      <w:lvlJc w:val="left"/>
      <w:pPr>
        <w:ind w:left="796" w:hanging="543"/>
        <w:jc w:val="left"/>
      </w:pPr>
      <w:rPr>
        <w:rFonts w:hint="default"/>
        <w:lang w:val="en-US" w:eastAsia="en-US" w:bidi="ar-SA"/>
      </w:rPr>
    </w:lvl>
    <w:lvl w:ilvl="1">
      <w:start w:val="2"/>
      <w:numFmt w:val="decimal"/>
      <w:lvlText w:val="%1.%2"/>
      <w:lvlJc w:val="left"/>
      <w:pPr>
        <w:ind w:left="796" w:hanging="543"/>
        <w:jc w:val="left"/>
      </w:pPr>
      <w:rPr>
        <w:rFonts w:hint="default"/>
        <w:lang w:val="en-US" w:eastAsia="en-US" w:bidi="ar-SA"/>
      </w:rPr>
    </w:lvl>
    <w:lvl w:ilvl="2">
      <w:start w:val="4"/>
      <w:numFmt w:val="decimal"/>
      <w:lvlText w:val="%1.%2.%3"/>
      <w:lvlJc w:val="left"/>
      <w:pPr>
        <w:ind w:left="796" w:hanging="5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326" w:hanging="543"/>
      </w:pPr>
      <w:rPr>
        <w:rFonts w:hint="default"/>
        <w:lang w:val="en-US" w:eastAsia="en-US" w:bidi="ar-SA"/>
      </w:rPr>
    </w:lvl>
    <w:lvl w:ilvl="4">
      <w:start w:val="0"/>
      <w:numFmt w:val="bullet"/>
      <w:lvlText w:val="•"/>
      <w:lvlJc w:val="left"/>
      <w:pPr>
        <w:ind w:left="4168" w:hanging="543"/>
      </w:pPr>
      <w:rPr>
        <w:rFonts w:hint="default"/>
        <w:lang w:val="en-US" w:eastAsia="en-US" w:bidi="ar-SA"/>
      </w:rPr>
    </w:lvl>
    <w:lvl w:ilvl="5">
      <w:start w:val="0"/>
      <w:numFmt w:val="bullet"/>
      <w:lvlText w:val="•"/>
      <w:lvlJc w:val="left"/>
      <w:pPr>
        <w:ind w:left="5010" w:hanging="543"/>
      </w:pPr>
      <w:rPr>
        <w:rFonts w:hint="default"/>
        <w:lang w:val="en-US" w:eastAsia="en-US" w:bidi="ar-SA"/>
      </w:rPr>
    </w:lvl>
    <w:lvl w:ilvl="6">
      <w:start w:val="0"/>
      <w:numFmt w:val="bullet"/>
      <w:lvlText w:val="•"/>
      <w:lvlJc w:val="left"/>
      <w:pPr>
        <w:ind w:left="5852" w:hanging="543"/>
      </w:pPr>
      <w:rPr>
        <w:rFonts w:hint="default"/>
        <w:lang w:val="en-US" w:eastAsia="en-US" w:bidi="ar-SA"/>
      </w:rPr>
    </w:lvl>
    <w:lvl w:ilvl="7">
      <w:start w:val="0"/>
      <w:numFmt w:val="bullet"/>
      <w:lvlText w:val="•"/>
      <w:lvlJc w:val="left"/>
      <w:pPr>
        <w:ind w:left="6694" w:hanging="543"/>
      </w:pPr>
      <w:rPr>
        <w:rFonts w:hint="default"/>
        <w:lang w:val="en-US" w:eastAsia="en-US" w:bidi="ar-SA"/>
      </w:rPr>
    </w:lvl>
    <w:lvl w:ilvl="8">
      <w:start w:val="0"/>
      <w:numFmt w:val="bullet"/>
      <w:lvlText w:val="•"/>
      <w:lvlJc w:val="left"/>
      <w:pPr>
        <w:ind w:left="7536" w:hanging="543"/>
      </w:pPr>
      <w:rPr>
        <w:rFonts w:hint="default"/>
        <w:lang w:val="en-US" w:eastAsia="en-US" w:bidi="ar-SA"/>
      </w:rPr>
    </w:lvl>
  </w:abstractNum>
  <w:abstractNum w:abstractNumId="2">
    <w:multiLevelType w:val="hybridMultilevel"/>
    <w:lvl w:ilvl="0">
      <w:start w:val="2"/>
      <w:numFmt w:val="decimal"/>
      <w:lvlText w:val="%1"/>
      <w:lvlJc w:val="left"/>
      <w:pPr>
        <w:ind w:left="857" w:hanging="604"/>
        <w:jc w:val="left"/>
      </w:pPr>
      <w:rPr>
        <w:rFonts w:hint="default"/>
        <w:lang w:val="en-US" w:eastAsia="en-US" w:bidi="ar-SA"/>
      </w:rPr>
    </w:lvl>
    <w:lvl w:ilvl="1">
      <w:start w:val="2"/>
      <w:numFmt w:val="decimal"/>
      <w:lvlText w:val="%1.%2"/>
      <w:lvlJc w:val="left"/>
      <w:pPr>
        <w:ind w:left="857" w:hanging="604"/>
        <w:jc w:val="left"/>
      </w:pPr>
      <w:rPr>
        <w:rFonts w:hint="default"/>
        <w:lang w:val="en-US" w:eastAsia="en-US" w:bidi="ar-SA"/>
      </w:rPr>
    </w:lvl>
    <w:lvl w:ilvl="2">
      <w:start w:val="3"/>
      <w:numFmt w:val="decimal"/>
      <w:lvlText w:val="%1.%2.%3."/>
      <w:lvlJc w:val="left"/>
      <w:pPr>
        <w:ind w:left="857" w:hanging="604"/>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3368" w:hanging="604"/>
      </w:pPr>
      <w:rPr>
        <w:rFonts w:hint="default"/>
        <w:lang w:val="en-US" w:eastAsia="en-US" w:bidi="ar-SA"/>
      </w:rPr>
    </w:lvl>
    <w:lvl w:ilvl="4">
      <w:start w:val="0"/>
      <w:numFmt w:val="bullet"/>
      <w:lvlText w:val="•"/>
      <w:lvlJc w:val="left"/>
      <w:pPr>
        <w:ind w:left="4204" w:hanging="604"/>
      </w:pPr>
      <w:rPr>
        <w:rFonts w:hint="default"/>
        <w:lang w:val="en-US" w:eastAsia="en-US" w:bidi="ar-SA"/>
      </w:rPr>
    </w:lvl>
    <w:lvl w:ilvl="5">
      <w:start w:val="0"/>
      <w:numFmt w:val="bullet"/>
      <w:lvlText w:val="•"/>
      <w:lvlJc w:val="left"/>
      <w:pPr>
        <w:ind w:left="5040" w:hanging="604"/>
      </w:pPr>
      <w:rPr>
        <w:rFonts w:hint="default"/>
        <w:lang w:val="en-US" w:eastAsia="en-US" w:bidi="ar-SA"/>
      </w:rPr>
    </w:lvl>
    <w:lvl w:ilvl="6">
      <w:start w:val="0"/>
      <w:numFmt w:val="bullet"/>
      <w:lvlText w:val="•"/>
      <w:lvlJc w:val="left"/>
      <w:pPr>
        <w:ind w:left="5876" w:hanging="604"/>
      </w:pPr>
      <w:rPr>
        <w:rFonts w:hint="default"/>
        <w:lang w:val="en-US" w:eastAsia="en-US" w:bidi="ar-SA"/>
      </w:rPr>
    </w:lvl>
    <w:lvl w:ilvl="7">
      <w:start w:val="0"/>
      <w:numFmt w:val="bullet"/>
      <w:lvlText w:val="•"/>
      <w:lvlJc w:val="left"/>
      <w:pPr>
        <w:ind w:left="6712" w:hanging="604"/>
      </w:pPr>
      <w:rPr>
        <w:rFonts w:hint="default"/>
        <w:lang w:val="en-US" w:eastAsia="en-US" w:bidi="ar-SA"/>
      </w:rPr>
    </w:lvl>
    <w:lvl w:ilvl="8">
      <w:start w:val="0"/>
      <w:numFmt w:val="bullet"/>
      <w:lvlText w:val="•"/>
      <w:lvlJc w:val="left"/>
      <w:pPr>
        <w:ind w:left="7548" w:hanging="604"/>
      </w:pPr>
      <w:rPr>
        <w:rFonts w:hint="default"/>
        <w:lang w:val="en-US" w:eastAsia="en-US" w:bidi="ar-SA"/>
      </w:rPr>
    </w:lvl>
  </w:abstractNum>
  <w:abstractNum w:abstractNumId="1">
    <w:multiLevelType w:val="hybridMultilevel"/>
    <w:lvl w:ilvl="0">
      <w:start w:val="2"/>
      <w:numFmt w:val="decimal"/>
      <w:lvlText w:val="%1"/>
      <w:lvlJc w:val="left"/>
      <w:pPr>
        <w:ind w:left="973" w:hanging="721"/>
        <w:jc w:val="left"/>
      </w:pPr>
      <w:rPr>
        <w:rFonts w:hint="default"/>
        <w:lang w:val="en-US" w:eastAsia="en-US" w:bidi="ar-SA"/>
      </w:rPr>
    </w:lvl>
    <w:lvl w:ilvl="1">
      <w:start w:val="0"/>
      <w:numFmt w:val="decimal"/>
      <w:lvlText w:val="%1.%2"/>
      <w:lvlJc w:val="left"/>
      <w:pPr>
        <w:ind w:left="973" w:hanging="721"/>
        <w:jc w:val="left"/>
      </w:pPr>
      <w:rPr>
        <w:rFonts w:hint="default"/>
        <w:spacing w:val="0"/>
        <w:w w:val="100"/>
        <w:lang w:val="en-US" w:eastAsia="en-US" w:bidi="ar-SA"/>
      </w:rPr>
    </w:lvl>
    <w:lvl w:ilvl="2">
      <w:start w:val="1"/>
      <w:numFmt w:val="decimal"/>
      <w:lvlText w:val="%1.%2.%3"/>
      <w:lvlJc w:val="left"/>
      <w:pPr>
        <w:ind w:left="796" w:hanging="5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010" w:hanging="543"/>
      </w:pPr>
      <w:rPr>
        <w:rFonts w:hint="default"/>
        <w:lang w:val="en-US" w:eastAsia="en-US" w:bidi="ar-SA"/>
      </w:rPr>
    </w:lvl>
    <w:lvl w:ilvl="4">
      <w:start w:val="0"/>
      <w:numFmt w:val="bullet"/>
      <w:lvlText w:val="•"/>
      <w:lvlJc w:val="left"/>
      <w:pPr>
        <w:ind w:left="3040" w:hanging="543"/>
      </w:pPr>
      <w:rPr>
        <w:rFonts w:hint="default"/>
        <w:lang w:val="en-US" w:eastAsia="en-US" w:bidi="ar-SA"/>
      </w:rPr>
    </w:lvl>
    <w:lvl w:ilvl="5">
      <w:start w:val="0"/>
      <w:numFmt w:val="bullet"/>
      <w:lvlText w:val="•"/>
      <w:lvlJc w:val="left"/>
      <w:pPr>
        <w:ind w:left="4070" w:hanging="543"/>
      </w:pPr>
      <w:rPr>
        <w:rFonts w:hint="default"/>
        <w:lang w:val="en-US" w:eastAsia="en-US" w:bidi="ar-SA"/>
      </w:rPr>
    </w:lvl>
    <w:lvl w:ilvl="6">
      <w:start w:val="0"/>
      <w:numFmt w:val="bullet"/>
      <w:lvlText w:val="•"/>
      <w:lvlJc w:val="left"/>
      <w:pPr>
        <w:ind w:left="5100" w:hanging="543"/>
      </w:pPr>
      <w:rPr>
        <w:rFonts w:hint="default"/>
        <w:lang w:val="en-US" w:eastAsia="en-US" w:bidi="ar-SA"/>
      </w:rPr>
    </w:lvl>
    <w:lvl w:ilvl="7">
      <w:start w:val="0"/>
      <w:numFmt w:val="bullet"/>
      <w:lvlText w:val="•"/>
      <w:lvlJc w:val="left"/>
      <w:pPr>
        <w:ind w:left="6130" w:hanging="543"/>
      </w:pPr>
      <w:rPr>
        <w:rFonts w:hint="default"/>
        <w:lang w:val="en-US" w:eastAsia="en-US" w:bidi="ar-SA"/>
      </w:rPr>
    </w:lvl>
    <w:lvl w:ilvl="8">
      <w:start w:val="0"/>
      <w:numFmt w:val="bullet"/>
      <w:lvlText w:val="•"/>
      <w:lvlJc w:val="left"/>
      <w:pPr>
        <w:ind w:left="7160" w:hanging="543"/>
      </w:pPr>
      <w:rPr>
        <w:rFonts w:hint="default"/>
        <w:lang w:val="en-US" w:eastAsia="en-US" w:bidi="ar-SA"/>
      </w:rPr>
    </w:lvl>
  </w:abstractNum>
  <w:abstractNum w:abstractNumId="0">
    <w:multiLevelType w:val="hybridMultilevel"/>
    <w:lvl w:ilvl="0">
      <w:start w:val="1"/>
      <w:numFmt w:val="decimal"/>
      <w:lvlText w:val="%1"/>
      <w:lvlJc w:val="left"/>
      <w:pPr>
        <w:ind w:left="973" w:hanging="721"/>
        <w:jc w:val="left"/>
      </w:pPr>
      <w:rPr>
        <w:rFonts w:hint="default"/>
        <w:lang w:val="en-US" w:eastAsia="en-US" w:bidi="ar-SA"/>
      </w:rPr>
    </w:lvl>
    <w:lvl w:ilvl="1">
      <w:start w:val="0"/>
      <w:numFmt w:val="decimal"/>
      <w:lvlText w:val="%1.%2"/>
      <w:lvlJc w:val="left"/>
      <w:pPr>
        <w:ind w:left="97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15"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31" w:hanging="542"/>
      </w:pPr>
      <w:rPr>
        <w:rFonts w:hint="default"/>
        <w:lang w:val="en-US" w:eastAsia="en-US" w:bidi="ar-SA"/>
      </w:rPr>
    </w:lvl>
    <w:lvl w:ilvl="4">
      <w:start w:val="0"/>
      <w:numFmt w:val="bullet"/>
      <w:lvlText w:val="•"/>
      <w:lvlJc w:val="left"/>
      <w:pPr>
        <w:ind w:left="4086" w:hanging="542"/>
      </w:pPr>
      <w:rPr>
        <w:rFonts w:hint="default"/>
        <w:lang w:val="en-US" w:eastAsia="en-US" w:bidi="ar-SA"/>
      </w:rPr>
    </w:lvl>
    <w:lvl w:ilvl="5">
      <w:start w:val="0"/>
      <w:numFmt w:val="bullet"/>
      <w:lvlText w:val="•"/>
      <w:lvlJc w:val="left"/>
      <w:pPr>
        <w:ind w:left="4942" w:hanging="542"/>
      </w:pPr>
      <w:rPr>
        <w:rFonts w:hint="default"/>
        <w:lang w:val="en-US" w:eastAsia="en-US" w:bidi="ar-SA"/>
      </w:rPr>
    </w:lvl>
    <w:lvl w:ilvl="6">
      <w:start w:val="0"/>
      <w:numFmt w:val="bullet"/>
      <w:lvlText w:val="•"/>
      <w:lvlJc w:val="left"/>
      <w:pPr>
        <w:ind w:left="5797" w:hanging="542"/>
      </w:pPr>
      <w:rPr>
        <w:rFonts w:hint="default"/>
        <w:lang w:val="en-US" w:eastAsia="en-US" w:bidi="ar-SA"/>
      </w:rPr>
    </w:lvl>
    <w:lvl w:ilvl="7">
      <w:start w:val="0"/>
      <w:numFmt w:val="bullet"/>
      <w:lvlText w:val="•"/>
      <w:lvlJc w:val="left"/>
      <w:pPr>
        <w:ind w:left="6653" w:hanging="542"/>
      </w:pPr>
      <w:rPr>
        <w:rFonts w:hint="default"/>
        <w:lang w:val="en-US" w:eastAsia="en-US" w:bidi="ar-SA"/>
      </w:rPr>
    </w:lvl>
    <w:lvl w:ilvl="8">
      <w:start w:val="0"/>
      <w:numFmt w:val="bullet"/>
      <w:lvlText w:val="•"/>
      <w:lvlJc w:val="left"/>
      <w:pPr>
        <w:ind w:left="7508" w:hanging="542"/>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833"/>
      <w:ind w:left="973" w:hanging="7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617" w:hanging="364"/>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794" w:hanging="541"/>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2" w:after="20"/>
      <w:ind w:left="795" w:hanging="542"/>
    </w:pPr>
    <w:rPr>
      <w:rFonts w:ascii="Times New Roman" w:hAnsi="Times New Roman" w:eastAsia="Times New Roman" w:cs="Times New Roman"/>
      <w:i/>
      <w:iCs/>
      <w:sz w:val="24"/>
      <w:szCs w:val="24"/>
      <w:lang w:val="en-US" w:eastAsia="en-US" w:bidi="ar-SA"/>
    </w:rPr>
  </w:style>
  <w:style w:styleId="TOC5" w:type="paragraph">
    <w:name w:val="TOC 5"/>
    <w:basedOn w:val="Normal"/>
    <w:uiPriority w:val="1"/>
    <w:qFormat/>
    <w:pPr>
      <w:spacing w:before="276"/>
      <w:ind w:left="794" w:hanging="541"/>
    </w:pPr>
    <w:rPr>
      <w:rFonts w:ascii="Times New Roman" w:hAnsi="Times New Roman" w:eastAsia="Times New Roman" w:cs="Times New Roman"/>
      <w:b/>
      <w:bCs/>
      <w:i/>
      <w:iCs/>
      <w:lang w:val="en-US" w:eastAsia="en-US" w:bidi="ar-SA"/>
    </w:rPr>
  </w:style>
  <w:style w:styleId="TOC6" w:type="paragraph">
    <w:name w:val="TOC 6"/>
    <w:basedOn w:val="Normal"/>
    <w:uiPriority w:val="1"/>
    <w:qFormat/>
    <w:pPr>
      <w:spacing w:after="240" w:line="275" w:lineRule="exact"/>
      <w:ind w:left="316"/>
    </w:pPr>
    <w:rPr>
      <w:rFonts w:ascii="Times New Roman" w:hAnsi="Times New Roman" w:eastAsia="Times New Roman" w:cs="Times New Roman"/>
      <w:b/>
      <w:bCs/>
      <w:i/>
      <w:iCs/>
      <w:lang w:val="en-US" w:eastAsia="en-US" w:bidi="ar-SA"/>
    </w:rPr>
  </w:style>
  <w:style w:styleId="TOC7" w:type="paragraph">
    <w:name w:val="TOC 7"/>
    <w:basedOn w:val="Normal"/>
    <w:uiPriority w:val="1"/>
    <w:qFormat/>
    <w:pPr>
      <w:spacing w:before="271"/>
      <w:ind w:left="1514" w:hanging="542"/>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4"/>
      <w:ind w:left="1972" w:right="3586"/>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747" w:hanging="719"/>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137"/>
      <w:ind w:left="1028"/>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747" w:hanging="71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www.google.com.ng/"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hyperlink" Target="http://www.pdfcampus.net/molecular-biology-of-the-" TargetMode="External"/><Relationship Id="rId123" Type="http://schemas.openxmlformats.org/officeDocument/2006/relationships/hyperlink" Target="http://www.foodstandards.gov.au/_srcfiles/TR2.pdf" TargetMode="External"/><Relationship Id="rId124" Type="http://schemas.openxmlformats.org/officeDocument/2006/relationships/hyperlink" Target="http://www.yumpu.com/en/documents/view/37608950/mpr" TargetMode="External"/><Relationship Id="rId125" Type="http://schemas.openxmlformats.org/officeDocument/2006/relationships/hyperlink" Target="http://www.nap.edu/" TargetMode="External"/><Relationship Id="rId126" Type="http://schemas.openxmlformats.org/officeDocument/2006/relationships/hyperlink" Target="http://www.amazon.com/Plants-Vegetation-Origins-Processes-Consequences/dp/0521864801" TargetMode="External"/><Relationship Id="rId127" Type="http://schemas.openxmlformats.org/officeDocument/2006/relationships/hyperlink" Target="http://books.google.com/books?id=cJHsMALUDj0C&amp;pg=PA123" TargetMode="External"/><Relationship Id="rId128" Type="http://schemas.openxmlformats.org/officeDocument/2006/relationships/hyperlink" Target="http://en.wikipedia.org/wiki/Digital_object_identifier" TargetMode="External"/><Relationship Id="rId129" Type="http://schemas.openxmlformats.org/officeDocument/2006/relationships/hyperlink" Target="http://dx.doi.org/10.1371%2Fjournal.pone.0000687" TargetMode="External"/><Relationship Id="rId130" Type="http://schemas.openxmlformats.org/officeDocument/2006/relationships/hyperlink" Target="http://www.amazon.de/Mutschle-" TargetMode="External"/><Relationship Id="rId131" Type="http://schemas.openxmlformats.org/officeDocument/2006/relationships/hyperlink" Target="http://www.ncbi.nlm.nih.gov/pubmed/?term=Tapsell%20LC%5BAuthor%5D&amp;cauthor=true&amp;cauthor_uid=17022438" TargetMode="External"/><Relationship Id="rId132" Type="http://schemas.openxmlformats.org/officeDocument/2006/relationships/hyperlink" Target="http://www.ncbi.nlm.nih.gov/pubmed/?term=Hemphill%20I%5BAuthor%5D&amp;cauthor=true&amp;cauthor_uid=17022438" TargetMode="External"/><Relationship Id="rId133" Type="http://schemas.openxmlformats.org/officeDocument/2006/relationships/hyperlink" Target="http://www.ncbi.nlm.nih.gov/pubmed/?term=Cobiac%20L%5BAuthor%5D&amp;cauthor=true&amp;cauthor_uid=17022438" TargetMode="External"/><Relationship Id="rId134" Type="http://schemas.openxmlformats.org/officeDocument/2006/relationships/hyperlink" Target="http://www.ncbi.nlm.nih.gov/pubmed/?term=Patch%20CS%5BAuthor%5D&amp;cauthor=true&amp;cauthor_uid=17022438" TargetMode="External"/><Relationship Id="rId135" Type="http://schemas.openxmlformats.org/officeDocument/2006/relationships/hyperlink" Target="http://www.ncbi.nlm.nih.gov/pubmed/?term=Sullivan%20DR%5BAuthor%5D&amp;cauthor=true&amp;cauthor_uid=17022438" TargetMode="External"/><Relationship Id="rId136" Type="http://schemas.openxmlformats.org/officeDocument/2006/relationships/hyperlink" Target="http://www.ncbi.nlm.nih.gov/pubmed/?term=Fenech%20M%5BAuthor%5D&amp;cauthor=true&amp;cauthor_uid=17022438" TargetMode="External"/><Relationship Id="rId137" Type="http://schemas.openxmlformats.org/officeDocument/2006/relationships/hyperlink" Target="http://www.ncbi.nlm.nih.gov/pubmed/?term=Inge%20KE%5BAuthor%5D&amp;cauthor=true&amp;cauthor_uid=17022438" TargetMode="External"/><Relationship Id="rId138" Type="http://schemas.openxmlformats.org/officeDocument/2006/relationships/hyperlink" Target="http://www.inchem.org/documents/jecfa/jecmono/v30je18htm" TargetMode="External"/><Relationship Id="rId139" Type="http://schemas.openxmlformats.org/officeDocument/2006/relationships/hyperlink" Target="http://www.inchem.org/documents/ehc/ehc/ehc080.htm" TargetMode="External"/><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TRY</dc:creator>
  <dcterms:created xsi:type="dcterms:W3CDTF">2023-11-07T20:13:01Z</dcterms:created>
  <dcterms:modified xsi:type="dcterms:W3CDTF">2023-11-07T20:13:01Z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2002-01-01T00:00:00Z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